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仿宋" w:hAnsi="仿宋" w:eastAsia="仿宋" w:cs="Times New Roman"/>
          <w:sz w:val="36"/>
          <w:szCs w:val="36"/>
        </w:rPr>
      </w:pPr>
    </w:p>
    <w:p>
      <w:pPr>
        <w:spacing w:line="360" w:lineRule="auto"/>
        <w:rPr>
          <w:rFonts w:hint="eastAsia" w:ascii="仿宋" w:hAnsi="仿宋" w:eastAsia="仿宋" w:cs="Times New Roman"/>
          <w:sz w:val="36"/>
          <w:szCs w:val="36"/>
        </w:rPr>
      </w:pPr>
    </w:p>
    <w:p>
      <w:pPr>
        <w:spacing w:line="360" w:lineRule="auto"/>
        <w:rPr>
          <w:rFonts w:hint="eastAsia" w:ascii="仿宋" w:hAnsi="仿宋" w:eastAsia="仿宋" w:cs="Times New Roman"/>
          <w:sz w:val="36"/>
          <w:szCs w:val="36"/>
        </w:rPr>
      </w:pPr>
    </w:p>
    <w:p>
      <w:pPr>
        <w:spacing w:line="360" w:lineRule="auto"/>
        <w:jc w:val="center"/>
        <w:rPr>
          <w:rFonts w:eastAsia="方正小标宋_GBK" w:cs="Times New Roman"/>
          <w:sz w:val="72"/>
          <w:szCs w:val="72"/>
        </w:rPr>
      </w:pPr>
      <w:r>
        <w:rPr>
          <w:rFonts w:eastAsia="方正小标宋_GBK" w:cs="Times New Roman"/>
          <w:sz w:val="72"/>
          <w:szCs w:val="72"/>
        </w:rPr>
        <w:t>建设项目环境影响报告表</w:t>
      </w:r>
    </w:p>
    <w:p>
      <w:pPr>
        <w:jc w:val="center"/>
        <w:rPr>
          <w:rFonts w:eastAsia="楷体" w:cs="Times New Roman"/>
          <w:sz w:val="48"/>
          <w:szCs w:val="48"/>
        </w:rPr>
      </w:pPr>
      <w:r>
        <w:rPr>
          <w:rFonts w:eastAsia="楷体" w:cs="Times New Roman"/>
          <w:sz w:val="48"/>
          <w:szCs w:val="48"/>
        </w:rPr>
        <w:t>（</w:t>
      </w:r>
      <w:r>
        <w:rPr>
          <w:rFonts w:hint="eastAsia" w:eastAsia="楷体" w:cs="Times New Roman"/>
          <w:sz w:val="48"/>
          <w:szCs w:val="48"/>
        </w:rPr>
        <w:t>污染影响类</w:t>
      </w:r>
      <w:r>
        <w:rPr>
          <w:rFonts w:eastAsia="楷体" w:cs="Times New Roman"/>
          <w:sz w:val="48"/>
          <w:szCs w:val="48"/>
        </w:rPr>
        <w:t>）</w:t>
      </w:r>
    </w:p>
    <w:p>
      <w:pPr>
        <w:jc w:val="center"/>
        <w:rPr>
          <w:rFonts w:eastAsia="楷体" w:cs="Times New Roman"/>
          <w:sz w:val="44"/>
          <w:szCs w:val="44"/>
        </w:rPr>
      </w:pPr>
      <w:r>
        <w:rPr>
          <w:rFonts w:hint="eastAsia" w:eastAsia="楷体" w:cs="Times New Roman"/>
          <w:sz w:val="44"/>
          <w:szCs w:val="44"/>
        </w:rPr>
        <w:t>（公示本）</w:t>
      </w:r>
    </w:p>
    <w:p>
      <w:pPr>
        <w:spacing w:line="360" w:lineRule="auto"/>
        <w:rPr>
          <w:rFonts w:hint="eastAsia" w:ascii="仿宋" w:hAnsi="仿宋" w:eastAsia="仿宋" w:cs="Times New Roman"/>
          <w:b/>
          <w:sz w:val="36"/>
          <w:szCs w:val="36"/>
        </w:rPr>
      </w:pPr>
    </w:p>
    <w:p>
      <w:pPr>
        <w:spacing w:line="360" w:lineRule="auto"/>
        <w:rPr>
          <w:rFonts w:hint="eastAsia" w:ascii="仿宋" w:hAnsi="仿宋" w:eastAsia="仿宋" w:cs="Times New Roman"/>
          <w:b/>
          <w:sz w:val="36"/>
          <w:szCs w:val="36"/>
        </w:rPr>
      </w:pPr>
    </w:p>
    <w:p>
      <w:pPr>
        <w:spacing w:line="360" w:lineRule="auto"/>
        <w:rPr>
          <w:rFonts w:hint="eastAsia" w:ascii="仿宋" w:hAnsi="仿宋" w:eastAsia="仿宋" w:cs="Times New Roman"/>
          <w:b/>
          <w:sz w:val="36"/>
          <w:szCs w:val="36"/>
        </w:rPr>
      </w:pPr>
    </w:p>
    <w:p>
      <w:pPr>
        <w:spacing w:line="360" w:lineRule="auto"/>
        <w:rPr>
          <w:rFonts w:hint="eastAsia" w:ascii="仿宋" w:hAnsi="仿宋" w:eastAsia="仿宋" w:cs="Times New Roman"/>
          <w:b/>
          <w:sz w:val="36"/>
          <w:szCs w:val="36"/>
        </w:rPr>
      </w:pPr>
    </w:p>
    <w:p>
      <w:pPr>
        <w:spacing w:line="360" w:lineRule="auto"/>
        <w:rPr>
          <w:rFonts w:hint="eastAsia" w:ascii="仿宋" w:hAnsi="仿宋" w:eastAsia="仿宋" w:cs="Times New Roman"/>
          <w:b/>
          <w:sz w:val="36"/>
          <w:szCs w:val="36"/>
        </w:rPr>
      </w:pPr>
    </w:p>
    <w:p>
      <w:pPr>
        <w:spacing w:line="360" w:lineRule="auto"/>
        <w:ind w:firstLine="320" w:firstLineChars="100"/>
        <w:rPr>
          <w:rFonts w:eastAsia="仿宋" w:cs="Times New Roman"/>
          <w:sz w:val="32"/>
          <w:szCs w:val="32"/>
          <w:u w:val="single"/>
        </w:rPr>
      </w:pPr>
      <w:r>
        <w:rPr>
          <w:rFonts w:eastAsia="仿宋" w:cs="Times New Roman"/>
          <w:sz w:val="32"/>
          <w:szCs w:val="32"/>
        </w:rPr>
        <w:t>项目名称：</w:t>
      </w:r>
      <w:r>
        <w:rPr>
          <w:rFonts w:hint="eastAsia" w:eastAsia="仿宋" w:cs="Times New Roman"/>
          <w:sz w:val="32"/>
          <w:szCs w:val="32"/>
          <w:u w:val="single"/>
        </w:rPr>
        <w:t>达州海螺水泥有限责任公司30万t/a机制砂技改项目</w:t>
      </w:r>
    </w:p>
    <w:p>
      <w:pPr>
        <w:spacing w:line="360" w:lineRule="auto"/>
        <w:ind w:firstLine="320" w:firstLineChars="100"/>
        <w:rPr>
          <w:rFonts w:eastAsia="仿宋" w:cs="Times New Roman"/>
          <w:sz w:val="32"/>
          <w:szCs w:val="32"/>
          <w:u w:val="single"/>
        </w:rPr>
      </w:pPr>
      <w:r>
        <w:rPr>
          <w:rFonts w:eastAsia="仿宋" w:cs="Times New Roman"/>
          <w:sz w:val="32"/>
          <w:szCs w:val="32"/>
        </w:rPr>
        <w:t>建设单位（盖章）：</w:t>
      </w:r>
      <w:r>
        <w:rPr>
          <w:rFonts w:eastAsia="仿宋" w:cs="Times New Roman"/>
          <w:sz w:val="32"/>
          <w:szCs w:val="32"/>
          <w:u w:val="single"/>
        </w:rPr>
        <w:t xml:space="preserve">       </w:t>
      </w:r>
      <w:r>
        <w:rPr>
          <w:rFonts w:hint="eastAsia" w:eastAsia="仿宋" w:cs="Times New Roman"/>
          <w:sz w:val="32"/>
          <w:szCs w:val="32"/>
          <w:u w:val="single"/>
        </w:rPr>
        <w:t>达州海螺水泥有限责任公司</w:t>
      </w:r>
      <w:r>
        <w:rPr>
          <w:rFonts w:eastAsia="仿宋" w:cs="Times New Roman"/>
          <w:sz w:val="32"/>
          <w:szCs w:val="32"/>
          <w:u w:val="single"/>
        </w:rPr>
        <w:t xml:space="preserve">      </w:t>
      </w:r>
    </w:p>
    <w:p>
      <w:pPr>
        <w:spacing w:line="360" w:lineRule="auto"/>
        <w:ind w:firstLine="320" w:firstLineChars="100"/>
        <w:rPr>
          <w:rFonts w:eastAsia="仿宋" w:cs="Times New Roman"/>
          <w:sz w:val="32"/>
          <w:szCs w:val="32"/>
        </w:rPr>
      </w:pPr>
      <w:r>
        <w:rPr>
          <w:rFonts w:eastAsia="仿宋" w:cs="Times New Roman"/>
          <w:sz w:val="32"/>
          <w:szCs w:val="32"/>
        </w:rPr>
        <w:t>编制日期：</w:t>
      </w:r>
      <w:r>
        <w:rPr>
          <w:rFonts w:eastAsia="仿宋" w:cs="Times New Roman"/>
          <w:sz w:val="32"/>
          <w:szCs w:val="32"/>
          <w:u w:val="single"/>
        </w:rPr>
        <w:t xml:space="preserve">                  2024年7月                 </w:t>
      </w:r>
    </w:p>
    <w:p>
      <w:pPr>
        <w:spacing w:line="360" w:lineRule="auto"/>
        <w:rPr>
          <w:rFonts w:hint="eastAsia" w:ascii="仿宋" w:hAnsi="仿宋" w:eastAsia="仿宋" w:cs="Times New Roman"/>
          <w:sz w:val="36"/>
          <w:szCs w:val="36"/>
        </w:rPr>
      </w:pPr>
    </w:p>
    <w:p>
      <w:pPr>
        <w:spacing w:line="360" w:lineRule="auto"/>
        <w:rPr>
          <w:rFonts w:hint="eastAsia" w:ascii="仿宋" w:hAnsi="仿宋" w:eastAsia="仿宋" w:cs="Times New Roman"/>
          <w:sz w:val="36"/>
          <w:szCs w:val="36"/>
        </w:rPr>
      </w:pPr>
    </w:p>
    <w:p>
      <w:pPr>
        <w:spacing w:line="360" w:lineRule="auto"/>
        <w:rPr>
          <w:rFonts w:hint="eastAsia" w:ascii="仿宋" w:hAnsi="仿宋" w:eastAsia="仿宋" w:cs="Times New Roman"/>
          <w:sz w:val="36"/>
          <w:szCs w:val="36"/>
        </w:rPr>
      </w:pPr>
    </w:p>
    <w:p>
      <w:pPr>
        <w:spacing w:line="360" w:lineRule="auto"/>
        <w:rPr>
          <w:rFonts w:hint="eastAsia" w:ascii="仿宋" w:hAnsi="仿宋" w:eastAsia="仿宋" w:cs="Times New Roman"/>
          <w:sz w:val="36"/>
          <w:szCs w:val="36"/>
        </w:rPr>
      </w:pPr>
    </w:p>
    <w:p>
      <w:pPr>
        <w:spacing w:line="360" w:lineRule="auto"/>
        <w:rPr>
          <w:rFonts w:hint="eastAsia" w:ascii="仿宋" w:hAnsi="仿宋" w:eastAsia="仿宋" w:cs="Times New Roman"/>
          <w:sz w:val="36"/>
          <w:szCs w:val="36"/>
        </w:rPr>
      </w:pPr>
    </w:p>
    <w:p>
      <w:pPr>
        <w:spacing w:line="360" w:lineRule="auto"/>
        <w:rPr>
          <w:rFonts w:hint="eastAsia" w:ascii="仿宋" w:hAnsi="仿宋" w:eastAsia="仿宋" w:cs="Times New Roman"/>
          <w:sz w:val="36"/>
          <w:szCs w:val="36"/>
        </w:rPr>
      </w:pPr>
    </w:p>
    <w:p>
      <w:pPr>
        <w:spacing w:line="360" w:lineRule="auto"/>
        <w:jc w:val="center"/>
        <w:rPr>
          <w:rFonts w:hint="eastAsia" w:ascii="楷体" w:hAnsi="楷体" w:eastAsia="楷体"/>
          <w:sz w:val="36"/>
          <w:szCs w:val="36"/>
        </w:rPr>
      </w:pPr>
      <w:r>
        <w:rPr>
          <w:rFonts w:hint="eastAsia" w:ascii="楷体" w:hAnsi="楷体" w:eastAsia="楷体" w:cs="Times New Roman"/>
          <w:sz w:val="36"/>
          <w:szCs w:val="36"/>
        </w:rPr>
        <w:t>中华人民共和国生态环境部制</w:t>
      </w:r>
    </w:p>
    <w:p>
      <w:pPr>
        <w:spacing w:line="360" w:lineRule="auto"/>
        <w:rPr>
          <w:rFonts w:cs="Times New Roman"/>
          <w:sz w:val="28"/>
          <w:szCs w:val="28"/>
        </w:rPr>
      </w:pPr>
    </w:p>
    <w:p>
      <w:pPr>
        <w:spacing w:line="360" w:lineRule="auto"/>
        <w:rPr>
          <w:rFonts w:cs="Times New Roman"/>
          <w:sz w:val="28"/>
          <w:szCs w:val="28"/>
        </w:rPr>
        <w:sectPr>
          <w:pgSz w:w="11906" w:h="16838"/>
          <w:pgMar w:top="1134" w:right="1134" w:bottom="1134" w:left="1134" w:header="851" w:footer="992" w:gutter="0"/>
          <w:cols w:space="720" w:num="1"/>
          <w:docGrid w:type="lines" w:linePitch="312" w:charSpace="0"/>
        </w:sectPr>
      </w:pPr>
    </w:p>
    <w:p>
      <w:pPr>
        <w:spacing w:line="360" w:lineRule="auto"/>
        <w:rPr>
          <w:rFonts w:cs="Times New Roman"/>
          <w:sz w:val="24"/>
          <w:szCs w:val="24"/>
        </w:rPr>
      </w:pPr>
    </w:p>
    <w:p>
      <w:pPr>
        <w:spacing w:line="360" w:lineRule="auto"/>
        <w:jc w:val="center"/>
        <w:rPr>
          <w:rFonts w:cs="Times New Roman"/>
          <w:b/>
          <w:bCs/>
          <w:sz w:val="36"/>
          <w:szCs w:val="36"/>
        </w:rPr>
      </w:pPr>
      <w:r>
        <w:rPr>
          <w:rFonts w:hint="eastAsia" w:cs="Times New Roman"/>
          <w:b/>
          <w:bCs/>
          <w:sz w:val="36"/>
          <w:szCs w:val="36"/>
        </w:rPr>
        <w:t xml:space="preserve">目 </w:t>
      </w:r>
      <w:r>
        <w:rPr>
          <w:rFonts w:cs="Times New Roman"/>
          <w:b/>
          <w:bCs/>
          <w:sz w:val="36"/>
          <w:szCs w:val="36"/>
        </w:rPr>
        <w:t xml:space="preserve"> </w:t>
      </w:r>
      <w:r>
        <w:rPr>
          <w:rFonts w:hint="eastAsia" w:cs="Times New Roman"/>
          <w:b/>
          <w:bCs/>
          <w:sz w:val="36"/>
          <w:szCs w:val="36"/>
        </w:rPr>
        <w:t>录</w:t>
      </w:r>
    </w:p>
    <w:p>
      <w:pPr>
        <w:spacing w:line="360" w:lineRule="auto"/>
        <w:rPr>
          <w:rFonts w:cs="Times New Roman"/>
          <w:szCs w:val="21"/>
        </w:rPr>
      </w:pPr>
    </w:p>
    <w:p>
      <w:pPr>
        <w:pStyle w:val="11"/>
        <w:tabs>
          <w:tab w:val="right" w:leader="dot" w:pos="9628"/>
        </w:tabs>
        <w:spacing w:line="360" w:lineRule="auto"/>
        <w:rPr>
          <w:rFonts w:cs="Times New Roman" w:eastAsiaTheme="minorEastAsia"/>
          <w:szCs w:val="21"/>
        </w:rPr>
      </w:pPr>
      <w:r>
        <w:rPr>
          <w:rFonts w:cs="Times New Roman" w:eastAsiaTheme="minorEastAsia"/>
          <w:szCs w:val="21"/>
        </w:rPr>
        <w:fldChar w:fldCharType="begin"/>
      </w:r>
      <w:r>
        <w:rPr>
          <w:rFonts w:cs="Times New Roman" w:eastAsiaTheme="minorEastAsia"/>
          <w:szCs w:val="21"/>
        </w:rPr>
        <w:instrText xml:space="preserve"> TOC \o "1-1" \h \z \u </w:instrText>
      </w:r>
      <w:r>
        <w:rPr>
          <w:rFonts w:cs="Times New Roman" w:eastAsiaTheme="minorEastAsia"/>
          <w:szCs w:val="21"/>
        </w:rPr>
        <w:fldChar w:fldCharType="separate"/>
      </w:r>
      <w:r>
        <w:fldChar w:fldCharType="begin"/>
      </w:r>
      <w:r>
        <w:instrText xml:space="preserve"> HYPERLINK \l "_Toc126243454" </w:instrText>
      </w:r>
      <w:r>
        <w:fldChar w:fldCharType="separate"/>
      </w:r>
      <w:r>
        <w:rPr>
          <w:rStyle w:val="18"/>
          <w:rFonts w:cs="Times New Roman" w:eastAsiaTheme="minorEastAsia"/>
          <w:color w:val="auto"/>
          <w:szCs w:val="21"/>
        </w:rPr>
        <w:t>一、建设项目基本情况</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_Toc126243454 \h </w:instrText>
      </w:r>
      <w:r>
        <w:rPr>
          <w:rFonts w:cs="Times New Roman" w:eastAsiaTheme="minorEastAsia"/>
          <w:szCs w:val="21"/>
        </w:rPr>
        <w:fldChar w:fldCharType="separate"/>
      </w:r>
      <w:r>
        <w:rPr>
          <w:rFonts w:cs="Times New Roman" w:eastAsiaTheme="minorEastAsia"/>
          <w:szCs w:val="21"/>
        </w:rPr>
        <w:t>1</w:t>
      </w:r>
      <w:r>
        <w:rPr>
          <w:rFonts w:cs="Times New Roman" w:eastAsiaTheme="minorEastAsia"/>
          <w:szCs w:val="21"/>
        </w:rPr>
        <w:fldChar w:fldCharType="end"/>
      </w:r>
      <w:r>
        <w:rPr>
          <w:rFonts w:cs="Times New Roman" w:eastAsiaTheme="minorEastAsia"/>
          <w:szCs w:val="21"/>
        </w:rPr>
        <w:fldChar w:fldCharType="end"/>
      </w:r>
    </w:p>
    <w:p>
      <w:pPr>
        <w:pStyle w:val="11"/>
        <w:tabs>
          <w:tab w:val="right" w:leader="dot" w:pos="9628"/>
        </w:tabs>
        <w:spacing w:line="360" w:lineRule="auto"/>
        <w:rPr>
          <w:rFonts w:cs="Times New Roman" w:eastAsiaTheme="minorEastAsia"/>
          <w:szCs w:val="21"/>
        </w:rPr>
      </w:pPr>
      <w:r>
        <w:fldChar w:fldCharType="begin"/>
      </w:r>
      <w:r>
        <w:instrText xml:space="preserve"> HYPERLINK \l "_Toc126243455" </w:instrText>
      </w:r>
      <w:r>
        <w:fldChar w:fldCharType="separate"/>
      </w:r>
      <w:r>
        <w:rPr>
          <w:rStyle w:val="18"/>
          <w:rFonts w:cs="Times New Roman" w:eastAsiaTheme="minorEastAsia"/>
          <w:color w:val="auto"/>
          <w:szCs w:val="21"/>
        </w:rPr>
        <w:t>二、建设项目工程分析</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_Toc126243455 \h </w:instrText>
      </w:r>
      <w:r>
        <w:rPr>
          <w:rFonts w:cs="Times New Roman" w:eastAsiaTheme="minorEastAsia"/>
          <w:szCs w:val="21"/>
        </w:rPr>
        <w:fldChar w:fldCharType="separate"/>
      </w:r>
      <w:r>
        <w:rPr>
          <w:rFonts w:cs="Times New Roman" w:eastAsiaTheme="minorEastAsia"/>
          <w:szCs w:val="21"/>
        </w:rPr>
        <w:t>20</w:t>
      </w:r>
      <w:r>
        <w:rPr>
          <w:rFonts w:cs="Times New Roman" w:eastAsiaTheme="minorEastAsia"/>
          <w:szCs w:val="21"/>
        </w:rPr>
        <w:fldChar w:fldCharType="end"/>
      </w:r>
      <w:r>
        <w:rPr>
          <w:rFonts w:cs="Times New Roman" w:eastAsiaTheme="minorEastAsia"/>
          <w:szCs w:val="21"/>
        </w:rPr>
        <w:fldChar w:fldCharType="end"/>
      </w:r>
    </w:p>
    <w:p>
      <w:pPr>
        <w:pStyle w:val="11"/>
        <w:tabs>
          <w:tab w:val="right" w:leader="dot" w:pos="9628"/>
        </w:tabs>
        <w:spacing w:line="360" w:lineRule="auto"/>
        <w:rPr>
          <w:rFonts w:cs="Times New Roman" w:eastAsiaTheme="minorEastAsia"/>
          <w:szCs w:val="21"/>
        </w:rPr>
      </w:pPr>
      <w:r>
        <w:fldChar w:fldCharType="begin"/>
      </w:r>
      <w:r>
        <w:instrText xml:space="preserve"> HYPERLINK \l "_Toc126243456" </w:instrText>
      </w:r>
      <w:r>
        <w:fldChar w:fldCharType="separate"/>
      </w:r>
      <w:r>
        <w:rPr>
          <w:rStyle w:val="18"/>
          <w:rFonts w:cs="Times New Roman" w:eastAsiaTheme="minorEastAsia"/>
          <w:color w:val="auto"/>
          <w:szCs w:val="21"/>
        </w:rPr>
        <w:t>三、区域环境质量现状、环境保护目标及评价标准</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_Toc126243456 \h </w:instrText>
      </w:r>
      <w:r>
        <w:rPr>
          <w:rFonts w:cs="Times New Roman" w:eastAsiaTheme="minorEastAsia"/>
          <w:szCs w:val="21"/>
        </w:rPr>
        <w:fldChar w:fldCharType="separate"/>
      </w:r>
      <w:r>
        <w:rPr>
          <w:rFonts w:cs="Times New Roman" w:eastAsiaTheme="minorEastAsia"/>
          <w:szCs w:val="21"/>
        </w:rPr>
        <w:t>45</w:t>
      </w:r>
      <w:r>
        <w:rPr>
          <w:rFonts w:cs="Times New Roman" w:eastAsiaTheme="minorEastAsia"/>
          <w:szCs w:val="21"/>
        </w:rPr>
        <w:fldChar w:fldCharType="end"/>
      </w:r>
      <w:r>
        <w:rPr>
          <w:rFonts w:cs="Times New Roman" w:eastAsiaTheme="minorEastAsia"/>
          <w:szCs w:val="21"/>
        </w:rPr>
        <w:fldChar w:fldCharType="end"/>
      </w:r>
    </w:p>
    <w:p>
      <w:pPr>
        <w:pStyle w:val="11"/>
        <w:tabs>
          <w:tab w:val="right" w:leader="dot" w:pos="9628"/>
        </w:tabs>
        <w:spacing w:line="360" w:lineRule="auto"/>
        <w:rPr>
          <w:rFonts w:cs="Times New Roman" w:eastAsiaTheme="minorEastAsia"/>
          <w:szCs w:val="21"/>
        </w:rPr>
      </w:pPr>
      <w:r>
        <w:fldChar w:fldCharType="begin"/>
      </w:r>
      <w:r>
        <w:instrText xml:space="preserve"> HYPERLINK \l "_Toc126243457" </w:instrText>
      </w:r>
      <w:r>
        <w:fldChar w:fldCharType="separate"/>
      </w:r>
      <w:r>
        <w:rPr>
          <w:rStyle w:val="18"/>
          <w:rFonts w:cs="Times New Roman" w:eastAsiaTheme="minorEastAsia"/>
          <w:color w:val="auto"/>
          <w:szCs w:val="21"/>
        </w:rPr>
        <w:t>四、主要环境影响和保护措施</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_Toc126243457 \h </w:instrText>
      </w:r>
      <w:r>
        <w:rPr>
          <w:rFonts w:cs="Times New Roman" w:eastAsiaTheme="minorEastAsia"/>
          <w:szCs w:val="21"/>
        </w:rPr>
        <w:fldChar w:fldCharType="separate"/>
      </w:r>
      <w:r>
        <w:rPr>
          <w:rFonts w:cs="Times New Roman" w:eastAsiaTheme="minorEastAsia"/>
          <w:szCs w:val="21"/>
        </w:rPr>
        <w:t>52</w:t>
      </w:r>
      <w:r>
        <w:rPr>
          <w:rFonts w:cs="Times New Roman" w:eastAsiaTheme="minorEastAsia"/>
          <w:szCs w:val="21"/>
        </w:rPr>
        <w:fldChar w:fldCharType="end"/>
      </w:r>
      <w:r>
        <w:rPr>
          <w:rFonts w:cs="Times New Roman" w:eastAsiaTheme="minorEastAsia"/>
          <w:szCs w:val="21"/>
        </w:rPr>
        <w:fldChar w:fldCharType="end"/>
      </w:r>
    </w:p>
    <w:p>
      <w:pPr>
        <w:pStyle w:val="11"/>
        <w:tabs>
          <w:tab w:val="right" w:leader="dot" w:pos="9628"/>
        </w:tabs>
        <w:spacing w:line="360" w:lineRule="auto"/>
        <w:rPr>
          <w:rFonts w:cs="Times New Roman" w:eastAsiaTheme="minorEastAsia"/>
          <w:szCs w:val="21"/>
        </w:rPr>
      </w:pPr>
      <w:r>
        <w:fldChar w:fldCharType="begin"/>
      </w:r>
      <w:r>
        <w:instrText xml:space="preserve"> HYPERLINK \l "_Toc126243458" </w:instrText>
      </w:r>
      <w:r>
        <w:fldChar w:fldCharType="separate"/>
      </w:r>
      <w:r>
        <w:rPr>
          <w:rStyle w:val="18"/>
          <w:rFonts w:cs="Times New Roman" w:eastAsiaTheme="minorEastAsia"/>
          <w:color w:val="auto"/>
          <w:szCs w:val="21"/>
        </w:rPr>
        <w:t>五、环境保护措施监督检查清单</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_Toc126243458 \h </w:instrText>
      </w:r>
      <w:r>
        <w:rPr>
          <w:rFonts w:cs="Times New Roman" w:eastAsiaTheme="minorEastAsia"/>
          <w:szCs w:val="21"/>
        </w:rPr>
        <w:fldChar w:fldCharType="separate"/>
      </w:r>
      <w:r>
        <w:rPr>
          <w:rFonts w:cs="Times New Roman" w:eastAsiaTheme="minorEastAsia"/>
          <w:szCs w:val="21"/>
        </w:rPr>
        <w:t>80</w:t>
      </w:r>
      <w:r>
        <w:rPr>
          <w:rFonts w:cs="Times New Roman" w:eastAsiaTheme="minorEastAsia"/>
          <w:szCs w:val="21"/>
        </w:rPr>
        <w:fldChar w:fldCharType="end"/>
      </w:r>
      <w:r>
        <w:rPr>
          <w:rFonts w:cs="Times New Roman" w:eastAsiaTheme="minorEastAsia"/>
          <w:szCs w:val="21"/>
        </w:rPr>
        <w:fldChar w:fldCharType="end"/>
      </w:r>
    </w:p>
    <w:p>
      <w:pPr>
        <w:pStyle w:val="11"/>
        <w:tabs>
          <w:tab w:val="right" w:leader="dot" w:pos="9628"/>
        </w:tabs>
        <w:spacing w:line="360" w:lineRule="auto"/>
        <w:rPr>
          <w:rFonts w:cs="Times New Roman" w:eastAsiaTheme="minorEastAsia"/>
          <w:szCs w:val="21"/>
        </w:rPr>
      </w:pPr>
      <w:r>
        <w:fldChar w:fldCharType="begin"/>
      </w:r>
      <w:r>
        <w:instrText xml:space="preserve"> HYPERLINK \l "_Toc126243459" </w:instrText>
      </w:r>
      <w:r>
        <w:fldChar w:fldCharType="separate"/>
      </w:r>
      <w:r>
        <w:rPr>
          <w:rStyle w:val="18"/>
          <w:rFonts w:cs="Times New Roman" w:eastAsiaTheme="minorEastAsia"/>
          <w:color w:val="auto"/>
          <w:szCs w:val="21"/>
        </w:rPr>
        <w:t>六、结论</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_Toc126243459 \h </w:instrText>
      </w:r>
      <w:r>
        <w:rPr>
          <w:rFonts w:cs="Times New Roman" w:eastAsiaTheme="minorEastAsia"/>
          <w:szCs w:val="21"/>
        </w:rPr>
        <w:fldChar w:fldCharType="separate"/>
      </w:r>
      <w:r>
        <w:rPr>
          <w:rFonts w:cs="Times New Roman" w:eastAsiaTheme="minorEastAsia"/>
          <w:szCs w:val="21"/>
        </w:rPr>
        <w:t>81</w:t>
      </w:r>
      <w:r>
        <w:rPr>
          <w:rFonts w:cs="Times New Roman" w:eastAsiaTheme="minorEastAsia"/>
          <w:szCs w:val="21"/>
        </w:rPr>
        <w:fldChar w:fldCharType="end"/>
      </w:r>
      <w:r>
        <w:rPr>
          <w:rFonts w:cs="Times New Roman" w:eastAsiaTheme="minorEastAsia"/>
          <w:szCs w:val="21"/>
        </w:rPr>
        <w:fldChar w:fldCharType="end"/>
      </w:r>
    </w:p>
    <w:p>
      <w:pPr>
        <w:pStyle w:val="11"/>
        <w:tabs>
          <w:tab w:val="right" w:leader="dot" w:pos="9628"/>
        </w:tabs>
        <w:spacing w:line="360" w:lineRule="auto"/>
        <w:rPr>
          <w:rFonts w:cs="Times New Roman" w:eastAsiaTheme="minorEastAsia"/>
          <w:szCs w:val="21"/>
        </w:rPr>
      </w:pPr>
      <w:r>
        <w:fldChar w:fldCharType="begin"/>
      </w:r>
      <w:r>
        <w:instrText xml:space="preserve"> HYPERLINK \l "_Toc126243460" </w:instrText>
      </w:r>
      <w:r>
        <w:fldChar w:fldCharType="separate"/>
      </w:r>
      <w:r>
        <w:rPr>
          <w:rStyle w:val="18"/>
          <w:rFonts w:cs="Times New Roman" w:eastAsiaTheme="minorEastAsia"/>
          <w:color w:val="auto"/>
          <w:szCs w:val="21"/>
        </w:rPr>
        <w:t>附表</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_Toc126243460 \h </w:instrText>
      </w:r>
      <w:r>
        <w:rPr>
          <w:rFonts w:cs="Times New Roman" w:eastAsiaTheme="minorEastAsia"/>
          <w:szCs w:val="21"/>
        </w:rPr>
        <w:fldChar w:fldCharType="separate"/>
      </w:r>
      <w:r>
        <w:rPr>
          <w:rFonts w:cs="Times New Roman" w:eastAsiaTheme="minorEastAsia"/>
          <w:szCs w:val="21"/>
        </w:rPr>
        <w:t>82</w:t>
      </w:r>
      <w:r>
        <w:rPr>
          <w:rFonts w:cs="Times New Roman" w:eastAsiaTheme="minorEastAsia"/>
          <w:szCs w:val="21"/>
        </w:rPr>
        <w:fldChar w:fldCharType="end"/>
      </w:r>
      <w:r>
        <w:rPr>
          <w:rFonts w:cs="Times New Roman" w:eastAsiaTheme="minorEastAsia"/>
          <w:szCs w:val="21"/>
        </w:rPr>
        <w:fldChar w:fldCharType="end"/>
      </w:r>
    </w:p>
    <w:p>
      <w:pPr>
        <w:spacing w:line="360" w:lineRule="auto"/>
        <w:rPr>
          <w:rFonts w:cs="Times New Roman"/>
          <w:szCs w:val="21"/>
        </w:rPr>
      </w:pPr>
      <w:r>
        <w:rPr>
          <w:rFonts w:cs="Times New Roman" w:eastAsiaTheme="minorEastAsia"/>
          <w:szCs w:val="21"/>
        </w:rPr>
        <w:fldChar w:fldCharType="end"/>
      </w:r>
    </w:p>
    <w:p>
      <w:pPr>
        <w:spacing w:line="360" w:lineRule="auto"/>
        <w:rPr>
          <w:rFonts w:cs="Times New Roman"/>
          <w:szCs w:val="21"/>
        </w:rPr>
      </w:pPr>
    </w:p>
    <w:p>
      <w:pPr>
        <w:spacing w:line="360" w:lineRule="auto"/>
        <w:rPr>
          <w:b/>
          <w:sz w:val="24"/>
          <w:szCs w:val="24"/>
        </w:rPr>
        <w:sectPr>
          <w:pgSz w:w="11906" w:h="16838"/>
          <w:pgMar w:top="1134" w:right="1134" w:bottom="1134" w:left="1134" w:header="851" w:footer="992" w:gutter="0"/>
          <w:cols w:space="720" w:num="1"/>
          <w:docGrid w:type="lines" w:linePitch="312" w:charSpace="0"/>
        </w:sectPr>
      </w:pPr>
    </w:p>
    <w:p>
      <w:pPr>
        <w:pStyle w:val="39"/>
        <w:jc w:val="center"/>
        <w:rPr>
          <w:szCs w:val="24"/>
        </w:rPr>
      </w:pPr>
      <w:bookmarkStart w:id="0" w:name="_Toc126243454"/>
      <w:r>
        <w:rPr>
          <w:rFonts w:ascii="黑体" w:hAnsi="黑体" w:eastAsia="黑体"/>
          <w:b w:val="0"/>
          <w:sz w:val="30"/>
          <w:szCs w:val="30"/>
        </w:rPr>
        <w:t>一</w:t>
      </w:r>
      <w:r>
        <w:rPr>
          <w:rFonts w:hint="eastAsia" w:ascii="黑体" w:hAnsi="黑体" w:eastAsia="黑体"/>
          <w:b w:val="0"/>
          <w:sz w:val="30"/>
          <w:szCs w:val="30"/>
        </w:rPr>
        <w:t>、</w:t>
      </w:r>
      <w:r>
        <w:rPr>
          <w:rFonts w:ascii="黑体" w:hAnsi="黑体" w:eastAsia="黑体"/>
          <w:b w:val="0"/>
          <w:sz w:val="30"/>
          <w:szCs w:val="30"/>
        </w:rPr>
        <w:t>建设项目基本情况</w:t>
      </w:r>
      <w:bookmarkEnd w:id="0"/>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3287"/>
        <w:gridCol w:w="1494"/>
        <w:gridCol w:w="3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pPr>
              <w:spacing w:line="360" w:lineRule="auto"/>
              <w:jc w:val="center"/>
              <w:rPr>
                <w:rFonts w:cs="Times New Roman"/>
                <w:sz w:val="24"/>
                <w:szCs w:val="24"/>
              </w:rPr>
            </w:pPr>
            <w:r>
              <w:rPr>
                <w:rFonts w:cs="Times New Roman"/>
                <w:sz w:val="24"/>
                <w:szCs w:val="24"/>
              </w:rPr>
              <w:t>建设项目名称</w:t>
            </w:r>
          </w:p>
        </w:tc>
        <w:tc>
          <w:tcPr>
            <w:tcW w:w="4320" w:type="pct"/>
            <w:gridSpan w:val="3"/>
            <w:vAlign w:val="center"/>
          </w:tcPr>
          <w:p>
            <w:pPr>
              <w:spacing w:line="360" w:lineRule="auto"/>
              <w:jc w:val="center"/>
              <w:rPr>
                <w:rFonts w:cs="Times New Roman"/>
                <w:sz w:val="24"/>
                <w:szCs w:val="24"/>
              </w:rPr>
            </w:pPr>
            <w:r>
              <w:rPr>
                <w:rFonts w:hint="eastAsia" w:cs="Times New Roman"/>
                <w:sz w:val="24"/>
                <w:szCs w:val="24"/>
              </w:rPr>
              <w:t>达州海螺水泥有限责任公司30万t/a机制砂技改项目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pPr>
              <w:spacing w:line="360" w:lineRule="auto"/>
              <w:jc w:val="center"/>
              <w:rPr>
                <w:rFonts w:cs="Times New Roman"/>
                <w:sz w:val="24"/>
                <w:szCs w:val="24"/>
              </w:rPr>
            </w:pPr>
            <w:r>
              <w:rPr>
                <w:rFonts w:cs="Times New Roman"/>
                <w:sz w:val="24"/>
                <w:szCs w:val="24"/>
              </w:rPr>
              <w:t>项目代码</w:t>
            </w:r>
          </w:p>
        </w:tc>
        <w:tc>
          <w:tcPr>
            <w:tcW w:w="4320" w:type="pct"/>
            <w:gridSpan w:val="3"/>
            <w:vAlign w:val="center"/>
          </w:tcPr>
          <w:p>
            <w:pPr>
              <w:spacing w:line="360" w:lineRule="auto"/>
              <w:jc w:val="center"/>
              <w:rPr>
                <w:rFonts w:cs="Times New Roman"/>
                <w:sz w:val="24"/>
                <w:szCs w:val="24"/>
              </w:rPr>
            </w:pPr>
            <w:r>
              <w:rPr>
                <w:rFonts w:hint="eastAsia" w:cs="Times New Roman"/>
                <w:sz w:val="24"/>
                <w:szCs w:val="24"/>
              </w:rPr>
              <w:t>2210-511724-07-02-647818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pPr>
              <w:spacing w:line="360" w:lineRule="auto"/>
              <w:jc w:val="center"/>
              <w:rPr>
                <w:rFonts w:cs="Times New Roman"/>
                <w:sz w:val="24"/>
                <w:szCs w:val="24"/>
              </w:rPr>
            </w:pPr>
            <w:r>
              <w:rPr>
                <w:rFonts w:cs="Times New Roman"/>
                <w:sz w:val="24"/>
                <w:szCs w:val="24"/>
              </w:rPr>
              <w:t>建设单位联系人</w:t>
            </w:r>
          </w:p>
        </w:tc>
        <w:tc>
          <w:tcPr>
            <w:tcW w:w="1668" w:type="pct"/>
            <w:vAlign w:val="center"/>
          </w:tcPr>
          <w:p>
            <w:pPr>
              <w:spacing w:line="360" w:lineRule="auto"/>
              <w:jc w:val="center"/>
              <w:rPr>
                <w:rFonts w:hint="eastAsia" w:cs="Times New Roman"/>
                <w:sz w:val="24"/>
                <w:szCs w:val="24"/>
              </w:rPr>
            </w:pPr>
            <w:r>
              <w:rPr>
                <w:rFonts w:hint="eastAsia" w:cs="Times New Roman"/>
                <w:sz w:val="24"/>
                <w:szCs w:val="24"/>
              </w:rPr>
              <w:t>***</w:t>
            </w:r>
          </w:p>
        </w:tc>
        <w:tc>
          <w:tcPr>
            <w:tcW w:w="758" w:type="pct"/>
            <w:vAlign w:val="center"/>
          </w:tcPr>
          <w:p>
            <w:pPr>
              <w:spacing w:line="360" w:lineRule="auto"/>
              <w:jc w:val="center"/>
              <w:rPr>
                <w:rFonts w:cs="Times New Roman"/>
                <w:sz w:val="24"/>
                <w:szCs w:val="24"/>
              </w:rPr>
            </w:pPr>
            <w:r>
              <w:rPr>
                <w:rFonts w:cs="Times New Roman"/>
                <w:sz w:val="24"/>
                <w:szCs w:val="24"/>
              </w:rPr>
              <w:t>联系方式</w:t>
            </w:r>
          </w:p>
        </w:tc>
        <w:tc>
          <w:tcPr>
            <w:tcW w:w="1894" w:type="pct"/>
            <w:vAlign w:val="center"/>
          </w:tcPr>
          <w:p>
            <w:pPr>
              <w:spacing w:line="360" w:lineRule="auto"/>
              <w:jc w:val="center"/>
              <w:rPr>
                <w:rFonts w:cs="Times New Roman"/>
                <w:sz w:val="24"/>
                <w:szCs w:val="24"/>
              </w:rPr>
            </w:pPr>
            <w:r>
              <w:rPr>
                <w:rFonts w:cs="Times New Roman"/>
                <w:sz w:val="24"/>
                <w:szCs w:val="24"/>
              </w:rPr>
              <w:t>187</w:t>
            </w:r>
            <w:r>
              <w:rPr>
                <w:rFonts w:hint="eastAsia" w:cs="Times New Roman"/>
                <w:sz w:val="24"/>
                <w:szCs w:val="24"/>
              </w:rPr>
              <w:t>******</w:t>
            </w:r>
            <w:r>
              <w:rPr>
                <w:rFonts w:cs="Times New Roman"/>
                <w:sz w:val="24"/>
                <w:szCs w:val="24"/>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pPr>
              <w:spacing w:line="360" w:lineRule="auto"/>
              <w:jc w:val="center"/>
              <w:rPr>
                <w:rFonts w:cs="Times New Roman"/>
                <w:sz w:val="24"/>
                <w:szCs w:val="24"/>
              </w:rPr>
            </w:pPr>
            <w:r>
              <w:rPr>
                <w:rFonts w:cs="Times New Roman"/>
                <w:sz w:val="24"/>
                <w:szCs w:val="24"/>
              </w:rPr>
              <w:t>建设地点</w:t>
            </w:r>
          </w:p>
        </w:tc>
        <w:tc>
          <w:tcPr>
            <w:tcW w:w="4320" w:type="pct"/>
            <w:gridSpan w:val="3"/>
            <w:vAlign w:val="center"/>
          </w:tcPr>
          <w:p>
            <w:pPr>
              <w:spacing w:line="360" w:lineRule="auto"/>
              <w:jc w:val="center"/>
              <w:rPr>
                <w:rFonts w:cs="Times New Roman"/>
                <w:sz w:val="24"/>
                <w:szCs w:val="24"/>
              </w:rPr>
            </w:pPr>
            <w:r>
              <w:rPr>
                <w:rFonts w:hint="eastAsia" w:cs="Times New Roman"/>
                <w:sz w:val="24"/>
                <w:szCs w:val="24"/>
              </w:rPr>
              <w:t>达州市大竹县石河镇（达州海螺水泥厂区内）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pPr>
              <w:spacing w:line="360" w:lineRule="auto"/>
              <w:jc w:val="center"/>
              <w:rPr>
                <w:rFonts w:cs="Times New Roman"/>
                <w:sz w:val="24"/>
                <w:szCs w:val="24"/>
              </w:rPr>
            </w:pPr>
            <w:r>
              <w:rPr>
                <w:rFonts w:cs="Times New Roman"/>
                <w:sz w:val="24"/>
                <w:szCs w:val="24"/>
              </w:rPr>
              <w:t>地理坐标</w:t>
            </w:r>
          </w:p>
        </w:tc>
        <w:tc>
          <w:tcPr>
            <w:tcW w:w="4320" w:type="pct"/>
            <w:gridSpan w:val="3"/>
            <w:vAlign w:val="center"/>
          </w:tcPr>
          <w:p>
            <w:pPr>
              <w:spacing w:line="360" w:lineRule="auto"/>
              <w:jc w:val="center"/>
              <w:rPr>
                <w:rFonts w:cs="Times New Roman"/>
                <w:sz w:val="24"/>
                <w:szCs w:val="24"/>
              </w:rPr>
            </w:pPr>
            <w:r>
              <w:rPr>
                <w:rFonts w:cs="Times New Roman"/>
                <w:sz w:val="24"/>
                <w:szCs w:val="24"/>
              </w:rPr>
              <w:t>东经107度20分7.62秒，北纬30度50分53.73秒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680" w:type="pct"/>
            <w:vAlign w:val="center"/>
          </w:tcPr>
          <w:p>
            <w:pPr>
              <w:spacing w:line="360" w:lineRule="auto"/>
              <w:jc w:val="center"/>
              <w:rPr>
                <w:rFonts w:cs="Times New Roman"/>
                <w:sz w:val="24"/>
                <w:szCs w:val="24"/>
              </w:rPr>
            </w:pPr>
            <w:r>
              <w:rPr>
                <w:rFonts w:hint="eastAsia" w:cs="Times New Roman"/>
                <w:sz w:val="24"/>
                <w:szCs w:val="24"/>
              </w:rPr>
              <w:t>国民经济</w:t>
            </w:r>
          </w:p>
          <w:p>
            <w:pPr>
              <w:spacing w:line="360" w:lineRule="auto"/>
              <w:jc w:val="center"/>
              <w:rPr>
                <w:rFonts w:cs="Times New Roman"/>
                <w:sz w:val="24"/>
                <w:szCs w:val="24"/>
              </w:rPr>
            </w:pPr>
            <w:r>
              <w:rPr>
                <w:rFonts w:hint="eastAsia" w:cs="Times New Roman"/>
                <w:sz w:val="24"/>
                <w:szCs w:val="24"/>
              </w:rPr>
              <w:t>行业类别</w:t>
            </w:r>
          </w:p>
        </w:tc>
        <w:tc>
          <w:tcPr>
            <w:tcW w:w="1668" w:type="pct"/>
            <w:vAlign w:val="center"/>
          </w:tcPr>
          <w:p>
            <w:pPr>
              <w:spacing w:line="360" w:lineRule="auto"/>
              <w:jc w:val="center"/>
              <w:rPr>
                <w:rFonts w:cs="Times New Roman"/>
                <w:sz w:val="24"/>
                <w:szCs w:val="24"/>
              </w:rPr>
            </w:pPr>
            <w:r>
              <w:rPr>
                <w:rFonts w:hint="eastAsia" w:cs="Times New Roman"/>
                <w:sz w:val="24"/>
                <w:szCs w:val="24"/>
              </w:rPr>
              <w:t>30</w:t>
            </w:r>
            <w:r>
              <w:rPr>
                <w:rFonts w:cs="Times New Roman"/>
                <w:sz w:val="24"/>
                <w:szCs w:val="24"/>
              </w:rPr>
              <w:t>9</w:t>
            </w:r>
            <w:r>
              <w:rPr>
                <w:rFonts w:hint="eastAsia" w:cs="Times New Roman"/>
                <w:sz w:val="24"/>
                <w:szCs w:val="24"/>
              </w:rPr>
              <w:t>9 其他非金属矿物制品制造</w:t>
            </w:r>
          </w:p>
        </w:tc>
        <w:tc>
          <w:tcPr>
            <w:tcW w:w="758" w:type="pct"/>
            <w:vAlign w:val="center"/>
          </w:tcPr>
          <w:p>
            <w:pPr>
              <w:spacing w:line="360" w:lineRule="auto"/>
              <w:jc w:val="center"/>
              <w:rPr>
                <w:rFonts w:cs="Times New Roman"/>
                <w:sz w:val="24"/>
                <w:szCs w:val="24"/>
              </w:rPr>
            </w:pPr>
            <w:r>
              <w:rPr>
                <w:rFonts w:hint="eastAsia" w:cs="Times New Roman"/>
                <w:sz w:val="24"/>
                <w:szCs w:val="24"/>
              </w:rPr>
              <w:t>建设项目</w:t>
            </w:r>
          </w:p>
          <w:p>
            <w:pPr>
              <w:spacing w:line="360" w:lineRule="auto"/>
              <w:jc w:val="center"/>
              <w:rPr>
                <w:rFonts w:cs="Times New Roman"/>
                <w:sz w:val="24"/>
                <w:szCs w:val="24"/>
              </w:rPr>
            </w:pPr>
            <w:r>
              <w:rPr>
                <w:rFonts w:hint="eastAsia" w:cs="Times New Roman"/>
                <w:sz w:val="24"/>
                <w:szCs w:val="24"/>
              </w:rPr>
              <w:t>行业类别</w:t>
            </w:r>
          </w:p>
        </w:tc>
        <w:tc>
          <w:tcPr>
            <w:tcW w:w="1894" w:type="pct"/>
            <w:vAlign w:val="center"/>
          </w:tcPr>
          <w:p>
            <w:pPr>
              <w:spacing w:line="360" w:lineRule="auto"/>
              <w:jc w:val="center"/>
              <w:rPr>
                <w:rFonts w:cs="Times New Roman"/>
                <w:sz w:val="24"/>
                <w:szCs w:val="24"/>
              </w:rPr>
            </w:pPr>
            <w:r>
              <w:rPr>
                <w:rFonts w:hint="eastAsia" w:cs="Times New Roman"/>
                <w:sz w:val="24"/>
                <w:szCs w:val="24"/>
              </w:rPr>
              <w:t>二十七、非金属矿物制品业/</w:t>
            </w:r>
            <w:r>
              <w:rPr>
                <w:rFonts w:cs="Times New Roman"/>
                <w:sz w:val="24"/>
                <w:szCs w:val="24"/>
              </w:rPr>
              <w:t>60</w:t>
            </w:r>
            <w:r>
              <w:rPr>
                <w:rFonts w:hint="eastAsia" w:cs="Times New Roman"/>
                <w:sz w:val="24"/>
                <w:szCs w:val="24"/>
              </w:rPr>
              <w:t xml:space="preserve"> 耐火材料制品制造；石墨及其他非金属矿物制品制造/其他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680" w:type="pct"/>
            <w:vAlign w:val="center"/>
          </w:tcPr>
          <w:p>
            <w:pPr>
              <w:spacing w:line="360" w:lineRule="auto"/>
              <w:jc w:val="center"/>
              <w:rPr>
                <w:rFonts w:cs="Times New Roman"/>
                <w:sz w:val="24"/>
                <w:szCs w:val="24"/>
              </w:rPr>
            </w:pPr>
            <w:r>
              <w:rPr>
                <w:rFonts w:cs="Times New Roman"/>
                <w:sz w:val="24"/>
                <w:szCs w:val="24"/>
              </w:rPr>
              <w:t>建设性质</w:t>
            </w:r>
          </w:p>
        </w:tc>
        <w:tc>
          <w:tcPr>
            <w:tcW w:w="1668" w:type="pct"/>
            <w:vAlign w:val="center"/>
          </w:tcPr>
          <w:p>
            <w:pPr>
              <w:spacing w:line="360" w:lineRule="auto"/>
              <w:rPr>
                <w:rFonts w:cs="Times New Roman"/>
                <w:sz w:val="24"/>
                <w:szCs w:val="24"/>
              </w:rPr>
            </w:pPr>
            <w:r>
              <w:rPr>
                <w:rFonts w:cs="Times New Roman" w:asciiTheme="minorEastAsia" w:hAnsiTheme="minorEastAsia" w:eastAsiaTheme="minorEastAsia"/>
                <w:sz w:val="24"/>
                <w:szCs w:val="24"/>
              </w:rPr>
              <w:t>□</w:t>
            </w:r>
            <w:r>
              <w:rPr>
                <w:rFonts w:cs="Times New Roman"/>
                <w:sz w:val="24"/>
                <w:szCs w:val="24"/>
              </w:rPr>
              <w:t>新建（迁建）</w:t>
            </w:r>
          </w:p>
          <w:p>
            <w:pPr>
              <w:spacing w:line="360" w:lineRule="auto"/>
              <w:rPr>
                <w:rFonts w:hint="eastAsia" w:cs="Times New Roman" w:asciiTheme="minorEastAsia" w:hAnsiTheme="minorEastAsia" w:eastAsiaTheme="minorEastAsia"/>
                <w:sz w:val="24"/>
                <w:szCs w:val="24"/>
              </w:rPr>
            </w:pPr>
            <w:r>
              <w:rPr>
                <w:rFonts w:cs="Times New Roman"/>
                <w:sz w:val="24"/>
                <w:szCs w:val="24"/>
              </w:rPr>
              <w:sym w:font="Wingdings 2" w:char="F052"/>
            </w:r>
            <w:r>
              <w:rPr>
                <w:rFonts w:cs="Times New Roman" w:asciiTheme="minorEastAsia" w:hAnsiTheme="minorEastAsia" w:eastAsiaTheme="minorEastAsia"/>
                <w:sz w:val="24"/>
                <w:szCs w:val="24"/>
              </w:rPr>
              <w:t>改建</w:t>
            </w:r>
          </w:p>
          <w:p>
            <w:pPr>
              <w:spacing w:line="360" w:lineRule="auto"/>
              <w:rPr>
                <w:rFonts w:hint="eastAsia" w:cs="Times New Roman" w:asciiTheme="minorEastAsia" w:hAnsiTheme="minorEastAsia" w:eastAsiaTheme="minorEastAsia"/>
                <w:sz w:val="24"/>
                <w:szCs w:val="24"/>
              </w:rPr>
            </w:pPr>
            <w:r>
              <w:rPr>
                <w:rFonts w:cs="Times New Roman" w:asciiTheme="minorEastAsia" w:hAnsiTheme="minorEastAsia" w:eastAsiaTheme="minorEastAsia"/>
                <w:sz w:val="24"/>
                <w:szCs w:val="24"/>
              </w:rPr>
              <w:t>□扩建</w:t>
            </w:r>
          </w:p>
          <w:p>
            <w:pPr>
              <w:spacing w:line="360" w:lineRule="auto"/>
              <w:rPr>
                <w:rFonts w:cs="Times New Roman"/>
                <w:sz w:val="24"/>
                <w:szCs w:val="24"/>
              </w:rPr>
            </w:pPr>
            <w:r>
              <w:rPr>
                <w:rFonts w:cs="Times New Roman" w:asciiTheme="minorEastAsia" w:hAnsiTheme="minorEastAsia" w:eastAsiaTheme="minorEastAsia"/>
                <w:sz w:val="24"/>
                <w:szCs w:val="24"/>
              </w:rPr>
              <w:t>□技术改造</w:t>
            </w:r>
          </w:p>
        </w:tc>
        <w:tc>
          <w:tcPr>
            <w:tcW w:w="758" w:type="pct"/>
            <w:vAlign w:val="center"/>
          </w:tcPr>
          <w:p>
            <w:pPr>
              <w:spacing w:line="360" w:lineRule="auto"/>
              <w:jc w:val="center"/>
              <w:rPr>
                <w:rFonts w:cs="Times New Roman"/>
                <w:sz w:val="24"/>
                <w:szCs w:val="24"/>
              </w:rPr>
            </w:pPr>
            <w:r>
              <w:rPr>
                <w:rFonts w:cs="Times New Roman"/>
                <w:sz w:val="24"/>
                <w:szCs w:val="24"/>
              </w:rPr>
              <w:t>建设项目</w:t>
            </w:r>
          </w:p>
          <w:p>
            <w:pPr>
              <w:spacing w:line="360" w:lineRule="auto"/>
              <w:jc w:val="center"/>
              <w:rPr>
                <w:rFonts w:cs="Times New Roman"/>
                <w:sz w:val="24"/>
                <w:szCs w:val="24"/>
              </w:rPr>
            </w:pPr>
            <w:r>
              <w:rPr>
                <w:rFonts w:cs="Times New Roman"/>
                <w:sz w:val="24"/>
                <w:szCs w:val="24"/>
              </w:rPr>
              <w:t>申报情形</w:t>
            </w:r>
          </w:p>
        </w:tc>
        <w:tc>
          <w:tcPr>
            <w:tcW w:w="1894" w:type="pct"/>
            <w:vAlign w:val="center"/>
          </w:tcPr>
          <w:p>
            <w:pPr>
              <w:spacing w:line="360" w:lineRule="auto"/>
              <w:rPr>
                <w:rFonts w:hint="eastAsia" w:cs="Times New Roman" w:asciiTheme="minorEastAsia" w:hAnsiTheme="minorEastAsia" w:eastAsiaTheme="minorEastAsia"/>
                <w:sz w:val="24"/>
                <w:szCs w:val="24"/>
              </w:rPr>
            </w:pPr>
            <w:r>
              <w:rPr>
                <w:rFonts w:cs="Times New Roman"/>
                <w:sz w:val="24"/>
                <w:szCs w:val="24"/>
              </w:rPr>
              <w:sym w:font="Wingdings 2" w:char="F052"/>
            </w:r>
            <w:r>
              <w:rPr>
                <w:rFonts w:cs="Times New Roman" w:asciiTheme="minorEastAsia" w:hAnsiTheme="minorEastAsia" w:eastAsiaTheme="minorEastAsia"/>
                <w:sz w:val="24"/>
                <w:szCs w:val="24"/>
              </w:rPr>
              <w:t>首次申报项目</w:t>
            </w:r>
          </w:p>
          <w:p>
            <w:pPr>
              <w:spacing w:line="360" w:lineRule="auto"/>
              <w:rPr>
                <w:rFonts w:hint="eastAsia" w:cs="Times New Roman" w:asciiTheme="minorEastAsia" w:hAnsiTheme="minorEastAsia" w:eastAsiaTheme="minorEastAsia"/>
                <w:sz w:val="24"/>
                <w:szCs w:val="24"/>
              </w:rPr>
            </w:pPr>
            <w:r>
              <w:rPr>
                <w:rFonts w:cs="Times New Roman" w:asciiTheme="minorEastAsia" w:hAnsiTheme="minorEastAsia" w:eastAsiaTheme="minorEastAsia"/>
                <w:sz w:val="24"/>
                <w:szCs w:val="24"/>
              </w:rPr>
              <w:t>□不予批准后再次申报项目</w:t>
            </w:r>
          </w:p>
          <w:p>
            <w:pPr>
              <w:spacing w:line="360" w:lineRule="auto"/>
              <w:rPr>
                <w:rFonts w:hint="eastAsia" w:cs="Times New Roman" w:asciiTheme="minorEastAsia" w:hAnsiTheme="minorEastAsia" w:eastAsiaTheme="minorEastAsia"/>
                <w:sz w:val="24"/>
                <w:szCs w:val="24"/>
              </w:rPr>
            </w:pPr>
            <w:r>
              <w:rPr>
                <w:rFonts w:cs="Times New Roman" w:asciiTheme="minorEastAsia" w:hAnsiTheme="minorEastAsia" w:eastAsiaTheme="minorEastAsia"/>
                <w:sz w:val="24"/>
                <w:szCs w:val="24"/>
              </w:rPr>
              <w:t>□超五年重新审核项目</w:t>
            </w:r>
          </w:p>
          <w:p>
            <w:pPr>
              <w:spacing w:line="360" w:lineRule="auto"/>
              <w:rPr>
                <w:rFonts w:cs="Times New Roman"/>
                <w:sz w:val="24"/>
                <w:szCs w:val="24"/>
              </w:rPr>
            </w:pPr>
            <w:r>
              <w:rPr>
                <w:rFonts w:cs="Times New Roman" w:asciiTheme="minorEastAsia" w:hAnsiTheme="minorEastAsia" w:eastAsiaTheme="minorEastAsia"/>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680" w:type="pct"/>
            <w:vAlign w:val="center"/>
          </w:tcPr>
          <w:p>
            <w:pPr>
              <w:spacing w:line="360" w:lineRule="auto"/>
              <w:jc w:val="center"/>
              <w:rPr>
                <w:rFonts w:cs="Times New Roman"/>
                <w:sz w:val="24"/>
                <w:szCs w:val="24"/>
              </w:rPr>
            </w:pPr>
            <w:r>
              <w:rPr>
                <w:rFonts w:hint="eastAsia" w:cs="Times New Roman"/>
                <w:sz w:val="24"/>
                <w:szCs w:val="24"/>
              </w:rPr>
              <w:t>项目审批（核准/备案）部门（选填）</w:t>
            </w:r>
          </w:p>
        </w:tc>
        <w:tc>
          <w:tcPr>
            <w:tcW w:w="1668" w:type="pct"/>
            <w:vAlign w:val="center"/>
          </w:tcPr>
          <w:p>
            <w:pPr>
              <w:spacing w:line="360" w:lineRule="auto"/>
              <w:jc w:val="center"/>
              <w:rPr>
                <w:rFonts w:cs="Times New Roman"/>
                <w:sz w:val="24"/>
                <w:szCs w:val="24"/>
              </w:rPr>
            </w:pPr>
            <w:r>
              <w:rPr>
                <w:rFonts w:hint="eastAsia" w:cs="Times New Roman"/>
                <w:sz w:val="24"/>
                <w:szCs w:val="24"/>
              </w:rPr>
              <w:t>大竹县经济和信息化局</w:t>
            </w:r>
          </w:p>
        </w:tc>
        <w:tc>
          <w:tcPr>
            <w:tcW w:w="758" w:type="pct"/>
            <w:vAlign w:val="center"/>
          </w:tcPr>
          <w:p>
            <w:pPr>
              <w:spacing w:line="360" w:lineRule="auto"/>
              <w:jc w:val="center"/>
              <w:rPr>
                <w:rFonts w:cs="Times New Roman"/>
                <w:sz w:val="24"/>
                <w:szCs w:val="24"/>
              </w:rPr>
            </w:pPr>
            <w:r>
              <w:rPr>
                <w:rFonts w:hint="eastAsia" w:cs="Times New Roman"/>
                <w:sz w:val="24"/>
                <w:szCs w:val="24"/>
              </w:rPr>
              <w:t>项目审批（核准/备案）文号（选填）</w:t>
            </w:r>
          </w:p>
        </w:tc>
        <w:tc>
          <w:tcPr>
            <w:tcW w:w="1894" w:type="pct"/>
            <w:vAlign w:val="center"/>
          </w:tcPr>
          <w:p>
            <w:pPr>
              <w:spacing w:line="360" w:lineRule="auto"/>
              <w:jc w:val="center"/>
              <w:rPr>
                <w:rFonts w:cs="Times New Roman"/>
                <w:sz w:val="24"/>
                <w:szCs w:val="24"/>
              </w:rPr>
            </w:pPr>
            <w:r>
              <w:rPr>
                <w:rFonts w:hint="eastAsia" w:cs="Times New Roman"/>
                <w:sz w:val="24"/>
                <w:szCs w:val="24"/>
              </w:rPr>
              <w:t>川投资备【2210-511724-07-02-647818】JXQB-0558号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0" w:type="pct"/>
            <w:vAlign w:val="center"/>
          </w:tcPr>
          <w:p>
            <w:pPr>
              <w:spacing w:line="360" w:lineRule="auto"/>
              <w:jc w:val="center"/>
              <w:rPr>
                <w:rFonts w:cs="Times New Roman"/>
                <w:sz w:val="24"/>
                <w:szCs w:val="24"/>
              </w:rPr>
            </w:pPr>
            <w:r>
              <w:rPr>
                <w:rFonts w:hint="eastAsia" w:cs="Times New Roman"/>
                <w:sz w:val="24"/>
                <w:szCs w:val="24"/>
              </w:rPr>
              <w:t>总投资（万元）</w:t>
            </w:r>
          </w:p>
        </w:tc>
        <w:tc>
          <w:tcPr>
            <w:tcW w:w="1668" w:type="pct"/>
            <w:vAlign w:val="center"/>
          </w:tcPr>
          <w:p>
            <w:pPr>
              <w:spacing w:line="360" w:lineRule="auto"/>
              <w:jc w:val="center"/>
              <w:rPr>
                <w:rFonts w:cs="Times New Roman"/>
                <w:sz w:val="24"/>
                <w:szCs w:val="24"/>
              </w:rPr>
            </w:pPr>
            <w:r>
              <w:rPr>
                <w:rFonts w:cs="Times New Roman"/>
                <w:sz w:val="24"/>
                <w:szCs w:val="24"/>
              </w:rPr>
              <w:t>1800</w:t>
            </w:r>
          </w:p>
        </w:tc>
        <w:tc>
          <w:tcPr>
            <w:tcW w:w="758" w:type="pct"/>
            <w:vAlign w:val="center"/>
          </w:tcPr>
          <w:p>
            <w:pPr>
              <w:spacing w:line="360" w:lineRule="auto"/>
              <w:jc w:val="center"/>
              <w:rPr>
                <w:rFonts w:cs="Times New Roman"/>
                <w:sz w:val="24"/>
                <w:szCs w:val="24"/>
              </w:rPr>
            </w:pPr>
            <w:r>
              <w:rPr>
                <w:rFonts w:hint="eastAsia" w:cs="Times New Roman"/>
                <w:sz w:val="24"/>
                <w:szCs w:val="24"/>
              </w:rPr>
              <w:t>环保投资</w:t>
            </w:r>
          </w:p>
          <w:p>
            <w:pPr>
              <w:spacing w:line="360" w:lineRule="auto"/>
              <w:jc w:val="center"/>
              <w:rPr>
                <w:rFonts w:cs="Times New Roman"/>
                <w:sz w:val="24"/>
                <w:szCs w:val="24"/>
              </w:rPr>
            </w:pPr>
            <w:r>
              <w:rPr>
                <w:rFonts w:hint="eastAsia" w:cs="Times New Roman"/>
                <w:sz w:val="24"/>
                <w:szCs w:val="24"/>
              </w:rPr>
              <w:t>（万元）</w:t>
            </w:r>
          </w:p>
        </w:tc>
        <w:tc>
          <w:tcPr>
            <w:tcW w:w="1894" w:type="pct"/>
            <w:vAlign w:val="center"/>
          </w:tcPr>
          <w:p>
            <w:pPr>
              <w:spacing w:line="360" w:lineRule="auto"/>
              <w:jc w:val="center"/>
              <w:rPr>
                <w:rFonts w:cs="Times New Roman"/>
                <w:sz w:val="24"/>
                <w:szCs w:val="24"/>
              </w:rPr>
            </w:pPr>
            <w:r>
              <w:rPr>
                <w:rFonts w:hint="eastAsia" w:cs="Times New Roman"/>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0" w:type="pct"/>
            <w:vAlign w:val="center"/>
          </w:tcPr>
          <w:p>
            <w:pPr>
              <w:spacing w:line="360" w:lineRule="auto"/>
              <w:rPr>
                <w:rFonts w:cs="Times New Roman"/>
                <w:sz w:val="24"/>
                <w:szCs w:val="24"/>
              </w:rPr>
            </w:pPr>
            <w:r>
              <w:rPr>
                <w:rFonts w:hint="eastAsia" w:cs="Times New Roman"/>
                <w:sz w:val="24"/>
                <w:szCs w:val="24"/>
              </w:rPr>
              <w:t>环保投资占比（%）</w:t>
            </w:r>
          </w:p>
        </w:tc>
        <w:tc>
          <w:tcPr>
            <w:tcW w:w="1668" w:type="pct"/>
            <w:vAlign w:val="center"/>
          </w:tcPr>
          <w:p>
            <w:pPr>
              <w:spacing w:line="360" w:lineRule="auto"/>
              <w:jc w:val="center"/>
              <w:rPr>
                <w:rFonts w:cs="Times New Roman"/>
                <w:sz w:val="24"/>
                <w:szCs w:val="24"/>
              </w:rPr>
            </w:pPr>
            <w:r>
              <w:rPr>
                <w:rFonts w:hint="eastAsia" w:cs="Times New Roman"/>
                <w:sz w:val="24"/>
                <w:szCs w:val="24"/>
              </w:rPr>
              <w:t>6.94</w:t>
            </w:r>
          </w:p>
        </w:tc>
        <w:tc>
          <w:tcPr>
            <w:tcW w:w="758" w:type="pct"/>
            <w:vAlign w:val="center"/>
          </w:tcPr>
          <w:p>
            <w:pPr>
              <w:spacing w:line="360" w:lineRule="auto"/>
              <w:jc w:val="center"/>
              <w:rPr>
                <w:rFonts w:cs="Times New Roman"/>
                <w:sz w:val="24"/>
                <w:szCs w:val="24"/>
              </w:rPr>
            </w:pPr>
            <w:r>
              <w:rPr>
                <w:rFonts w:hint="eastAsia" w:cs="Times New Roman"/>
                <w:sz w:val="24"/>
                <w:szCs w:val="24"/>
              </w:rPr>
              <w:t>施工工期</w:t>
            </w:r>
          </w:p>
        </w:tc>
        <w:tc>
          <w:tcPr>
            <w:tcW w:w="1894" w:type="pct"/>
            <w:vAlign w:val="center"/>
          </w:tcPr>
          <w:p>
            <w:pPr>
              <w:spacing w:line="360" w:lineRule="auto"/>
              <w:jc w:val="center"/>
              <w:rPr>
                <w:rFonts w:cs="Times New Roman"/>
                <w:sz w:val="24"/>
                <w:szCs w:val="24"/>
              </w:rPr>
            </w:pPr>
            <w:r>
              <w:rPr>
                <w:rFonts w:cs="Times New Roman"/>
                <w:sz w:val="24"/>
                <w:szCs w:val="24"/>
              </w:rPr>
              <w:t>7</w:t>
            </w:r>
            <w:r>
              <w:rPr>
                <w:rFonts w:hint="eastAsia" w:cs="Times New Roman"/>
                <w:sz w:val="24"/>
                <w:szCs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80" w:type="pct"/>
            <w:vAlign w:val="center"/>
          </w:tcPr>
          <w:p>
            <w:pPr>
              <w:spacing w:line="360" w:lineRule="auto"/>
              <w:jc w:val="center"/>
              <w:rPr>
                <w:rFonts w:cs="Times New Roman"/>
                <w:sz w:val="24"/>
                <w:szCs w:val="24"/>
              </w:rPr>
            </w:pPr>
            <w:r>
              <w:rPr>
                <w:rFonts w:hint="eastAsia" w:cs="Times New Roman"/>
                <w:sz w:val="24"/>
                <w:szCs w:val="24"/>
              </w:rPr>
              <w:t>是否开工建设</w:t>
            </w:r>
          </w:p>
        </w:tc>
        <w:tc>
          <w:tcPr>
            <w:tcW w:w="1668" w:type="pct"/>
            <w:vAlign w:val="center"/>
          </w:tcPr>
          <w:p>
            <w:pPr>
              <w:spacing w:line="360" w:lineRule="auto"/>
              <w:rPr>
                <w:rFonts w:cs="Times New Roman"/>
                <w:sz w:val="24"/>
                <w:szCs w:val="24"/>
              </w:rPr>
            </w:pPr>
            <w:r>
              <w:rPr>
                <w:rFonts w:cs="Times New Roman"/>
                <w:sz w:val="24"/>
                <w:szCs w:val="24"/>
              </w:rPr>
              <w:sym w:font="Wingdings 2" w:char="F052"/>
            </w:r>
            <w:r>
              <w:rPr>
                <w:rFonts w:hint="eastAsia" w:cs="Times New Roman"/>
                <w:sz w:val="24"/>
                <w:szCs w:val="24"/>
              </w:rPr>
              <w:t>否</w:t>
            </w:r>
          </w:p>
          <w:p>
            <w:pPr>
              <w:spacing w:line="360" w:lineRule="auto"/>
              <w:rPr>
                <w:rFonts w:cs="Times New Roman"/>
                <w:sz w:val="24"/>
                <w:szCs w:val="24"/>
                <w:u w:val="single"/>
              </w:rPr>
            </w:pPr>
            <w:r>
              <w:rPr>
                <w:rFonts w:cs="Times New Roman" w:asciiTheme="minorEastAsia" w:hAnsiTheme="minorEastAsia" w:eastAsiaTheme="minorEastAsia"/>
                <w:sz w:val="24"/>
                <w:szCs w:val="24"/>
              </w:rPr>
              <w:t>□</w:t>
            </w:r>
            <w:r>
              <w:rPr>
                <w:rFonts w:hint="eastAsia" w:cs="Times New Roman"/>
                <w:sz w:val="24"/>
                <w:szCs w:val="24"/>
              </w:rPr>
              <w:t>是：</w:t>
            </w:r>
            <w:r>
              <w:rPr>
                <w:rFonts w:hint="eastAsia" w:cs="Times New Roman"/>
                <w:sz w:val="24"/>
                <w:szCs w:val="24"/>
                <w:u w:val="single"/>
              </w:rPr>
              <w:t xml:space="preserve"> </w:t>
            </w:r>
            <w:r>
              <w:rPr>
                <w:rFonts w:cs="Times New Roman"/>
                <w:sz w:val="24"/>
                <w:szCs w:val="24"/>
                <w:u w:val="single"/>
              </w:rPr>
              <w:t xml:space="preserve">            </w:t>
            </w:r>
            <w:r>
              <w:rPr>
                <w:rFonts w:hint="eastAsia" w:cs="Times New Roman"/>
                <w:sz w:val="24"/>
                <w:szCs w:val="24"/>
                <w:u w:val="single"/>
              </w:rPr>
              <w:t xml:space="preserve"> </w:t>
            </w:r>
          </w:p>
        </w:tc>
        <w:tc>
          <w:tcPr>
            <w:tcW w:w="758" w:type="pct"/>
            <w:vAlign w:val="center"/>
          </w:tcPr>
          <w:p>
            <w:pPr>
              <w:spacing w:line="360" w:lineRule="auto"/>
              <w:rPr>
                <w:rFonts w:cs="Times New Roman"/>
                <w:sz w:val="24"/>
                <w:szCs w:val="24"/>
              </w:rPr>
            </w:pPr>
            <w:r>
              <w:rPr>
                <w:rFonts w:hint="eastAsia" w:cs="Times New Roman"/>
                <w:sz w:val="24"/>
                <w:szCs w:val="24"/>
              </w:rPr>
              <w:t>用地（用海）面积（m</w:t>
            </w:r>
            <w:r>
              <w:rPr>
                <w:rFonts w:hint="eastAsia" w:cs="Times New Roman"/>
                <w:sz w:val="24"/>
                <w:szCs w:val="24"/>
                <w:vertAlign w:val="superscript"/>
              </w:rPr>
              <w:t>2</w:t>
            </w:r>
            <w:r>
              <w:rPr>
                <w:rFonts w:hint="eastAsia" w:cs="Times New Roman"/>
                <w:sz w:val="24"/>
                <w:szCs w:val="24"/>
              </w:rPr>
              <w:t>）</w:t>
            </w:r>
          </w:p>
        </w:tc>
        <w:tc>
          <w:tcPr>
            <w:tcW w:w="1894" w:type="pct"/>
            <w:vAlign w:val="center"/>
          </w:tcPr>
          <w:p>
            <w:pPr>
              <w:spacing w:line="360" w:lineRule="auto"/>
              <w:jc w:val="center"/>
              <w:rPr>
                <w:rFonts w:cs="Times New Roman"/>
                <w:sz w:val="24"/>
                <w:szCs w:val="24"/>
              </w:rPr>
            </w:pPr>
            <w:r>
              <w:rPr>
                <w:rFonts w:hint="eastAsia" w:cs="Times New Roman"/>
                <w:sz w:val="24"/>
                <w:szCs w:val="24"/>
              </w:rPr>
              <w:t>利用厂区闲置空地进行建设，不新增用地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80" w:type="pct"/>
            <w:vAlign w:val="center"/>
          </w:tcPr>
          <w:p>
            <w:pPr>
              <w:spacing w:line="360" w:lineRule="auto"/>
              <w:jc w:val="center"/>
              <w:rPr>
                <w:rFonts w:cs="Times New Roman"/>
                <w:sz w:val="24"/>
                <w:szCs w:val="24"/>
              </w:rPr>
            </w:pPr>
            <w:r>
              <w:rPr>
                <w:rFonts w:hint="eastAsia" w:cs="Times New Roman"/>
                <w:sz w:val="24"/>
                <w:szCs w:val="24"/>
              </w:rPr>
              <w:t>专项评价设置情况</w:t>
            </w:r>
          </w:p>
        </w:tc>
        <w:tc>
          <w:tcPr>
            <w:tcW w:w="4320" w:type="pct"/>
            <w:gridSpan w:val="3"/>
            <w:vAlign w:val="center"/>
          </w:tcPr>
          <w:p>
            <w:pPr>
              <w:spacing w:line="360" w:lineRule="auto"/>
              <w:ind w:firstLine="480" w:firstLineChars="200"/>
              <w:rPr>
                <w:rFonts w:cs="Times New Roman"/>
                <w:sz w:val="24"/>
                <w:szCs w:val="24"/>
              </w:rPr>
            </w:pPr>
            <w:r>
              <w:rPr>
                <w:rFonts w:cs="Times New Roman"/>
                <w:sz w:val="24"/>
                <w:szCs w:val="24"/>
              </w:rPr>
              <w:t>根据《建设项目环境影响报告表编制技术指南（污染影响类）（试行）》，</w:t>
            </w:r>
            <w:r>
              <w:rPr>
                <w:rFonts w:hint="eastAsia" w:cs="Times New Roman"/>
                <w:sz w:val="24"/>
                <w:szCs w:val="24"/>
              </w:rPr>
              <w:t>本项目专项评价设置情况见下表</w:t>
            </w:r>
            <w:r>
              <w:rPr>
                <w:rFonts w:cs="Times New Roman"/>
                <w:sz w:val="24"/>
                <w:szCs w:val="24"/>
              </w:rPr>
              <w:t>：</w:t>
            </w:r>
          </w:p>
          <w:p>
            <w:pPr>
              <w:spacing w:line="360" w:lineRule="auto"/>
              <w:jc w:val="center"/>
              <w:rPr>
                <w:rFonts w:eastAsia="黑体" w:cs="Times New Roman"/>
                <w:szCs w:val="21"/>
              </w:rPr>
            </w:pPr>
            <w:r>
              <w:rPr>
                <w:rFonts w:eastAsia="黑体" w:cs="Times New Roman"/>
                <w:szCs w:val="21"/>
              </w:rPr>
              <w:t>表1-1  专项评价设置表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3290"/>
              <w:gridCol w:w="2962"/>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5" w:type="pct"/>
                  <w:shd w:val="clear" w:color="auto" w:fill="auto"/>
                  <w:vAlign w:val="center"/>
                </w:tcPr>
                <w:p>
                  <w:pPr>
                    <w:jc w:val="center"/>
                    <w:rPr>
                      <w:rFonts w:cs="Times New Roman"/>
                      <w:szCs w:val="21"/>
                    </w:rPr>
                  </w:pPr>
                  <w:r>
                    <w:rPr>
                      <w:rFonts w:cs="Times New Roman"/>
                      <w:szCs w:val="21"/>
                    </w:rPr>
                    <w:t>专项评价类别</w:t>
                  </w:r>
                </w:p>
              </w:tc>
              <w:tc>
                <w:tcPr>
                  <w:tcW w:w="1985" w:type="pct"/>
                  <w:vAlign w:val="center"/>
                </w:tcPr>
                <w:p>
                  <w:pPr>
                    <w:jc w:val="center"/>
                    <w:rPr>
                      <w:rFonts w:cs="Times New Roman"/>
                      <w:szCs w:val="21"/>
                    </w:rPr>
                  </w:pPr>
                  <w:r>
                    <w:rPr>
                      <w:rFonts w:cs="Times New Roman"/>
                      <w:szCs w:val="21"/>
                    </w:rPr>
                    <w:t>设置原则</w:t>
                  </w:r>
                </w:p>
              </w:tc>
              <w:tc>
                <w:tcPr>
                  <w:tcW w:w="1787" w:type="pct"/>
                  <w:vAlign w:val="center"/>
                </w:tcPr>
                <w:p>
                  <w:pPr>
                    <w:jc w:val="center"/>
                    <w:rPr>
                      <w:rFonts w:cs="Times New Roman"/>
                      <w:szCs w:val="21"/>
                    </w:rPr>
                  </w:pPr>
                  <w:r>
                    <w:rPr>
                      <w:rFonts w:cs="Times New Roman"/>
                      <w:szCs w:val="21"/>
                    </w:rPr>
                    <w:t>本项目情况</w:t>
                  </w:r>
                </w:p>
              </w:tc>
              <w:tc>
                <w:tcPr>
                  <w:tcW w:w="613" w:type="pct"/>
                  <w:vAlign w:val="center"/>
                </w:tcPr>
                <w:p>
                  <w:pPr>
                    <w:jc w:val="center"/>
                    <w:rPr>
                      <w:rFonts w:cs="Times New Roman"/>
                      <w:szCs w:val="21"/>
                    </w:rPr>
                  </w:pPr>
                  <w:r>
                    <w:rPr>
                      <w:rFonts w:cs="Times New Roman"/>
                      <w:szCs w:val="21"/>
                    </w:rPr>
                    <w:t>是否专项评价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pPr>
                    <w:jc w:val="center"/>
                    <w:rPr>
                      <w:rFonts w:cs="Times New Roman"/>
                      <w:szCs w:val="21"/>
                    </w:rPr>
                  </w:pPr>
                  <w:r>
                    <w:rPr>
                      <w:rFonts w:cs="Times New Roman"/>
                      <w:szCs w:val="21"/>
                    </w:rPr>
                    <w:t>大气</w:t>
                  </w:r>
                </w:p>
              </w:tc>
              <w:tc>
                <w:tcPr>
                  <w:tcW w:w="1985" w:type="pct"/>
                  <w:vAlign w:val="center"/>
                </w:tcPr>
                <w:p>
                  <w:pPr>
                    <w:rPr>
                      <w:rFonts w:cs="Times New Roman"/>
                      <w:szCs w:val="21"/>
                    </w:rPr>
                  </w:pPr>
                  <w:r>
                    <w:rPr>
                      <w:rFonts w:cs="Times New Roman"/>
                      <w:szCs w:val="21"/>
                    </w:rPr>
                    <w:t>排放废气含有有毒有害物、二噁英、苯并[a]芘、氰化物、氯气且厂界外500米范围内有环境空气保护目标的建设项目</w:t>
                  </w:r>
                </w:p>
              </w:tc>
              <w:tc>
                <w:tcPr>
                  <w:tcW w:w="1787" w:type="pct"/>
                  <w:vAlign w:val="center"/>
                </w:tcPr>
                <w:p>
                  <w:pPr>
                    <w:rPr>
                      <w:rFonts w:cs="Times New Roman"/>
                      <w:szCs w:val="21"/>
                    </w:rPr>
                  </w:pPr>
                  <w:r>
                    <w:rPr>
                      <w:rFonts w:cs="Times New Roman"/>
                      <w:szCs w:val="21"/>
                    </w:rPr>
                    <w:t>排放废气</w:t>
                  </w:r>
                  <w:r>
                    <w:rPr>
                      <w:rFonts w:hint="eastAsia" w:cs="Times New Roman"/>
                      <w:szCs w:val="21"/>
                    </w:rPr>
                    <w:t>不涉及</w:t>
                  </w:r>
                  <w:r>
                    <w:rPr>
                      <w:rFonts w:cs="Times New Roman"/>
                      <w:szCs w:val="21"/>
                    </w:rPr>
                    <w:t>列入《有毒有害大气污染物名录（2018年）》中的</w:t>
                  </w:r>
                  <w:r>
                    <w:rPr>
                      <w:rFonts w:hint="eastAsia" w:cs="Times New Roman"/>
                      <w:szCs w:val="21"/>
                    </w:rPr>
                    <w:t>有毒有害物质、二噁英、苯并[a]芘、氰化物、氯气。</w:t>
                  </w:r>
                </w:p>
              </w:tc>
              <w:tc>
                <w:tcPr>
                  <w:tcW w:w="613" w:type="pct"/>
                  <w:vAlign w:val="center"/>
                </w:tcPr>
                <w:p>
                  <w:pPr>
                    <w:jc w:val="center"/>
                    <w:rPr>
                      <w:rFonts w:cs="Times New Roman"/>
                      <w:szCs w:val="21"/>
                    </w:rPr>
                  </w:pPr>
                  <w:r>
                    <w:rPr>
                      <w:rFonts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Merge w:val="restart"/>
                  <w:shd w:val="clear" w:color="auto" w:fill="auto"/>
                  <w:vAlign w:val="center"/>
                </w:tcPr>
                <w:p>
                  <w:pPr>
                    <w:jc w:val="center"/>
                    <w:rPr>
                      <w:rFonts w:cs="Times New Roman"/>
                      <w:szCs w:val="21"/>
                    </w:rPr>
                  </w:pPr>
                  <w:r>
                    <w:rPr>
                      <w:rFonts w:cs="Times New Roman"/>
                      <w:szCs w:val="21"/>
                    </w:rPr>
                    <w:t>地表水</w:t>
                  </w:r>
                </w:p>
              </w:tc>
              <w:tc>
                <w:tcPr>
                  <w:tcW w:w="1985" w:type="pct"/>
                  <w:vAlign w:val="center"/>
                </w:tcPr>
                <w:p>
                  <w:pPr>
                    <w:rPr>
                      <w:rFonts w:cs="Times New Roman"/>
                      <w:szCs w:val="21"/>
                    </w:rPr>
                  </w:pPr>
                  <w:r>
                    <w:rPr>
                      <w:rFonts w:cs="Times New Roman"/>
                      <w:szCs w:val="21"/>
                    </w:rPr>
                    <w:t>新增工业废水直排建设项目（槽罐车外送污水处理厂的除外）</w:t>
                  </w:r>
                </w:p>
              </w:tc>
              <w:tc>
                <w:tcPr>
                  <w:tcW w:w="1787" w:type="pct"/>
                  <w:vMerge w:val="restart"/>
                  <w:vAlign w:val="center"/>
                </w:tcPr>
                <w:p>
                  <w:pPr>
                    <w:rPr>
                      <w:rFonts w:cs="Times New Roman"/>
                      <w:szCs w:val="21"/>
                    </w:rPr>
                  </w:pPr>
                  <w:r>
                    <w:rPr>
                      <w:rFonts w:cs="Times New Roman"/>
                      <w:szCs w:val="21"/>
                    </w:rPr>
                    <w:t>项目</w:t>
                  </w:r>
                  <w:r>
                    <w:rPr>
                      <w:rFonts w:hint="eastAsia" w:cs="Times New Roman"/>
                      <w:szCs w:val="21"/>
                    </w:rPr>
                    <w:t>不涉及废水排放，现有厂区废水经处理后全部回用</w:t>
                  </w:r>
                  <w:r>
                    <w:rPr>
                      <w:rFonts w:cs="Times New Roman"/>
                      <w:szCs w:val="21"/>
                    </w:rPr>
                    <w:t>，</w:t>
                  </w:r>
                  <w:r>
                    <w:rPr>
                      <w:rFonts w:hint="eastAsia" w:cs="Times New Roman"/>
                      <w:szCs w:val="21"/>
                    </w:rPr>
                    <w:t>不外排。</w:t>
                  </w:r>
                </w:p>
              </w:tc>
              <w:tc>
                <w:tcPr>
                  <w:tcW w:w="613" w:type="pct"/>
                  <w:vMerge w:val="restart"/>
                  <w:vAlign w:val="center"/>
                </w:tcPr>
                <w:p>
                  <w:pPr>
                    <w:jc w:val="center"/>
                    <w:rPr>
                      <w:rFonts w:cs="Times New Roman"/>
                      <w:szCs w:val="21"/>
                    </w:rPr>
                  </w:pPr>
                  <w:r>
                    <w:rPr>
                      <w:rFonts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Merge w:val="continue"/>
                  <w:shd w:val="clear" w:color="auto" w:fill="auto"/>
                  <w:vAlign w:val="center"/>
                </w:tcPr>
                <w:p>
                  <w:pPr>
                    <w:jc w:val="center"/>
                    <w:rPr>
                      <w:rFonts w:cs="Times New Roman"/>
                      <w:szCs w:val="21"/>
                    </w:rPr>
                  </w:pPr>
                </w:p>
              </w:tc>
              <w:tc>
                <w:tcPr>
                  <w:tcW w:w="1985" w:type="pct"/>
                  <w:vAlign w:val="center"/>
                </w:tcPr>
                <w:p>
                  <w:pPr>
                    <w:rPr>
                      <w:rFonts w:cs="Times New Roman"/>
                      <w:szCs w:val="21"/>
                    </w:rPr>
                  </w:pPr>
                  <w:r>
                    <w:rPr>
                      <w:rFonts w:cs="Times New Roman"/>
                      <w:szCs w:val="21"/>
                    </w:rPr>
                    <w:t>新增废水直接排放的污水集中处理厂</w:t>
                  </w:r>
                </w:p>
              </w:tc>
              <w:tc>
                <w:tcPr>
                  <w:tcW w:w="1787" w:type="pct"/>
                  <w:vMerge w:val="continue"/>
                  <w:vAlign w:val="center"/>
                </w:tcPr>
                <w:p>
                  <w:pPr>
                    <w:rPr>
                      <w:rFonts w:cs="Times New Roman"/>
                      <w:szCs w:val="21"/>
                    </w:rPr>
                  </w:pPr>
                </w:p>
              </w:tc>
              <w:tc>
                <w:tcPr>
                  <w:tcW w:w="61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pPr>
                    <w:jc w:val="center"/>
                    <w:rPr>
                      <w:rFonts w:cs="Times New Roman"/>
                      <w:szCs w:val="21"/>
                    </w:rPr>
                  </w:pPr>
                  <w:r>
                    <w:rPr>
                      <w:rFonts w:cs="Times New Roman"/>
                      <w:szCs w:val="21"/>
                    </w:rPr>
                    <w:t>环境风险</w:t>
                  </w:r>
                </w:p>
              </w:tc>
              <w:tc>
                <w:tcPr>
                  <w:tcW w:w="1985" w:type="pct"/>
                  <w:vAlign w:val="center"/>
                </w:tcPr>
                <w:p>
                  <w:pPr>
                    <w:rPr>
                      <w:rFonts w:cs="Times New Roman"/>
                      <w:szCs w:val="21"/>
                    </w:rPr>
                  </w:pPr>
                  <w:r>
                    <w:rPr>
                      <w:rFonts w:cs="Times New Roman"/>
                      <w:szCs w:val="21"/>
                    </w:rPr>
                    <w:t>有毒有害和易燃易爆危险物质存储量超过临界量的建设项目</w:t>
                  </w:r>
                </w:p>
              </w:tc>
              <w:tc>
                <w:tcPr>
                  <w:tcW w:w="1787" w:type="pct"/>
                  <w:vAlign w:val="center"/>
                </w:tcPr>
                <w:p>
                  <w:pPr>
                    <w:rPr>
                      <w:rFonts w:cs="Times New Roman"/>
                      <w:szCs w:val="21"/>
                    </w:rPr>
                  </w:pPr>
                  <w:r>
                    <w:rPr>
                      <w:rFonts w:hint="eastAsia" w:cs="Times New Roman"/>
                      <w:szCs w:val="21"/>
                    </w:rPr>
                    <w:t>危险物质存储量未超过临界量。</w:t>
                  </w:r>
                </w:p>
              </w:tc>
              <w:tc>
                <w:tcPr>
                  <w:tcW w:w="613" w:type="pct"/>
                  <w:vAlign w:val="center"/>
                </w:tcPr>
                <w:p>
                  <w:pPr>
                    <w:jc w:val="center"/>
                    <w:rPr>
                      <w:rFonts w:cs="Times New Roman"/>
                      <w:szCs w:val="21"/>
                    </w:rPr>
                  </w:pPr>
                  <w:r>
                    <w:rPr>
                      <w:rFonts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pPr>
                    <w:jc w:val="center"/>
                    <w:rPr>
                      <w:rFonts w:cs="Times New Roman"/>
                      <w:szCs w:val="21"/>
                    </w:rPr>
                  </w:pPr>
                  <w:r>
                    <w:rPr>
                      <w:rFonts w:cs="Times New Roman"/>
                      <w:szCs w:val="21"/>
                    </w:rPr>
                    <w:t>生态</w:t>
                  </w:r>
                </w:p>
              </w:tc>
              <w:tc>
                <w:tcPr>
                  <w:tcW w:w="1985" w:type="pct"/>
                  <w:vAlign w:val="center"/>
                </w:tcPr>
                <w:p>
                  <w:pPr>
                    <w:rPr>
                      <w:rFonts w:cs="Times New Roman"/>
                      <w:szCs w:val="21"/>
                    </w:rPr>
                  </w:pPr>
                  <w:r>
                    <w:rPr>
                      <w:rFonts w:cs="Times New Roman"/>
                      <w:szCs w:val="21"/>
                    </w:rPr>
                    <w:t>取水口下游500米范围内有重要水生生物的自然产卵场、索饵场、越冬场和洄游通道的新增河道取水的污染类建设项目</w:t>
                  </w:r>
                </w:p>
              </w:tc>
              <w:tc>
                <w:tcPr>
                  <w:tcW w:w="1787" w:type="pct"/>
                  <w:vAlign w:val="center"/>
                </w:tcPr>
                <w:p>
                  <w:pPr>
                    <w:rPr>
                      <w:rFonts w:cs="Times New Roman"/>
                      <w:szCs w:val="21"/>
                    </w:rPr>
                  </w:pPr>
                  <w:r>
                    <w:rPr>
                      <w:rFonts w:cs="Times New Roman"/>
                      <w:szCs w:val="21"/>
                    </w:rPr>
                    <w:t>不涉及。</w:t>
                  </w:r>
                </w:p>
              </w:tc>
              <w:tc>
                <w:tcPr>
                  <w:tcW w:w="613" w:type="pct"/>
                  <w:vAlign w:val="center"/>
                </w:tcPr>
                <w:p>
                  <w:pPr>
                    <w:jc w:val="center"/>
                    <w:rPr>
                      <w:rFonts w:cs="Times New Roman"/>
                      <w:szCs w:val="21"/>
                    </w:rPr>
                  </w:pPr>
                  <w:r>
                    <w:rPr>
                      <w:rFonts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pPr>
                    <w:jc w:val="center"/>
                    <w:rPr>
                      <w:rFonts w:cs="Times New Roman"/>
                      <w:szCs w:val="21"/>
                    </w:rPr>
                  </w:pPr>
                  <w:r>
                    <w:rPr>
                      <w:rFonts w:cs="Times New Roman"/>
                      <w:szCs w:val="21"/>
                    </w:rPr>
                    <w:t>海洋</w:t>
                  </w:r>
                </w:p>
              </w:tc>
              <w:tc>
                <w:tcPr>
                  <w:tcW w:w="1985" w:type="pct"/>
                  <w:vAlign w:val="center"/>
                </w:tcPr>
                <w:p>
                  <w:pPr>
                    <w:rPr>
                      <w:rFonts w:cs="Times New Roman"/>
                      <w:szCs w:val="21"/>
                    </w:rPr>
                  </w:pPr>
                  <w:r>
                    <w:rPr>
                      <w:rFonts w:cs="Times New Roman"/>
                      <w:szCs w:val="21"/>
                    </w:rPr>
                    <w:t>直接向海排放污染物的海洋工程建设项目</w:t>
                  </w:r>
                </w:p>
              </w:tc>
              <w:tc>
                <w:tcPr>
                  <w:tcW w:w="1787" w:type="pct"/>
                  <w:vAlign w:val="center"/>
                </w:tcPr>
                <w:p>
                  <w:pPr>
                    <w:rPr>
                      <w:rFonts w:cs="Times New Roman"/>
                      <w:szCs w:val="21"/>
                    </w:rPr>
                  </w:pPr>
                  <w:r>
                    <w:rPr>
                      <w:rFonts w:cs="Times New Roman"/>
                      <w:szCs w:val="21"/>
                    </w:rPr>
                    <w:t>不涉及。</w:t>
                  </w:r>
                </w:p>
              </w:tc>
              <w:tc>
                <w:tcPr>
                  <w:tcW w:w="613" w:type="pct"/>
                  <w:vAlign w:val="center"/>
                </w:tcPr>
                <w:p>
                  <w:pPr>
                    <w:jc w:val="center"/>
                    <w:rPr>
                      <w:rFonts w:cs="Times New Roman"/>
                      <w:szCs w:val="21"/>
                    </w:rPr>
                  </w:pPr>
                  <w:r>
                    <w:rPr>
                      <w:rFonts w:cs="Times New Roman"/>
                      <w:szCs w:val="21"/>
                    </w:rPr>
                    <w:t>否</w:t>
                  </w:r>
                </w:p>
              </w:tc>
            </w:tr>
          </w:tbl>
          <w:p>
            <w:pPr>
              <w:spacing w:line="360" w:lineRule="auto"/>
              <w:ind w:firstLine="480" w:firstLineChars="200"/>
              <w:rPr>
                <w:rFonts w:cs="Times New Roman"/>
                <w:sz w:val="24"/>
                <w:szCs w:val="24"/>
              </w:rPr>
            </w:pPr>
            <w:r>
              <w:rPr>
                <w:rFonts w:cs="Times New Roman"/>
                <w:sz w:val="24"/>
                <w:szCs w:val="24"/>
              </w:rPr>
              <w:t>因此，本项目不需开展专项评价工作。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0" w:type="pct"/>
            <w:vAlign w:val="center"/>
          </w:tcPr>
          <w:p>
            <w:pPr>
              <w:spacing w:line="360" w:lineRule="auto"/>
              <w:jc w:val="center"/>
              <w:rPr>
                <w:rFonts w:cs="Times New Roman"/>
                <w:sz w:val="24"/>
                <w:szCs w:val="24"/>
              </w:rPr>
            </w:pPr>
            <w:r>
              <w:rPr>
                <w:rFonts w:hint="eastAsia" w:cs="Times New Roman"/>
                <w:sz w:val="24"/>
                <w:szCs w:val="24"/>
              </w:rPr>
              <w:t>规划情况</w:t>
            </w:r>
          </w:p>
        </w:tc>
        <w:tc>
          <w:tcPr>
            <w:tcW w:w="4320" w:type="pct"/>
            <w:gridSpan w:val="3"/>
            <w:vAlign w:val="center"/>
          </w:tcPr>
          <w:p>
            <w:pPr>
              <w:spacing w:line="360" w:lineRule="auto"/>
              <w:ind w:firstLine="480" w:firstLineChars="200"/>
              <w:rPr>
                <w:rFonts w:cs="Times New Roman"/>
                <w:sz w:val="24"/>
                <w:szCs w:val="24"/>
              </w:rPr>
            </w:pPr>
            <w:r>
              <w:rPr>
                <w:rFonts w:hint="eastAsia" w:cs="Times New Roman"/>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0" w:type="pct"/>
            <w:vAlign w:val="center"/>
          </w:tcPr>
          <w:p>
            <w:pPr>
              <w:spacing w:line="360" w:lineRule="auto"/>
              <w:jc w:val="center"/>
              <w:rPr>
                <w:rFonts w:cs="Times New Roman"/>
                <w:sz w:val="24"/>
                <w:szCs w:val="24"/>
                <w:highlight w:val="yellow"/>
              </w:rPr>
            </w:pPr>
            <w:r>
              <w:rPr>
                <w:rFonts w:hint="eastAsia" w:cs="Times New Roman"/>
                <w:sz w:val="24"/>
                <w:szCs w:val="24"/>
              </w:rPr>
              <w:t>规划环境影响评价情况</w:t>
            </w:r>
          </w:p>
        </w:tc>
        <w:tc>
          <w:tcPr>
            <w:tcW w:w="4320" w:type="pct"/>
            <w:gridSpan w:val="3"/>
            <w:vAlign w:val="center"/>
          </w:tcPr>
          <w:p>
            <w:pPr>
              <w:spacing w:line="360" w:lineRule="auto"/>
              <w:ind w:firstLine="480" w:firstLineChars="200"/>
              <w:rPr>
                <w:rFonts w:cs="Times New Roman"/>
                <w:sz w:val="24"/>
                <w:szCs w:val="24"/>
                <w:highlight w:val="yellow"/>
              </w:rPr>
            </w:pPr>
            <w:r>
              <w:rPr>
                <w:rFonts w:hint="eastAsia" w:cs="Times New Roman"/>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0" w:type="pct"/>
            <w:vAlign w:val="center"/>
          </w:tcPr>
          <w:p>
            <w:pPr>
              <w:spacing w:line="360" w:lineRule="auto"/>
              <w:jc w:val="center"/>
              <w:rPr>
                <w:rFonts w:cs="Times New Roman"/>
                <w:sz w:val="24"/>
                <w:szCs w:val="24"/>
              </w:rPr>
            </w:pPr>
            <w:r>
              <w:rPr>
                <w:rFonts w:hint="eastAsia" w:cs="Times New Roman"/>
                <w:sz w:val="24"/>
                <w:szCs w:val="24"/>
              </w:rPr>
              <w:t>规划及规划环境影响评价符合性分析</w:t>
            </w:r>
          </w:p>
        </w:tc>
        <w:tc>
          <w:tcPr>
            <w:tcW w:w="4320" w:type="pct"/>
            <w:gridSpan w:val="3"/>
            <w:vAlign w:val="center"/>
          </w:tcPr>
          <w:p>
            <w:pPr>
              <w:spacing w:line="360" w:lineRule="auto"/>
              <w:ind w:firstLine="480" w:firstLineChars="200"/>
              <w:rPr>
                <w:rFonts w:cs="Times New Roman"/>
                <w:sz w:val="24"/>
                <w:szCs w:val="24"/>
              </w:rPr>
            </w:pPr>
            <w:r>
              <w:rPr>
                <w:rFonts w:hint="eastAsia" w:cs="Times New Roman"/>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680" w:type="pct"/>
            <w:vAlign w:val="center"/>
          </w:tcPr>
          <w:p>
            <w:pPr>
              <w:spacing w:line="360" w:lineRule="auto"/>
              <w:jc w:val="center"/>
              <w:rPr>
                <w:rFonts w:cs="Times New Roman"/>
                <w:sz w:val="24"/>
                <w:szCs w:val="24"/>
              </w:rPr>
            </w:pPr>
            <w:r>
              <w:rPr>
                <w:rFonts w:hint="eastAsia" w:cs="Times New Roman"/>
                <w:sz w:val="24"/>
                <w:szCs w:val="24"/>
              </w:rPr>
              <w:t>其他符合性分析</w:t>
            </w:r>
          </w:p>
        </w:tc>
        <w:tc>
          <w:tcPr>
            <w:tcW w:w="4320" w:type="pct"/>
            <w:gridSpan w:val="3"/>
            <w:vAlign w:val="center"/>
          </w:tcPr>
          <w:p>
            <w:pPr>
              <w:spacing w:line="360" w:lineRule="auto"/>
              <w:ind w:firstLine="482" w:firstLineChars="200"/>
              <w:rPr>
                <w:rFonts w:cs="Times New Roman"/>
                <w:b/>
                <w:sz w:val="24"/>
                <w:szCs w:val="24"/>
              </w:rPr>
            </w:pPr>
            <w:r>
              <w:rPr>
                <w:rFonts w:hint="eastAsia" w:cs="Times New Roman"/>
                <w:b/>
                <w:sz w:val="24"/>
                <w:szCs w:val="24"/>
              </w:rPr>
              <w:t>1、产业政策符合性</w:t>
            </w:r>
          </w:p>
          <w:p>
            <w:pPr>
              <w:spacing w:line="360" w:lineRule="auto"/>
              <w:ind w:firstLine="480" w:firstLineChars="200"/>
              <w:rPr>
                <w:rFonts w:cstheme="minorHAnsi"/>
                <w:sz w:val="24"/>
                <w:szCs w:val="24"/>
              </w:rPr>
            </w:pPr>
            <w:r>
              <w:rPr>
                <w:bCs/>
                <w:sz w:val="24"/>
              </w:rPr>
              <w:t>本项目</w:t>
            </w:r>
            <w:r>
              <w:rPr>
                <w:rFonts w:hint="eastAsia"/>
                <w:bCs/>
                <w:sz w:val="24"/>
              </w:rPr>
              <w:t>为其他非金属矿物制品制造</w:t>
            </w:r>
            <w:r>
              <w:rPr>
                <w:sz w:val="24"/>
              </w:rPr>
              <w:t>，不属于</w:t>
            </w:r>
            <w:r>
              <w:rPr>
                <w:rFonts w:hint="eastAsia" w:cs="Times New Roman"/>
                <w:sz w:val="24"/>
                <w:szCs w:val="24"/>
              </w:rPr>
              <w:t>《产业结构调整指导目录（2024年本）》（国家发改委令第7号）中鼓励类、限制类和淘汰类，根据《促进产业结构调整暂行规定》（国发〔2</w:t>
            </w:r>
            <w:r>
              <w:rPr>
                <w:rFonts w:cs="Times New Roman"/>
                <w:sz w:val="24"/>
                <w:szCs w:val="24"/>
              </w:rPr>
              <w:t>005</w:t>
            </w:r>
            <w:r>
              <w:rPr>
                <w:rFonts w:hint="eastAsia" w:cs="Times New Roman"/>
                <w:sz w:val="24"/>
                <w:szCs w:val="24"/>
              </w:rPr>
              <w:t>〕4</w:t>
            </w:r>
            <w:r>
              <w:rPr>
                <w:rFonts w:cs="Times New Roman"/>
                <w:sz w:val="24"/>
                <w:szCs w:val="24"/>
              </w:rPr>
              <w:t>0号</w:t>
            </w:r>
            <w:r>
              <w:rPr>
                <w:rFonts w:hint="eastAsia" w:cs="Times New Roman"/>
                <w:sz w:val="24"/>
                <w:szCs w:val="24"/>
              </w:rPr>
              <w:t>）的规定，项目为允许类</w:t>
            </w:r>
            <w:r>
              <w:rPr>
                <w:rFonts w:cstheme="minorHAnsi"/>
                <w:sz w:val="24"/>
                <w:szCs w:val="24"/>
              </w:rPr>
              <w:t>。</w:t>
            </w:r>
            <w:r>
              <w:rPr>
                <w:rFonts w:cstheme="minorHAnsi"/>
                <w:kern w:val="24"/>
                <w:sz w:val="24"/>
                <w:szCs w:val="20"/>
              </w:rPr>
              <w:t>同时，</w:t>
            </w:r>
            <w:r>
              <w:rPr>
                <w:rFonts w:hint="eastAsia" w:cstheme="minorHAnsi"/>
                <w:kern w:val="24"/>
                <w:sz w:val="24"/>
                <w:szCs w:val="20"/>
              </w:rPr>
              <w:t>大竹县经济和信息化局于20</w:t>
            </w:r>
            <w:r>
              <w:rPr>
                <w:rFonts w:cstheme="minorHAnsi"/>
                <w:kern w:val="24"/>
                <w:sz w:val="24"/>
                <w:szCs w:val="20"/>
              </w:rPr>
              <w:t>22</w:t>
            </w:r>
            <w:r>
              <w:rPr>
                <w:rFonts w:hint="eastAsia" w:cstheme="minorHAnsi"/>
                <w:kern w:val="24"/>
                <w:sz w:val="24"/>
                <w:szCs w:val="20"/>
              </w:rPr>
              <w:t>年</w:t>
            </w:r>
            <w:r>
              <w:rPr>
                <w:rFonts w:cstheme="minorHAnsi"/>
                <w:kern w:val="24"/>
                <w:sz w:val="24"/>
                <w:szCs w:val="20"/>
              </w:rPr>
              <w:t>10</w:t>
            </w:r>
            <w:r>
              <w:rPr>
                <w:rFonts w:hint="eastAsia" w:cstheme="minorHAnsi"/>
                <w:kern w:val="24"/>
                <w:sz w:val="24"/>
                <w:szCs w:val="20"/>
              </w:rPr>
              <w:t>月</w:t>
            </w:r>
            <w:r>
              <w:rPr>
                <w:rFonts w:cstheme="minorHAnsi"/>
                <w:kern w:val="24"/>
                <w:sz w:val="24"/>
                <w:szCs w:val="20"/>
              </w:rPr>
              <w:t>对该项目进行了备案（备案号：</w:t>
            </w:r>
            <w:r>
              <w:rPr>
                <w:rFonts w:hint="eastAsia"/>
                <w:sz w:val="24"/>
                <w:szCs w:val="24"/>
              </w:rPr>
              <w:t>川投资备【2210-511724-07-02-647818】JXQB-0558号</w:t>
            </w:r>
            <w:r>
              <w:rPr>
                <w:rFonts w:cstheme="minorHAnsi"/>
                <w:kern w:val="24"/>
                <w:sz w:val="24"/>
                <w:szCs w:val="20"/>
              </w:rPr>
              <w:t>）。</w:t>
            </w:r>
          </w:p>
          <w:p>
            <w:pPr>
              <w:spacing w:line="360" w:lineRule="auto"/>
              <w:ind w:firstLine="480" w:firstLineChars="200"/>
              <w:rPr>
                <w:rFonts w:cstheme="minorHAnsi"/>
                <w:sz w:val="24"/>
                <w:szCs w:val="24"/>
              </w:rPr>
            </w:pPr>
            <w:r>
              <w:rPr>
                <w:rFonts w:cstheme="minorHAnsi"/>
                <w:sz w:val="24"/>
                <w:szCs w:val="24"/>
              </w:rPr>
              <w:t>因此，本项目符合国家现行产业政策。</w:t>
            </w:r>
          </w:p>
          <w:p>
            <w:pPr>
              <w:spacing w:line="360" w:lineRule="auto"/>
              <w:ind w:firstLine="482" w:firstLineChars="200"/>
              <w:rPr>
                <w:rFonts w:cs="Times New Roman"/>
                <w:b/>
                <w:sz w:val="24"/>
                <w:szCs w:val="24"/>
              </w:rPr>
            </w:pPr>
            <w:r>
              <w:rPr>
                <w:rFonts w:hint="eastAsia" w:cs="Times New Roman"/>
                <w:b/>
                <w:sz w:val="24"/>
                <w:szCs w:val="24"/>
              </w:rPr>
              <w:t>2、与《大竹县国土空间总体规划（2021-2035年）》符合性</w:t>
            </w:r>
          </w:p>
          <w:p>
            <w:pPr>
              <w:spacing w:line="360" w:lineRule="auto"/>
              <w:ind w:firstLine="480" w:firstLineChars="200"/>
              <w:rPr>
                <w:rFonts w:cs="Times New Roman"/>
                <w:sz w:val="24"/>
                <w:szCs w:val="24"/>
              </w:rPr>
            </w:pPr>
            <w:r>
              <w:rPr>
                <w:rFonts w:hint="eastAsia" w:cs="Times New Roman"/>
                <w:sz w:val="24"/>
                <w:szCs w:val="24"/>
              </w:rPr>
              <w:t>2024年6月，四川省人民政府以《关于达州市万源市等5个县（市）国土空间总体规划（2021-2035年）的批复》（川府函〔2024〕165号）正式批复《大竹县国土空间总体规划（2</w:t>
            </w:r>
            <w:r>
              <w:rPr>
                <w:rFonts w:cs="Times New Roman"/>
                <w:sz w:val="24"/>
                <w:szCs w:val="24"/>
              </w:rPr>
              <w:t>021-2035年</w:t>
            </w:r>
            <w:r>
              <w:rPr>
                <w:rFonts w:hint="eastAsia" w:cs="Times New Roman"/>
                <w:sz w:val="24"/>
                <w:szCs w:val="24"/>
              </w:rPr>
              <w:t>）》，规划将大竹县建成现代绿色农业发展区、川东北渝东北协同发展区。构建“中心城区-县域副中心-重点镇-一般镇”四级城镇等级结构，形成“一主三副四重多点”的城镇体系格局。县域划分形成“1个城市核心+</w:t>
            </w:r>
            <w:r>
              <w:rPr>
                <w:rFonts w:cs="Times New Roman"/>
                <w:sz w:val="24"/>
                <w:szCs w:val="24"/>
              </w:rPr>
              <w:t>5个乡镇片区</w:t>
            </w:r>
            <w:r>
              <w:rPr>
                <w:rFonts w:hint="eastAsia" w:cs="Times New Roman"/>
                <w:sz w:val="24"/>
                <w:szCs w:val="24"/>
              </w:rPr>
              <w:t>”的县域片区发展格局，其中“三副”以</w:t>
            </w:r>
            <w:r>
              <w:rPr>
                <w:rFonts w:hint="eastAsia" w:cs="Times New Roman"/>
                <w:b/>
                <w:i/>
                <w:sz w:val="24"/>
                <w:szCs w:val="24"/>
              </w:rPr>
              <w:t>石河镇</w:t>
            </w:r>
            <w:r>
              <w:rPr>
                <w:rFonts w:hint="eastAsia" w:cs="Times New Roman"/>
                <w:sz w:val="24"/>
                <w:szCs w:val="24"/>
              </w:rPr>
              <w:t>、庙坝镇、周家镇为县域副中心；石河镇位于“</w:t>
            </w:r>
            <w:r>
              <w:rPr>
                <w:rFonts w:cs="Times New Roman"/>
                <w:sz w:val="24"/>
                <w:szCs w:val="24"/>
              </w:rPr>
              <w:t>5个乡镇片区</w:t>
            </w:r>
            <w:r>
              <w:rPr>
                <w:rFonts w:hint="eastAsia" w:cs="Times New Roman"/>
                <w:sz w:val="24"/>
                <w:szCs w:val="24"/>
              </w:rPr>
              <w:t>”的</w:t>
            </w:r>
            <w:r>
              <w:rPr>
                <w:rFonts w:hint="eastAsia" w:cs="Times New Roman"/>
                <w:bCs/>
                <w:iCs/>
                <w:sz w:val="24"/>
                <w:szCs w:val="24"/>
              </w:rPr>
              <w:t>临空铁发展片区，规划以县域副中心石河镇为中心，大力发展商贸物流业，做大做强新兴建材产业和农业特色产业。</w:t>
            </w:r>
          </w:p>
          <w:p>
            <w:pPr>
              <w:spacing w:line="360" w:lineRule="auto"/>
              <w:ind w:firstLine="480" w:firstLineChars="200"/>
              <w:rPr>
                <w:sz w:val="24"/>
                <w:szCs w:val="24"/>
              </w:rPr>
            </w:pPr>
            <w:r>
              <w:rPr>
                <w:rFonts w:cs="Times New Roman"/>
                <w:sz w:val="24"/>
                <w:szCs w:val="24"/>
              </w:rPr>
              <w:t>本项目位于</w:t>
            </w:r>
            <w:r>
              <w:rPr>
                <w:rFonts w:hint="eastAsia" w:cs="Times New Roman"/>
                <w:sz w:val="24"/>
                <w:szCs w:val="24"/>
              </w:rPr>
              <w:t>石河镇，主要利用</w:t>
            </w:r>
            <w:r>
              <w:rPr>
                <w:rFonts w:hint="eastAsia"/>
                <w:sz w:val="24"/>
                <w:szCs w:val="24"/>
              </w:rPr>
              <w:t>达州海螺水泥有限责任公司预留空地进行建设，不新增建设用地，现有厂区位于大竹县城镇空间。根据原大竹县国土资源局出具的《国有土地使用证》（大竹县国用（2</w:t>
            </w:r>
            <w:r>
              <w:rPr>
                <w:sz w:val="24"/>
                <w:szCs w:val="24"/>
              </w:rPr>
              <w:t>0</w:t>
            </w:r>
            <w:r>
              <w:rPr>
                <w:rFonts w:hint="eastAsia"/>
                <w:sz w:val="24"/>
                <w:szCs w:val="24"/>
              </w:rPr>
              <w:t>0</w:t>
            </w:r>
            <w:r>
              <w:rPr>
                <w:sz w:val="24"/>
                <w:szCs w:val="24"/>
              </w:rPr>
              <w:t>8</w:t>
            </w:r>
            <w:r>
              <w:rPr>
                <w:rFonts w:hint="eastAsia"/>
                <w:sz w:val="24"/>
                <w:szCs w:val="24"/>
              </w:rPr>
              <w:t>）第</w:t>
            </w:r>
            <w:r>
              <w:rPr>
                <w:sz w:val="24"/>
                <w:szCs w:val="24"/>
              </w:rPr>
              <w:t>04905号、</w:t>
            </w:r>
            <w:r>
              <w:rPr>
                <w:rFonts w:hint="eastAsia"/>
                <w:sz w:val="24"/>
                <w:szCs w:val="24"/>
              </w:rPr>
              <w:t>大竹县国用（2</w:t>
            </w:r>
            <w:r>
              <w:rPr>
                <w:sz w:val="24"/>
                <w:szCs w:val="24"/>
              </w:rPr>
              <w:t>012</w:t>
            </w:r>
            <w:r>
              <w:rPr>
                <w:rFonts w:hint="eastAsia"/>
                <w:sz w:val="24"/>
                <w:szCs w:val="24"/>
              </w:rPr>
              <w:t>）第0</w:t>
            </w:r>
            <w:r>
              <w:rPr>
                <w:sz w:val="24"/>
                <w:szCs w:val="24"/>
              </w:rPr>
              <w:t>6132号</w:t>
            </w:r>
            <w:r>
              <w:rPr>
                <w:rFonts w:hint="eastAsia"/>
                <w:sz w:val="24"/>
                <w:szCs w:val="24"/>
              </w:rPr>
              <w:t>），项目用地性质为工业用地。因此，本项目符合</w:t>
            </w:r>
            <w:r>
              <w:rPr>
                <w:rFonts w:hint="eastAsia" w:cs="Times New Roman"/>
                <w:sz w:val="24"/>
                <w:szCs w:val="24"/>
              </w:rPr>
              <w:t>《大竹县国土空间总体规划（2</w:t>
            </w:r>
            <w:r>
              <w:rPr>
                <w:rFonts w:cs="Times New Roman"/>
                <w:sz w:val="24"/>
                <w:szCs w:val="24"/>
              </w:rPr>
              <w:t>021-2035年</w:t>
            </w:r>
            <w:r>
              <w:rPr>
                <w:rFonts w:hint="eastAsia" w:cs="Times New Roman"/>
                <w:sz w:val="24"/>
                <w:szCs w:val="24"/>
              </w:rPr>
              <w:t>）》。</w:t>
            </w:r>
          </w:p>
          <w:p>
            <w:pPr>
              <w:spacing w:line="360" w:lineRule="auto"/>
              <w:ind w:firstLine="482" w:firstLineChars="200"/>
              <w:rPr>
                <w:rFonts w:cs="Times New Roman"/>
                <w:b/>
                <w:sz w:val="24"/>
                <w:szCs w:val="24"/>
              </w:rPr>
            </w:pPr>
            <w:r>
              <w:rPr>
                <w:rFonts w:hint="eastAsia" w:cs="Times New Roman"/>
                <w:b/>
                <w:sz w:val="24"/>
                <w:szCs w:val="24"/>
              </w:rPr>
              <w:t>3、选址与外环境相容性</w:t>
            </w:r>
          </w:p>
          <w:p>
            <w:pPr>
              <w:spacing w:line="360" w:lineRule="auto"/>
              <w:ind w:firstLine="480" w:firstLineChars="200"/>
              <w:rPr>
                <w:rFonts w:cstheme="minorHAnsi"/>
                <w:sz w:val="24"/>
                <w:szCs w:val="24"/>
              </w:rPr>
            </w:pPr>
            <w:r>
              <w:rPr>
                <w:rFonts w:hint="eastAsia" w:cs="Times New Roman"/>
                <w:sz w:val="24"/>
                <w:szCs w:val="24"/>
              </w:rPr>
              <w:t>本项目位于达州市大竹县石河镇（达州海螺水泥厂区内），设于达州海螺水泥厂区</w:t>
            </w:r>
            <w:r>
              <w:rPr>
                <w:rFonts w:hint="eastAsia"/>
                <w:sz w:val="24"/>
                <w:szCs w:val="24"/>
              </w:rPr>
              <w:t>联合储库东侧。根据现场调查，海螺水泥厂区周边现状为农村环境</w:t>
            </w:r>
            <w:r>
              <w:rPr>
                <w:rFonts w:hint="eastAsia" w:cstheme="minorHAnsi"/>
                <w:sz w:val="24"/>
                <w:szCs w:val="24"/>
              </w:rPr>
              <w:t>，项目周边外环境关系如下：</w:t>
            </w:r>
          </w:p>
          <w:p>
            <w:pPr>
              <w:spacing w:line="360" w:lineRule="auto"/>
              <w:ind w:firstLine="482" w:firstLineChars="200"/>
              <w:rPr>
                <w:rFonts w:cstheme="minorHAnsi"/>
                <w:sz w:val="24"/>
                <w:szCs w:val="24"/>
              </w:rPr>
            </w:pPr>
            <w:r>
              <w:rPr>
                <w:rFonts w:cstheme="minorHAnsi"/>
                <w:b/>
                <w:sz w:val="24"/>
                <w:szCs w:val="24"/>
              </w:rPr>
              <w:t>北侧</w:t>
            </w:r>
            <w:r>
              <w:rPr>
                <w:rFonts w:cstheme="minorHAnsi"/>
                <w:sz w:val="24"/>
                <w:szCs w:val="24"/>
              </w:rPr>
              <w:t>：约</w:t>
            </w:r>
            <w:r>
              <w:rPr>
                <w:rFonts w:hint="eastAsia" w:cstheme="minorHAnsi"/>
                <w:sz w:val="24"/>
                <w:szCs w:val="24"/>
              </w:rPr>
              <w:t>4</w:t>
            </w:r>
            <w:r>
              <w:rPr>
                <w:rFonts w:cstheme="minorHAnsi"/>
                <w:sz w:val="24"/>
                <w:szCs w:val="24"/>
              </w:rPr>
              <w:t>~488m为花朝门农户（约</w:t>
            </w:r>
            <w:r>
              <w:rPr>
                <w:rFonts w:hint="eastAsia" w:cstheme="minorHAnsi"/>
                <w:sz w:val="24"/>
                <w:szCs w:val="24"/>
              </w:rPr>
              <w:t>4</w:t>
            </w:r>
            <w:r>
              <w:rPr>
                <w:rFonts w:cstheme="minorHAnsi"/>
                <w:sz w:val="24"/>
                <w:szCs w:val="24"/>
              </w:rPr>
              <w:t>5户），约</w:t>
            </w:r>
            <w:r>
              <w:rPr>
                <w:rFonts w:hint="eastAsia" w:cstheme="minorHAnsi"/>
                <w:sz w:val="24"/>
                <w:szCs w:val="24"/>
              </w:rPr>
              <w:t>1</w:t>
            </w:r>
            <w:r>
              <w:rPr>
                <w:rFonts w:cstheme="minorHAnsi"/>
                <w:sz w:val="24"/>
                <w:szCs w:val="24"/>
              </w:rPr>
              <w:t>29~358m为海棠湾农户（约6户），约164~322m为</w:t>
            </w:r>
            <w:r>
              <w:rPr>
                <w:rFonts w:hint="eastAsia" w:cstheme="minorHAnsi"/>
                <w:sz w:val="24"/>
                <w:szCs w:val="24"/>
              </w:rPr>
              <w:t>长生沟</w:t>
            </w:r>
            <w:r>
              <w:rPr>
                <w:rFonts w:cstheme="minorHAnsi"/>
                <w:sz w:val="24"/>
                <w:szCs w:val="24"/>
              </w:rPr>
              <w:t>农户（约4户），约316~475m为</w:t>
            </w:r>
            <w:r>
              <w:rPr>
                <w:rFonts w:hint="eastAsia" w:cstheme="minorHAnsi"/>
                <w:sz w:val="24"/>
                <w:szCs w:val="24"/>
              </w:rPr>
              <w:t>祠堂里</w:t>
            </w:r>
            <w:r>
              <w:rPr>
                <w:rFonts w:cstheme="minorHAnsi"/>
                <w:sz w:val="24"/>
                <w:szCs w:val="24"/>
              </w:rPr>
              <w:t>农户（约10户）。</w:t>
            </w:r>
          </w:p>
          <w:p>
            <w:pPr>
              <w:spacing w:line="360" w:lineRule="auto"/>
              <w:ind w:firstLine="482" w:firstLineChars="200"/>
              <w:rPr>
                <w:rFonts w:cstheme="minorHAnsi"/>
                <w:sz w:val="24"/>
                <w:szCs w:val="24"/>
              </w:rPr>
            </w:pPr>
            <w:r>
              <w:rPr>
                <w:rFonts w:hint="eastAsia" w:cstheme="minorHAnsi"/>
                <w:b/>
                <w:sz w:val="24"/>
                <w:szCs w:val="24"/>
              </w:rPr>
              <w:t>东北</w:t>
            </w:r>
            <w:r>
              <w:rPr>
                <w:rFonts w:cstheme="minorHAnsi"/>
                <w:b/>
                <w:sz w:val="24"/>
                <w:szCs w:val="24"/>
              </w:rPr>
              <w:t>侧</w:t>
            </w:r>
            <w:r>
              <w:rPr>
                <w:rFonts w:cstheme="minorHAnsi"/>
                <w:sz w:val="24"/>
                <w:szCs w:val="24"/>
              </w:rPr>
              <w:t>：约</w:t>
            </w:r>
            <w:r>
              <w:rPr>
                <w:rFonts w:hint="eastAsia" w:cstheme="minorHAnsi"/>
                <w:sz w:val="24"/>
                <w:szCs w:val="24"/>
              </w:rPr>
              <w:t>2</w:t>
            </w:r>
            <w:r>
              <w:rPr>
                <w:rFonts w:cstheme="minorHAnsi"/>
                <w:sz w:val="24"/>
                <w:szCs w:val="24"/>
              </w:rPr>
              <w:t>10~407m为</w:t>
            </w:r>
            <w:r>
              <w:rPr>
                <w:rFonts w:hint="eastAsia" w:cstheme="minorHAnsi"/>
                <w:sz w:val="24"/>
                <w:szCs w:val="24"/>
              </w:rPr>
              <w:t>左家湾1</w:t>
            </w:r>
            <w:r>
              <w:rPr>
                <w:rFonts w:cstheme="minorHAnsi"/>
                <w:sz w:val="24"/>
                <w:szCs w:val="24"/>
              </w:rPr>
              <w:t>农户（约4户），约</w:t>
            </w:r>
            <w:r>
              <w:rPr>
                <w:rFonts w:hint="eastAsia" w:cstheme="minorHAnsi"/>
                <w:sz w:val="24"/>
                <w:szCs w:val="24"/>
              </w:rPr>
              <w:t>3</w:t>
            </w:r>
            <w:r>
              <w:rPr>
                <w:rFonts w:cstheme="minorHAnsi"/>
                <w:sz w:val="24"/>
                <w:szCs w:val="24"/>
              </w:rPr>
              <w:t>35m为柳城河。</w:t>
            </w:r>
          </w:p>
          <w:p>
            <w:pPr>
              <w:spacing w:line="360" w:lineRule="auto"/>
              <w:ind w:firstLine="482" w:firstLineChars="200"/>
              <w:rPr>
                <w:rFonts w:cstheme="minorHAnsi"/>
                <w:sz w:val="24"/>
                <w:szCs w:val="24"/>
              </w:rPr>
            </w:pPr>
            <w:r>
              <w:rPr>
                <w:rFonts w:hint="eastAsia" w:cstheme="minorHAnsi"/>
                <w:b/>
                <w:sz w:val="24"/>
                <w:szCs w:val="24"/>
              </w:rPr>
              <w:t>东</w:t>
            </w:r>
            <w:r>
              <w:rPr>
                <w:rFonts w:cstheme="minorHAnsi"/>
                <w:b/>
                <w:sz w:val="24"/>
                <w:szCs w:val="24"/>
              </w:rPr>
              <w:t>侧</w:t>
            </w:r>
            <w:r>
              <w:rPr>
                <w:rFonts w:cstheme="minorHAnsi"/>
                <w:sz w:val="24"/>
                <w:szCs w:val="24"/>
              </w:rPr>
              <w:t>：约</w:t>
            </w:r>
            <w:r>
              <w:rPr>
                <w:rFonts w:hint="eastAsia" w:cstheme="minorHAnsi"/>
                <w:sz w:val="24"/>
                <w:szCs w:val="24"/>
              </w:rPr>
              <w:t>2</w:t>
            </w:r>
            <w:r>
              <w:rPr>
                <w:rFonts w:cstheme="minorHAnsi"/>
                <w:sz w:val="24"/>
                <w:szCs w:val="24"/>
              </w:rPr>
              <w:t>42~469m为</w:t>
            </w:r>
            <w:r>
              <w:rPr>
                <w:rFonts w:hint="eastAsia" w:cstheme="minorHAnsi"/>
                <w:sz w:val="24"/>
                <w:szCs w:val="24"/>
              </w:rPr>
              <w:t>左家湾</w:t>
            </w:r>
            <w:r>
              <w:rPr>
                <w:rFonts w:cstheme="minorHAnsi"/>
                <w:sz w:val="24"/>
                <w:szCs w:val="24"/>
              </w:rPr>
              <w:t>2农户（约10户）</w:t>
            </w:r>
            <w:r>
              <w:rPr>
                <w:rFonts w:hint="eastAsia" w:cstheme="minorHAnsi"/>
                <w:sz w:val="24"/>
                <w:szCs w:val="24"/>
              </w:rPr>
              <w:t>。</w:t>
            </w:r>
          </w:p>
          <w:p>
            <w:pPr>
              <w:spacing w:line="360" w:lineRule="auto"/>
              <w:ind w:firstLine="482" w:firstLineChars="200"/>
              <w:rPr>
                <w:rFonts w:cstheme="minorHAnsi"/>
                <w:sz w:val="24"/>
                <w:szCs w:val="24"/>
              </w:rPr>
            </w:pPr>
            <w:r>
              <w:rPr>
                <w:rFonts w:hint="eastAsia" w:cstheme="minorHAnsi"/>
                <w:b/>
                <w:sz w:val="24"/>
                <w:szCs w:val="24"/>
              </w:rPr>
              <w:t>东南</w:t>
            </w:r>
            <w:r>
              <w:rPr>
                <w:rFonts w:cstheme="minorHAnsi"/>
                <w:b/>
                <w:sz w:val="24"/>
                <w:szCs w:val="24"/>
              </w:rPr>
              <w:t>侧</w:t>
            </w:r>
            <w:r>
              <w:rPr>
                <w:rFonts w:cstheme="minorHAnsi"/>
                <w:sz w:val="24"/>
                <w:szCs w:val="24"/>
              </w:rPr>
              <w:t>：约</w:t>
            </w:r>
            <w:r>
              <w:rPr>
                <w:rFonts w:hint="eastAsia" w:cstheme="minorHAnsi"/>
                <w:sz w:val="24"/>
                <w:szCs w:val="24"/>
              </w:rPr>
              <w:t>2</w:t>
            </w:r>
            <w:r>
              <w:rPr>
                <w:rFonts w:cstheme="minorHAnsi"/>
                <w:sz w:val="24"/>
                <w:szCs w:val="24"/>
              </w:rPr>
              <w:t>56~360m为后河坝农户（约11户），约463~499m为</w:t>
            </w:r>
            <w:r>
              <w:rPr>
                <w:rFonts w:hint="eastAsia" w:cstheme="minorHAnsi"/>
                <w:sz w:val="24"/>
                <w:szCs w:val="24"/>
              </w:rPr>
              <w:t>桂峰村1</w:t>
            </w:r>
            <w:r>
              <w:rPr>
                <w:rFonts w:cstheme="minorHAnsi"/>
                <w:sz w:val="24"/>
                <w:szCs w:val="24"/>
              </w:rPr>
              <w:t>农户（约15户）。</w:t>
            </w:r>
          </w:p>
          <w:p>
            <w:pPr>
              <w:spacing w:line="360" w:lineRule="auto"/>
              <w:ind w:firstLine="482" w:firstLineChars="200"/>
              <w:rPr>
                <w:rFonts w:cstheme="minorHAnsi"/>
                <w:sz w:val="24"/>
                <w:szCs w:val="24"/>
              </w:rPr>
            </w:pPr>
            <w:r>
              <w:rPr>
                <w:rFonts w:hint="eastAsia" w:cstheme="minorHAnsi"/>
                <w:b/>
                <w:sz w:val="24"/>
                <w:szCs w:val="24"/>
              </w:rPr>
              <w:t>南</w:t>
            </w:r>
            <w:r>
              <w:rPr>
                <w:rFonts w:cstheme="minorHAnsi"/>
                <w:b/>
                <w:sz w:val="24"/>
                <w:szCs w:val="24"/>
              </w:rPr>
              <w:t>侧</w:t>
            </w:r>
            <w:r>
              <w:rPr>
                <w:rFonts w:cstheme="minorHAnsi"/>
                <w:sz w:val="24"/>
                <w:szCs w:val="24"/>
              </w:rPr>
              <w:t>：紧邻为废弃屠宰场，约</w:t>
            </w:r>
            <w:r>
              <w:rPr>
                <w:rFonts w:hint="eastAsia" w:cstheme="minorHAnsi"/>
                <w:sz w:val="24"/>
                <w:szCs w:val="24"/>
              </w:rPr>
              <w:t>1</w:t>
            </w:r>
            <w:r>
              <w:rPr>
                <w:rFonts w:cstheme="minorHAnsi"/>
                <w:sz w:val="24"/>
                <w:szCs w:val="24"/>
              </w:rPr>
              <w:t>0m为碎石加工厂和</w:t>
            </w:r>
            <w:r>
              <w:rPr>
                <w:rFonts w:hint="eastAsia" w:cstheme="minorHAnsi"/>
                <w:sz w:val="24"/>
                <w:szCs w:val="24"/>
              </w:rPr>
              <w:t>重庆天然气净化厂大竹分厂，约4</w:t>
            </w:r>
            <w:r>
              <w:rPr>
                <w:rFonts w:cstheme="minorHAnsi"/>
                <w:sz w:val="24"/>
                <w:szCs w:val="24"/>
              </w:rPr>
              <w:t>98m为桂峰村</w:t>
            </w:r>
            <w:r>
              <w:rPr>
                <w:rFonts w:hint="eastAsia" w:cstheme="minorHAnsi"/>
                <w:sz w:val="24"/>
                <w:szCs w:val="24"/>
              </w:rPr>
              <w:t>2农户（约6户）。</w:t>
            </w:r>
          </w:p>
          <w:p>
            <w:pPr>
              <w:spacing w:line="360" w:lineRule="auto"/>
              <w:ind w:firstLine="482" w:firstLineChars="200"/>
              <w:rPr>
                <w:rFonts w:cstheme="minorHAnsi"/>
                <w:sz w:val="24"/>
                <w:szCs w:val="24"/>
              </w:rPr>
            </w:pPr>
            <w:r>
              <w:rPr>
                <w:rFonts w:hint="eastAsia" w:cstheme="minorHAnsi"/>
                <w:b/>
                <w:sz w:val="24"/>
                <w:szCs w:val="24"/>
              </w:rPr>
              <w:t>西南</w:t>
            </w:r>
            <w:r>
              <w:rPr>
                <w:rFonts w:cstheme="minorHAnsi"/>
                <w:b/>
                <w:sz w:val="24"/>
                <w:szCs w:val="24"/>
              </w:rPr>
              <w:t>侧</w:t>
            </w:r>
            <w:r>
              <w:rPr>
                <w:rFonts w:cstheme="minorHAnsi"/>
                <w:sz w:val="24"/>
                <w:szCs w:val="24"/>
              </w:rPr>
              <w:t>：约</w:t>
            </w:r>
            <w:r>
              <w:rPr>
                <w:rFonts w:hint="eastAsia" w:cstheme="minorHAnsi"/>
                <w:sz w:val="24"/>
                <w:szCs w:val="24"/>
              </w:rPr>
              <w:t>293</w:t>
            </w:r>
            <w:r>
              <w:rPr>
                <w:rFonts w:cstheme="minorHAnsi"/>
                <w:sz w:val="24"/>
                <w:szCs w:val="24"/>
              </w:rPr>
              <w:t>~</w:t>
            </w:r>
            <w:r>
              <w:rPr>
                <w:rFonts w:hint="eastAsia" w:cstheme="minorHAnsi"/>
                <w:sz w:val="24"/>
                <w:szCs w:val="24"/>
              </w:rPr>
              <w:t>467</w:t>
            </w:r>
            <w:r>
              <w:rPr>
                <w:rFonts w:cstheme="minorHAnsi"/>
                <w:sz w:val="24"/>
                <w:szCs w:val="24"/>
              </w:rPr>
              <w:t>m为</w:t>
            </w:r>
            <w:r>
              <w:rPr>
                <w:rFonts w:hint="eastAsia" w:cstheme="minorHAnsi"/>
                <w:sz w:val="24"/>
                <w:szCs w:val="24"/>
              </w:rPr>
              <w:t>刘家场</w:t>
            </w:r>
            <w:r>
              <w:rPr>
                <w:rFonts w:cstheme="minorHAnsi"/>
                <w:sz w:val="24"/>
                <w:szCs w:val="24"/>
              </w:rPr>
              <w:t>2农户（约</w:t>
            </w:r>
            <w:r>
              <w:rPr>
                <w:rFonts w:hint="eastAsia" w:cstheme="minorHAnsi"/>
                <w:sz w:val="24"/>
                <w:szCs w:val="24"/>
              </w:rPr>
              <w:t>24</w:t>
            </w:r>
            <w:r>
              <w:rPr>
                <w:rFonts w:cstheme="minorHAnsi"/>
                <w:sz w:val="24"/>
                <w:szCs w:val="24"/>
              </w:rPr>
              <w:t>户）。</w:t>
            </w:r>
          </w:p>
          <w:p>
            <w:pPr>
              <w:spacing w:line="360" w:lineRule="auto"/>
              <w:ind w:firstLine="482" w:firstLineChars="200"/>
              <w:rPr>
                <w:rFonts w:cstheme="minorHAnsi"/>
                <w:sz w:val="24"/>
                <w:szCs w:val="24"/>
              </w:rPr>
            </w:pPr>
            <w:r>
              <w:rPr>
                <w:rFonts w:hint="eastAsia" w:cstheme="minorHAnsi"/>
                <w:b/>
                <w:sz w:val="24"/>
                <w:szCs w:val="24"/>
              </w:rPr>
              <w:t>西</w:t>
            </w:r>
            <w:r>
              <w:rPr>
                <w:rFonts w:cstheme="minorHAnsi"/>
                <w:b/>
                <w:sz w:val="24"/>
                <w:szCs w:val="24"/>
              </w:rPr>
              <w:t>侧</w:t>
            </w:r>
            <w:r>
              <w:rPr>
                <w:rFonts w:cstheme="minorHAnsi"/>
                <w:sz w:val="24"/>
                <w:szCs w:val="24"/>
              </w:rPr>
              <w:t>：紧邻国道G</w:t>
            </w:r>
            <w:r>
              <w:rPr>
                <w:rFonts w:hint="eastAsia" w:cstheme="minorHAnsi"/>
                <w:sz w:val="24"/>
                <w:szCs w:val="24"/>
              </w:rPr>
              <w:t>2</w:t>
            </w:r>
            <w:r>
              <w:rPr>
                <w:rFonts w:cstheme="minorHAnsi"/>
                <w:sz w:val="24"/>
                <w:szCs w:val="24"/>
              </w:rPr>
              <w:t>10，约</w:t>
            </w:r>
            <w:r>
              <w:rPr>
                <w:rFonts w:hint="eastAsia" w:cstheme="minorHAnsi"/>
                <w:sz w:val="24"/>
                <w:szCs w:val="24"/>
              </w:rPr>
              <w:t>1</w:t>
            </w:r>
            <w:r>
              <w:rPr>
                <w:rFonts w:cstheme="minorHAnsi"/>
                <w:sz w:val="24"/>
                <w:szCs w:val="24"/>
              </w:rPr>
              <w:t>~</w:t>
            </w:r>
            <w:r>
              <w:rPr>
                <w:rFonts w:hint="eastAsia" w:cstheme="minorHAnsi"/>
                <w:sz w:val="24"/>
                <w:szCs w:val="24"/>
              </w:rPr>
              <w:t>476</w:t>
            </w:r>
            <w:r>
              <w:rPr>
                <w:rFonts w:cstheme="minorHAnsi"/>
                <w:sz w:val="24"/>
                <w:szCs w:val="24"/>
              </w:rPr>
              <w:t>m为</w:t>
            </w:r>
            <w:r>
              <w:rPr>
                <w:rFonts w:hint="eastAsia" w:cstheme="minorHAnsi"/>
                <w:sz w:val="24"/>
                <w:szCs w:val="24"/>
              </w:rPr>
              <w:t>刘家场</w:t>
            </w:r>
            <w:r>
              <w:rPr>
                <w:rFonts w:cstheme="minorHAnsi"/>
                <w:sz w:val="24"/>
                <w:szCs w:val="24"/>
              </w:rPr>
              <w:t>1农户（约55户），约</w:t>
            </w:r>
            <w:r>
              <w:rPr>
                <w:rFonts w:hint="eastAsia" w:cstheme="minorHAnsi"/>
                <w:sz w:val="24"/>
                <w:szCs w:val="24"/>
              </w:rPr>
              <w:t>6</w:t>
            </w:r>
            <w:r>
              <w:rPr>
                <w:rFonts w:cstheme="minorHAnsi"/>
                <w:sz w:val="24"/>
                <w:szCs w:val="24"/>
              </w:rPr>
              <w:t>0~283m为老屋湾农户（约19户）。</w:t>
            </w:r>
          </w:p>
          <w:p>
            <w:pPr>
              <w:spacing w:line="360" w:lineRule="auto"/>
              <w:ind w:firstLine="482" w:firstLineChars="200"/>
              <w:rPr>
                <w:rFonts w:cstheme="minorHAnsi"/>
                <w:sz w:val="24"/>
                <w:szCs w:val="24"/>
              </w:rPr>
            </w:pPr>
            <w:r>
              <w:rPr>
                <w:rFonts w:hint="eastAsia" w:cstheme="minorHAnsi"/>
                <w:b/>
                <w:sz w:val="24"/>
                <w:szCs w:val="24"/>
              </w:rPr>
              <w:t>西北</w:t>
            </w:r>
            <w:r>
              <w:rPr>
                <w:rFonts w:cstheme="minorHAnsi"/>
                <w:b/>
                <w:sz w:val="24"/>
                <w:szCs w:val="24"/>
              </w:rPr>
              <w:t>侧</w:t>
            </w:r>
            <w:r>
              <w:rPr>
                <w:rFonts w:cstheme="minorHAnsi"/>
                <w:sz w:val="24"/>
                <w:szCs w:val="24"/>
              </w:rPr>
              <w:t>：约202~314m为</w:t>
            </w:r>
            <w:r>
              <w:rPr>
                <w:rFonts w:hint="eastAsia" w:cstheme="minorHAnsi"/>
                <w:sz w:val="24"/>
                <w:szCs w:val="24"/>
              </w:rPr>
              <w:t>烂朝门</w:t>
            </w:r>
            <w:r>
              <w:rPr>
                <w:rFonts w:cstheme="minorHAnsi"/>
                <w:sz w:val="24"/>
                <w:szCs w:val="24"/>
              </w:rPr>
              <w:t>农户（约10户），约356~272m为唐家院农户（约15户），约476m为</w:t>
            </w:r>
            <w:r>
              <w:rPr>
                <w:rFonts w:hint="eastAsia" w:cstheme="minorHAnsi"/>
                <w:sz w:val="24"/>
                <w:szCs w:val="24"/>
              </w:rPr>
              <w:t>沙沟</w:t>
            </w:r>
            <w:r>
              <w:rPr>
                <w:rFonts w:cstheme="minorHAnsi"/>
                <w:sz w:val="24"/>
                <w:szCs w:val="24"/>
              </w:rPr>
              <w:t>农户（约5户）。</w:t>
            </w:r>
          </w:p>
          <w:p>
            <w:pPr>
              <w:spacing w:line="360" w:lineRule="auto"/>
              <w:ind w:firstLine="480" w:firstLineChars="200"/>
              <w:rPr>
                <w:rFonts w:cstheme="minorHAnsi"/>
                <w:sz w:val="24"/>
                <w:szCs w:val="24"/>
              </w:rPr>
            </w:pPr>
            <w:r>
              <w:rPr>
                <w:rFonts w:cstheme="minorHAnsi"/>
                <w:sz w:val="24"/>
                <w:szCs w:val="24"/>
              </w:rPr>
              <w:t>由以上描述可知，项目</w:t>
            </w:r>
            <w:r>
              <w:rPr>
                <w:rFonts w:hint="eastAsia"/>
                <w:sz w:val="24"/>
              </w:rPr>
              <w:t>厂界</w:t>
            </w:r>
            <w:r>
              <w:rPr>
                <w:sz w:val="24"/>
              </w:rPr>
              <w:t>500</w:t>
            </w:r>
            <w:r>
              <w:rPr>
                <w:rFonts w:hint="eastAsia"/>
                <w:sz w:val="24"/>
              </w:rPr>
              <w:t>m范围内</w:t>
            </w:r>
            <w:r>
              <w:rPr>
                <w:rFonts w:hint="eastAsia" w:cstheme="minorHAnsi"/>
                <w:sz w:val="24"/>
                <w:szCs w:val="24"/>
              </w:rPr>
              <w:t>分布有1</w:t>
            </w:r>
            <w:r>
              <w:rPr>
                <w:rFonts w:cstheme="minorHAnsi"/>
                <w:sz w:val="24"/>
                <w:szCs w:val="24"/>
              </w:rPr>
              <w:t>5</w:t>
            </w:r>
            <w:r>
              <w:rPr>
                <w:rFonts w:hint="eastAsia" w:cstheme="minorHAnsi"/>
                <w:sz w:val="24"/>
                <w:szCs w:val="24"/>
              </w:rPr>
              <w:t>处农户聚集点，距离最近的农户位于厂区西侧国道G</w:t>
            </w:r>
            <w:r>
              <w:rPr>
                <w:rFonts w:cstheme="minorHAnsi"/>
                <w:sz w:val="24"/>
                <w:szCs w:val="24"/>
              </w:rPr>
              <w:t>210两侧，相邻区域为厂区停车场，距海螺水泥生产区约</w:t>
            </w:r>
            <w:r>
              <w:rPr>
                <w:rFonts w:hint="eastAsia" w:cstheme="minorHAnsi"/>
                <w:sz w:val="24"/>
                <w:szCs w:val="24"/>
              </w:rPr>
              <w:t>2</w:t>
            </w:r>
            <w:r>
              <w:rPr>
                <w:rFonts w:cstheme="minorHAnsi"/>
                <w:sz w:val="24"/>
                <w:szCs w:val="24"/>
              </w:rPr>
              <w:t>70m；距离本次</w:t>
            </w:r>
            <w:r>
              <w:rPr>
                <w:rFonts w:hint="eastAsia" w:cstheme="minorHAnsi"/>
                <w:sz w:val="24"/>
                <w:szCs w:val="24"/>
              </w:rPr>
              <w:t>改建</w:t>
            </w:r>
            <w:r>
              <w:rPr>
                <w:rFonts w:cstheme="minorHAnsi"/>
                <w:sz w:val="24"/>
                <w:szCs w:val="24"/>
              </w:rPr>
              <w:t>新增生产线最近农户为东侧左家湾</w:t>
            </w:r>
            <w:r>
              <w:rPr>
                <w:rFonts w:hint="eastAsia" w:cstheme="minorHAnsi"/>
                <w:sz w:val="24"/>
                <w:szCs w:val="24"/>
              </w:rPr>
              <w:t>2（约252m），</w:t>
            </w:r>
            <w:r>
              <w:rPr>
                <w:rFonts w:hint="eastAsia" w:cs="Times New Roman"/>
                <w:sz w:val="24"/>
                <w:szCs w:val="24"/>
              </w:rPr>
              <w:t>运营期采取本次环评提出的各项污染防治措施，做好日常环境管理，可确保污染物达标排放，对周围环境影响可接受。</w:t>
            </w:r>
            <w:r>
              <w:rPr>
                <w:rFonts w:hint="eastAsia" w:cstheme="minorHAnsi"/>
                <w:sz w:val="24"/>
                <w:szCs w:val="24"/>
              </w:rPr>
              <w:t>项目南侧分布有一处碎石加工厂、废弃屠宰场和重庆天然气净化厂大竹分厂，对项目建设无制约。</w:t>
            </w:r>
          </w:p>
          <w:p>
            <w:pPr>
              <w:spacing w:line="360" w:lineRule="auto"/>
              <w:ind w:firstLine="480" w:firstLineChars="200"/>
              <w:rPr>
                <w:sz w:val="24"/>
                <w:szCs w:val="24"/>
              </w:rPr>
            </w:pPr>
            <w:r>
              <w:rPr>
                <w:rFonts w:hint="eastAsia"/>
                <w:sz w:val="24"/>
                <w:szCs w:val="24"/>
              </w:rPr>
              <w:t>项目制砂楼东北侧有一处110KV高压线塔（见附图），依据《电力设施保护条例》《电力设施保护条例实施细则》，110KV架空电力线路保护区为10m。项目制砂楼距高压线塔约16m，满足规范要求。环评要求：项目施工期应严格按照《电力设施保护条例》《电力设施保护条例实施细则》等文件要求，不得从事危害电力线路设施的各种行为。</w:t>
            </w:r>
          </w:p>
          <w:p>
            <w:pPr>
              <w:spacing w:line="360" w:lineRule="auto"/>
              <w:ind w:firstLine="480" w:firstLineChars="200"/>
              <w:rPr>
                <w:rFonts w:cstheme="minorHAnsi"/>
                <w:sz w:val="24"/>
                <w:szCs w:val="24"/>
              </w:rPr>
            </w:pPr>
            <w:r>
              <w:rPr>
                <w:rFonts w:hint="eastAsia" w:cstheme="minorHAnsi"/>
                <w:sz w:val="24"/>
                <w:szCs w:val="24"/>
              </w:rPr>
              <w:t>综上</w:t>
            </w:r>
            <w:r>
              <w:rPr>
                <w:rFonts w:cstheme="minorHAnsi"/>
                <w:sz w:val="24"/>
                <w:szCs w:val="24"/>
              </w:rPr>
              <w:t>所述，</w:t>
            </w:r>
            <w:r>
              <w:rPr>
                <w:rFonts w:hint="eastAsia" w:cstheme="minorHAnsi"/>
                <w:sz w:val="24"/>
                <w:szCs w:val="24"/>
              </w:rPr>
              <w:t>项目周边外环境关系较简单，无</w:t>
            </w:r>
            <w:r>
              <w:rPr>
                <w:rFonts w:hint="eastAsia" w:cs="Times New Roman"/>
                <w:sz w:val="24"/>
                <w:szCs w:val="24"/>
              </w:rPr>
              <w:t>自然保护区、风景名胜区、地下水集中式饮用水水源和热水、矿泉水、温泉等特殊地下水资源以及生态环境敏感区分布。因此，项目选址与外环境相容。</w:t>
            </w:r>
          </w:p>
          <w:p>
            <w:pPr>
              <w:spacing w:line="360" w:lineRule="auto"/>
              <w:ind w:firstLine="482" w:firstLineChars="200"/>
              <w:rPr>
                <w:rFonts w:cstheme="minorHAnsi"/>
                <w:sz w:val="24"/>
                <w:szCs w:val="24"/>
              </w:rPr>
            </w:pPr>
            <w:r>
              <w:rPr>
                <w:rFonts w:hint="eastAsia" w:cs="Times New Roman"/>
                <w:b/>
                <w:sz w:val="24"/>
                <w:szCs w:val="24"/>
              </w:rPr>
              <w:t>4、与砂石行业相关文件符合性</w:t>
            </w:r>
          </w:p>
          <w:p>
            <w:pPr>
              <w:spacing w:line="360" w:lineRule="auto"/>
              <w:ind w:firstLine="480" w:firstLineChars="200"/>
              <w:rPr>
                <w:rFonts w:cs="Times New Roman"/>
                <w:sz w:val="24"/>
                <w:szCs w:val="24"/>
              </w:rPr>
            </w:pPr>
            <w:r>
              <w:rPr>
                <w:rFonts w:hint="eastAsia" w:cs="Times New Roman"/>
                <w:sz w:val="24"/>
                <w:szCs w:val="24"/>
              </w:rPr>
              <w:t>本项目与砂石行业相关文件</w:t>
            </w:r>
            <w:r>
              <w:rPr>
                <w:rFonts w:hint="eastAsia" w:cstheme="minorHAnsi"/>
                <w:sz w:val="24"/>
                <w:szCs w:val="24"/>
              </w:rPr>
              <w:t>符合性分析见下表。</w:t>
            </w:r>
          </w:p>
          <w:p>
            <w:pPr>
              <w:spacing w:line="360" w:lineRule="auto"/>
              <w:jc w:val="center"/>
              <w:rPr>
                <w:rFonts w:eastAsia="黑体"/>
                <w:szCs w:val="21"/>
              </w:rPr>
            </w:pPr>
            <w:r>
              <w:rPr>
                <w:rFonts w:eastAsia="黑体"/>
                <w:szCs w:val="21"/>
              </w:rPr>
              <w:t>表1-2  项目与</w:t>
            </w:r>
            <w:r>
              <w:rPr>
                <w:rFonts w:hint="eastAsia" w:eastAsia="黑体"/>
                <w:szCs w:val="21"/>
              </w:rPr>
              <w:t>砂石行业相关文件</w:t>
            </w:r>
            <w:r>
              <w:rPr>
                <w:rFonts w:eastAsia="黑体"/>
                <w:szCs w:val="21"/>
              </w:rPr>
              <w:t>符合性</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3691"/>
              <w:gridCol w:w="2468"/>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Align w:val="center"/>
                </w:tcPr>
                <w:p>
                  <w:pPr>
                    <w:jc w:val="center"/>
                    <w:rPr>
                      <w:szCs w:val="21"/>
                    </w:rPr>
                  </w:pPr>
                  <w:r>
                    <w:rPr>
                      <w:rFonts w:hint="eastAsia"/>
                      <w:szCs w:val="21"/>
                    </w:rPr>
                    <w:t>相关文件</w:t>
                  </w:r>
                </w:p>
              </w:tc>
              <w:tc>
                <w:tcPr>
                  <w:tcW w:w="2227" w:type="pct"/>
                  <w:vAlign w:val="center"/>
                </w:tcPr>
                <w:p>
                  <w:pPr>
                    <w:jc w:val="center"/>
                    <w:rPr>
                      <w:szCs w:val="21"/>
                    </w:rPr>
                  </w:pPr>
                  <w:r>
                    <w:rPr>
                      <w:rFonts w:hint="eastAsia"/>
                      <w:szCs w:val="21"/>
                    </w:rPr>
                    <w:t>相关要求</w:t>
                  </w:r>
                </w:p>
              </w:tc>
              <w:tc>
                <w:tcPr>
                  <w:tcW w:w="1489" w:type="pct"/>
                  <w:vAlign w:val="center"/>
                </w:tcPr>
                <w:p>
                  <w:pPr>
                    <w:jc w:val="center"/>
                    <w:rPr>
                      <w:szCs w:val="21"/>
                    </w:rPr>
                  </w:pPr>
                  <w:r>
                    <w:rPr>
                      <w:rFonts w:hint="eastAsia"/>
                      <w:szCs w:val="21"/>
                    </w:rPr>
                    <w:t>本项目情况</w:t>
                  </w:r>
                </w:p>
              </w:tc>
              <w:tc>
                <w:tcPr>
                  <w:tcW w:w="541" w:type="pct"/>
                  <w:vAlign w:val="center"/>
                </w:tcPr>
                <w:p>
                  <w:pPr>
                    <w:jc w:val="center"/>
                    <w:rPr>
                      <w:szCs w:val="21"/>
                    </w:rPr>
                  </w:pPr>
                  <w:r>
                    <w:rPr>
                      <w:rFonts w:hint="eastAsia"/>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43" w:type="pct"/>
                  <w:vMerge w:val="restart"/>
                  <w:vAlign w:val="center"/>
                </w:tcPr>
                <w:p>
                  <w:pPr>
                    <w:jc w:val="center"/>
                    <w:rPr>
                      <w:szCs w:val="21"/>
                    </w:rPr>
                  </w:pPr>
                  <w:r>
                    <w:rPr>
                      <w:rFonts w:hint="eastAsia"/>
                      <w:szCs w:val="21"/>
                    </w:rPr>
                    <w:t>《关于推进机制砂石行业高质量发展的若干意见》（工信部联原〔2019〕239号）</w:t>
                  </w:r>
                </w:p>
              </w:tc>
              <w:tc>
                <w:tcPr>
                  <w:tcW w:w="2227" w:type="pct"/>
                  <w:vAlign w:val="center"/>
                </w:tcPr>
                <w:p>
                  <w:pPr>
                    <w:rPr>
                      <w:szCs w:val="21"/>
                    </w:rPr>
                  </w:pPr>
                  <w:r>
                    <w:rPr>
                      <w:rFonts w:hint="eastAsia"/>
                      <w:szCs w:val="21"/>
                    </w:rPr>
                    <w:t>规范砂石资源管理，鼓励利用废石以及铁、钼、钒钛等矿山的尾矿生产机制砂石，节约天然资源，提高产业固体废物综合利用水平。</w:t>
                  </w:r>
                </w:p>
              </w:tc>
              <w:tc>
                <w:tcPr>
                  <w:tcW w:w="1489" w:type="pct"/>
                  <w:vAlign w:val="center"/>
                </w:tcPr>
                <w:p>
                  <w:pPr>
                    <w:rPr>
                      <w:szCs w:val="21"/>
                    </w:rPr>
                  </w:pPr>
                  <w:r>
                    <w:rPr>
                      <w:rFonts w:hint="eastAsia"/>
                      <w:szCs w:val="21"/>
                    </w:rPr>
                    <w:t>项目利用厂区现有骨料线产生的0</w:t>
                  </w:r>
                  <w:r>
                    <w:rPr>
                      <w:szCs w:val="21"/>
                    </w:rPr>
                    <w:t>-5</w:t>
                  </w:r>
                  <w:r>
                    <w:rPr>
                      <w:rFonts w:hint="eastAsia"/>
                      <w:szCs w:val="21"/>
                    </w:rPr>
                    <w:t>mm粉料作为制砂原料。</w:t>
                  </w:r>
                </w:p>
              </w:tc>
              <w:tc>
                <w:tcPr>
                  <w:tcW w:w="541"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Merge w:val="continue"/>
                  <w:vAlign w:val="center"/>
                </w:tcPr>
                <w:p>
                  <w:pPr>
                    <w:jc w:val="center"/>
                    <w:rPr>
                      <w:szCs w:val="21"/>
                    </w:rPr>
                  </w:pPr>
                </w:p>
              </w:tc>
              <w:tc>
                <w:tcPr>
                  <w:tcW w:w="2227" w:type="pct"/>
                  <w:vAlign w:val="center"/>
                </w:tcPr>
                <w:p>
                  <w:pPr>
                    <w:rPr>
                      <w:szCs w:val="21"/>
                    </w:rPr>
                  </w:pPr>
                  <w:r>
                    <w:rPr>
                      <w:rFonts w:hint="eastAsia"/>
                      <w:szCs w:val="21"/>
                    </w:rPr>
                    <w:t>以机制砂石的颗粒整形、级配调整、节能降耗、综合利用等关键技术和工艺为重点，鼓励技术创新和技术改造。推广使用变频、智能控制等节能技术，袋式除尘等减排技术，以及尾矿综合利用技术。</w:t>
                  </w:r>
                </w:p>
              </w:tc>
              <w:tc>
                <w:tcPr>
                  <w:tcW w:w="1489" w:type="pct"/>
                  <w:vAlign w:val="center"/>
                </w:tcPr>
                <w:p>
                  <w:pPr>
                    <w:rPr>
                      <w:szCs w:val="21"/>
                    </w:rPr>
                  </w:pPr>
                  <w:r>
                    <w:rPr>
                      <w:rFonts w:hint="eastAsia"/>
                      <w:szCs w:val="21"/>
                    </w:rPr>
                    <w:t>项目制砂原料利用厂区现有骨料线产生的0</w:t>
                  </w:r>
                  <w:r>
                    <w:rPr>
                      <w:szCs w:val="21"/>
                    </w:rPr>
                    <w:t>-5</w:t>
                  </w:r>
                  <w:r>
                    <w:rPr>
                      <w:rFonts w:hint="eastAsia"/>
                      <w:szCs w:val="21"/>
                    </w:rPr>
                    <w:t>mm粉料，粉尘采用袋式除尘技术。</w:t>
                  </w:r>
                </w:p>
              </w:tc>
              <w:tc>
                <w:tcPr>
                  <w:tcW w:w="541"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Merge w:val="continue"/>
                  <w:vAlign w:val="center"/>
                </w:tcPr>
                <w:p>
                  <w:pPr>
                    <w:jc w:val="center"/>
                    <w:rPr>
                      <w:szCs w:val="21"/>
                    </w:rPr>
                  </w:pPr>
                </w:p>
              </w:tc>
              <w:tc>
                <w:tcPr>
                  <w:tcW w:w="2227" w:type="pct"/>
                  <w:vAlign w:val="center"/>
                </w:tcPr>
                <w:p>
                  <w:pPr>
                    <w:rPr>
                      <w:szCs w:val="21"/>
                    </w:rPr>
                  </w:pPr>
                  <w:r>
                    <w:rPr>
                      <w:rFonts w:hint="eastAsia"/>
                      <w:szCs w:val="21"/>
                    </w:rPr>
                    <w:t>强化企业主体责任，完善质量管理体系，加强过程质量控制，严格执行相关标准，鼓励企业建立检测中心，配备合格的质量检验设备和专业质检人员。依据原料品质实施分级利用，做到优质优用，提高砂石产品的成品率。对成品料分类或分仓储存。</w:t>
                  </w:r>
                </w:p>
              </w:tc>
              <w:tc>
                <w:tcPr>
                  <w:tcW w:w="1489" w:type="pct"/>
                  <w:vAlign w:val="center"/>
                </w:tcPr>
                <w:p>
                  <w:pPr>
                    <w:rPr>
                      <w:szCs w:val="21"/>
                    </w:rPr>
                  </w:pPr>
                  <w:r>
                    <w:rPr>
                      <w:rFonts w:hint="eastAsia"/>
                      <w:szCs w:val="21"/>
                    </w:rPr>
                    <w:t>运营期建立质量管理体系，产品执行《建设用砂》（GB/T14684-2022）和《四川省机制砂生产与应用技术标准》（DBJ51/T201-2022），成品砂和0</w:t>
                  </w:r>
                  <w:r>
                    <w:rPr>
                      <w:szCs w:val="21"/>
                    </w:rPr>
                    <w:t>-0.075</w:t>
                  </w:r>
                  <w:r>
                    <w:rPr>
                      <w:rFonts w:hint="eastAsia"/>
                      <w:szCs w:val="21"/>
                    </w:rPr>
                    <w:t>mm微粉分仓储存。</w:t>
                  </w:r>
                </w:p>
              </w:tc>
              <w:tc>
                <w:tcPr>
                  <w:tcW w:w="541"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Merge w:val="continue"/>
                  <w:vAlign w:val="center"/>
                </w:tcPr>
                <w:p>
                  <w:pPr>
                    <w:jc w:val="center"/>
                    <w:rPr>
                      <w:szCs w:val="21"/>
                    </w:rPr>
                  </w:pPr>
                </w:p>
              </w:tc>
              <w:tc>
                <w:tcPr>
                  <w:tcW w:w="2227" w:type="pct"/>
                  <w:vAlign w:val="center"/>
                </w:tcPr>
                <w:p>
                  <w:pPr>
                    <w:rPr>
                      <w:szCs w:val="21"/>
                    </w:rPr>
                  </w:pPr>
                  <w:r>
                    <w:rPr>
                      <w:rFonts w:hint="eastAsia"/>
                      <w:szCs w:val="21"/>
                    </w:rPr>
                    <w:t>加强砂石资源开发整合，推进机制砂石生产规模化、集约化，建设一批大型生产基地。鼓励发展砂石、水泥、混凝土、装配式建筑一体化的产业园区，发挥集聚效应，减少全产业链二次物流量。</w:t>
                  </w:r>
                </w:p>
              </w:tc>
              <w:tc>
                <w:tcPr>
                  <w:tcW w:w="1489" w:type="pct"/>
                  <w:vAlign w:val="center"/>
                </w:tcPr>
                <w:p>
                  <w:pPr>
                    <w:rPr>
                      <w:szCs w:val="21"/>
                    </w:rPr>
                  </w:pPr>
                  <w:r>
                    <w:rPr>
                      <w:rFonts w:hint="eastAsia"/>
                      <w:szCs w:val="21"/>
                    </w:rPr>
                    <w:t>项目在现有厂区闲置空地建设机制砂生产设施，实现砂石、水泥聚集效应，减少二次物流量。</w:t>
                  </w:r>
                </w:p>
              </w:tc>
              <w:tc>
                <w:tcPr>
                  <w:tcW w:w="541"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Merge w:val="continue"/>
                  <w:vAlign w:val="center"/>
                </w:tcPr>
                <w:p>
                  <w:pPr>
                    <w:jc w:val="center"/>
                    <w:rPr>
                      <w:szCs w:val="21"/>
                    </w:rPr>
                  </w:pPr>
                </w:p>
              </w:tc>
              <w:tc>
                <w:tcPr>
                  <w:tcW w:w="2227" w:type="pct"/>
                  <w:vAlign w:val="center"/>
                </w:tcPr>
                <w:p>
                  <w:pPr>
                    <w:rPr>
                      <w:szCs w:val="21"/>
                    </w:rPr>
                  </w:pPr>
                  <w:r>
                    <w:rPr>
                      <w:rFonts w:hint="eastAsia"/>
                      <w:szCs w:val="21"/>
                    </w:rPr>
                    <w:t>生产线配套建设抑尘收尘、水处理和降噪等污染防治以及水土保持设施，对设备、产品采取棚化密封或其他有效覆盖措施，推进清洁生产，严控无组织排放，满足达标排放等环保要求。对工艺废水、细粉和沉淀泥浆等加强回收再利用，鼓励利用生产过程中的伴生石粉生产绿色建材，实现近零排放。提高设备整体能效、节水水平，降低单位产品的综合能耗、水耗，鼓励有条件的企业实施输送带势能发电、开展合同节水管理。</w:t>
                  </w:r>
                </w:p>
              </w:tc>
              <w:tc>
                <w:tcPr>
                  <w:tcW w:w="1489" w:type="pct"/>
                  <w:vAlign w:val="center"/>
                </w:tcPr>
                <w:p>
                  <w:pPr>
                    <w:rPr>
                      <w:szCs w:val="21"/>
                    </w:rPr>
                  </w:pPr>
                  <w:r>
                    <w:rPr>
                      <w:rFonts w:hint="eastAsia"/>
                      <w:szCs w:val="21"/>
                    </w:rPr>
                    <w:t>项目配套建设袋式除尘器和噪声污染防治措施，产品采用密闭贮仓进行贮存，减少废气排放。项目采用干法生产技术，不涉及废水产生和排放，工艺上产生的0</w:t>
                  </w:r>
                  <w:r>
                    <w:rPr>
                      <w:szCs w:val="21"/>
                    </w:rPr>
                    <w:t>-0.075</w:t>
                  </w:r>
                  <w:r>
                    <w:rPr>
                      <w:rFonts w:hint="eastAsia"/>
                      <w:szCs w:val="21"/>
                    </w:rPr>
                    <w:t>mm微粉全部用作水泥辅材使用。</w:t>
                  </w:r>
                </w:p>
              </w:tc>
              <w:tc>
                <w:tcPr>
                  <w:tcW w:w="541"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43" w:type="pct"/>
                  <w:vMerge w:val="restart"/>
                  <w:vAlign w:val="center"/>
                </w:tcPr>
                <w:p>
                  <w:pPr>
                    <w:jc w:val="center"/>
                    <w:rPr>
                      <w:szCs w:val="21"/>
                    </w:rPr>
                  </w:pPr>
                  <w:r>
                    <w:rPr>
                      <w:rFonts w:hint="eastAsia"/>
                      <w:szCs w:val="21"/>
                    </w:rPr>
                    <w:t>《关于促进砂石行业健康有序发展的指导意见》（发改价格〔2020〕473号）</w:t>
                  </w:r>
                </w:p>
              </w:tc>
              <w:tc>
                <w:tcPr>
                  <w:tcW w:w="2227" w:type="pct"/>
                  <w:vAlign w:val="center"/>
                </w:tcPr>
                <w:p>
                  <w:pPr>
                    <w:rPr>
                      <w:szCs w:val="21"/>
                    </w:rPr>
                  </w:pPr>
                  <w:r>
                    <w:rPr>
                      <w:rFonts w:hint="eastAsia"/>
                      <w:szCs w:val="21"/>
                    </w:rPr>
                    <w:t>统筹考虑各类砂石资源整体发展趋势，逐步过渡到依靠机制砂石满足建设需要为主，在规划布局、工艺装备、产品质量、污染防治、综合利用、安全生产等方面加强联动，加快推动机制砂石产业转型升级。</w:t>
                  </w:r>
                </w:p>
              </w:tc>
              <w:tc>
                <w:tcPr>
                  <w:tcW w:w="1489" w:type="pct"/>
                  <w:vAlign w:val="center"/>
                </w:tcPr>
                <w:p>
                  <w:pPr>
                    <w:rPr>
                      <w:szCs w:val="21"/>
                    </w:rPr>
                  </w:pPr>
                  <w:r>
                    <w:rPr>
                      <w:rFonts w:hint="eastAsia"/>
                      <w:szCs w:val="21"/>
                    </w:rPr>
                    <w:t>项目为机制砂生产，利用现有骨料线产生的0</w:t>
                  </w:r>
                  <w:r>
                    <w:rPr>
                      <w:szCs w:val="21"/>
                    </w:rPr>
                    <w:t>-5</w:t>
                  </w:r>
                  <w:r>
                    <w:rPr>
                      <w:rFonts w:hint="eastAsia"/>
                      <w:szCs w:val="21"/>
                    </w:rPr>
                    <w:t>mm粉料作为原料，与现有水泥厂、骨料线联动。</w:t>
                  </w:r>
                </w:p>
              </w:tc>
              <w:tc>
                <w:tcPr>
                  <w:tcW w:w="541" w:type="pct"/>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Merge w:val="continue"/>
                  <w:vAlign w:val="center"/>
                </w:tcPr>
                <w:p>
                  <w:pPr>
                    <w:jc w:val="center"/>
                    <w:rPr>
                      <w:szCs w:val="21"/>
                    </w:rPr>
                  </w:pPr>
                </w:p>
              </w:tc>
              <w:tc>
                <w:tcPr>
                  <w:tcW w:w="2227" w:type="pct"/>
                  <w:vAlign w:val="center"/>
                </w:tcPr>
                <w:p>
                  <w:pPr>
                    <w:rPr>
                      <w:szCs w:val="21"/>
                    </w:rPr>
                  </w:pPr>
                  <w:r>
                    <w:rPr>
                      <w:rFonts w:hint="eastAsia"/>
                      <w:szCs w:val="21"/>
                    </w:rPr>
                    <w:t>引导各类资金支持骨干项目建设，推动大型在建、拟建机制砂石项目尽快投产达产，增加优质砂石供给能力。</w:t>
                  </w:r>
                </w:p>
              </w:tc>
              <w:tc>
                <w:tcPr>
                  <w:tcW w:w="1489" w:type="pct"/>
                  <w:vAlign w:val="center"/>
                </w:tcPr>
                <w:p>
                  <w:pPr>
                    <w:rPr>
                      <w:szCs w:val="21"/>
                    </w:rPr>
                  </w:pPr>
                  <w:r>
                    <w:rPr>
                      <w:rFonts w:hint="eastAsia"/>
                      <w:szCs w:val="21"/>
                    </w:rPr>
                    <w:t>项目为机制砂建设，产品质量符合国家和地方标准要求。</w:t>
                  </w:r>
                </w:p>
              </w:tc>
              <w:tc>
                <w:tcPr>
                  <w:tcW w:w="541"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Merge w:val="restart"/>
                  <w:vAlign w:val="center"/>
                </w:tcPr>
                <w:p>
                  <w:pPr>
                    <w:jc w:val="center"/>
                    <w:rPr>
                      <w:szCs w:val="21"/>
                    </w:rPr>
                  </w:pPr>
                  <w:r>
                    <w:rPr>
                      <w:rFonts w:hint="eastAsia"/>
                      <w:szCs w:val="21"/>
                    </w:rPr>
                    <w:t>《四川省促进砂石行业健康有序发展实施方案》（川发改价格〔2020〕664号）</w:t>
                  </w:r>
                </w:p>
              </w:tc>
              <w:tc>
                <w:tcPr>
                  <w:tcW w:w="2227" w:type="pct"/>
                  <w:vAlign w:val="center"/>
                </w:tcPr>
                <w:p>
                  <w:pPr>
                    <w:rPr>
                      <w:szCs w:val="21"/>
                    </w:rPr>
                  </w:pPr>
                  <w:r>
                    <w:rPr>
                      <w:rFonts w:hint="eastAsia"/>
                      <w:szCs w:val="21"/>
                    </w:rPr>
                    <w:t>根据近期及“十四五”投资建设需要，进一步摸清砂石资源禀赋、实际产能和开发利用现状，以及项目建设砂石分年度需求，统筹考虑各地矿产资源、交通物流等因素，加强砂石资源调查评价与勘查，优化砂石资源规划布局，实现砂石矿产资源集约化、规模化开采，力争2025年形成绿色优质高效的机制砂石供应体系。在引导中小砂石企业合规生产的同时，鼓励各类企业以资源、资本、技术、市场等为纽带，通过市场化法治化手段参与砂石资源矿业权市场化竞买，实施兼并重组，压减、改造机制砂石低效产能，提升产业集中度，有效改变“小、散、乱”局面。</w:t>
                  </w:r>
                </w:p>
              </w:tc>
              <w:tc>
                <w:tcPr>
                  <w:tcW w:w="1489" w:type="pct"/>
                  <w:vAlign w:val="center"/>
                </w:tcPr>
                <w:p>
                  <w:pPr>
                    <w:rPr>
                      <w:szCs w:val="21"/>
                    </w:rPr>
                  </w:pPr>
                  <w:r>
                    <w:rPr>
                      <w:rFonts w:hint="eastAsia"/>
                      <w:szCs w:val="21"/>
                    </w:rPr>
                    <w:t>项目在现有水泥厂内建设机制砂生产设施，实现砂石、水泥聚集效应，减少二次物流量。</w:t>
                  </w:r>
                </w:p>
              </w:tc>
              <w:tc>
                <w:tcPr>
                  <w:tcW w:w="541"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Merge w:val="continue"/>
                  <w:vAlign w:val="center"/>
                </w:tcPr>
                <w:p>
                  <w:pPr>
                    <w:jc w:val="center"/>
                    <w:rPr>
                      <w:szCs w:val="21"/>
                    </w:rPr>
                  </w:pPr>
                </w:p>
              </w:tc>
              <w:tc>
                <w:tcPr>
                  <w:tcW w:w="2227" w:type="pct"/>
                  <w:vAlign w:val="center"/>
                </w:tcPr>
                <w:p>
                  <w:pPr>
                    <w:rPr>
                      <w:szCs w:val="21"/>
                    </w:rPr>
                  </w:pPr>
                  <w:r>
                    <w:rPr>
                      <w:rFonts w:hint="eastAsia"/>
                      <w:szCs w:val="21"/>
                    </w:rPr>
                    <w:t>引导各类资金支持骨干项目建设，推动大型在建、拟建机制砂石项目尽快投产达产，增加优质砂石供给能力。进一步拓展砂石来源，鼓励利用废石、矿渣和尾矿生产机制砂石，支持就地取材，利用开山、道路、隧洞、场地平整等建设工程产生的砂石料生产机制砂石，减少中长距离公路运输外来砂石。支持将生产规范、产品优质、产量稳定、开采加工集约化规模化的机制砂石生产项目纳入各级重点项目。</w:t>
                  </w:r>
                </w:p>
              </w:tc>
              <w:tc>
                <w:tcPr>
                  <w:tcW w:w="1489" w:type="pct"/>
                  <w:vAlign w:val="center"/>
                </w:tcPr>
                <w:p>
                  <w:pPr>
                    <w:rPr>
                      <w:szCs w:val="21"/>
                    </w:rPr>
                  </w:pPr>
                  <w:r>
                    <w:rPr>
                      <w:rFonts w:hint="eastAsia"/>
                      <w:szCs w:val="21"/>
                    </w:rPr>
                    <w:t>项目利用骨料线产生的0</w:t>
                  </w:r>
                  <w:r>
                    <w:rPr>
                      <w:szCs w:val="21"/>
                    </w:rPr>
                    <w:t>-5</w:t>
                  </w:r>
                  <w:r>
                    <w:rPr>
                      <w:rFonts w:hint="eastAsia"/>
                      <w:szCs w:val="21"/>
                    </w:rPr>
                    <w:t>mm粉料作为制砂原料，实现就地取材，产品质量符合国家和地方标准要求。</w:t>
                  </w:r>
                </w:p>
              </w:tc>
              <w:tc>
                <w:tcPr>
                  <w:tcW w:w="541"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Merge w:val="restart"/>
                  <w:vAlign w:val="center"/>
                </w:tcPr>
                <w:p>
                  <w:pPr>
                    <w:jc w:val="center"/>
                    <w:rPr>
                      <w:szCs w:val="21"/>
                    </w:rPr>
                  </w:pPr>
                  <w:r>
                    <w:rPr>
                      <w:rFonts w:hint="eastAsia"/>
                      <w:szCs w:val="21"/>
                    </w:rPr>
                    <w:t>《四川省进一步做好砂石保供稳价工作十项措施》（川发改价格〔2021〕260号）</w:t>
                  </w:r>
                </w:p>
              </w:tc>
              <w:tc>
                <w:tcPr>
                  <w:tcW w:w="2227" w:type="pct"/>
                  <w:vAlign w:val="center"/>
                </w:tcPr>
                <w:p>
                  <w:pPr>
                    <w:rPr>
                      <w:szCs w:val="21"/>
                    </w:rPr>
                  </w:pPr>
                  <w:r>
                    <w:rPr>
                      <w:rFonts w:hint="eastAsia"/>
                      <w:szCs w:val="21"/>
                    </w:rPr>
                    <w:t>鼓励各类企业通过市场化法治化手段实施兼并重组。压减、改造低效产能，提升砂石企业生产经营集约化、规模化、标准化水平。</w:t>
                  </w:r>
                </w:p>
              </w:tc>
              <w:tc>
                <w:tcPr>
                  <w:tcW w:w="1489" w:type="pct"/>
                  <w:vMerge w:val="restart"/>
                  <w:vAlign w:val="center"/>
                </w:tcPr>
                <w:p>
                  <w:pPr>
                    <w:rPr>
                      <w:szCs w:val="21"/>
                    </w:rPr>
                  </w:pPr>
                  <w:r>
                    <w:rPr>
                      <w:rFonts w:hint="eastAsia"/>
                      <w:szCs w:val="21"/>
                    </w:rPr>
                    <w:t>项目在现有水泥厂内建设规模化、标准化机制砂生产，实现砂石、水泥集中供应。</w:t>
                  </w:r>
                </w:p>
              </w:tc>
              <w:tc>
                <w:tcPr>
                  <w:tcW w:w="541" w:type="pct"/>
                  <w:vMerge w:val="restar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Merge w:val="continue"/>
                  <w:vAlign w:val="center"/>
                </w:tcPr>
                <w:p>
                  <w:pPr>
                    <w:jc w:val="center"/>
                    <w:rPr>
                      <w:szCs w:val="21"/>
                    </w:rPr>
                  </w:pPr>
                </w:p>
              </w:tc>
              <w:tc>
                <w:tcPr>
                  <w:tcW w:w="2227" w:type="pct"/>
                  <w:vAlign w:val="center"/>
                </w:tcPr>
                <w:p>
                  <w:pPr>
                    <w:rPr>
                      <w:szCs w:val="21"/>
                    </w:rPr>
                  </w:pPr>
                  <w:r>
                    <w:rPr>
                      <w:rFonts w:hint="eastAsia"/>
                      <w:szCs w:val="21"/>
                    </w:rPr>
                    <w:t>鼓励引导机制砂石生产企业与矿山、装备及水泥、混凝土等企业协同发展，支持企业拓展机制砂石业务。</w:t>
                  </w:r>
                </w:p>
              </w:tc>
              <w:tc>
                <w:tcPr>
                  <w:tcW w:w="1489" w:type="pct"/>
                  <w:vMerge w:val="continue"/>
                  <w:vAlign w:val="center"/>
                </w:tcPr>
                <w:p>
                  <w:pPr>
                    <w:rPr>
                      <w:szCs w:val="21"/>
                    </w:rPr>
                  </w:pPr>
                </w:p>
              </w:tc>
              <w:tc>
                <w:tcPr>
                  <w:tcW w:w="54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Merge w:val="continue"/>
                  <w:vAlign w:val="center"/>
                </w:tcPr>
                <w:p>
                  <w:pPr>
                    <w:jc w:val="center"/>
                    <w:rPr>
                      <w:szCs w:val="21"/>
                    </w:rPr>
                  </w:pPr>
                </w:p>
              </w:tc>
              <w:tc>
                <w:tcPr>
                  <w:tcW w:w="2227" w:type="pct"/>
                  <w:vAlign w:val="center"/>
                </w:tcPr>
                <w:p>
                  <w:pPr>
                    <w:rPr>
                      <w:szCs w:val="21"/>
                    </w:rPr>
                  </w:pPr>
                  <w:r>
                    <w:rPr>
                      <w:rFonts w:hint="eastAsia"/>
                      <w:szCs w:val="21"/>
                    </w:rPr>
                    <w:t>鼓励和支持综合利用废石、矿渣和尾矿，加快推进砂源替代利用，增加再生砂石供给。</w:t>
                  </w:r>
                </w:p>
              </w:tc>
              <w:tc>
                <w:tcPr>
                  <w:tcW w:w="1489" w:type="pct"/>
                  <w:vAlign w:val="center"/>
                </w:tcPr>
                <w:p>
                  <w:pPr>
                    <w:rPr>
                      <w:szCs w:val="21"/>
                    </w:rPr>
                  </w:pPr>
                  <w:r>
                    <w:rPr>
                      <w:rFonts w:hint="eastAsia"/>
                      <w:szCs w:val="21"/>
                    </w:rPr>
                    <w:t>项目利用骨料线产生的0</w:t>
                  </w:r>
                  <w:r>
                    <w:rPr>
                      <w:szCs w:val="21"/>
                    </w:rPr>
                    <w:t>-5</w:t>
                  </w:r>
                  <w:r>
                    <w:rPr>
                      <w:rFonts w:hint="eastAsia"/>
                      <w:szCs w:val="21"/>
                    </w:rPr>
                    <w:t>mm粉料作为制砂原料。</w:t>
                  </w:r>
                </w:p>
              </w:tc>
              <w:tc>
                <w:tcPr>
                  <w:tcW w:w="541" w:type="pct"/>
                  <w:vAlign w:val="center"/>
                </w:tcPr>
                <w:p>
                  <w:pPr>
                    <w:jc w:val="center"/>
                    <w:rPr>
                      <w:szCs w:val="21"/>
                    </w:rPr>
                  </w:pPr>
                  <w:r>
                    <w:rPr>
                      <w:rFonts w:hint="eastAsia"/>
                      <w:szCs w:val="21"/>
                    </w:rPr>
                    <w:t>符合</w:t>
                  </w:r>
                </w:p>
              </w:tc>
            </w:tr>
          </w:tbl>
          <w:p>
            <w:pPr>
              <w:spacing w:line="360" w:lineRule="auto"/>
              <w:ind w:firstLine="480" w:firstLineChars="200"/>
              <w:rPr>
                <w:rFonts w:cs="Times New Roman"/>
                <w:sz w:val="24"/>
                <w:szCs w:val="24"/>
              </w:rPr>
            </w:pPr>
            <w:r>
              <w:rPr>
                <w:rFonts w:hint="eastAsia" w:cs="Times New Roman"/>
                <w:sz w:val="24"/>
                <w:szCs w:val="24"/>
              </w:rPr>
              <w:t>综上分析，本项目符合《关于推进机制砂石行业高质量发展的若干意见》（工信部联原〔2019〕239号）、《关于促进砂石行业健康有序发展的指导意见》（发改价格〔2020〕473号）、《四川省促进砂石行业健康有序发展实施方案》（川发改价格〔2020〕664号）和《四川省进一步做好砂石保供稳价工作十项措施》（川发改价格〔2021〕260号）等砂石行业相关文件要求。</w:t>
            </w:r>
          </w:p>
          <w:p>
            <w:pPr>
              <w:spacing w:line="360" w:lineRule="auto"/>
              <w:ind w:firstLine="482" w:firstLineChars="200"/>
              <w:rPr>
                <w:rFonts w:cstheme="minorHAnsi"/>
                <w:sz w:val="24"/>
                <w:szCs w:val="24"/>
              </w:rPr>
            </w:pPr>
            <w:r>
              <w:rPr>
                <w:rFonts w:hint="eastAsia" w:cs="Times New Roman"/>
                <w:b/>
                <w:sz w:val="24"/>
                <w:szCs w:val="24"/>
              </w:rPr>
              <w:t>5、与大气污染防治相关规范符合性</w:t>
            </w:r>
          </w:p>
          <w:p>
            <w:pPr>
              <w:spacing w:line="360" w:lineRule="auto"/>
              <w:ind w:firstLine="480" w:firstLineChars="200"/>
              <w:rPr>
                <w:rFonts w:cstheme="minorHAnsi"/>
                <w:sz w:val="24"/>
                <w:szCs w:val="24"/>
              </w:rPr>
            </w:pPr>
            <w:r>
              <w:rPr>
                <w:rFonts w:hint="eastAsia" w:cstheme="minorHAnsi"/>
                <w:sz w:val="24"/>
                <w:szCs w:val="24"/>
              </w:rPr>
              <w:t>本项目与大气污染防治相关法律、规范符合性分析见下表。</w:t>
            </w:r>
          </w:p>
          <w:p>
            <w:pPr>
              <w:spacing w:line="360" w:lineRule="auto"/>
              <w:jc w:val="center"/>
              <w:rPr>
                <w:rFonts w:eastAsia="黑体"/>
                <w:szCs w:val="21"/>
              </w:rPr>
            </w:pPr>
            <w:r>
              <w:rPr>
                <w:rFonts w:eastAsia="黑体"/>
                <w:szCs w:val="21"/>
              </w:rPr>
              <w:t>表1-3  项目与</w:t>
            </w:r>
            <w:r>
              <w:rPr>
                <w:rFonts w:hint="eastAsia" w:eastAsia="黑体"/>
                <w:szCs w:val="21"/>
              </w:rPr>
              <w:t>大气污染防治相关法律规范</w:t>
            </w:r>
            <w:r>
              <w:rPr>
                <w:rFonts w:eastAsia="黑体"/>
                <w:szCs w:val="21"/>
              </w:rPr>
              <w:t>符合性</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3691"/>
              <w:gridCol w:w="2594"/>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Align w:val="center"/>
                </w:tcPr>
                <w:p>
                  <w:pPr>
                    <w:jc w:val="center"/>
                    <w:rPr>
                      <w:szCs w:val="21"/>
                    </w:rPr>
                  </w:pPr>
                  <w:r>
                    <w:rPr>
                      <w:rFonts w:hint="eastAsia"/>
                      <w:szCs w:val="21"/>
                    </w:rPr>
                    <w:t>相关法律、规范</w:t>
                  </w:r>
                </w:p>
              </w:tc>
              <w:tc>
                <w:tcPr>
                  <w:tcW w:w="2227" w:type="pct"/>
                  <w:vAlign w:val="center"/>
                </w:tcPr>
                <w:p>
                  <w:pPr>
                    <w:jc w:val="center"/>
                    <w:rPr>
                      <w:szCs w:val="21"/>
                    </w:rPr>
                  </w:pPr>
                  <w:r>
                    <w:rPr>
                      <w:rFonts w:hint="eastAsia"/>
                      <w:szCs w:val="21"/>
                    </w:rPr>
                    <w:t>相关要求</w:t>
                  </w:r>
                </w:p>
              </w:tc>
              <w:tc>
                <w:tcPr>
                  <w:tcW w:w="1565" w:type="pct"/>
                  <w:vAlign w:val="center"/>
                </w:tcPr>
                <w:p>
                  <w:pPr>
                    <w:jc w:val="center"/>
                    <w:rPr>
                      <w:szCs w:val="21"/>
                    </w:rPr>
                  </w:pPr>
                  <w:r>
                    <w:rPr>
                      <w:rFonts w:hint="eastAsia"/>
                      <w:szCs w:val="21"/>
                    </w:rPr>
                    <w:t>本项目情况</w:t>
                  </w:r>
                </w:p>
              </w:tc>
              <w:tc>
                <w:tcPr>
                  <w:tcW w:w="465" w:type="pct"/>
                  <w:vAlign w:val="center"/>
                </w:tcPr>
                <w:p>
                  <w:pPr>
                    <w:jc w:val="center"/>
                    <w:rPr>
                      <w:szCs w:val="21"/>
                    </w:rPr>
                  </w:pPr>
                  <w:r>
                    <w:rPr>
                      <w:rFonts w:hint="eastAsia"/>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Align w:val="center"/>
                </w:tcPr>
                <w:p>
                  <w:pPr>
                    <w:jc w:val="center"/>
                    <w:rPr>
                      <w:szCs w:val="21"/>
                    </w:rPr>
                  </w:pPr>
                  <w:r>
                    <w:rPr>
                      <w:rFonts w:hint="eastAsia"/>
                      <w:szCs w:val="21"/>
                    </w:rPr>
                    <w:t>《中华人民共和国大气污染防治法》</w:t>
                  </w:r>
                </w:p>
              </w:tc>
              <w:tc>
                <w:tcPr>
                  <w:tcW w:w="2227" w:type="pct"/>
                  <w:vAlign w:val="center"/>
                </w:tcPr>
                <w:p>
                  <w:pPr>
                    <w:rPr>
                      <w:szCs w:val="21"/>
                    </w:rPr>
                  </w:pPr>
                  <w:r>
                    <w:rPr>
                      <w:rFonts w:hint="eastAsia"/>
                      <w:szCs w:val="21"/>
                    </w:rPr>
                    <w:t>工业生产企业应当采取密闭、围挡、遮盖、清扫、洒水等措施，减少内部物料的堆存、传输、装卸等环节产生的粉尘和气态污染物的排放。</w:t>
                  </w:r>
                </w:p>
              </w:tc>
              <w:tc>
                <w:tcPr>
                  <w:tcW w:w="1565" w:type="pct"/>
                  <w:vAlign w:val="center"/>
                </w:tcPr>
                <w:p>
                  <w:pPr>
                    <w:rPr>
                      <w:szCs w:val="21"/>
                    </w:rPr>
                  </w:pPr>
                  <w:r>
                    <w:rPr>
                      <w:rFonts w:hint="eastAsia"/>
                      <w:szCs w:val="21"/>
                    </w:rPr>
                    <w:t>项目制砂楼、输送带均密闭，机制砂、粉料等采用密闭贮仓进行贮存，制砂、筛分、输送、贮存、装卸等环节产尘点均采取治理措施。</w:t>
                  </w:r>
                </w:p>
              </w:tc>
              <w:tc>
                <w:tcPr>
                  <w:tcW w:w="46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43" w:type="pct"/>
                  <w:vMerge w:val="restart"/>
                  <w:vAlign w:val="center"/>
                </w:tcPr>
                <w:p>
                  <w:pPr>
                    <w:jc w:val="center"/>
                    <w:rPr>
                      <w:szCs w:val="21"/>
                    </w:rPr>
                  </w:pPr>
                  <w:r>
                    <w:rPr>
                      <w:rFonts w:hint="eastAsia"/>
                      <w:szCs w:val="21"/>
                    </w:rPr>
                    <w:t>《四川&lt;中华人民共和国大气污染防治法&gt;实施办法》</w:t>
                  </w:r>
                </w:p>
              </w:tc>
              <w:tc>
                <w:tcPr>
                  <w:tcW w:w="2227" w:type="pct"/>
                  <w:vAlign w:val="center"/>
                </w:tcPr>
                <w:p>
                  <w:pPr>
                    <w:rPr>
                      <w:szCs w:val="21"/>
                    </w:rPr>
                  </w:pPr>
                  <w:r>
                    <w:rPr>
                      <w:rFonts w:hint="eastAsia"/>
                      <w:szCs w:val="21"/>
                    </w:rPr>
                    <w:t>石材加工企业应当采用湿法加工工艺，无法使用湿法工艺的应当安装收尘装置，防治粉尘污染。</w:t>
                  </w:r>
                </w:p>
              </w:tc>
              <w:tc>
                <w:tcPr>
                  <w:tcW w:w="1565" w:type="pct"/>
                  <w:vMerge w:val="restart"/>
                  <w:vAlign w:val="center"/>
                </w:tcPr>
                <w:p>
                  <w:pPr>
                    <w:rPr>
                      <w:szCs w:val="21"/>
                    </w:rPr>
                  </w:pPr>
                  <w:r>
                    <w:rPr>
                      <w:rFonts w:hint="eastAsia"/>
                      <w:szCs w:val="21"/>
                    </w:rPr>
                    <w:t>项目为机制砂生产，采用干法生产技术，配套建设有收尘装置和袋式除尘器；项目不涉及露天切割、打磨等作业。</w:t>
                  </w:r>
                </w:p>
              </w:tc>
              <w:tc>
                <w:tcPr>
                  <w:tcW w:w="465" w:type="pct"/>
                  <w:vMerge w:val="restart"/>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Merge w:val="continue"/>
                  <w:vAlign w:val="center"/>
                </w:tcPr>
                <w:p>
                  <w:pPr>
                    <w:jc w:val="center"/>
                    <w:rPr>
                      <w:szCs w:val="21"/>
                    </w:rPr>
                  </w:pPr>
                </w:p>
              </w:tc>
              <w:tc>
                <w:tcPr>
                  <w:tcW w:w="2227" w:type="pct"/>
                  <w:vAlign w:val="center"/>
                </w:tcPr>
                <w:p>
                  <w:pPr>
                    <w:rPr>
                      <w:szCs w:val="21"/>
                    </w:rPr>
                  </w:pPr>
                  <w:r>
                    <w:rPr>
                      <w:rFonts w:hint="eastAsia"/>
                      <w:szCs w:val="21"/>
                    </w:rPr>
                    <w:t>在城市建成区内从事石材销售、加工企业和其他生产经营者，不得进行石材露天切割、打磨等作业。</w:t>
                  </w:r>
                </w:p>
              </w:tc>
              <w:tc>
                <w:tcPr>
                  <w:tcW w:w="1565" w:type="pct"/>
                  <w:vMerge w:val="continue"/>
                  <w:vAlign w:val="center"/>
                </w:tcPr>
                <w:p>
                  <w:pPr>
                    <w:rPr>
                      <w:szCs w:val="21"/>
                    </w:rPr>
                  </w:pPr>
                </w:p>
              </w:tc>
              <w:tc>
                <w:tcPr>
                  <w:tcW w:w="465" w:type="pct"/>
                  <w:vMerge w:val="continue"/>
                  <w:vAlign w:val="center"/>
                </w:tcPr>
                <w:p>
                  <w:pPr>
                    <w:jc w:val="center"/>
                    <w:rPr>
                      <w:szCs w:val="21"/>
                    </w:rPr>
                  </w:pPr>
                </w:p>
              </w:tc>
            </w:tr>
          </w:tbl>
          <w:p>
            <w:pPr>
              <w:spacing w:line="360" w:lineRule="auto"/>
              <w:ind w:firstLine="480" w:firstLineChars="200"/>
              <w:rPr>
                <w:rFonts w:cstheme="minorHAnsi"/>
                <w:sz w:val="24"/>
                <w:szCs w:val="24"/>
              </w:rPr>
            </w:pPr>
            <w:r>
              <w:rPr>
                <w:rFonts w:hint="eastAsia" w:cstheme="minorHAnsi"/>
                <w:sz w:val="24"/>
                <w:szCs w:val="24"/>
              </w:rPr>
              <w:t>由以上分析可知，本项目符合《中华人民共和国大气污染防治法》《四川&lt;中华人民共和国大气污染防治法&gt;实施办法》中有关要求。</w:t>
            </w:r>
          </w:p>
          <w:p>
            <w:pPr>
              <w:spacing w:line="360" w:lineRule="auto"/>
              <w:ind w:firstLine="482" w:firstLineChars="200"/>
              <w:rPr>
                <w:rFonts w:cstheme="minorHAnsi"/>
                <w:sz w:val="24"/>
                <w:szCs w:val="24"/>
              </w:rPr>
            </w:pPr>
            <w:r>
              <w:rPr>
                <w:rFonts w:hint="eastAsia" w:cs="Times New Roman"/>
                <w:b/>
                <w:sz w:val="24"/>
                <w:szCs w:val="24"/>
              </w:rPr>
              <w:t>6、与生态环境分区管控符合性</w:t>
            </w:r>
          </w:p>
          <w:p>
            <w:pPr>
              <w:adjustRightInd w:val="0"/>
              <w:spacing w:line="360" w:lineRule="auto"/>
              <w:ind w:firstLine="480" w:firstLineChars="200"/>
              <w:textAlignment w:val="baseline"/>
              <w:rPr>
                <w:sz w:val="24"/>
              </w:rPr>
            </w:pPr>
            <w:r>
              <w:rPr>
                <w:rFonts w:hint="eastAsia"/>
                <w:sz w:val="24"/>
              </w:rPr>
              <w:t>根据四川省生态环境厅办公室《关于印发&lt;产业园区规划环评“三线一单”符合性分析技术要点（试行）&gt;和&lt;项目环评“三线一单”符合性分析技术要点（试行）&gt;的通知》（川环办函〔2021〕469号），本项目与生态环境分区管控符合性分析如下：</w:t>
            </w:r>
          </w:p>
          <w:p>
            <w:pPr>
              <w:adjustRightInd w:val="0"/>
              <w:spacing w:line="360" w:lineRule="auto"/>
              <w:ind w:firstLine="482" w:firstLineChars="200"/>
              <w:textAlignment w:val="baseline"/>
              <w:rPr>
                <w:b/>
                <w:sz w:val="24"/>
              </w:rPr>
            </w:pPr>
            <w:r>
              <w:rPr>
                <w:b/>
                <w:sz w:val="24"/>
              </w:rPr>
              <w:t>（</w:t>
            </w:r>
            <w:r>
              <w:rPr>
                <w:rFonts w:hint="eastAsia"/>
                <w:b/>
                <w:sz w:val="24"/>
              </w:rPr>
              <w:t>1）环境管控单元</w:t>
            </w:r>
          </w:p>
          <w:p>
            <w:pPr>
              <w:adjustRightInd w:val="0"/>
              <w:spacing w:line="360" w:lineRule="auto"/>
              <w:ind w:firstLine="470" w:firstLineChars="196"/>
              <w:textAlignment w:val="baseline"/>
              <w:rPr>
                <w:sz w:val="24"/>
              </w:rPr>
            </w:pPr>
            <w:r>
              <w:rPr>
                <w:rFonts w:hint="eastAsia"/>
                <w:sz w:val="24"/>
              </w:rPr>
              <w:t>本项目位于达州市大竹县石河镇，根据四川政务服务网生态环境分区管控符合性分析系统查询结果，涉及环境管控单元如下：</w:t>
            </w:r>
          </w:p>
          <w:p>
            <w:pPr>
              <w:spacing w:line="360" w:lineRule="auto"/>
              <w:jc w:val="center"/>
              <w:rPr>
                <w:rFonts w:eastAsia="黑体" w:cs="Times New Roman"/>
                <w:szCs w:val="21"/>
              </w:rPr>
            </w:pPr>
            <w:r>
              <w:rPr>
                <w:rFonts w:hint="eastAsia" w:eastAsia="黑体" w:cs="Times New Roman"/>
                <w:szCs w:val="21"/>
              </w:rPr>
              <w:t>表</w:t>
            </w:r>
            <w:r>
              <w:rPr>
                <w:rFonts w:eastAsia="黑体" w:cs="Times New Roman"/>
                <w:szCs w:val="21"/>
              </w:rPr>
              <w:t xml:space="preserve">1-4  </w:t>
            </w:r>
            <w:r>
              <w:rPr>
                <w:rFonts w:hint="eastAsia" w:eastAsia="黑体" w:cs="Times New Roman"/>
                <w:szCs w:val="21"/>
              </w:rPr>
              <w:t>项目涉及环境管控单元表</w:t>
            </w:r>
          </w:p>
          <w:tbl>
            <w:tblPr>
              <w:tblStyle w:val="16"/>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160"/>
              <w:gridCol w:w="1744"/>
              <w:gridCol w:w="872"/>
              <w:gridCol w:w="874"/>
              <w:gridCol w:w="1155"/>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Align w:val="center"/>
                </w:tcPr>
                <w:p>
                  <w:pPr>
                    <w:adjustRightInd w:val="0"/>
                    <w:jc w:val="center"/>
                    <w:textAlignment w:val="baseline"/>
                    <w:rPr>
                      <w:rFonts w:cs="Times New Roman"/>
                      <w:szCs w:val="21"/>
                    </w:rPr>
                  </w:pPr>
                  <w:r>
                    <w:rPr>
                      <w:rFonts w:cs="Times New Roman"/>
                      <w:szCs w:val="21"/>
                    </w:rPr>
                    <w:t>序号</w:t>
                  </w:r>
                </w:p>
              </w:tc>
              <w:tc>
                <w:tcPr>
                  <w:tcW w:w="700" w:type="pct"/>
                  <w:vAlign w:val="center"/>
                </w:tcPr>
                <w:p>
                  <w:pPr>
                    <w:adjustRightInd w:val="0"/>
                    <w:jc w:val="center"/>
                    <w:textAlignment w:val="baseline"/>
                    <w:rPr>
                      <w:rFonts w:cs="Times New Roman"/>
                      <w:szCs w:val="21"/>
                    </w:rPr>
                  </w:pPr>
                  <w:r>
                    <w:rPr>
                      <w:rFonts w:cs="Times New Roman"/>
                      <w:szCs w:val="21"/>
                    </w:rPr>
                    <w:t>管控单元编码</w:t>
                  </w:r>
                </w:p>
              </w:tc>
              <w:tc>
                <w:tcPr>
                  <w:tcW w:w="1052" w:type="pct"/>
                  <w:vAlign w:val="center"/>
                </w:tcPr>
                <w:p>
                  <w:pPr>
                    <w:adjustRightInd w:val="0"/>
                    <w:jc w:val="center"/>
                    <w:textAlignment w:val="baseline"/>
                    <w:rPr>
                      <w:rFonts w:cs="Times New Roman"/>
                      <w:szCs w:val="21"/>
                    </w:rPr>
                  </w:pPr>
                  <w:r>
                    <w:rPr>
                      <w:rFonts w:cs="Times New Roman"/>
                      <w:szCs w:val="21"/>
                    </w:rPr>
                    <w:t>管控单元名称</w:t>
                  </w:r>
                </w:p>
              </w:tc>
              <w:tc>
                <w:tcPr>
                  <w:tcW w:w="526" w:type="pct"/>
                  <w:vAlign w:val="center"/>
                </w:tcPr>
                <w:p>
                  <w:pPr>
                    <w:adjustRightInd w:val="0"/>
                    <w:jc w:val="center"/>
                    <w:textAlignment w:val="baseline"/>
                    <w:rPr>
                      <w:rFonts w:cs="Times New Roman"/>
                      <w:szCs w:val="21"/>
                    </w:rPr>
                  </w:pPr>
                  <w:r>
                    <w:rPr>
                      <w:rFonts w:cs="Times New Roman"/>
                      <w:szCs w:val="21"/>
                    </w:rPr>
                    <w:t>所属城市</w:t>
                  </w:r>
                </w:p>
              </w:tc>
              <w:tc>
                <w:tcPr>
                  <w:tcW w:w="527" w:type="pct"/>
                  <w:vAlign w:val="center"/>
                </w:tcPr>
                <w:p>
                  <w:pPr>
                    <w:adjustRightInd w:val="0"/>
                    <w:jc w:val="center"/>
                    <w:textAlignment w:val="baseline"/>
                    <w:rPr>
                      <w:rFonts w:cs="Times New Roman"/>
                      <w:szCs w:val="21"/>
                    </w:rPr>
                  </w:pPr>
                  <w:r>
                    <w:rPr>
                      <w:rFonts w:cs="Times New Roman"/>
                      <w:szCs w:val="21"/>
                    </w:rPr>
                    <w:t>所属区县</w:t>
                  </w:r>
                </w:p>
              </w:tc>
              <w:tc>
                <w:tcPr>
                  <w:tcW w:w="697" w:type="pct"/>
                  <w:vAlign w:val="center"/>
                </w:tcPr>
                <w:p>
                  <w:pPr>
                    <w:adjustRightInd w:val="0"/>
                    <w:jc w:val="center"/>
                    <w:textAlignment w:val="baseline"/>
                    <w:rPr>
                      <w:rFonts w:cs="Times New Roman"/>
                      <w:szCs w:val="21"/>
                    </w:rPr>
                  </w:pPr>
                  <w:r>
                    <w:rPr>
                      <w:rFonts w:cs="Times New Roman"/>
                      <w:szCs w:val="21"/>
                    </w:rPr>
                    <w:t>准入清单类型</w:t>
                  </w:r>
                </w:p>
              </w:tc>
              <w:tc>
                <w:tcPr>
                  <w:tcW w:w="1062" w:type="pct"/>
                  <w:vAlign w:val="center"/>
                </w:tcPr>
                <w:p>
                  <w:pPr>
                    <w:adjustRightInd w:val="0"/>
                    <w:jc w:val="center"/>
                    <w:textAlignment w:val="baseline"/>
                    <w:rPr>
                      <w:rFonts w:cs="Times New Roman"/>
                      <w:szCs w:val="21"/>
                    </w:rPr>
                  </w:pPr>
                  <w:r>
                    <w:rPr>
                      <w:rFonts w:cs="Times New Roman"/>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Align w:val="center"/>
                </w:tcPr>
                <w:p>
                  <w:pPr>
                    <w:adjustRightInd w:val="0"/>
                    <w:jc w:val="center"/>
                    <w:textAlignment w:val="baseline"/>
                    <w:rPr>
                      <w:rFonts w:cs="Times New Roman"/>
                      <w:szCs w:val="21"/>
                    </w:rPr>
                  </w:pPr>
                  <w:r>
                    <w:rPr>
                      <w:rFonts w:cs="Times New Roman"/>
                      <w:szCs w:val="21"/>
                    </w:rPr>
                    <w:t>1</w:t>
                  </w:r>
                </w:p>
              </w:tc>
              <w:tc>
                <w:tcPr>
                  <w:tcW w:w="700" w:type="pct"/>
                  <w:vAlign w:val="center"/>
                </w:tcPr>
                <w:p>
                  <w:pPr>
                    <w:adjustRightInd w:val="0"/>
                    <w:jc w:val="center"/>
                    <w:textAlignment w:val="baseline"/>
                    <w:rPr>
                      <w:rFonts w:cs="Times New Roman"/>
                      <w:szCs w:val="21"/>
                    </w:rPr>
                  </w:pPr>
                  <w:r>
                    <w:rPr>
                      <w:rFonts w:cs="Times New Roman"/>
                      <w:szCs w:val="21"/>
                    </w:rPr>
                    <w:t>ZH51172</w:t>
                  </w:r>
                </w:p>
                <w:p>
                  <w:pPr>
                    <w:adjustRightInd w:val="0"/>
                    <w:jc w:val="center"/>
                    <w:textAlignment w:val="baseline"/>
                    <w:rPr>
                      <w:rFonts w:cs="Times New Roman"/>
                      <w:szCs w:val="21"/>
                    </w:rPr>
                  </w:pPr>
                  <w:r>
                    <w:rPr>
                      <w:rFonts w:cs="Times New Roman"/>
                      <w:szCs w:val="21"/>
                    </w:rPr>
                    <w:t>420001</w:t>
                  </w:r>
                </w:p>
              </w:tc>
              <w:tc>
                <w:tcPr>
                  <w:tcW w:w="1052" w:type="pct"/>
                  <w:vAlign w:val="center"/>
                </w:tcPr>
                <w:p>
                  <w:pPr>
                    <w:adjustRightInd w:val="0"/>
                    <w:jc w:val="center"/>
                    <w:textAlignment w:val="baseline"/>
                    <w:rPr>
                      <w:rFonts w:cs="Times New Roman"/>
                      <w:szCs w:val="21"/>
                    </w:rPr>
                  </w:pPr>
                  <w:r>
                    <w:rPr>
                      <w:rFonts w:cs="Times New Roman"/>
                      <w:szCs w:val="21"/>
                    </w:rPr>
                    <w:t>大竹县城镇空间</w:t>
                  </w:r>
                </w:p>
              </w:tc>
              <w:tc>
                <w:tcPr>
                  <w:tcW w:w="526" w:type="pct"/>
                  <w:vAlign w:val="center"/>
                </w:tcPr>
                <w:p>
                  <w:pPr>
                    <w:adjustRightInd w:val="0"/>
                    <w:jc w:val="center"/>
                    <w:textAlignment w:val="baseline"/>
                    <w:rPr>
                      <w:rFonts w:cs="Times New Roman"/>
                      <w:szCs w:val="21"/>
                    </w:rPr>
                  </w:pPr>
                  <w:r>
                    <w:rPr>
                      <w:rFonts w:cs="Times New Roman"/>
                      <w:szCs w:val="21"/>
                    </w:rPr>
                    <w:t>达州市</w:t>
                  </w:r>
                </w:p>
              </w:tc>
              <w:tc>
                <w:tcPr>
                  <w:tcW w:w="527" w:type="pct"/>
                  <w:vAlign w:val="center"/>
                </w:tcPr>
                <w:p>
                  <w:pPr>
                    <w:adjustRightInd w:val="0"/>
                    <w:jc w:val="center"/>
                    <w:textAlignment w:val="baseline"/>
                    <w:rPr>
                      <w:rFonts w:cs="Times New Roman"/>
                      <w:szCs w:val="21"/>
                    </w:rPr>
                  </w:pPr>
                  <w:r>
                    <w:rPr>
                      <w:rFonts w:cs="Times New Roman"/>
                      <w:szCs w:val="21"/>
                    </w:rPr>
                    <w:t>大竹县</w:t>
                  </w:r>
                </w:p>
              </w:tc>
              <w:tc>
                <w:tcPr>
                  <w:tcW w:w="697" w:type="pct"/>
                  <w:vAlign w:val="center"/>
                </w:tcPr>
                <w:p>
                  <w:pPr>
                    <w:adjustRightInd w:val="0"/>
                    <w:jc w:val="center"/>
                    <w:textAlignment w:val="baseline"/>
                    <w:rPr>
                      <w:rFonts w:cs="Times New Roman"/>
                      <w:szCs w:val="21"/>
                    </w:rPr>
                  </w:pPr>
                  <w:r>
                    <w:rPr>
                      <w:rFonts w:cs="Times New Roman"/>
                      <w:szCs w:val="21"/>
                    </w:rPr>
                    <w:t>环境管控单元</w:t>
                  </w:r>
                </w:p>
              </w:tc>
              <w:tc>
                <w:tcPr>
                  <w:tcW w:w="1062" w:type="pct"/>
                  <w:vAlign w:val="center"/>
                </w:tcPr>
                <w:p>
                  <w:pPr>
                    <w:adjustRightInd w:val="0"/>
                    <w:jc w:val="center"/>
                    <w:textAlignment w:val="baseline"/>
                    <w:rPr>
                      <w:rFonts w:cs="Times New Roman"/>
                      <w:szCs w:val="21"/>
                    </w:rPr>
                  </w:pPr>
                  <w:r>
                    <w:rPr>
                      <w:rFonts w:cs="Times New Roman"/>
                      <w:szCs w:val="21"/>
                    </w:rPr>
                    <w:t>环境综合管控单元城镇重点管控单元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Align w:val="center"/>
                </w:tcPr>
                <w:p>
                  <w:pPr>
                    <w:adjustRightInd w:val="0"/>
                    <w:jc w:val="center"/>
                    <w:textAlignment w:val="baseline"/>
                    <w:rPr>
                      <w:rFonts w:cs="Times New Roman"/>
                      <w:szCs w:val="21"/>
                    </w:rPr>
                  </w:pPr>
                  <w:r>
                    <w:rPr>
                      <w:rFonts w:cs="Times New Roman"/>
                      <w:szCs w:val="21"/>
                    </w:rPr>
                    <w:t>2</w:t>
                  </w:r>
                </w:p>
              </w:tc>
              <w:tc>
                <w:tcPr>
                  <w:tcW w:w="700" w:type="pct"/>
                  <w:vAlign w:val="center"/>
                </w:tcPr>
                <w:p>
                  <w:pPr>
                    <w:adjustRightInd w:val="0"/>
                    <w:jc w:val="center"/>
                    <w:textAlignment w:val="baseline"/>
                    <w:rPr>
                      <w:rFonts w:cs="Times New Roman"/>
                      <w:szCs w:val="21"/>
                    </w:rPr>
                  </w:pPr>
                  <w:r>
                    <w:rPr>
                      <w:rFonts w:cs="Times New Roman"/>
                      <w:szCs w:val="21"/>
                    </w:rPr>
                    <w:t>YS511724</w:t>
                  </w:r>
                </w:p>
                <w:p>
                  <w:pPr>
                    <w:adjustRightInd w:val="0"/>
                    <w:jc w:val="center"/>
                    <w:textAlignment w:val="baseline"/>
                    <w:rPr>
                      <w:rFonts w:cs="Times New Roman"/>
                      <w:szCs w:val="21"/>
                    </w:rPr>
                  </w:pPr>
                  <w:r>
                    <w:rPr>
                      <w:rFonts w:cs="Times New Roman"/>
                      <w:szCs w:val="21"/>
                    </w:rPr>
                    <w:t>2230001</w:t>
                  </w:r>
                </w:p>
              </w:tc>
              <w:tc>
                <w:tcPr>
                  <w:tcW w:w="1052" w:type="pct"/>
                  <w:vAlign w:val="center"/>
                </w:tcPr>
                <w:p>
                  <w:pPr>
                    <w:adjustRightInd w:val="0"/>
                    <w:jc w:val="center"/>
                    <w:textAlignment w:val="baseline"/>
                    <w:rPr>
                      <w:rFonts w:cs="Times New Roman"/>
                      <w:szCs w:val="21"/>
                    </w:rPr>
                  </w:pPr>
                  <w:r>
                    <w:rPr>
                      <w:rFonts w:cs="Times New Roman"/>
                      <w:szCs w:val="21"/>
                    </w:rPr>
                    <w:t>东柳河-大竹县-墩子河-控制单元</w:t>
                  </w:r>
                </w:p>
              </w:tc>
              <w:tc>
                <w:tcPr>
                  <w:tcW w:w="526" w:type="pct"/>
                  <w:vAlign w:val="center"/>
                </w:tcPr>
                <w:p>
                  <w:pPr>
                    <w:adjustRightInd w:val="0"/>
                    <w:jc w:val="center"/>
                    <w:textAlignment w:val="baseline"/>
                    <w:rPr>
                      <w:rFonts w:cs="Times New Roman"/>
                      <w:szCs w:val="21"/>
                    </w:rPr>
                  </w:pPr>
                  <w:r>
                    <w:rPr>
                      <w:rFonts w:cs="Times New Roman"/>
                      <w:szCs w:val="21"/>
                    </w:rPr>
                    <w:t>达州市</w:t>
                  </w:r>
                </w:p>
              </w:tc>
              <w:tc>
                <w:tcPr>
                  <w:tcW w:w="527" w:type="pct"/>
                  <w:vAlign w:val="center"/>
                </w:tcPr>
                <w:p>
                  <w:pPr>
                    <w:adjustRightInd w:val="0"/>
                    <w:jc w:val="center"/>
                    <w:textAlignment w:val="baseline"/>
                    <w:rPr>
                      <w:rFonts w:cs="Times New Roman"/>
                      <w:szCs w:val="21"/>
                    </w:rPr>
                  </w:pPr>
                  <w:r>
                    <w:rPr>
                      <w:rFonts w:cs="Times New Roman"/>
                      <w:szCs w:val="21"/>
                    </w:rPr>
                    <w:t>大竹县</w:t>
                  </w:r>
                </w:p>
              </w:tc>
              <w:tc>
                <w:tcPr>
                  <w:tcW w:w="697" w:type="pct"/>
                  <w:vAlign w:val="center"/>
                </w:tcPr>
                <w:p>
                  <w:pPr>
                    <w:adjustRightInd w:val="0"/>
                    <w:jc w:val="center"/>
                    <w:textAlignment w:val="baseline"/>
                    <w:rPr>
                      <w:rFonts w:cs="Times New Roman"/>
                      <w:szCs w:val="21"/>
                    </w:rPr>
                  </w:pPr>
                  <w:r>
                    <w:rPr>
                      <w:rFonts w:cs="Times New Roman"/>
                      <w:szCs w:val="21"/>
                    </w:rPr>
                    <w:t>水环境管控分区</w:t>
                  </w:r>
                </w:p>
              </w:tc>
              <w:tc>
                <w:tcPr>
                  <w:tcW w:w="1062" w:type="pct"/>
                  <w:vAlign w:val="center"/>
                </w:tcPr>
                <w:p>
                  <w:pPr>
                    <w:adjustRightInd w:val="0"/>
                    <w:jc w:val="center"/>
                    <w:textAlignment w:val="baseline"/>
                    <w:rPr>
                      <w:rFonts w:cs="Times New Roman"/>
                      <w:szCs w:val="21"/>
                    </w:rPr>
                  </w:pPr>
                  <w:r>
                    <w:rPr>
                      <w:rFonts w:cs="Times New Roman"/>
                      <w:szCs w:val="21"/>
                    </w:rPr>
                    <w:t>水环境农业污染重点管控区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36" w:type="pct"/>
                  <w:vAlign w:val="center"/>
                </w:tcPr>
                <w:p>
                  <w:pPr>
                    <w:adjustRightInd w:val="0"/>
                    <w:jc w:val="center"/>
                    <w:textAlignment w:val="baseline"/>
                    <w:rPr>
                      <w:rFonts w:cs="Times New Roman"/>
                      <w:szCs w:val="21"/>
                    </w:rPr>
                  </w:pPr>
                  <w:r>
                    <w:rPr>
                      <w:rFonts w:cs="Times New Roman"/>
                      <w:szCs w:val="21"/>
                    </w:rPr>
                    <w:t>3</w:t>
                  </w:r>
                </w:p>
              </w:tc>
              <w:tc>
                <w:tcPr>
                  <w:tcW w:w="700" w:type="pct"/>
                  <w:vAlign w:val="center"/>
                </w:tcPr>
                <w:p>
                  <w:pPr>
                    <w:adjustRightInd w:val="0"/>
                    <w:jc w:val="center"/>
                    <w:textAlignment w:val="baseline"/>
                    <w:rPr>
                      <w:rFonts w:cs="Times New Roman"/>
                      <w:szCs w:val="21"/>
                    </w:rPr>
                  </w:pPr>
                  <w:r>
                    <w:rPr>
                      <w:rFonts w:cs="Times New Roman"/>
                      <w:szCs w:val="21"/>
                    </w:rPr>
                    <w:t>YS511724</w:t>
                  </w:r>
                </w:p>
                <w:p>
                  <w:pPr>
                    <w:adjustRightInd w:val="0"/>
                    <w:jc w:val="center"/>
                    <w:textAlignment w:val="baseline"/>
                    <w:rPr>
                      <w:rFonts w:cs="Times New Roman"/>
                      <w:szCs w:val="21"/>
                    </w:rPr>
                  </w:pPr>
                  <w:r>
                    <w:rPr>
                      <w:rFonts w:cs="Times New Roman"/>
                      <w:szCs w:val="21"/>
                    </w:rPr>
                    <w:t>2340001</w:t>
                  </w:r>
                </w:p>
              </w:tc>
              <w:tc>
                <w:tcPr>
                  <w:tcW w:w="1052" w:type="pct"/>
                  <w:vAlign w:val="center"/>
                </w:tcPr>
                <w:p>
                  <w:pPr>
                    <w:adjustRightInd w:val="0"/>
                    <w:jc w:val="center"/>
                    <w:textAlignment w:val="baseline"/>
                    <w:rPr>
                      <w:rFonts w:cs="Times New Roman"/>
                      <w:szCs w:val="21"/>
                    </w:rPr>
                  </w:pPr>
                  <w:r>
                    <w:rPr>
                      <w:rFonts w:cs="Times New Roman"/>
                      <w:szCs w:val="21"/>
                    </w:rPr>
                    <w:t>大竹县城镇集中建设区</w:t>
                  </w:r>
                </w:p>
              </w:tc>
              <w:tc>
                <w:tcPr>
                  <w:tcW w:w="526" w:type="pct"/>
                  <w:vAlign w:val="center"/>
                </w:tcPr>
                <w:p>
                  <w:pPr>
                    <w:adjustRightInd w:val="0"/>
                    <w:jc w:val="center"/>
                    <w:textAlignment w:val="baseline"/>
                    <w:rPr>
                      <w:rFonts w:cs="Times New Roman"/>
                      <w:szCs w:val="21"/>
                    </w:rPr>
                  </w:pPr>
                  <w:r>
                    <w:rPr>
                      <w:rFonts w:cs="Times New Roman"/>
                      <w:szCs w:val="21"/>
                    </w:rPr>
                    <w:t>达州市</w:t>
                  </w:r>
                </w:p>
              </w:tc>
              <w:tc>
                <w:tcPr>
                  <w:tcW w:w="527" w:type="pct"/>
                  <w:vAlign w:val="center"/>
                </w:tcPr>
                <w:p>
                  <w:pPr>
                    <w:adjustRightInd w:val="0"/>
                    <w:jc w:val="center"/>
                    <w:textAlignment w:val="baseline"/>
                    <w:rPr>
                      <w:rFonts w:cs="Times New Roman"/>
                      <w:szCs w:val="21"/>
                    </w:rPr>
                  </w:pPr>
                  <w:r>
                    <w:rPr>
                      <w:rFonts w:cs="Times New Roman"/>
                      <w:szCs w:val="21"/>
                    </w:rPr>
                    <w:t>大竹县</w:t>
                  </w:r>
                </w:p>
              </w:tc>
              <w:tc>
                <w:tcPr>
                  <w:tcW w:w="697" w:type="pct"/>
                  <w:vAlign w:val="center"/>
                </w:tcPr>
                <w:p>
                  <w:pPr>
                    <w:adjustRightInd w:val="0"/>
                    <w:jc w:val="center"/>
                    <w:textAlignment w:val="baseline"/>
                    <w:rPr>
                      <w:rFonts w:cs="Times New Roman"/>
                      <w:szCs w:val="21"/>
                    </w:rPr>
                  </w:pPr>
                  <w:r>
                    <w:rPr>
                      <w:rFonts w:cs="Times New Roman"/>
                      <w:szCs w:val="21"/>
                    </w:rPr>
                    <w:t>大气环境管控分区</w:t>
                  </w:r>
                </w:p>
              </w:tc>
              <w:tc>
                <w:tcPr>
                  <w:tcW w:w="1062" w:type="pct"/>
                  <w:vAlign w:val="center"/>
                </w:tcPr>
                <w:p>
                  <w:pPr>
                    <w:adjustRightInd w:val="0"/>
                    <w:jc w:val="center"/>
                    <w:textAlignment w:val="baseline"/>
                    <w:rPr>
                      <w:rFonts w:cs="Times New Roman"/>
                      <w:szCs w:val="21"/>
                    </w:rPr>
                  </w:pPr>
                  <w:r>
                    <w:rPr>
                      <w:rFonts w:cs="Times New Roman"/>
                      <w:szCs w:val="21"/>
                    </w:rPr>
                    <w:t>大气环境受体敏感重点管控区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Align w:val="center"/>
                </w:tcPr>
                <w:p>
                  <w:pPr>
                    <w:adjustRightInd w:val="0"/>
                    <w:jc w:val="center"/>
                    <w:textAlignment w:val="baseline"/>
                    <w:rPr>
                      <w:rFonts w:cs="Times New Roman"/>
                      <w:szCs w:val="21"/>
                    </w:rPr>
                  </w:pPr>
                  <w:r>
                    <w:rPr>
                      <w:rFonts w:cs="Times New Roman"/>
                      <w:szCs w:val="21"/>
                    </w:rPr>
                    <w:t>4</w:t>
                  </w:r>
                </w:p>
              </w:tc>
              <w:tc>
                <w:tcPr>
                  <w:tcW w:w="700" w:type="pct"/>
                  <w:vAlign w:val="center"/>
                </w:tcPr>
                <w:p>
                  <w:pPr>
                    <w:adjustRightInd w:val="0"/>
                    <w:jc w:val="center"/>
                    <w:textAlignment w:val="baseline"/>
                    <w:rPr>
                      <w:rFonts w:cs="Times New Roman"/>
                      <w:szCs w:val="21"/>
                    </w:rPr>
                  </w:pPr>
                  <w:r>
                    <w:rPr>
                      <w:rFonts w:cs="Times New Roman"/>
                      <w:szCs w:val="21"/>
                    </w:rPr>
                    <w:t>YS511724</w:t>
                  </w:r>
                </w:p>
                <w:p>
                  <w:pPr>
                    <w:adjustRightInd w:val="0"/>
                    <w:jc w:val="center"/>
                    <w:textAlignment w:val="baseline"/>
                    <w:rPr>
                      <w:rFonts w:cs="Times New Roman"/>
                    </w:rPr>
                  </w:pPr>
                  <w:r>
                    <w:rPr>
                      <w:rFonts w:cs="Times New Roman"/>
                      <w:szCs w:val="21"/>
                    </w:rPr>
                    <w:t>2530001</w:t>
                  </w:r>
                </w:p>
              </w:tc>
              <w:tc>
                <w:tcPr>
                  <w:tcW w:w="1052" w:type="pct"/>
                  <w:vAlign w:val="center"/>
                </w:tcPr>
                <w:p>
                  <w:pPr>
                    <w:adjustRightInd w:val="0"/>
                    <w:jc w:val="center"/>
                    <w:textAlignment w:val="baseline"/>
                    <w:rPr>
                      <w:rFonts w:cs="Times New Roman"/>
                    </w:rPr>
                  </w:pPr>
                  <w:r>
                    <w:rPr>
                      <w:rFonts w:cs="Times New Roman"/>
                      <w:szCs w:val="21"/>
                    </w:rPr>
                    <w:t>大竹县城镇开发边界</w:t>
                  </w:r>
                </w:p>
              </w:tc>
              <w:tc>
                <w:tcPr>
                  <w:tcW w:w="526" w:type="pct"/>
                  <w:vAlign w:val="center"/>
                </w:tcPr>
                <w:p>
                  <w:pPr>
                    <w:adjustRightInd w:val="0"/>
                    <w:jc w:val="center"/>
                    <w:textAlignment w:val="baseline"/>
                    <w:rPr>
                      <w:rFonts w:cs="Times New Roman"/>
                    </w:rPr>
                  </w:pPr>
                  <w:r>
                    <w:rPr>
                      <w:rFonts w:cs="Times New Roman"/>
                      <w:szCs w:val="21"/>
                    </w:rPr>
                    <w:t>达州市</w:t>
                  </w:r>
                </w:p>
              </w:tc>
              <w:tc>
                <w:tcPr>
                  <w:tcW w:w="527" w:type="pct"/>
                  <w:vAlign w:val="center"/>
                </w:tcPr>
                <w:p>
                  <w:pPr>
                    <w:adjustRightInd w:val="0"/>
                    <w:jc w:val="center"/>
                    <w:textAlignment w:val="baseline"/>
                    <w:rPr>
                      <w:rFonts w:cs="Times New Roman"/>
                    </w:rPr>
                  </w:pPr>
                  <w:r>
                    <w:rPr>
                      <w:rFonts w:cs="Times New Roman"/>
                      <w:szCs w:val="21"/>
                    </w:rPr>
                    <w:t>大竹县</w:t>
                  </w:r>
                </w:p>
              </w:tc>
              <w:tc>
                <w:tcPr>
                  <w:tcW w:w="697" w:type="pct"/>
                  <w:vAlign w:val="center"/>
                </w:tcPr>
                <w:p>
                  <w:pPr>
                    <w:adjustRightInd w:val="0"/>
                    <w:jc w:val="center"/>
                    <w:textAlignment w:val="baseline"/>
                    <w:rPr>
                      <w:rFonts w:cs="Times New Roman"/>
                    </w:rPr>
                  </w:pPr>
                  <w:r>
                    <w:rPr>
                      <w:rFonts w:cs="Times New Roman"/>
                      <w:szCs w:val="21"/>
                    </w:rPr>
                    <w:t>自然资源管控分区</w:t>
                  </w:r>
                </w:p>
              </w:tc>
              <w:tc>
                <w:tcPr>
                  <w:tcW w:w="1062" w:type="pct"/>
                  <w:vAlign w:val="center"/>
                </w:tcPr>
                <w:p>
                  <w:pPr>
                    <w:adjustRightInd w:val="0"/>
                    <w:jc w:val="center"/>
                    <w:textAlignment w:val="baseline"/>
                    <w:rPr>
                      <w:rFonts w:cs="Times New Roman"/>
                    </w:rPr>
                  </w:pPr>
                  <w:r>
                    <w:rPr>
                      <w:rFonts w:cs="Times New Roman"/>
                      <w:szCs w:val="21"/>
                    </w:rPr>
                    <w:t>土地资源重点管控区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Align w:val="center"/>
                </w:tcPr>
                <w:p>
                  <w:pPr>
                    <w:adjustRightInd w:val="0"/>
                    <w:jc w:val="center"/>
                    <w:textAlignment w:val="baseline"/>
                    <w:rPr>
                      <w:rFonts w:cs="Times New Roman"/>
                      <w:szCs w:val="21"/>
                    </w:rPr>
                  </w:pPr>
                  <w:r>
                    <w:rPr>
                      <w:rFonts w:hint="eastAsia" w:cs="Times New Roman"/>
                      <w:szCs w:val="21"/>
                    </w:rPr>
                    <w:t>5</w:t>
                  </w:r>
                </w:p>
              </w:tc>
              <w:tc>
                <w:tcPr>
                  <w:tcW w:w="700" w:type="pct"/>
                  <w:vAlign w:val="center"/>
                </w:tcPr>
                <w:p>
                  <w:pPr>
                    <w:adjustRightInd w:val="0"/>
                    <w:jc w:val="center"/>
                    <w:textAlignment w:val="baseline"/>
                    <w:rPr>
                      <w:rFonts w:cs="Times New Roman"/>
                      <w:szCs w:val="21"/>
                    </w:rPr>
                  </w:pPr>
                  <w:r>
                    <w:rPr>
                      <w:rFonts w:cs="Times New Roman"/>
                      <w:szCs w:val="21"/>
                    </w:rPr>
                    <w:t>YS511724</w:t>
                  </w:r>
                </w:p>
                <w:p>
                  <w:pPr>
                    <w:adjustRightInd w:val="0"/>
                    <w:jc w:val="center"/>
                    <w:textAlignment w:val="baseline"/>
                    <w:rPr>
                      <w:rFonts w:cs="Times New Roman"/>
                      <w:szCs w:val="21"/>
                    </w:rPr>
                  </w:pPr>
                  <w:r>
                    <w:rPr>
                      <w:rFonts w:cs="Times New Roman"/>
                      <w:szCs w:val="21"/>
                    </w:rPr>
                    <w:t>2550001</w:t>
                  </w:r>
                </w:p>
              </w:tc>
              <w:tc>
                <w:tcPr>
                  <w:tcW w:w="1052" w:type="pct"/>
                  <w:vAlign w:val="center"/>
                </w:tcPr>
                <w:p>
                  <w:pPr>
                    <w:adjustRightInd w:val="0"/>
                    <w:jc w:val="center"/>
                    <w:textAlignment w:val="baseline"/>
                    <w:rPr>
                      <w:rFonts w:cs="Times New Roman"/>
                      <w:szCs w:val="21"/>
                    </w:rPr>
                  </w:pPr>
                  <w:r>
                    <w:rPr>
                      <w:rFonts w:cs="Times New Roman"/>
                      <w:szCs w:val="21"/>
                    </w:rPr>
                    <w:t>大竹县自然资源重点管控区</w:t>
                  </w:r>
                </w:p>
              </w:tc>
              <w:tc>
                <w:tcPr>
                  <w:tcW w:w="526" w:type="pct"/>
                  <w:vAlign w:val="center"/>
                </w:tcPr>
                <w:p>
                  <w:pPr>
                    <w:adjustRightInd w:val="0"/>
                    <w:jc w:val="center"/>
                    <w:textAlignment w:val="baseline"/>
                    <w:rPr>
                      <w:rFonts w:cs="Times New Roman"/>
                      <w:szCs w:val="21"/>
                    </w:rPr>
                  </w:pPr>
                  <w:r>
                    <w:rPr>
                      <w:rFonts w:cs="Times New Roman"/>
                      <w:szCs w:val="21"/>
                    </w:rPr>
                    <w:t>达州市</w:t>
                  </w:r>
                </w:p>
              </w:tc>
              <w:tc>
                <w:tcPr>
                  <w:tcW w:w="527" w:type="pct"/>
                  <w:vAlign w:val="center"/>
                </w:tcPr>
                <w:p>
                  <w:pPr>
                    <w:adjustRightInd w:val="0"/>
                    <w:jc w:val="center"/>
                    <w:textAlignment w:val="baseline"/>
                    <w:rPr>
                      <w:rFonts w:cs="Times New Roman"/>
                      <w:szCs w:val="21"/>
                    </w:rPr>
                  </w:pPr>
                  <w:r>
                    <w:rPr>
                      <w:rFonts w:cs="Times New Roman"/>
                      <w:szCs w:val="21"/>
                    </w:rPr>
                    <w:t>大竹县</w:t>
                  </w:r>
                </w:p>
              </w:tc>
              <w:tc>
                <w:tcPr>
                  <w:tcW w:w="697" w:type="pct"/>
                  <w:vAlign w:val="center"/>
                </w:tcPr>
                <w:p>
                  <w:pPr>
                    <w:adjustRightInd w:val="0"/>
                    <w:jc w:val="center"/>
                    <w:textAlignment w:val="baseline"/>
                    <w:rPr>
                      <w:rFonts w:cs="Times New Roman"/>
                      <w:szCs w:val="21"/>
                    </w:rPr>
                  </w:pPr>
                  <w:r>
                    <w:rPr>
                      <w:rFonts w:cs="Times New Roman"/>
                      <w:szCs w:val="21"/>
                    </w:rPr>
                    <w:t>自然资源管控分区</w:t>
                  </w:r>
                </w:p>
              </w:tc>
              <w:tc>
                <w:tcPr>
                  <w:tcW w:w="1062" w:type="pct"/>
                  <w:vAlign w:val="center"/>
                </w:tcPr>
                <w:p>
                  <w:pPr>
                    <w:adjustRightInd w:val="0"/>
                    <w:jc w:val="center"/>
                    <w:textAlignment w:val="baseline"/>
                    <w:rPr>
                      <w:rFonts w:cs="Times New Roman"/>
                      <w:szCs w:val="21"/>
                    </w:rPr>
                  </w:pPr>
                  <w:r>
                    <w:rPr>
                      <w:rFonts w:cs="Times New Roman"/>
                      <w:szCs w:val="21"/>
                    </w:rPr>
                    <w:t>自然资源重点管控区</w:t>
                  </w:r>
                </w:p>
              </w:tc>
            </w:tr>
          </w:tbl>
          <w:p>
            <w:pPr>
              <w:adjustRightInd w:val="0"/>
              <w:spacing w:line="360" w:lineRule="auto"/>
              <w:jc w:val="center"/>
              <w:textAlignment w:val="baseline"/>
              <w:rPr>
                <w:sz w:val="24"/>
              </w:rPr>
            </w:pPr>
            <w:r>
              <w:drawing>
                <wp:inline distT="0" distB="0" distL="0" distR="0">
                  <wp:extent cx="4260215" cy="354774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294163" cy="3576307"/>
                          </a:xfrm>
                          <a:prstGeom prst="rect">
                            <a:avLst/>
                          </a:prstGeom>
                        </pic:spPr>
                      </pic:pic>
                    </a:graphicData>
                  </a:graphic>
                </wp:inline>
              </w:drawing>
            </w:r>
          </w:p>
          <w:p>
            <w:pPr>
              <w:spacing w:line="360" w:lineRule="auto"/>
              <w:jc w:val="center"/>
              <w:rPr>
                <w:rFonts w:eastAsia="黑体"/>
                <w:szCs w:val="21"/>
              </w:rPr>
            </w:pPr>
            <w:r>
              <w:rPr>
                <w:rFonts w:hint="eastAsia" w:eastAsia="黑体"/>
                <w:szCs w:val="21"/>
              </w:rPr>
              <w:t>图</w:t>
            </w:r>
            <w:r>
              <w:rPr>
                <w:rFonts w:eastAsia="黑体"/>
                <w:szCs w:val="21"/>
              </w:rPr>
              <w:t xml:space="preserve">1-1  </w:t>
            </w:r>
            <w:r>
              <w:rPr>
                <w:rFonts w:hint="eastAsia" w:eastAsia="黑体"/>
                <w:szCs w:val="21"/>
              </w:rPr>
              <w:t>项目生态环境分区管控符合性分析查询截图</w:t>
            </w:r>
          </w:p>
          <w:p>
            <w:pPr>
              <w:adjustRightInd w:val="0"/>
              <w:spacing w:line="360" w:lineRule="auto"/>
              <w:ind w:firstLine="470" w:firstLineChars="196"/>
              <w:textAlignment w:val="baseline"/>
              <w:rPr>
                <w:sz w:val="24"/>
              </w:rPr>
            </w:pPr>
            <w:r>
              <w:rPr>
                <w:rFonts w:hint="eastAsia"/>
                <w:sz w:val="24"/>
              </w:rPr>
              <w:t>由以上分析可行，项目所在地为城镇重点管控单元（管控单元名称：大竹县城镇空间，管控单元编号：ZH51172420001），项目与管控单元相对位置如下图所示</w:t>
            </w:r>
            <w:r>
              <w:rPr>
                <w:rFonts w:hint="eastAsia"/>
                <w:szCs w:val="24"/>
              </w:rPr>
              <w:t>（图中</w:t>
            </w:r>
            <w:r>
              <w:drawing>
                <wp:inline distT="0" distB="0" distL="0" distR="0">
                  <wp:extent cx="116840" cy="116840"/>
                  <wp:effectExtent l="0" t="0" r="0" b="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6"/>
                          <a:stretch>
                            <a:fillRect/>
                          </a:stretch>
                        </pic:blipFill>
                        <pic:spPr>
                          <a:xfrm>
                            <a:off x="0" y="0"/>
                            <a:ext cx="116840" cy="116840"/>
                          </a:xfrm>
                          <a:prstGeom prst="rect">
                            <a:avLst/>
                          </a:prstGeom>
                        </pic:spPr>
                      </pic:pic>
                    </a:graphicData>
                  </a:graphic>
                </wp:inline>
              </w:drawing>
            </w:r>
            <w:r>
              <w:rPr>
                <w:rFonts w:hint="eastAsia"/>
                <w:szCs w:val="24"/>
              </w:rPr>
              <w:t>表示项目位置）</w:t>
            </w:r>
            <w:r>
              <w:rPr>
                <w:rFonts w:hint="eastAsia"/>
                <w:sz w:val="24"/>
              </w:rPr>
              <w:t>。</w:t>
            </w:r>
          </w:p>
          <w:p>
            <w:pPr>
              <w:adjustRightInd w:val="0"/>
              <w:spacing w:line="360" w:lineRule="auto"/>
              <w:jc w:val="center"/>
              <w:textAlignment w:val="baseline"/>
              <w:rPr>
                <w:sz w:val="24"/>
              </w:rPr>
            </w:pPr>
            <w:r>
              <w:rPr>
                <w:rFonts w:ascii="Helvetica" w:hAnsi="Helvetica" w:cs="宋体"/>
                <w:sz w:val="28"/>
                <w:szCs w:val="28"/>
              </w:rPr>
              <mc:AlternateContent>
                <mc:Choice Requires="wps">
                  <w:drawing>
                    <wp:anchor distT="0" distB="0" distL="114300" distR="114300" simplePos="0" relativeHeight="251662336" behindDoc="0" locked="0" layoutInCell="1" allowOverlap="1">
                      <wp:simplePos x="0" y="0"/>
                      <wp:positionH relativeFrom="column">
                        <wp:posOffset>2075180</wp:posOffset>
                      </wp:positionH>
                      <wp:positionV relativeFrom="paragraph">
                        <wp:posOffset>645795</wp:posOffset>
                      </wp:positionV>
                      <wp:extent cx="706755" cy="661035"/>
                      <wp:effectExtent l="38100" t="0" r="17145" b="62865"/>
                      <wp:wrapNone/>
                      <wp:docPr id="20" name="直接箭头连接符 20"/>
                      <wp:cNvGraphicFramePr/>
                      <a:graphic xmlns:a="http://schemas.openxmlformats.org/drawingml/2006/main">
                        <a:graphicData uri="http://schemas.microsoft.com/office/word/2010/wordprocessingShape">
                          <wps:wsp>
                            <wps:cNvCnPr/>
                            <wps:spPr>
                              <a:xfrm flipH="1">
                                <a:off x="0" y="0"/>
                                <a:ext cx="706837" cy="6613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3.4pt;margin-top:50.85pt;height:52.05pt;width:55.65pt;z-index:251662336;mso-width-relative:page;mso-height-relative:page;" filled="f" stroked="t" coordsize="21600,21600" o:gfxdata="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9fonLYAAAACwEAAA8AAAAAAAAAAQAgAAAAIgAA&#10;AGRycy9kb3ducmV2LnhtbFBLAQIUABQAAAAIAIdO4kDnkPBjCAIAANsDAAAOAAAAAAAAAAEAIAAA&#10;ACcBAABkcnMvZTJvRG9jLnhtbFBLBQYAAAAABgAGAFkBAAChBQAAAAA=&#10;">
                      <v:fill on="f" focussize="0,0"/>
                      <v:stroke weight="1.5pt" color="#FF0000 [3204]" joinstyle="round" endarrow="block"/>
                      <v:imagedata o:title=""/>
                      <o:lock v:ext="edit" aspectratio="f"/>
                    </v:shape>
                  </w:pict>
                </mc:Fallback>
              </mc:AlternateContent>
            </w:r>
            <w:r>
              <w:rPr>
                <w:rFonts w:ascii="Helvetica" w:hAnsi="Helvetica" w:cs="宋体"/>
                <w:sz w:val="28"/>
                <w:szCs w:val="28"/>
              </w:rPr>
              <mc:AlternateContent>
                <mc:Choice Requires="wpg">
                  <w:drawing>
                    <wp:anchor distT="0" distB="0" distL="114300" distR="114300" simplePos="0" relativeHeight="251661312" behindDoc="0" locked="0" layoutInCell="1" allowOverlap="1">
                      <wp:simplePos x="0" y="0"/>
                      <wp:positionH relativeFrom="column">
                        <wp:posOffset>137795</wp:posOffset>
                      </wp:positionH>
                      <wp:positionV relativeFrom="paragraph">
                        <wp:posOffset>1323975</wp:posOffset>
                      </wp:positionV>
                      <wp:extent cx="1937385" cy="1623060"/>
                      <wp:effectExtent l="19050" t="19050" r="24765" b="15240"/>
                      <wp:wrapNone/>
                      <wp:docPr id="18" name="组合 18"/>
                      <wp:cNvGraphicFramePr/>
                      <a:graphic xmlns:a="http://schemas.openxmlformats.org/drawingml/2006/main">
                        <a:graphicData uri="http://schemas.microsoft.com/office/word/2010/wordprocessingGroup">
                          <wpg:wgp>
                            <wpg:cNvGrpSpPr/>
                            <wpg:grpSpPr>
                              <a:xfrm>
                                <a:off x="0" y="0"/>
                                <a:ext cx="1937385" cy="1623060"/>
                                <a:chOff x="0" y="0"/>
                                <a:chExt cx="1937385" cy="1623060"/>
                              </a:xfrm>
                            </wpg:grpSpPr>
                            <pic:pic xmlns:pic="http://schemas.openxmlformats.org/drawingml/2006/picture">
                              <pic:nvPicPr>
                                <pic:cNvPr id="12"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7385" cy="1623060"/>
                                </a:xfrm>
                                <a:prstGeom prst="rect">
                                  <a:avLst/>
                                </a:prstGeom>
                                <a:ln>
                                  <a:solidFill>
                                    <a:schemeClr val="bg1">
                                      <a:lumMod val="75000"/>
                                    </a:schemeClr>
                                  </a:solidFill>
                                </a:ln>
                              </pic:spPr>
                            </pic:pic>
                            <wps:wsp>
                              <wps:cNvPr id="15" name="等腰三角形 15"/>
                              <wps:cNvSpPr/>
                              <wps:spPr>
                                <a:xfrm rot="10800000">
                                  <a:off x="1299172" y="516047"/>
                                  <a:ext cx="121820" cy="95068"/>
                                </a:xfrm>
                                <a:prstGeom prst="triangle">
                                  <a:avLst/>
                                </a:prstGeom>
                                <a:solidFill>
                                  <a:srgbClr val="00FFFF"/>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85pt;margin-top:104.25pt;height:127.8pt;width:152.55pt;z-index:251661312;mso-width-relative:page;mso-height-relative:page;" coordsize="1937385,1623060" o:gfxdata="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">
                      <o:lock v:ext="edit" aspectratio="f"/>
                      <v:shape id="_x0000_s1026" o:spid="_x0000_s1026" o:spt="75" type="#_x0000_t75" style="position:absolute;left:0;top:0;height:1623060;width:1937385;" filled="f" o:preferrelative="t" stroked="t" coordsize="21600,21600" o:gfxdata="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uuRC5AAAA2wAA&#10;AA8AAAAAAAAAAQAgAAAAIgAAAGRycy9kb3ducmV2LnhtbFBLAQIUABQAAAAIAIdO4kAzLwWeOwAA&#10;ADkAAAAQAAAAAAAAAAEAIAAAAAgBAABkcnMvc2hhcGV4bWwueG1sUEsFBgAAAAAGAAYAWwEAALID&#10;AAAAAA==&#10;">
                        <v:fill on="f" focussize="0,0"/>
                        <v:stroke color="#BFBFBF [2412]" joinstyle="round"/>
                        <v:imagedata r:id="rId7" o:title=""/>
                        <o:lock v:ext="edit" aspectratio="t"/>
                      </v:shape>
                      <v:shape id="_x0000_s1026" o:spid="_x0000_s1026" o:spt="5" type="#_x0000_t5" style="position:absolute;left:1299172;top:516047;height:95068;width:121820;rotation:11796480f;v-text-anchor:middle;" fillcolor="#00FFFF" filled="t" stroked="t" coordsize="21600,21600" o:gfxdata="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dsdnugAAANsA&#10;AAAPAAAAAAAAAAEAIAAAACIAAABkcnMvZG93bnJldi54bWxQSwECFAAUAAAACACHTuJAMy8FnjsA&#10;AAA5AAAAEAAAAAAAAAABACAAAAAJAQAAZHJzL3NoYXBleG1sLnhtbFBLBQYAAAAABgAGAFsBAACz&#10;AwAAAAA=&#10;" adj="10800">
                        <v:fill on="t" focussize="0,0"/>
                        <v:stroke weight="2pt" color="#00FFFF [3204]" joinstyle="round"/>
                        <v:imagedata o:title=""/>
                        <o:lock v:ext="edit" aspectratio="f"/>
                      </v:shape>
                    </v:group>
                  </w:pict>
                </mc:Fallback>
              </mc:AlternateContent>
            </w:r>
            <w:r>
              <w:rPr>
                <w:rFonts w:ascii="Helvetica" w:hAnsi="Helvetica" w:cs="宋体"/>
                <w:sz w:val="28"/>
                <w:szCs w:val="28"/>
              </w:rPr>
              <w:drawing>
                <wp:inline distT="0" distB="0" distL="0" distR="0">
                  <wp:extent cx="4875530" cy="2924175"/>
                  <wp:effectExtent l="19050" t="19050" r="2032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13249" cy="2946475"/>
                          </a:xfrm>
                          <a:prstGeom prst="rect">
                            <a:avLst/>
                          </a:prstGeom>
                          <a:noFill/>
                          <a:ln>
                            <a:solidFill>
                              <a:schemeClr val="bg1">
                                <a:lumMod val="75000"/>
                              </a:schemeClr>
                            </a:solidFill>
                          </a:ln>
                        </pic:spPr>
                      </pic:pic>
                    </a:graphicData>
                  </a:graphic>
                </wp:inline>
              </w:drawing>
            </w:r>
          </w:p>
          <w:p>
            <w:pPr>
              <w:spacing w:line="360" w:lineRule="auto"/>
              <w:jc w:val="center"/>
              <w:rPr>
                <w:rFonts w:eastAsia="黑体"/>
                <w:szCs w:val="21"/>
              </w:rPr>
            </w:pPr>
            <w:r>
              <w:rPr>
                <w:rFonts w:hint="eastAsia" w:eastAsia="黑体"/>
                <w:szCs w:val="21"/>
              </w:rPr>
              <w:t>图</w:t>
            </w:r>
            <w:r>
              <w:rPr>
                <w:rFonts w:eastAsia="黑体"/>
                <w:szCs w:val="21"/>
              </w:rPr>
              <w:t xml:space="preserve">1-2  </w:t>
            </w:r>
            <w:r>
              <w:rPr>
                <w:rFonts w:hint="eastAsia" w:eastAsia="黑体"/>
                <w:szCs w:val="21"/>
              </w:rPr>
              <w:t>项目与管控单元相对位置图</w:t>
            </w:r>
          </w:p>
          <w:p>
            <w:pPr>
              <w:adjustRightInd w:val="0"/>
              <w:spacing w:line="360" w:lineRule="auto"/>
              <w:ind w:firstLine="482" w:firstLineChars="200"/>
              <w:textAlignment w:val="baseline"/>
              <w:rPr>
                <w:b/>
                <w:sz w:val="24"/>
              </w:rPr>
            </w:pPr>
            <w:r>
              <w:rPr>
                <w:b/>
                <w:sz w:val="24"/>
              </w:rPr>
              <w:t>（2</w:t>
            </w:r>
            <w:r>
              <w:rPr>
                <w:rFonts w:hint="eastAsia"/>
                <w:b/>
                <w:sz w:val="24"/>
              </w:rPr>
              <w:t>）生态环境分区管控要求</w:t>
            </w:r>
          </w:p>
          <w:p>
            <w:pPr>
              <w:adjustRightInd w:val="0"/>
              <w:spacing w:line="360" w:lineRule="auto"/>
              <w:ind w:firstLine="470" w:firstLineChars="196"/>
              <w:textAlignment w:val="baseline"/>
              <w:rPr>
                <w:sz w:val="24"/>
              </w:rPr>
            </w:pPr>
            <w:r>
              <w:rPr>
                <w:rFonts w:hint="eastAsia"/>
                <w:sz w:val="24"/>
              </w:rPr>
              <w:t>根据《达州市人民政府办公室关于加强生态环境分区管控的通知》（达市府办函〔2024〕31号），项目与生态环境管控要求符合性分析见下表。</w:t>
            </w:r>
          </w:p>
          <w:p>
            <w:pPr>
              <w:spacing w:line="360" w:lineRule="auto"/>
              <w:jc w:val="center"/>
              <w:rPr>
                <w:rFonts w:eastAsia="黑体" w:cs="Times New Roman"/>
                <w:szCs w:val="21"/>
              </w:rPr>
            </w:pPr>
            <w:r>
              <w:rPr>
                <w:rFonts w:hint="eastAsia" w:eastAsia="黑体" w:cs="Times New Roman"/>
                <w:szCs w:val="21"/>
              </w:rPr>
              <w:t>表</w:t>
            </w:r>
            <w:r>
              <w:rPr>
                <w:rFonts w:eastAsia="黑体" w:cs="Times New Roman"/>
                <w:szCs w:val="21"/>
              </w:rPr>
              <w:t xml:space="preserve">1-5  </w:t>
            </w:r>
            <w:r>
              <w:rPr>
                <w:rFonts w:hint="eastAsia" w:eastAsia="黑体" w:cs="Times New Roman"/>
                <w:szCs w:val="21"/>
              </w:rPr>
              <w:t>项目与达州市总体生态环境管控要求符合性</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4787"/>
              <w:gridCol w:w="1704"/>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Align w:val="center"/>
                </w:tcPr>
                <w:p>
                  <w:pPr>
                    <w:jc w:val="center"/>
                    <w:rPr>
                      <w:szCs w:val="21"/>
                    </w:rPr>
                  </w:pPr>
                  <w:r>
                    <w:rPr>
                      <w:rFonts w:hint="eastAsia"/>
                      <w:szCs w:val="21"/>
                    </w:rPr>
                    <w:t>区域</w:t>
                  </w:r>
                </w:p>
              </w:tc>
              <w:tc>
                <w:tcPr>
                  <w:tcW w:w="2888" w:type="pct"/>
                  <w:vAlign w:val="center"/>
                </w:tcPr>
                <w:p>
                  <w:pPr>
                    <w:jc w:val="center"/>
                    <w:rPr>
                      <w:szCs w:val="21"/>
                    </w:rPr>
                  </w:pPr>
                  <w:r>
                    <w:rPr>
                      <w:szCs w:val="21"/>
                    </w:rPr>
                    <w:t>总体生态环境管控要求</w:t>
                  </w:r>
                </w:p>
              </w:tc>
              <w:tc>
                <w:tcPr>
                  <w:tcW w:w="1028" w:type="pct"/>
                  <w:vAlign w:val="center"/>
                </w:tcPr>
                <w:p>
                  <w:pPr>
                    <w:jc w:val="center"/>
                    <w:rPr>
                      <w:szCs w:val="21"/>
                    </w:rPr>
                  </w:pPr>
                  <w:r>
                    <w:rPr>
                      <w:szCs w:val="21"/>
                    </w:rPr>
                    <w:t>本项目</w:t>
                  </w:r>
                </w:p>
              </w:tc>
              <w:tc>
                <w:tcPr>
                  <w:tcW w:w="613" w:type="pct"/>
                  <w:vAlign w:val="center"/>
                </w:tcPr>
                <w:p>
                  <w:pPr>
                    <w:jc w:val="center"/>
                    <w:rPr>
                      <w:szCs w:val="21"/>
                    </w:rPr>
                  </w:pPr>
                  <w:r>
                    <w:rPr>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1" w:type="pct"/>
                  <w:vAlign w:val="center"/>
                </w:tcPr>
                <w:p>
                  <w:pPr>
                    <w:jc w:val="center"/>
                    <w:rPr>
                      <w:szCs w:val="21"/>
                    </w:rPr>
                  </w:pPr>
                  <w:r>
                    <w:rPr>
                      <w:rFonts w:hint="eastAsia"/>
                      <w:szCs w:val="21"/>
                    </w:rPr>
                    <w:t>达州市</w:t>
                  </w:r>
                </w:p>
              </w:tc>
              <w:tc>
                <w:tcPr>
                  <w:tcW w:w="2888" w:type="pct"/>
                  <w:vAlign w:val="center"/>
                </w:tcPr>
                <w:p>
                  <w:pPr>
                    <w:rPr>
                      <w:szCs w:val="21"/>
                    </w:rPr>
                  </w:pPr>
                  <w:r>
                    <w:rPr>
                      <w:rFonts w:hint="eastAsia"/>
                      <w:szCs w:val="21"/>
                    </w:rPr>
                    <w:t>（1）长江干支流岸线1千米范围内，不得新建、扩建化工园区和化工项目。</w:t>
                  </w:r>
                </w:p>
                <w:p>
                  <w:pPr>
                    <w:rPr>
                      <w:szCs w:val="21"/>
                    </w:rPr>
                  </w:pPr>
                  <w:r>
                    <w:rPr>
                      <w:rFonts w:hint="eastAsia"/>
                      <w:szCs w:val="21"/>
                    </w:rPr>
                    <w:t>（2）严控产业转移环境准入。</w:t>
                  </w:r>
                </w:p>
                <w:p>
                  <w:pPr>
                    <w:rPr>
                      <w:szCs w:val="21"/>
                    </w:rPr>
                  </w:pPr>
                  <w:r>
                    <w:rPr>
                      <w:rFonts w:hint="eastAsia"/>
                      <w:szCs w:val="21"/>
                    </w:rPr>
                    <w:t>（3）引进项目应符合园区规划环评和区域产业准入清单要求。</w:t>
                  </w:r>
                </w:p>
                <w:p>
                  <w:pPr>
                    <w:rPr>
                      <w:szCs w:val="21"/>
                    </w:rPr>
                  </w:pPr>
                  <w:r>
                    <w:rPr>
                      <w:rFonts w:hint="eastAsia"/>
                      <w:szCs w:val="21"/>
                    </w:rPr>
                    <w:t>（4）造纸等产业污染治理和环境管理应达到国内先进水平。优化制浆造纸产业布局，提升行业清洁生产水平，推动制浆造纸工业向节能、环保、绿色方向发展。</w:t>
                  </w:r>
                </w:p>
                <w:p>
                  <w:pPr>
                    <w:rPr>
                      <w:szCs w:val="21"/>
                    </w:rPr>
                  </w:pPr>
                  <w:r>
                    <w:rPr>
                      <w:rFonts w:hint="eastAsia"/>
                      <w:szCs w:val="21"/>
                    </w:rPr>
                    <w:t>（5）深化成都平原、川南、川东北地区大气污染联防联控工作机制，加强川渝地区联防联控。强化重污染天气区域应急联动机制，深化区域重污染天气联合应对。</w:t>
                  </w:r>
                </w:p>
                <w:p>
                  <w:pPr>
                    <w:rPr>
                      <w:szCs w:val="21"/>
                    </w:rPr>
                  </w:pPr>
                  <w:r>
                    <w:rPr>
                      <w:rFonts w:hint="eastAsia"/>
                      <w:szCs w:val="21"/>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1028" w:type="pct"/>
                  <w:vAlign w:val="center"/>
                </w:tcPr>
                <w:p>
                  <w:pPr>
                    <w:rPr>
                      <w:szCs w:val="21"/>
                    </w:rPr>
                  </w:pPr>
                  <w:r>
                    <w:rPr>
                      <w:rFonts w:hint="eastAsia"/>
                      <w:szCs w:val="21"/>
                    </w:rPr>
                    <w:t>项目主要从事机制砂加工</w:t>
                  </w:r>
                  <w:r>
                    <w:rPr>
                      <w:szCs w:val="21"/>
                    </w:rPr>
                    <w:t>，</w:t>
                  </w:r>
                  <w:r>
                    <w:rPr>
                      <w:rFonts w:hint="eastAsia"/>
                      <w:szCs w:val="21"/>
                    </w:rPr>
                    <w:t>不属于化工、造纸、制浆、钢铁等行业，符合国土空间总体规划和区域环境准入要求。</w:t>
                  </w:r>
                </w:p>
              </w:tc>
              <w:tc>
                <w:tcPr>
                  <w:tcW w:w="613" w:type="pct"/>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Align w:val="center"/>
                </w:tcPr>
                <w:p>
                  <w:pPr>
                    <w:jc w:val="center"/>
                    <w:rPr>
                      <w:szCs w:val="21"/>
                    </w:rPr>
                  </w:pPr>
                  <w:r>
                    <w:rPr>
                      <w:rFonts w:hint="eastAsia"/>
                      <w:szCs w:val="21"/>
                    </w:rPr>
                    <w:t>大竹县</w:t>
                  </w:r>
                </w:p>
              </w:tc>
              <w:tc>
                <w:tcPr>
                  <w:tcW w:w="2888" w:type="pct"/>
                  <w:vAlign w:val="center"/>
                </w:tcPr>
                <w:p>
                  <w:pPr>
                    <w:rPr>
                      <w:szCs w:val="21"/>
                    </w:rPr>
                  </w:pPr>
                  <w:r>
                    <w:rPr>
                      <w:rFonts w:hint="eastAsia"/>
                      <w:szCs w:val="21"/>
                    </w:rPr>
                    <w:t>（1）优化中心城区产业布局，引进项目应符合园区规划环评和区域产业准入清单要求；</w:t>
                  </w:r>
                </w:p>
                <w:p>
                  <w:pPr>
                    <w:rPr>
                      <w:szCs w:val="21"/>
                    </w:rPr>
                  </w:pPr>
                  <w:r>
                    <w:rPr>
                      <w:rFonts w:hint="eastAsia"/>
                      <w:szCs w:val="21"/>
                    </w:rPr>
                    <w:t>（</w:t>
                  </w:r>
                  <w:r>
                    <w:rPr>
                      <w:szCs w:val="21"/>
                    </w:rPr>
                    <w:t>2</w:t>
                  </w:r>
                  <w:r>
                    <w:rPr>
                      <w:rFonts w:hint="eastAsia"/>
                      <w:szCs w:val="21"/>
                    </w:rPr>
                    <w:t>）加强污水处理等基础设施建设；</w:t>
                  </w:r>
                </w:p>
                <w:p>
                  <w:pPr>
                    <w:rPr>
                      <w:szCs w:val="21"/>
                    </w:rPr>
                  </w:pPr>
                  <w:r>
                    <w:rPr>
                      <w:rFonts w:hint="eastAsia"/>
                      <w:szCs w:val="21"/>
                    </w:rPr>
                    <w:t>（3）完善城镇生活污水源头减量，严格管控农业面源污染，加强规模以上畜禽养殖污染治理，鼓励工业企业开展尾水回收利用；</w:t>
                  </w:r>
                </w:p>
                <w:p>
                  <w:pPr>
                    <w:rPr>
                      <w:szCs w:val="21"/>
                    </w:rPr>
                  </w:pPr>
                  <w:r>
                    <w:rPr>
                      <w:rFonts w:hint="eastAsia"/>
                      <w:szCs w:val="21"/>
                    </w:rPr>
                    <w:t>（</w:t>
                  </w:r>
                  <w:r>
                    <w:rPr>
                      <w:szCs w:val="21"/>
                    </w:rPr>
                    <w:t>4</w:t>
                  </w:r>
                  <w:r>
                    <w:rPr>
                      <w:rFonts w:hint="eastAsia"/>
                      <w:szCs w:val="21"/>
                    </w:rPr>
                    <w:t>）推进东柳河、铜钵河、黄滩河、东河等水污染防治、水生态修复、水安全保障、湿地资源保护等流域综合治理。加强矿山矿企的环境治理和生态修复，大力查处非法开采和破坏矿山地质环境行为。</w:t>
                  </w:r>
                </w:p>
              </w:tc>
              <w:tc>
                <w:tcPr>
                  <w:tcW w:w="1028" w:type="pct"/>
                  <w:vAlign w:val="center"/>
                </w:tcPr>
                <w:p>
                  <w:pPr>
                    <w:rPr>
                      <w:szCs w:val="21"/>
                    </w:rPr>
                  </w:pPr>
                  <w:r>
                    <w:rPr>
                      <w:rFonts w:hint="eastAsia"/>
                      <w:szCs w:val="21"/>
                    </w:rPr>
                    <w:t>项目位于大竹县城镇空间，符合国土空间总体规划和区域环境准入要求；项目利用现有骨料线生产的0-5mm粉料作为制砂原料，不涉及矿山开采。</w:t>
                  </w:r>
                </w:p>
              </w:tc>
              <w:tc>
                <w:tcPr>
                  <w:tcW w:w="613" w:type="pct"/>
                  <w:vAlign w:val="center"/>
                </w:tcPr>
                <w:p>
                  <w:pPr>
                    <w:jc w:val="center"/>
                    <w:rPr>
                      <w:szCs w:val="21"/>
                    </w:rPr>
                  </w:pPr>
                  <w:r>
                    <w:rPr>
                      <w:rFonts w:hint="eastAsia"/>
                      <w:szCs w:val="21"/>
                    </w:rPr>
                    <w:t>符合</w:t>
                  </w:r>
                </w:p>
              </w:tc>
            </w:tr>
          </w:tbl>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tc>
      </w:tr>
    </w:tbl>
    <w:p>
      <w:pPr>
        <w:tabs>
          <w:tab w:val="left" w:pos="2040"/>
        </w:tabs>
        <w:spacing w:line="360" w:lineRule="auto"/>
        <w:rPr>
          <w:b/>
          <w:sz w:val="28"/>
          <w:szCs w:val="28"/>
        </w:rPr>
        <w:sectPr>
          <w:footerReference r:id="rId3" w:type="default"/>
          <w:pgSz w:w="11906" w:h="16838"/>
          <w:pgMar w:top="1134" w:right="1134" w:bottom="1134" w:left="1134" w:header="851" w:footer="992" w:gutter="0"/>
          <w:pgNumType w:start="1"/>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0" w:type="dxa"/>
          </w:tcPr>
          <w:p>
            <w:pPr>
              <w:spacing w:line="360" w:lineRule="auto"/>
              <w:jc w:val="center"/>
              <w:rPr>
                <w:rFonts w:eastAsia="黑体" w:cs="Times New Roman"/>
                <w:szCs w:val="21"/>
              </w:rPr>
            </w:pPr>
            <w:r>
              <w:rPr>
                <w:rFonts w:hint="eastAsia" w:eastAsia="黑体" w:cs="Times New Roman"/>
                <w:szCs w:val="21"/>
              </w:rPr>
              <w:t>表</w:t>
            </w:r>
            <w:r>
              <w:rPr>
                <w:rFonts w:eastAsia="黑体" w:cs="Times New Roman"/>
                <w:szCs w:val="21"/>
              </w:rPr>
              <w:t xml:space="preserve">1-6  </w:t>
            </w:r>
            <w:r>
              <w:rPr>
                <w:rFonts w:hint="eastAsia" w:eastAsia="黑体" w:cs="Times New Roman"/>
                <w:szCs w:val="21"/>
              </w:rPr>
              <w:t>项目与生态环境分区管控要求的符合性分析</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989"/>
              <w:gridCol w:w="851"/>
              <w:gridCol w:w="1132"/>
              <w:gridCol w:w="6218"/>
              <w:gridCol w:w="3010"/>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pct"/>
                  <w:gridSpan w:val="5"/>
                  <w:vAlign w:val="center"/>
                </w:tcPr>
                <w:p>
                  <w:pPr>
                    <w:jc w:val="center"/>
                    <w:rPr>
                      <w:szCs w:val="21"/>
                    </w:rPr>
                  </w:pPr>
                  <w:r>
                    <w:rPr>
                      <w:rFonts w:hint="eastAsia"/>
                      <w:szCs w:val="21"/>
                    </w:rPr>
                    <w:t>生态环境分区管控具体要求</w:t>
                  </w:r>
                </w:p>
              </w:tc>
              <w:tc>
                <w:tcPr>
                  <w:tcW w:w="1050" w:type="pct"/>
                  <w:vMerge w:val="restart"/>
                  <w:vAlign w:val="center"/>
                </w:tcPr>
                <w:p>
                  <w:pPr>
                    <w:jc w:val="center"/>
                    <w:rPr>
                      <w:szCs w:val="21"/>
                    </w:rPr>
                  </w:pPr>
                  <w:r>
                    <w:rPr>
                      <w:rFonts w:hint="eastAsia"/>
                      <w:szCs w:val="21"/>
                    </w:rPr>
                    <w:t>项目对应情况介绍</w:t>
                  </w:r>
                </w:p>
              </w:tc>
              <w:tc>
                <w:tcPr>
                  <w:tcW w:w="339" w:type="pct"/>
                  <w:vMerge w:val="restart"/>
                  <w:vAlign w:val="center"/>
                </w:tcPr>
                <w:p>
                  <w:pPr>
                    <w:jc w:val="center"/>
                    <w:rPr>
                      <w:szCs w:val="21"/>
                    </w:rPr>
                  </w:pPr>
                  <w:r>
                    <w:rPr>
                      <w:rFonts w:hint="eastAsia"/>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pct"/>
                  <w:gridSpan w:val="3"/>
                  <w:vAlign w:val="center"/>
                </w:tcPr>
                <w:p>
                  <w:pPr>
                    <w:jc w:val="center"/>
                    <w:rPr>
                      <w:szCs w:val="21"/>
                    </w:rPr>
                  </w:pPr>
                  <w:r>
                    <w:rPr>
                      <w:rFonts w:hint="eastAsia"/>
                      <w:szCs w:val="21"/>
                    </w:rPr>
                    <w:t>类别</w:t>
                  </w:r>
                </w:p>
              </w:tc>
              <w:tc>
                <w:tcPr>
                  <w:tcW w:w="2564" w:type="pct"/>
                  <w:gridSpan w:val="2"/>
                  <w:vAlign w:val="center"/>
                </w:tcPr>
                <w:p>
                  <w:pPr>
                    <w:jc w:val="center"/>
                    <w:rPr>
                      <w:szCs w:val="21"/>
                    </w:rPr>
                  </w:pPr>
                  <w:r>
                    <w:rPr>
                      <w:rFonts w:hint="eastAsia"/>
                      <w:szCs w:val="21"/>
                    </w:rPr>
                    <w:t>对应管控要求</w:t>
                  </w:r>
                </w:p>
              </w:tc>
              <w:tc>
                <w:tcPr>
                  <w:tcW w:w="1050" w:type="pct"/>
                  <w:vMerge w:val="continue"/>
                  <w:vAlign w:val="center"/>
                </w:tcPr>
                <w:p>
                  <w:pPr>
                    <w:jc w:val="center"/>
                    <w:rPr>
                      <w:szCs w:val="21"/>
                    </w:rPr>
                  </w:pPr>
                </w:p>
              </w:tc>
              <w:tc>
                <w:tcPr>
                  <w:tcW w:w="33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405" w:type="pct"/>
                  <w:vMerge w:val="restart"/>
                  <w:vAlign w:val="center"/>
                </w:tcPr>
                <w:p>
                  <w:pPr>
                    <w:adjustRightInd w:val="0"/>
                    <w:textAlignment w:val="baseline"/>
                    <w:rPr>
                      <w:rFonts w:cs="Times New Roman"/>
                      <w:szCs w:val="21"/>
                    </w:rPr>
                  </w:pPr>
                  <w:r>
                    <w:rPr>
                      <w:rFonts w:hint="eastAsia"/>
                      <w:szCs w:val="21"/>
                    </w:rPr>
                    <w:t>城镇重点管控单元、</w:t>
                  </w:r>
                  <w:r>
                    <w:rPr>
                      <w:rFonts w:cs="Times New Roman"/>
                      <w:szCs w:val="21"/>
                    </w:rPr>
                    <w:t>ZH511724</w:t>
                  </w:r>
                </w:p>
                <w:p>
                  <w:pPr>
                    <w:jc w:val="center"/>
                    <w:rPr>
                      <w:szCs w:val="21"/>
                    </w:rPr>
                  </w:pPr>
                  <w:r>
                    <w:rPr>
                      <w:rFonts w:cs="Times New Roman"/>
                      <w:szCs w:val="21"/>
                    </w:rPr>
                    <w:t>20001</w:t>
                  </w:r>
                  <w:r>
                    <w:rPr>
                      <w:rFonts w:hint="eastAsia"/>
                      <w:szCs w:val="21"/>
                    </w:rPr>
                    <w:t>、大竹县城镇空间</w:t>
                  </w:r>
                </w:p>
              </w:tc>
              <w:tc>
                <w:tcPr>
                  <w:tcW w:w="345" w:type="pct"/>
                  <w:vMerge w:val="restart"/>
                  <w:vAlign w:val="center"/>
                </w:tcPr>
                <w:p>
                  <w:pPr>
                    <w:jc w:val="center"/>
                    <w:rPr>
                      <w:szCs w:val="21"/>
                    </w:rPr>
                  </w:pPr>
                  <w:r>
                    <w:rPr>
                      <w:rFonts w:hint="eastAsia"/>
                      <w:szCs w:val="21"/>
                    </w:rPr>
                    <w:t>普适性清单管控要求</w:t>
                  </w:r>
                </w:p>
              </w:tc>
              <w:tc>
                <w:tcPr>
                  <w:tcW w:w="297" w:type="pct"/>
                  <w:vMerge w:val="restart"/>
                  <w:vAlign w:val="center"/>
                </w:tcPr>
                <w:p>
                  <w:pPr>
                    <w:jc w:val="center"/>
                    <w:rPr>
                      <w:szCs w:val="21"/>
                    </w:rPr>
                  </w:pPr>
                  <w:r>
                    <w:rPr>
                      <w:szCs w:val="21"/>
                    </w:rPr>
                    <w:t>空间布局约束</w:t>
                  </w:r>
                </w:p>
              </w:tc>
              <w:tc>
                <w:tcPr>
                  <w:tcW w:w="395" w:type="pct"/>
                  <w:vAlign w:val="center"/>
                </w:tcPr>
                <w:p>
                  <w:pPr>
                    <w:jc w:val="center"/>
                    <w:rPr>
                      <w:szCs w:val="21"/>
                    </w:rPr>
                  </w:pPr>
                  <w:r>
                    <w:rPr>
                      <w:rFonts w:hint="eastAsia"/>
                      <w:szCs w:val="21"/>
                    </w:rPr>
                    <w:t>禁止开发建设活动的要求</w:t>
                  </w:r>
                </w:p>
              </w:tc>
              <w:tc>
                <w:tcPr>
                  <w:tcW w:w="2169" w:type="pct"/>
                  <w:vAlign w:val="center"/>
                </w:tcPr>
                <w:p>
                  <w:pPr>
                    <w:rPr>
                      <w:szCs w:val="21"/>
                    </w:rPr>
                  </w:pPr>
                  <w:r>
                    <w:rPr>
                      <w:rFonts w:hint="eastAsia"/>
                      <w:szCs w:val="21"/>
                    </w:rPr>
                    <w:t>（1）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rPr>
                      <w:szCs w:val="21"/>
                    </w:rPr>
                  </w:pPr>
                  <w:r>
                    <w:rPr>
                      <w:rFonts w:hint="eastAsia"/>
                      <w:szCs w:val="21"/>
                    </w:rPr>
                    <w:t>（</w:t>
                  </w:r>
                  <w:r>
                    <w:rPr>
                      <w:szCs w:val="21"/>
                    </w:rPr>
                    <w:t>2</w:t>
                  </w:r>
                  <w:r>
                    <w:rPr>
                      <w:rFonts w:hint="eastAsia"/>
                      <w:szCs w:val="21"/>
                    </w:rPr>
                    <w:t>）原则上禁止新建工业企业（新建工业企业原则上都应在工业园区内建设）；</w:t>
                  </w:r>
                </w:p>
                <w:p>
                  <w:pPr>
                    <w:rPr>
                      <w:szCs w:val="21"/>
                    </w:rPr>
                  </w:pPr>
                  <w:r>
                    <w:rPr>
                      <w:rFonts w:hint="eastAsia"/>
                      <w:szCs w:val="21"/>
                    </w:rPr>
                    <w:t>（</w:t>
                  </w:r>
                  <w:r>
                    <w:rPr>
                      <w:szCs w:val="21"/>
                    </w:rPr>
                    <w:t>3</w:t>
                  </w:r>
                  <w:r>
                    <w:rPr>
                      <w:rFonts w:hint="eastAsia"/>
                      <w:szCs w:val="21"/>
                    </w:rPr>
                    <w:t>）禁止在居民区、学校、医疗和养老机构等周边新建有色金属冶炼、焦化、化工、铅蓄电池制造等行业企业，有序搬迁或依法关闭对土壤造成严重污染的现有企业；</w:t>
                  </w:r>
                </w:p>
                <w:p>
                  <w:pPr>
                    <w:rPr>
                      <w:szCs w:val="21"/>
                    </w:rPr>
                  </w:pPr>
                  <w:r>
                    <w:rPr>
                      <w:rFonts w:hint="eastAsia"/>
                      <w:szCs w:val="21"/>
                    </w:rPr>
                    <w:t>（</w:t>
                  </w:r>
                  <w:r>
                    <w:rPr>
                      <w:szCs w:val="21"/>
                    </w:rPr>
                    <w:t>4</w:t>
                  </w:r>
                  <w:r>
                    <w:rPr>
                      <w:rFonts w:hint="eastAsia"/>
                      <w:szCs w:val="21"/>
                    </w:rPr>
                    <w:t>）禁止在长江流域河湖管理范围内倾倒、填埋、堆放、弃置、处理固体废物。</w:t>
                  </w:r>
                </w:p>
              </w:tc>
              <w:tc>
                <w:tcPr>
                  <w:tcW w:w="1050" w:type="pct"/>
                  <w:vAlign w:val="center"/>
                </w:tcPr>
                <w:p>
                  <w:pPr>
                    <w:rPr>
                      <w:szCs w:val="21"/>
                    </w:rPr>
                  </w:pPr>
                  <w:r>
                    <w:rPr>
                      <w:rFonts w:hint="eastAsia"/>
                      <w:szCs w:val="21"/>
                    </w:rPr>
                    <w:t>项目不属于化工项目、尾矿库、有色金属冶炼、焦化、化工、铅蓄电池制造等行业；项目在现有厂区内进行改建，新增产品种类，不属于新建工业企业；</w:t>
                  </w:r>
                  <w:r>
                    <w:rPr>
                      <w:szCs w:val="21"/>
                    </w:rPr>
                    <w:t>项目不在河湖管理范围内</w:t>
                  </w:r>
                  <w:r>
                    <w:rPr>
                      <w:rFonts w:hint="eastAsia"/>
                      <w:szCs w:val="21"/>
                    </w:rPr>
                    <w:t>倾倒、填埋、堆放、弃置、处理固体废物。</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限制开发建设活动的要求</w:t>
                  </w:r>
                </w:p>
              </w:tc>
              <w:tc>
                <w:tcPr>
                  <w:tcW w:w="2169" w:type="pct"/>
                  <w:vAlign w:val="center"/>
                </w:tcPr>
                <w:p>
                  <w:pPr>
                    <w:rPr>
                      <w:szCs w:val="21"/>
                    </w:rPr>
                  </w:pPr>
                  <w:r>
                    <w:rPr>
                      <w:rFonts w:hint="eastAsia"/>
                      <w:szCs w:val="21"/>
                    </w:rPr>
                    <w:t>（1）对不符合国土空间规划的现有工业企业，污染物排放总量及环境风险水平只降不增，引导企业适时搬迁进入对口园区；</w:t>
                  </w:r>
                </w:p>
                <w:p>
                  <w:pPr>
                    <w:rPr>
                      <w:szCs w:val="21"/>
                    </w:rPr>
                  </w:pPr>
                  <w:r>
                    <w:rPr>
                      <w:rFonts w:hint="eastAsia"/>
                      <w:szCs w:val="21"/>
                    </w:rPr>
                    <w:t>（2严格控制在城镇空间范围内新布设工业园区。若新布局工业园区，应符合达州市国土空间规划，并结合区域环境特点、三线成果、园区产业类别，充分论证选址的环境合理性；</w:t>
                  </w:r>
                </w:p>
                <w:p>
                  <w:pPr>
                    <w:rPr>
                      <w:szCs w:val="21"/>
                    </w:rPr>
                  </w:pPr>
                  <w:r>
                    <w:rPr>
                      <w:rFonts w:hint="eastAsia"/>
                      <w:szCs w:val="21"/>
                    </w:rPr>
                    <w:t>（3）严格控制新增建设用地规模，法定城乡规划除外。</w:t>
                  </w:r>
                </w:p>
              </w:tc>
              <w:tc>
                <w:tcPr>
                  <w:tcW w:w="1050" w:type="pct"/>
                  <w:vAlign w:val="center"/>
                </w:tcPr>
                <w:p>
                  <w:pPr>
                    <w:rPr>
                      <w:szCs w:val="21"/>
                    </w:rPr>
                  </w:pPr>
                  <w:r>
                    <w:rPr>
                      <w:rFonts w:hint="eastAsia"/>
                      <w:szCs w:val="21"/>
                    </w:rPr>
                    <w:t>项目利用现场厂区预留空地进行建设，不新增建设用地，位于大竹县城镇空间内，用地性质为工业用地，符合国土空间总体规划。</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不符合空间布局要求活动的退出要求</w:t>
                  </w:r>
                </w:p>
              </w:tc>
              <w:tc>
                <w:tcPr>
                  <w:tcW w:w="2169" w:type="pct"/>
                  <w:vAlign w:val="center"/>
                </w:tcPr>
                <w:p>
                  <w:pPr>
                    <w:rPr>
                      <w:szCs w:val="21"/>
                    </w:rPr>
                  </w:pPr>
                  <w:r>
                    <w:rPr>
                      <w:rFonts w:hint="eastAsia"/>
                      <w:szCs w:val="21"/>
                    </w:rPr>
                    <w:t>（1）按照相关规划和要求，清理整顿非法采砂、非法码头，全面清除不合规码头；</w:t>
                  </w:r>
                </w:p>
                <w:p>
                  <w:pPr>
                    <w:rPr>
                      <w:szCs w:val="21"/>
                    </w:rPr>
                  </w:pPr>
                  <w:r>
                    <w:rPr>
                      <w:rFonts w:hint="eastAsia"/>
                      <w:szCs w:val="21"/>
                    </w:rPr>
                    <w:t>（2）在全市范围深入开展集中整治“散乱污”工业企业，对不符合产业政策和规划布局的，一律责令停产、限期搬迁或关停；</w:t>
                  </w:r>
                </w:p>
                <w:p>
                  <w:pPr>
                    <w:rPr>
                      <w:szCs w:val="21"/>
                    </w:rPr>
                  </w:pPr>
                  <w:r>
                    <w:rPr>
                      <w:rFonts w:hint="eastAsia"/>
                      <w:szCs w:val="21"/>
                    </w:rPr>
                    <w:t>（3）有序搬迁或依法关闭对土壤造成严重污染的现有企业；</w:t>
                  </w:r>
                </w:p>
                <w:p>
                  <w:pPr>
                    <w:rPr>
                      <w:szCs w:val="21"/>
                    </w:rPr>
                  </w:pPr>
                  <w:r>
                    <w:rPr>
                      <w:rFonts w:hint="eastAsia"/>
                      <w:szCs w:val="21"/>
                    </w:rPr>
                    <w:t>（4）到2025年，城镇人口密集区现有不符合安全和卫生防护距离要求的危险化学品生产企业搬迁进入规范化工园区或关闭退出；</w:t>
                  </w:r>
                </w:p>
                <w:p>
                  <w:pPr>
                    <w:rPr>
                      <w:szCs w:val="21"/>
                    </w:rPr>
                  </w:pPr>
                  <w:r>
                    <w:rPr>
                      <w:rFonts w:hint="eastAsia"/>
                      <w:szCs w:val="21"/>
                    </w:rPr>
                    <w:t>（5）不断优化长江经济带化工行业空间布局，有效控制化工污染。推进化工企业搬迁入园，加强化工园区基础设施建设；</w:t>
                  </w:r>
                </w:p>
                <w:p>
                  <w:pPr>
                    <w:rPr>
                      <w:szCs w:val="21"/>
                    </w:rPr>
                  </w:pPr>
                  <w:r>
                    <w:rPr>
                      <w:rFonts w:hint="eastAsia"/>
                      <w:szCs w:val="21"/>
                    </w:rPr>
                    <w:t>（6）加快现有高污染或高风险产品生产化学品企业“退城入园”进度，逐步退出环境敏感区。</w:t>
                  </w:r>
                </w:p>
              </w:tc>
              <w:tc>
                <w:tcPr>
                  <w:tcW w:w="1050" w:type="pct"/>
                  <w:vAlign w:val="center"/>
                </w:tcPr>
                <w:p>
                  <w:pPr>
                    <w:rPr>
                      <w:szCs w:val="21"/>
                    </w:rPr>
                  </w:pPr>
                  <w:r>
                    <w:rPr>
                      <w:rFonts w:hint="eastAsia"/>
                      <w:szCs w:val="21"/>
                    </w:rPr>
                    <w:t>项目不属于不符合空间布局要求的活动。</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restart"/>
                  <w:vAlign w:val="center"/>
                </w:tcPr>
                <w:p>
                  <w:pPr>
                    <w:jc w:val="center"/>
                    <w:rPr>
                      <w:szCs w:val="21"/>
                    </w:rPr>
                  </w:pPr>
                  <w:r>
                    <w:rPr>
                      <w:szCs w:val="21"/>
                    </w:rPr>
                    <w:t>污染物排放管控</w:t>
                  </w:r>
                </w:p>
              </w:tc>
              <w:tc>
                <w:tcPr>
                  <w:tcW w:w="395" w:type="pct"/>
                  <w:vAlign w:val="center"/>
                </w:tcPr>
                <w:p>
                  <w:pPr>
                    <w:jc w:val="center"/>
                    <w:rPr>
                      <w:szCs w:val="21"/>
                    </w:rPr>
                  </w:pPr>
                  <w:r>
                    <w:rPr>
                      <w:rFonts w:hint="eastAsia"/>
                      <w:szCs w:val="21"/>
                    </w:rPr>
                    <w:t>允许排放量要求</w:t>
                  </w:r>
                </w:p>
              </w:tc>
              <w:tc>
                <w:tcPr>
                  <w:tcW w:w="2169" w:type="pct"/>
                  <w:vAlign w:val="center"/>
                </w:tcPr>
                <w:p>
                  <w:pPr>
                    <w:rPr>
                      <w:szCs w:val="21"/>
                    </w:rPr>
                  </w:pPr>
                  <w:r>
                    <w:rPr>
                      <w:rFonts w:hint="eastAsia"/>
                      <w:szCs w:val="21"/>
                    </w:rPr>
                    <w:t>达州市2025年水污染物允许排放量COD33136.93t，氨氮2055.16t，TP252.53t。</w:t>
                  </w:r>
                </w:p>
              </w:tc>
              <w:tc>
                <w:tcPr>
                  <w:tcW w:w="1050" w:type="pct"/>
                  <w:vAlign w:val="center"/>
                </w:tcPr>
                <w:p>
                  <w:pPr>
                    <w:rPr>
                      <w:szCs w:val="21"/>
                    </w:rPr>
                  </w:pPr>
                  <w:r>
                    <w:rPr>
                      <w:rFonts w:hint="eastAsia"/>
                      <w:szCs w:val="21"/>
                    </w:rPr>
                    <w:t>项目不新增水污染物排放。</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现有源提标升级改造</w:t>
                  </w:r>
                </w:p>
              </w:tc>
              <w:tc>
                <w:tcPr>
                  <w:tcW w:w="2169" w:type="pct"/>
                  <w:vAlign w:val="center"/>
                </w:tcPr>
                <w:p>
                  <w:pPr>
                    <w:rPr>
                      <w:szCs w:val="21"/>
                    </w:rPr>
                  </w:pPr>
                  <w:r>
                    <w:rPr>
                      <w:rFonts w:hint="eastAsia"/>
                      <w:szCs w:val="21"/>
                    </w:rPr>
                    <w:t>（1）到2025年，水环境敏感地区污水处理基本达到一级A排放标准；</w:t>
                  </w:r>
                </w:p>
                <w:p>
                  <w:pPr>
                    <w:rPr>
                      <w:szCs w:val="21"/>
                    </w:rPr>
                  </w:pPr>
                  <w:r>
                    <w:rPr>
                      <w:rFonts w:hint="eastAsia"/>
                      <w:szCs w:val="21"/>
                    </w:rPr>
                    <w:t>（2）燃气锅炉升级改造，达到特别排放限值；</w:t>
                  </w:r>
                </w:p>
                <w:p>
                  <w:pPr>
                    <w:rPr>
                      <w:szCs w:val="21"/>
                    </w:rPr>
                  </w:pPr>
                  <w:r>
                    <w:rPr>
                      <w:rFonts w:hint="eastAsia"/>
                      <w:szCs w:val="21"/>
                    </w:rPr>
                    <w:t>（3）城市污水处理厂进水生化需氧量（BOD）浓度低于100 mg/L的，要围绕服务片区管网，系统排查进水浓度偏低的原因，科学确定水质提升目标，制定并实施“一厂一策”系统化整治方案，稳步提升污水收集处理设施效能；</w:t>
                  </w:r>
                </w:p>
                <w:p>
                  <w:pPr>
                    <w:rPr>
                      <w:szCs w:val="21"/>
                    </w:rPr>
                  </w:pPr>
                  <w:r>
                    <w:rPr>
                      <w:rFonts w:hint="eastAsia"/>
                      <w:szCs w:val="21"/>
                    </w:rPr>
                    <w:t>（4）全面落实各类施工工地扬尘防控措施，重点、重大项目工地实现视频监控、可吸入颗粒物（PM</w:t>
                  </w:r>
                  <w:r>
                    <w:rPr>
                      <w:rFonts w:hint="eastAsia"/>
                      <w:szCs w:val="21"/>
                      <w:vertAlign w:val="subscript"/>
                    </w:rPr>
                    <w:t>10</w:t>
                  </w:r>
                  <w:r>
                    <w:rPr>
                      <w:rFonts w:hint="eastAsia"/>
                      <w:szCs w:val="21"/>
                    </w:rPr>
                    <w:t>）在线监测全覆盖；</w:t>
                  </w:r>
                </w:p>
                <w:p>
                  <w:pPr>
                    <w:rPr>
                      <w:szCs w:val="21"/>
                    </w:rPr>
                  </w:pPr>
                  <w:r>
                    <w:rPr>
                      <w:szCs w:val="21"/>
                    </w:rPr>
                    <w:t>（</w:t>
                  </w:r>
                  <w:r>
                    <w:rPr>
                      <w:rFonts w:hint="eastAsia"/>
                      <w:szCs w:val="21"/>
                    </w:rPr>
                    <w:t>5）有序开展城市生活源VOCs污染防治；全面推广房屋建筑和市政工程涉VOCs工序环节使用低VOCs含量涂料和胶粘剂；推进加油站按照《四川省加油站大气污染排放标准》要求安装油气处理装置；</w:t>
                  </w:r>
                </w:p>
                <w:p>
                  <w:pPr>
                    <w:rPr>
                      <w:szCs w:val="21"/>
                    </w:rPr>
                  </w:pPr>
                  <w:r>
                    <w:rPr>
                      <w:rFonts w:hint="eastAsia"/>
                      <w:szCs w:val="21"/>
                    </w:rPr>
                    <w:t>（6）加大新能源汽车在城市公交、出租汽车、城市配送、邮政快递、机场、铁路货场、重点地区港口等领域应用，地级以上城市清洁能源汽车在公共领域使用率显著提升，设区的市城市公交车基本实现新能源化。</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新增源等量或倍量替代</w:t>
                  </w:r>
                </w:p>
              </w:tc>
              <w:tc>
                <w:tcPr>
                  <w:tcW w:w="2169" w:type="pct"/>
                  <w:vAlign w:val="center"/>
                </w:tcPr>
                <w:p>
                  <w:pPr>
                    <w:rPr>
                      <w:szCs w:val="21"/>
                    </w:rPr>
                  </w:pPr>
                  <w:r>
                    <w:rPr>
                      <w:rFonts w:hint="eastAsia"/>
                      <w:szCs w:val="21"/>
                    </w:rPr>
                    <w:t>（1）上一年度水环境质量未完成目标的，新建排放水污染的建设项目按照总量管控要求进行倍量削减替代；</w:t>
                  </w:r>
                </w:p>
                <w:p>
                  <w:pPr>
                    <w:rPr>
                      <w:szCs w:val="21"/>
                    </w:rPr>
                  </w:pPr>
                  <w:r>
                    <w:rPr>
                      <w:rFonts w:hint="eastAsia"/>
                      <w:szCs w:val="21"/>
                    </w:rPr>
                    <w:t>（2）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tc>
              <w:tc>
                <w:tcPr>
                  <w:tcW w:w="1050" w:type="pct"/>
                  <w:vAlign w:val="center"/>
                </w:tcPr>
                <w:p>
                  <w:pPr>
                    <w:rPr>
                      <w:szCs w:val="21"/>
                    </w:rPr>
                  </w:pPr>
                  <w:r>
                    <w:rPr>
                      <w:rFonts w:hint="eastAsia"/>
                      <w:szCs w:val="21"/>
                    </w:rPr>
                    <w:t>项目不新增水污染物排放，本次改建新增颗粒物排放量约1.417t/a，现有项目实际排放量约</w:t>
                  </w:r>
                  <w:r>
                    <w:rPr>
                      <w:szCs w:val="21"/>
                    </w:rPr>
                    <w:t>23.9614</w:t>
                  </w:r>
                  <w:r>
                    <w:rPr>
                      <w:rFonts w:hint="eastAsia"/>
                      <w:szCs w:val="21"/>
                    </w:rPr>
                    <w:t>t/a，改建后全厂总排放量远低于其许可排放量，无需无需新增总量替代。</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污染物排放绩效水平准入要求</w:t>
                  </w:r>
                </w:p>
              </w:tc>
              <w:tc>
                <w:tcPr>
                  <w:tcW w:w="2169" w:type="pct"/>
                  <w:vAlign w:val="center"/>
                </w:tcPr>
                <w:p>
                  <w:pPr>
                    <w:rPr>
                      <w:szCs w:val="21"/>
                    </w:rPr>
                  </w:pPr>
                  <w:r>
                    <w:rPr>
                      <w:rFonts w:hint="eastAsia"/>
                      <w:szCs w:val="21"/>
                    </w:rPr>
                    <w:t>（1）严格落实建设工地管理要求，做好扬尘污染管控工作；</w:t>
                  </w:r>
                </w:p>
                <w:p>
                  <w:pPr>
                    <w:rPr>
                      <w:szCs w:val="21"/>
                    </w:rPr>
                  </w:pPr>
                  <w:r>
                    <w:rPr>
                      <w:rFonts w:hint="eastAsia"/>
                      <w:szCs w:val="21"/>
                    </w:rPr>
                    <w:t>（2）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rPr>
                      <w:szCs w:val="21"/>
                    </w:rPr>
                  </w:pPr>
                  <w:r>
                    <w:rPr>
                      <w:rFonts w:hint="eastAsia"/>
                      <w:szCs w:val="21"/>
                    </w:rPr>
                    <w:t>（3）建材行业原料破碎、生产、运输、装卸等各环节严格落实抑尘措施，有效控制粉尘无组织排放；</w:t>
                  </w:r>
                </w:p>
                <w:p>
                  <w:pPr>
                    <w:rPr>
                      <w:szCs w:val="21"/>
                    </w:rPr>
                  </w:pPr>
                  <w:r>
                    <w:rPr>
                      <w:rFonts w:hint="eastAsia"/>
                      <w:szCs w:val="21"/>
                    </w:rPr>
                    <w:t>（4）到2023年，城市污泥无害化处置率和资源化利用率进一步提高，力争达州市鲜家坝、周家坝城市生活污水处理厂污泥无害化处置率达92%、各县（市）城市达85%；城市生活污水资源化利用水平明显提升；</w:t>
                  </w:r>
                </w:p>
                <w:p>
                  <w:pPr>
                    <w:rPr>
                      <w:szCs w:val="21"/>
                    </w:rPr>
                  </w:pPr>
                  <w:r>
                    <w:rPr>
                      <w:rFonts w:hint="eastAsia"/>
                      <w:szCs w:val="21"/>
                    </w:rPr>
                    <w:t>（5）到2023年基本实现原生生活垃圾“零填埋”，鼓励跨区域统筹建设焚烧处理设施，在生活垃圾日清运量不足300吨的地区探索开展小型生活垃圾焚烧设施试点；生活垃圾回收利用率力争达30%以上；</w:t>
                  </w:r>
                </w:p>
                <w:p>
                  <w:pPr>
                    <w:rPr>
                      <w:szCs w:val="21"/>
                    </w:rPr>
                  </w:pPr>
                  <w:r>
                    <w:rPr>
                      <w:rFonts w:hint="eastAsia"/>
                      <w:szCs w:val="21"/>
                    </w:rPr>
                    <w:t>（6）实施密闭化收运，推广干湿分类收运。强化垃圾渗滤液、焚烧飞灰安全处置，城市生活垃圾无害化处理率保持100%；</w:t>
                  </w:r>
                </w:p>
                <w:p>
                  <w:pPr>
                    <w:rPr>
                      <w:szCs w:val="21"/>
                    </w:rPr>
                  </w:pPr>
                  <w:r>
                    <w:rPr>
                      <w:rFonts w:hint="eastAsia"/>
                      <w:szCs w:val="21"/>
                    </w:rPr>
                    <w:t>（7）到2023年，力争全省生活垃圾焚烧处理能力占比达60%以上，地级以上城市具备厨余垃圾集中处理能力；县城生活垃圾无害化处理率保持95%以上，乡镇及行政村生活垃圾收转运处置体系基本实现全覆盖；</w:t>
                  </w:r>
                </w:p>
                <w:p>
                  <w:pPr>
                    <w:rPr>
                      <w:szCs w:val="21"/>
                    </w:rPr>
                  </w:pPr>
                  <w:r>
                    <w:rPr>
                      <w:rFonts w:hint="eastAsia"/>
                      <w:szCs w:val="21"/>
                    </w:rPr>
                    <w:t>（8）2030年，渠江流域用水总量控制在31.61亿m</w:t>
                  </w:r>
                  <w:r>
                    <w:rPr>
                      <w:rFonts w:hint="eastAsia"/>
                      <w:szCs w:val="21"/>
                      <w:vertAlign w:val="superscript"/>
                    </w:rPr>
                    <w:t>3</w:t>
                  </w:r>
                  <w:r>
                    <w:rPr>
                      <w:rFonts w:hint="eastAsia"/>
                      <w:szCs w:val="21"/>
                    </w:rPr>
                    <w:t>以内，渠江干流COD排放总量限制在4.89万t/a内、NH</w:t>
                  </w:r>
                  <w:r>
                    <w:rPr>
                      <w:rFonts w:hint="eastAsia"/>
                      <w:szCs w:val="21"/>
                      <w:vertAlign w:val="subscript"/>
                    </w:rPr>
                    <w:t>3</w:t>
                  </w:r>
                  <w:r>
                    <w:rPr>
                      <w:rFonts w:hint="eastAsia"/>
                      <w:szCs w:val="21"/>
                    </w:rPr>
                    <w:t>-N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rPr>
                      <w:szCs w:val="21"/>
                    </w:rPr>
                  </w:pPr>
                  <w:r>
                    <w:rPr>
                      <w:rFonts w:hint="eastAsia"/>
                      <w:szCs w:val="21"/>
                    </w:rPr>
                    <w:t>（9）到2025年，基本消除城市建成区生活污水直排口和收集处理率设施空白区，城市生活污水集中收集率力争达到70%以上；城市和县城水处理能力基本满足经济社会发展需要，县城污水处理达到95%以上。</w:t>
                  </w:r>
                </w:p>
              </w:tc>
              <w:tc>
                <w:tcPr>
                  <w:tcW w:w="1050" w:type="pct"/>
                  <w:vAlign w:val="center"/>
                </w:tcPr>
                <w:p>
                  <w:pPr>
                    <w:rPr>
                      <w:szCs w:val="21"/>
                    </w:rPr>
                  </w:pPr>
                  <w:r>
                    <w:rPr>
                      <w:rFonts w:hint="eastAsia"/>
                      <w:szCs w:val="21"/>
                    </w:rPr>
                    <w:t>项目施工期按照《住房和城乡建设部办公厅关于进一步加强施工工地和道路扬尘管控工作的通知》（建办质〔2019〕23号）、《四川省建筑工程扬尘污染防治技术导则（试行）》（川建发〔2019〕16号）等要求做好扬尘污染管控，不涉及挥发性有机物。项目制砂、筛分、物料输送、贮存等工序均采取袋式除尘器，控制粉尘无组织排放。</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新建噪声敏感建筑物时，建设单位应全面执行绿色建筑标准，合理确定建筑物与交通干线等的防噪声距离，落实隔声减噪措施。</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已竣工交付使用的住宅楼、商铺、办公楼等建筑物不得在午、夜间进行产噪装修作业，在其他时间进行装修作业的，应当采取噪声防治措施。</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restart"/>
                  <w:vAlign w:val="center"/>
                </w:tcPr>
                <w:p>
                  <w:pPr>
                    <w:jc w:val="center"/>
                    <w:rPr>
                      <w:szCs w:val="21"/>
                    </w:rPr>
                  </w:pPr>
                  <w:r>
                    <w:rPr>
                      <w:szCs w:val="21"/>
                    </w:rPr>
                    <w:t>环境风险防控</w:t>
                  </w:r>
                </w:p>
              </w:tc>
              <w:tc>
                <w:tcPr>
                  <w:tcW w:w="395" w:type="pct"/>
                  <w:vAlign w:val="center"/>
                </w:tcPr>
                <w:p>
                  <w:pPr>
                    <w:jc w:val="center"/>
                    <w:rPr>
                      <w:szCs w:val="21"/>
                    </w:rPr>
                  </w:pPr>
                  <w:r>
                    <w:rPr>
                      <w:rFonts w:hint="eastAsia"/>
                      <w:szCs w:val="21"/>
                    </w:rPr>
                    <w:t>联防联控要求</w:t>
                  </w:r>
                </w:p>
              </w:tc>
              <w:tc>
                <w:tcPr>
                  <w:tcW w:w="2169" w:type="pct"/>
                  <w:vAlign w:val="center"/>
                </w:tcPr>
                <w:p>
                  <w:pPr>
                    <w:rPr>
                      <w:szCs w:val="21"/>
                    </w:rPr>
                  </w:pPr>
                  <w:r>
                    <w:rPr>
                      <w:rFonts w:hint="eastAsia"/>
                      <w:szCs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企业环境风险防控要求</w:t>
                  </w:r>
                </w:p>
              </w:tc>
              <w:tc>
                <w:tcPr>
                  <w:tcW w:w="2169" w:type="pct"/>
                  <w:vAlign w:val="center"/>
                </w:tcPr>
                <w:p>
                  <w:pPr>
                    <w:rPr>
                      <w:szCs w:val="21"/>
                    </w:rPr>
                  </w:pPr>
                  <w:r>
                    <w:rPr>
                      <w:rFonts w:hint="eastAsia"/>
                      <w:szCs w:val="21"/>
                    </w:rPr>
                    <w:t>现有涉及五类重金属的企业，不得新增污染物排放，限期退城入园或关停。</w:t>
                  </w:r>
                </w:p>
              </w:tc>
              <w:tc>
                <w:tcPr>
                  <w:tcW w:w="1050" w:type="pct"/>
                  <w:vAlign w:val="center"/>
                </w:tcPr>
                <w:p>
                  <w:pPr>
                    <w:rPr>
                      <w:szCs w:val="21"/>
                    </w:rPr>
                  </w:pPr>
                  <w:r>
                    <w:rPr>
                      <w:rFonts w:hint="eastAsia"/>
                      <w:szCs w:val="21"/>
                    </w:rPr>
                    <w:t>项目不涉及五类重金属。</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用地环境风险防控要求</w:t>
                  </w:r>
                </w:p>
              </w:tc>
              <w:tc>
                <w:tcPr>
                  <w:tcW w:w="2169" w:type="pct"/>
                  <w:vAlign w:val="center"/>
                </w:tcPr>
                <w:p>
                  <w:pPr>
                    <w:rPr>
                      <w:szCs w:val="21"/>
                    </w:rPr>
                  </w:pPr>
                  <w:r>
                    <w:rPr>
                      <w:rFonts w:hint="eastAsia"/>
                      <w:szCs w:val="21"/>
                    </w:rPr>
                    <w:t>工业企业退出用地，须经评估、修复满足相应用地功能后，方可改变用途。</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restart"/>
                  <w:vAlign w:val="center"/>
                </w:tcPr>
                <w:p>
                  <w:pPr>
                    <w:jc w:val="center"/>
                    <w:rPr>
                      <w:szCs w:val="21"/>
                    </w:rPr>
                  </w:pPr>
                  <w:r>
                    <w:rPr>
                      <w:rFonts w:hint="eastAsia"/>
                      <w:szCs w:val="21"/>
                    </w:rPr>
                    <w:t>资源开发利用要求</w:t>
                  </w:r>
                </w:p>
              </w:tc>
              <w:tc>
                <w:tcPr>
                  <w:tcW w:w="395" w:type="pct"/>
                  <w:vAlign w:val="center"/>
                </w:tcPr>
                <w:p>
                  <w:pPr>
                    <w:jc w:val="center"/>
                    <w:rPr>
                      <w:szCs w:val="21"/>
                    </w:rPr>
                  </w:pPr>
                  <w:r>
                    <w:rPr>
                      <w:rFonts w:hint="eastAsia"/>
                      <w:szCs w:val="21"/>
                    </w:rPr>
                    <w:t>水资源利用总量要求</w:t>
                  </w:r>
                </w:p>
              </w:tc>
              <w:tc>
                <w:tcPr>
                  <w:tcW w:w="2169" w:type="pct"/>
                  <w:vAlign w:val="center"/>
                </w:tcPr>
                <w:p>
                  <w:pPr>
                    <w:rPr>
                      <w:szCs w:val="21"/>
                    </w:rPr>
                  </w:pPr>
                  <w:r>
                    <w:rPr>
                      <w:rFonts w:hint="eastAsia"/>
                      <w:szCs w:val="21"/>
                    </w:rPr>
                    <w:t>到2025年，全国污水收集效能显著提升，县城及城市污水处理能力基本满足当地经济社会发展需要，水环境敏感地区污水处理基本实现提标升级；全国地级及以上缺水城市再生水利用率达到25%以上。</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地下水开采要求</w:t>
                  </w:r>
                </w:p>
              </w:tc>
              <w:tc>
                <w:tcPr>
                  <w:tcW w:w="2169" w:type="pct"/>
                  <w:vAlign w:val="center"/>
                </w:tcPr>
                <w:p>
                  <w:pPr>
                    <w:rPr>
                      <w:szCs w:val="21"/>
                    </w:rPr>
                  </w:pPr>
                  <w:r>
                    <w:rPr>
                      <w:rFonts w:hint="eastAsia"/>
                      <w:szCs w:val="21"/>
                    </w:rPr>
                    <w:t>以省市下发指标为准。</w:t>
                  </w:r>
                </w:p>
              </w:tc>
              <w:tc>
                <w:tcPr>
                  <w:tcW w:w="1050" w:type="pct"/>
                  <w:vAlign w:val="center"/>
                </w:tcPr>
                <w:p>
                  <w:pPr>
                    <w:rPr>
                      <w:szCs w:val="21"/>
                    </w:rPr>
                  </w:pPr>
                  <w:r>
                    <w:rPr>
                      <w:rFonts w:hint="eastAsia"/>
                      <w:szCs w:val="21"/>
                    </w:rPr>
                    <w:t>项目不涉及取用地下水。</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能源利用总量及效率要求</w:t>
                  </w:r>
                </w:p>
              </w:tc>
              <w:tc>
                <w:tcPr>
                  <w:tcW w:w="2169" w:type="pct"/>
                  <w:vAlign w:val="center"/>
                </w:tcPr>
                <w:p>
                  <w:pPr>
                    <w:rPr>
                      <w:szCs w:val="21"/>
                    </w:rPr>
                  </w:pPr>
                  <w:r>
                    <w:rPr>
                      <w:rFonts w:hint="eastAsia"/>
                      <w:szCs w:val="21"/>
                    </w:rPr>
                    <w:t>（1）严控使用燃煤等高污染燃料，禁止焚烧垃圾；</w:t>
                  </w:r>
                </w:p>
                <w:p>
                  <w:pPr>
                    <w:rPr>
                      <w:szCs w:val="21"/>
                    </w:rPr>
                  </w:pPr>
                  <w:r>
                    <w:rPr>
                      <w:rFonts w:hint="eastAsia"/>
                      <w:szCs w:val="21"/>
                    </w:rPr>
                    <w:t>（2）全面淘汰每小时10蒸吨以下的燃煤锅炉；在供气管网覆盖不到的其他地区，改用电、新能源或洁净煤；</w:t>
                  </w:r>
                </w:p>
                <w:p>
                  <w:pPr>
                    <w:rPr>
                      <w:szCs w:val="21"/>
                    </w:rPr>
                  </w:pPr>
                  <w:r>
                    <w:rPr>
                      <w:rFonts w:hint="eastAsia"/>
                      <w:szCs w:val="21"/>
                    </w:rPr>
                    <w:t>（3）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禁燃区要求</w:t>
                  </w:r>
                </w:p>
              </w:tc>
              <w:tc>
                <w:tcPr>
                  <w:tcW w:w="2169" w:type="pct"/>
                  <w:vAlign w:val="center"/>
                </w:tcPr>
                <w:p>
                  <w:pPr>
                    <w:rPr>
                      <w:szCs w:val="21"/>
                    </w:rPr>
                  </w:pPr>
                  <w:r>
                    <w:rPr>
                      <w:rFonts w:hint="eastAsia"/>
                      <w:szCs w:val="21"/>
                    </w:rPr>
                    <w:t>（1）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rPr>
                      <w:szCs w:val="21"/>
                    </w:rPr>
                  </w:pPr>
                  <w:r>
                    <w:rPr>
                      <w:rFonts w:hint="eastAsia"/>
                      <w:szCs w:val="21"/>
                    </w:rPr>
                    <w:t>（2）禁燃区内禁止销售、燃用高污染燃料；禁止新建、改建、扩建燃用高污染燃料的设施和设备；</w:t>
                  </w:r>
                </w:p>
                <w:p>
                  <w:pPr>
                    <w:rPr>
                      <w:szCs w:val="21"/>
                    </w:rPr>
                  </w:pPr>
                  <w:r>
                    <w:rPr>
                      <w:rFonts w:hint="eastAsia"/>
                      <w:szCs w:val="21"/>
                    </w:rPr>
                    <w:t>（3）禁燃区内已建成的高污染燃料燃用设施由辖区人民政府制定限期改造计划，改用天然气、页岩气、液化石油气、电或其他清洁能源。</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restart"/>
                  <w:vAlign w:val="center"/>
                </w:tcPr>
                <w:p>
                  <w:pPr>
                    <w:jc w:val="center"/>
                    <w:rPr>
                      <w:szCs w:val="21"/>
                    </w:rPr>
                  </w:pPr>
                  <w:r>
                    <w:rPr>
                      <w:rFonts w:hint="eastAsia"/>
                      <w:szCs w:val="21"/>
                    </w:rPr>
                    <w:t>单元级清单管控要求</w:t>
                  </w:r>
                </w:p>
              </w:tc>
              <w:tc>
                <w:tcPr>
                  <w:tcW w:w="297" w:type="pct"/>
                  <w:vMerge w:val="restart"/>
                  <w:vAlign w:val="center"/>
                </w:tcPr>
                <w:p>
                  <w:pPr>
                    <w:jc w:val="center"/>
                    <w:rPr>
                      <w:szCs w:val="21"/>
                    </w:rPr>
                  </w:pPr>
                  <w:r>
                    <w:rPr>
                      <w:rFonts w:hint="eastAsia"/>
                      <w:szCs w:val="21"/>
                    </w:rPr>
                    <w:t>空间布局约束</w:t>
                  </w:r>
                </w:p>
              </w:tc>
              <w:tc>
                <w:tcPr>
                  <w:tcW w:w="395" w:type="pct"/>
                  <w:vAlign w:val="center"/>
                </w:tcPr>
                <w:p>
                  <w:pPr>
                    <w:jc w:val="center"/>
                    <w:rPr>
                      <w:szCs w:val="21"/>
                    </w:rPr>
                  </w:pPr>
                  <w:r>
                    <w:rPr>
                      <w:rFonts w:hint="eastAsia"/>
                      <w:szCs w:val="21"/>
                    </w:rPr>
                    <w:t>禁止开发建设活动的要求</w:t>
                  </w:r>
                </w:p>
              </w:tc>
              <w:tc>
                <w:tcPr>
                  <w:tcW w:w="2169" w:type="pct"/>
                  <w:vAlign w:val="center"/>
                </w:tcPr>
                <w:p>
                  <w:pPr>
                    <w:rPr>
                      <w:szCs w:val="21"/>
                    </w:rPr>
                  </w:pPr>
                  <w:r>
                    <w:rPr>
                      <w:rFonts w:hint="eastAsia"/>
                      <w:szCs w:val="21"/>
                    </w:rPr>
                    <w:t>执行达州市城镇重点管控单元总体要求。</w:t>
                  </w:r>
                </w:p>
              </w:tc>
              <w:tc>
                <w:tcPr>
                  <w:tcW w:w="1050" w:type="pct"/>
                  <w:vAlign w:val="center"/>
                </w:tcPr>
                <w:p>
                  <w:pPr>
                    <w:rPr>
                      <w:szCs w:val="21"/>
                    </w:rPr>
                  </w:pPr>
                  <w:r>
                    <w:rPr>
                      <w:rFonts w:hint="eastAsia"/>
                      <w:szCs w:val="21"/>
                    </w:rPr>
                    <w:t>项目符合达州市城镇重点管控单元总体要求。</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限制开发建设活动的要求</w:t>
                  </w:r>
                </w:p>
              </w:tc>
              <w:tc>
                <w:tcPr>
                  <w:tcW w:w="2169" w:type="pct"/>
                  <w:vAlign w:val="center"/>
                </w:tcPr>
                <w:p>
                  <w:pPr>
                    <w:rPr>
                      <w:szCs w:val="21"/>
                    </w:rPr>
                  </w:pPr>
                  <w:r>
                    <w:rPr>
                      <w:rFonts w:hint="eastAsia"/>
                      <w:szCs w:val="21"/>
                    </w:rPr>
                    <w:t>工业用地布局在新城综合发展区的南部、“北城新区”功能片区的北部、东南部的工业组团，其它同达州市城镇重点管控单元要求。</w:t>
                  </w:r>
                </w:p>
              </w:tc>
              <w:tc>
                <w:tcPr>
                  <w:tcW w:w="1050" w:type="pct"/>
                  <w:vAlign w:val="center"/>
                </w:tcPr>
                <w:p>
                  <w:pPr>
                    <w:rPr>
                      <w:szCs w:val="21"/>
                    </w:rPr>
                  </w:pPr>
                  <w:r>
                    <w:rPr>
                      <w:rFonts w:hint="eastAsia"/>
                      <w:szCs w:val="21"/>
                    </w:rPr>
                    <w:t>项目符合达州市城镇重点管控单元总体要求。</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允许开发建设活动的要求</w:t>
                  </w:r>
                </w:p>
              </w:tc>
              <w:tc>
                <w:tcPr>
                  <w:tcW w:w="2169" w:type="pct"/>
                  <w:vAlign w:val="center"/>
                </w:tcPr>
                <w:p>
                  <w:pPr>
                    <w:rPr>
                      <w:szCs w:val="21"/>
                    </w:rPr>
                  </w:pPr>
                  <w:r>
                    <w:rPr>
                      <w:rFonts w:hint="eastAsia"/>
                      <w:szCs w:val="21"/>
                    </w:rPr>
                    <w:t>/</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不符合空间布局要求活动的退出要求</w:t>
                  </w:r>
                </w:p>
              </w:tc>
              <w:tc>
                <w:tcPr>
                  <w:tcW w:w="2169" w:type="pct"/>
                  <w:vAlign w:val="center"/>
                </w:tcPr>
                <w:p>
                  <w:pPr>
                    <w:rPr>
                      <w:szCs w:val="21"/>
                    </w:rPr>
                  </w:pPr>
                  <w:r>
                    <w:rPr>
                      <w:rFonts w:hint="eastAsia"/>
                      <w:szCs w:val="21"/>
                    </w:rPr>
                    <w:t>同达州市城镇重点管控单元总体要求。</w:t>
                  </w:r>
                </w:p>
              </w:tc>
              <w:tc>
                <w:tcPr>
                  <w:tcW w:w="1050" w:type="pct"/>
                  <w:vAlign w:val="center"/>
                </w:tcPr>
                <w:p>
                  <w:pPr>
                    <w:rPr>
                      <w:szCs w:val="21"/>
                    </w:rPr>
                  </w:pPr>
                  <w:r>
                    <w:rPr>
                      <w:rFonts w:hint="eastAsia"/>
                      <w:szCs w:val="21"/>
                    </w:rPr>
                    <w:t>项目符合达州市城镇重点管控单元总体要求。</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restart"/>
                  <w:vAlign w:val="center"/>
                </w:tcPr>
                <w:p>
                  <w:pPr>
                    <w:jc w:val="center"/>
                    <w:rPr>
                      <w:szCs w:val="21"/>
                    </w:rPr>
                  </w:pPr>
                  <w:r>
                    <w:rPr>
                      <w:szCs w:val="21"/>
                    </w:rPr>
                    <w:t>污染物排放管控</w:t>
                  </w:r>
                </w:p>
              </w:tc>
              <w:tc>
                <w:tcPr>
                  <w:tcW w:w="395" w:type="pct"/>
                  <w:vAlign w:val="center"/>
                </w:tcPr>
                <w:p>
                  <w:pPr>
                    <w:jc w:val="center"/>
                    <w:rPr>
                      <w:szCs w:val="21"/>
                    </w:rPr>
                  </w:pPr>
                  <w:r>
                    <w:rPr>
                      <w:rFonts w:hint="eastAsia"/>
                      <w:szCs w:val="21"/>
                    </w:rPr>
                    <w:t>现有源提标升级改造</w:t>
                  </w:r>
                </w:p>
              </w:tc>
              <w:tc>
                <w:tcPr>
                  <w:tcW w:w="2169" w:type="pct"/>
                  <w:vAlign w:val="center"/>
                </w:tcPr>
                <w:p>
                  <w:pPr>
                    <w:rPr>
                      <w:szCs w:val="21"/>
                    </w:rPr>
                  </w:pPr>
                  <w:r>
                    <w:rPr>
                      <w:rFonts w:hint="eastAsia"/>
                      <w:szCs w:val="21"/>
                    </w:rPr>
                    <w:t>执行达州市城镇重点管控单元总体要求。</w:t>
                  </w:r>
                </w:p>
              </w:tc>
              <w:tc>
                <w:tcPr>
                  <w:tcW w:w="1050" w:type="pct"/>
                  <w:vAlign w:val="center"/>
                </w:tcPr>
                <w:p>
                  <w:pPr>
                    <w:rPr>
                      <w:szCs w:val="21"/>
                    </w:rPr>
                  </w:pPr>
                  <w:r>
                    <w:rPr>
                      <w:rFonts w:hint="eastAsia"/>
                      <w:szCs w:val="21"/>
                    </w:rPr>
                    <w:t>项目符合达州市城镇重点管控单元总体要求。</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新增源等量或倍量替代</w:t>
                  </w:r>
                </w:p>
              </w:tc>
              <w:tc>
                <w:tcPr>
                  <w:tcW w:w="2169" w:type="pct"/>
                  <w:vAlign w:val="center"/>
                </w:tcPr>
                <w:p>
                  <w:pPr>
                    <w:rPr>
                      <w:szCs w:val="21"/>
                    </w:rPr>
                  </w:pPr>
                  <w:r>
                    <w:rPr>
                      <w:rFonts w:hint="eastAsia"/>
                      <w:szCs w:val="21"/>
                    </w:rPr>
                    <w:t>执行达州市城镇重点管控单元总体要求。</w:t>
                  </w:r>
                </w:p>
              </w:tc>
              <w:tc>
                <w:tcPr>
                  <w:tcW w:w="1050" w:type="pct"/>
                  <w:vAlign w:val="center"/>
                </w:tcPr>
                <w:p>
                  <w:pPr>
                    <w:rPr>
                      <w:szCs w:val="21"/>
                    </w:rPr>
                  </w:pPr>
                  <w:r>
                    <w:rPr>
                      <w:rFonts w:hint="eastAsia"/>
                      <w:szCs w:val="21"/>
                    </w:rPr>
                    <w:t>项目符合达州市城镇重点管控单元总体要求。</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污染物排放绩效水平准入要求</w:t>
                  </w:r>
                </w:p>
              </w:tc>
              <w:tc>
                <w:tcPr>
                  <w:tcW w:w="2169" w:type="pct"/>
                  <w:vAlign w:val="center"/>
                </w:tcPr>
                <w:p>
                  <w:pPr>
                    <w:rPr>
                      <w:szCs w:val="21"/>
                    </w:rPr>
                  </w:pPr>
                  <w:r>
                    <w:rPr>
                      <w:rFonts w:hint="eastAsia"/>
                      <w:szCs w:val="21"/>
                    </w:rPr>
                    <w:t>执行达州市城镇重点管控单元总体要求。</w:t>
                  </w:r>
                </w:p>
              </w:tc>
              <w:tc>
                <w:tcPr>
                  <w:tcW w:w="1050" w:type="pct"/>
                  <w:vAlign w:val="center"/>
                </w:tcPr>
                <w:p>
                  <w:pPr>
                    <w:rPr>
                      <w:szCs w:val="21"/>
                    </w:rPr>
                  </w:pPr>
                  <w:r>
                    <w:rPr>
                      <w:rFonts w:hint="eastAsia"/>
                      <w:szCs w:val="21"/>
                    </w:rPr>
                    <w:t>项目符合达州市城镇重点管控单元总体要求。</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restart"/>
                  <w:vAlign w:val="center"/>
                </w:tcPr>
                <w:p>
                  <w:pPr>
                    <w:jc w:val="center"/>
                    <w:rPr>
                      <w:szCs w:val="21"/>
                    </w:rPr>
                  </w:pPr>
                  <w:r>
                    <w:rPr>
                      <w:szCs w:val="21"/>
                    </w:rPr>
                    <w:t>环境风险防控</w:t>
                  </w:r>
                </w:p>
              </w:tc>
              <w:tc>
                <w:tcPr>
                  <w:tcW w:w="395" w:type="pct"/>
                  <w:vAlign w:val="center"/>
                </w:tcPr>
                <w:p>
                  <w:pPr>
                    <w:jc w:val="center"/>
                    <w:rPr>
                      <w:szCs w:val="21"/>
                    </w:rPr>
                  </w:pPr>
                  <w:r>
                    <w:rPr>
                      <w:rFonts w:hint="eastAsia"/>
                      <w:szCs w:val="21"/>
                    </w:rPr>
                    <w:t>企业环境风险防控要求</w:t>
                  </w:r>
                </w:p>
              </w:tc>
              <w:tc>
                <w:tcPr>
                  <w:tcW w:w="2169" w:type="pct"/>
                  <w:vAlign w:val="center"/>
                </w:tcPr>
                <w:p>
                  <w:pPr>
                    <w:rPr>
                      <w:szCs w:val="21"/>
                    </w:rPr>
                  </w:pPr>
                  <w:r>
                    <w:rPr>
                      <w:rFonts w:hint="eastAsia"/>
                      <w:szCs w:val="21"/>
                    </w:rPr>
                    <w:t>执行达州市城镇重点管控单元总体要求。</w:t>
                  </w:r>
                </w:p>
              </w:tc>
              <w:tc>
                <w:tcPr>
                  <w:tcW w:w="1050" w:type="pct"/>
                  <w:vAlign w:val="center"/>
                </w:tcPr>
                <w:p>
                  <w:pPr>
                    <w:rPr>
                      <w:szCs w:val="21"/>
                    </w:rPr>
                  </w:pPr>
                  <w:r>
                    <w:rPr>
                      <w:rFonts w:hint="eastAsia"/>
                      <w:szCs w:val="21"/>
                    </w:rPr>
                    <w:t>项目符合达州市城镇重点管控单元总体要求。</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用地环境风险防控要求</w:t>
                  </w:r>
                </w:p>
              </w:tc>
              <w:tc>
                <w:tcPr>
                  <w:tcW w:w="2169" w:type="pct"/>
                  <w:vAlign w:val="center"/>
                </w:tcPr>
                <w:p>
                  <w:pPr>
                    <w:rPr>
                      <w:szCs w:val="21"/>
                    </w:rPr>
                  </w:pPr>
                  <w:r>
                    <w:rPr>
                      <w:rFonts w:hint="eastAsia"/>
                      <w:szCs w:val="21"/>
                    </w:rPr>
                    <w:t>执行达州市城镇重点管控单元总体要求。</w:t>
                  </w:r>
                </w:p>
              </w:tc>
              <w:tc>
                <w:tcPr>
                  <w:tcW w:w="1050" w:type="pct"/>
                  <w:vAlign w:val="center"/>
                </w:tcPr>
                <w:p>
                  <w:pPr>
                    <w:rPr>
                      <w:szCs w:val="21"/>
                    </w:rPr>
                  </w:pPr>
                  <w:r>
                    <w:rPr>
                      <w:rFonts w:hint="eastAsia"/>
                      <w:szCs w:val="21"/>
                    </w:rPr>
                    <w:t>项目符合达州市城镇重点管控单元总体要求。</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restart"/>
                  <w:vAlign w:val="center"/>
                </w:tcPr>
                <w:p>
                  <w:pPr>
                    <w:jc w:val="center"/>
                    <w:rPr>
                      <w:szCs w:val="21"/>
                    </w:rPr>
                  </w:pPr>
                  <w:r>
                    <w:rPr>
                      <w:rFonts w:hint="eastAsia"/>
                      <w:szCs w:val="21"/>
                    </w:rPr>
                    <w:t>资源开发利用要求</w:t>
                  </w:r>
                </w:p>
              </w:tc>
              <w:tc>
                <w:tcPr>
                  <w:tcW w:w="395" w:type="pct"/>
                  <w:vAlign w:val="center"/>
                </w:tcPr>
                <w:p>
                  <w:pPr>
                    <w:jc w:val="center"/>
                    <w:rPr>
                      <w:szCs w:val="21"/>
                    </w:rPr>
                  </w:pPr>
                  <w:r>
                    <w:rPr>
                      <w:rFonts w:hint="eastAsia"/>
                      <w:szCs w:val="21"/>
                    </w:rPr>
                    <w:t>水资源利用总量要求</w:t>
                  </w:r>
                </w:p>
              </w:tc>
              <w:tc>
                <w:tcPr>
                  <w:tcW w:w="2169" w:type="pct"/>
                  <w:vAlign w:val="center"/>
                </w:tcPr>
                <w:p>
                  <w:pPr>
                    <w:rPr>
                      <w:szCs w:val="21"/>
                    </w:rPr>
                  </w:pPr>
                  <w:r>
                    <w:rPr>
                      <w:rFonts w:hint="eastAsia"/>
                      <w:szCs w:val="21"/>
                    </w:rPr>
                    <w:t>执行达州市城镇重点管控单元总体要求。</w:t>
                  </w:r>
                </w:p>
              </w:tc>
              <w:tc>
                <w:tcPr>
                  <w:tcW w:w="1050" w:type="pct"/>
                  <w:vAlign w:val="center"/>
                </w:tcPr>
                <w:p>
                  <w:pPr>
                    <w:rPr>
                      <w:szCs w:val="21"/>
                    </w:rPr>
                  </w:pPr>
                  <w:r>
                    <w:rPr>
                      <w:rFonts w:hint="eastAsia"/>
                      <w:szCs w:val="21"/>
                    </w:rPr>
                    <w:t>项目符合达州市城镇重点管控单元总体要求。</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能源利用总量及效率要求</w:t>
                  </w:r>
                </w:p>
              </w:tc>
              <w:tc>
                <w:tcPr>
                  <w:tcW w:w="2169" w:type="pct"/>
                  <w:vAlign w:val="center"/>
                </w:tcPr>
                <w:p>
                  <w:pPr>
                    <w:rPr>
                      <w:szCs w:val="21"/>
                    </w:rPr>
                  </w:pPr>
                  <w:r>
                    <w:rPr>
                      <w:rFonts w:hint="eastAsia"/>
                      <w:szCs w:val="21"/>
                    </w:rPr>
                    <w:t>执行达州市城镇重点管控单元总体要求。</w:t>
                  </w:r>
                </w:p>
              </w:tc>
              <w:tc>
                <w:tcPr>
                  <w:tcW w:w="1050" w:type="pct"/>
                  <w:vAlign w:val="center"/>
                </w:tcPr>
                <w:p>
                  <w:pPr>
                    <w:rPr>
                      <w:szCs w:val="21"/>
                    </w:rPr>
                  </w:pPr>
                  <w:r>
                    <w:rPr>
                      <w:rFonts w:hint="eastAsia"/>
                      <w:szCs w:val="21"/>
                    </w:rPr>
                    <w:t>项目符合达州市城镇重点管控单元总体要求。</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395" w:type="pct"/>
                  <w:vAlign w:val="center"/>
                </w:tcPr>
                <w:p>
                  <w:pPr>
                    <w:jc w:val="center"/>
                    <w:rPr>
                      <w:szCs w:val="21"/>
                    </w:rPr>
                  </w:pPr>
                  <w:r>
                    <w:rPr>
                      <w:rFonts w:hint="eastAsia"/>
                      <w:szCs w:val="21"/>
                    </w:rPr>
                    <w:t>禁燃区要求</w:t>
                  </w:r>
                </w:p>
              </w:tc>
              <w:tc>
                <w:tcPr>
                  <w:tcW w:w="2169" w:type="pct"/>
                  <w:vAlign w:val="center"/>
                </w:tcPr>
                <w:p>
                  <w:pPr>
                    <w:rPr>
                      <w:szCs w:val="21"/>
                    </w:rPr>
                  </w:pPr>
                  <w:r>
                    <w:rPr>
                      <w:rFonts w:hint="eastAsia"/>
                      <w:szCs w:val="21"/>
                    </w:rPr>
                    <w:t>执行达州市城镇重点管控单元总体要求。</w:t>
                  </w:r>
                </w:p>
              </w:tc>
              <w:tc>
                <w:tcPr>
                  <w:tcW w:w="1050" w:type="pct"/>
                  <w:vAlign w:val="center"/>
                </w:tcPr>
                <w:p>
                  <w:pPr>
                    <w:rPr>
                      <w:szCs w:val="21"/>
                    </w:rPr>
                  </w:pPr>
                  <w:r>
                    <w:rPr>
                      <w:rFonts w:hint="eastAsia"/>
                      <w:szCs w:val="21"/>
                    </w:rPr>
                    <w:t>项目符合达州市城镇重点管控单元总体要求。</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restart"/>
                  <w:vAlign w:val="center"/>
                </w:tcPr>
                <w:p>
                  <w:pPr>
                    <w:rPr>
                      <w:rFonts w:cs="Times New Roman"/>
                      <w:szCs w:val="21"/>
                    </w:rPr>
                  </w:pPr>
                  <w:r>
                    <w:rPr>
                      <w:rFonts w:hint="eastAsia"/>
                      <w:szCs w:val="21"/>
                    </w:rPr>
                    <w:t>水环境农业污染重点管控区、</w:t>
                  </w:r>
                  <w:r>
                    <w:rPr>
                      <w:rFonts w:cs="Times New Roman"/>
                      <w:szCs w:val="21"/>
                    </w:rPr>
                    <w:t>YS511724</w:t>
                  </w:r>
                </w:p>
                <w:p>
                  <w:pPr>
                    <w:rPr>
                      <w:szCs w:val="21"/>
                    </w:rPr>
                  </w:pPr>
                  <w:r>
                    <w:rPr>
                      <w:rFonts w:cs="Times New Roman"/>
                      <w:szCs w:val="21"/>
                    </w:rPr>
                    <w:t>2230001</w:t>
                  </w:r>
                  <w:r>
                    <w:rPr>
                      <w:rFonts w:hint="eastAsia"/>
                      <w:szCs w:val="21"/>
                    </w:rPr>
                    <w:t>、东柳河-大竹县-墩子河-控制单元</w:t>
                  </w:r>
                </w:p>
              </w:tc>
              <w:tc>
                <w:tcPr>
                  <w:tcW w:w="345" w:type="pct"/>
                  <w:vMerge w:val="restart"/>
                  <w:vAlign w:val="center"/>
                </w:tcPr>
                <w:p>
                  <w:pPr>
                    <w:jc w:val="center"/>
                    <w:rPr>
                      <w:szCs w:val="21"/>
                    </w:rPr>
                  </w:pPr>
                  <w:r>
                    <w:rPr>
                      <w:rFonts w:hint="eastAsia"/>
                      <w:szCs w:val="21"/>
                    </w:rPr>
                    <w:t>单元级清单管控要求</w:t>
                  </w:r>
                </w:p>
              </w:tc>
              <w:tc>
                <w:tcPr>
                  <w:tcW w:w="297" w:type="pct"/>
                  <w:vAlign w:val="center"/>
                </w:tcPr>
                <w:p>
                  <w:pPr>
                    <w:jc w:val="center"/>
                    <w:rPr>
                      <w:szCs w:val="21"/>
                    </w:rPr>
                  </w:pPr>
                  <w:r>
                    <w:rPr>
                      <w:szCs w:val="21"/>
                    </w:rPr>
                    <w:t>空间布局约束</w:t>
                  </w:r>
                </w:p>
              </w:tc>
              <w:tc>
                <w:tcPr>
                  <w:tcW w:w="2564" w:type="pct"/>
                  <w:gridSpan w:val="2"/>
                  <w:vAlign w:val="center"/>
                </w:tcPr>
                <w:p>
                  <w:pPr>
                    <w:rPr>
                      <w:szCs w:val="21"/>
                    </w:rPr>
                  </w:pPr>
                  <w:r>
                    <w:rPr>
                      <w:rFonts w:hint="eastAsia"/>
                      <w:szCs w:val="21"/>
                    </w:rPr>
                    <w:t>禁止开发建设活动的要求</w:t>
                  </w:r>
                </w:p>
                <w:p>
                  <w:pPr>
                    <w:rPr>
                      <w:szCs w:val="21"/>
                    </w:rPr>
                  </w:pPr>
                  <w:r>
                    <w:rPr>
                      <w:rFonts w:hint="eastAsia"/>
                      <w:szCs w:val="21"/>
                    </w:rPr>
                    <w:t>限制开发建设活动的要求</w:t>
                  </w:r>
                </w:p>
                <w:p>
                  <w:pPr>
                    <w:rPr>
                      <w:szCs w:val="21"/>
                    </w:rPr>
                  </w:pPr>
                  <w:r>
                    <w:rPr>
                      <w:rFonts w:hint="eastAsia"/>
                      <w:szCs w:val="21"/>
                    </w:rPr>
                    <w:t>允许开发建设活动的要求</w:t>
                  </w:r>
                </w:p>
                <w:p>
                  <w:pPr>
                    <w:rPr>
                      <w:szCs w:val="21"/>
                    </w:rPr>
                  </w:pPr>
                  <w:r>
                    <w:rPr>
                      <w:rFonts w:hint="eastAsia"/>
                      <w:szCs w:val="21"/>
                    </w:rPr>
                    <w:t>不符合空间布局要求活动的退出要求</w:t>
                  </w:r>
                </w:p>
                <w:p>
                  <w:pPr>
                    <w:rPr>
                      <w:szCs w:val="21"/>
                    </w:rPr>
                  </w:pPr>
                  <w:r>
                    <w:rPr>
                      <w:rFonts w:hint="eastAsia"/>
                      <w:szCs w:val="21"/>
                    </w:rPr>
                    <w:t>其他空间布局约束要求</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restart"/>
                  <w:vAlign w:val="center"/>
                </w:tcPr>
                <w:p>
                  <w:pPr>
                    <w:jc w:val="center"/>
                    <w:rPr>
                      <w:szCs w:val="21"/>
                    </w:rPr>
                  </w:pPr>
                  <w:r>
                    <w:rPr>
                      <w:rFonts w:hint="eastAsia"/>
                      <w:szCs w:val="21"/>
                    </w:rPr>
                    <w:t>污染物排放管控</w:t>
                  </w:r>
                </w:p>
              </w:tc>
              <w:tc>
                <w:tcPr>
                  <w:tcW w:w="2564" w:type="pct"/>
                  <w:gridSpan w:val="2"/>
                  <w:vAlign w:val="center"/>
                </w:tcPr>
                <w:p>
                  <w:pPr>
                    <w:rPr>
                      <w:szCs w:val="21"/>
                    </w:rPr>
                  </w:pPr>
                  <w:r>
                    <w:rPr>
                      <w:rFonts w:hint="eastAsia"/>
                      <w:szCs w:val="21"/>
                    </w:rPr>
                    <w:t>城镇污水污染控制措施要求：</w:t>
                  </w:r>
                </w:p>
                <w:p>
                  <w:pPr>
                    <w:rPr>
                      <w:szCs w:val="21"/>
                    </w:rPr>
                  </w:pPr>
                  <w:r>
                    <w:rPr>
                      <w:rFonts w:hint="eastAsia"/>
                      <w:szCs w:val="21"/>
                    </w:rPr>
                    <w:t>（1）推进流域聚居点生活污水处理设施建设；</w:t>
                  </w:r>
                </w:p>
                <w:p>
                  <w:pPr>
                    <w:rPr>
                      <w:szCs w:val="21"/>
                    </w:rPr>
                  </w:pPr>
                  <w:r>
                    <w:rPr>
                      <w:rFonts w:hint="eastAsia"/>
                      <w:szCs w:val="21"/>
                    </w:rPr>
                    <w:t>（</w:t>
                  </w:r>
                  <w:r>
                    <w:rPr>
                      <w:szCs w:val="21"/>
                    </w:rPr>
                    <w:t>2</w:t>
                  </w:r>
                  <w:r>
                    <w:rPr>
                      <w:rFonts w:hint="eastAsia"/>
                      <w:szCs w:val="21"/>
                    </w:rPr>
                    <w:t>）保障乡镇污水收集处理设施顺畅运行；</w:t>
                  </w:r>
                </w:p>
                <w:p>
                  <w:pPr>
                    <w:rPr>
                      <w:szCs w:val="21"/>
                    </w:rPr>
                  </w:pPr>
                  <w:r>
                    <w:rPr>
                      <w:rFonts w:hint="eastAsia"/>
                      <w:szCs w:val="21"/>
                    </w:rPr>
                    <w:t>（</w:t>
                  </w:r>
                  <w:r>
                    <w:rPr>
                      <w:szCs w:val="21"/>
                    </w:rPr>
                    <w:t>3</w:t>
                  </w:r>
                  <w:r>
                    <w:rPr>
                      <w:rFonts w:hint="eastAsia"/>
                      <w:szCs w:val="21"/>
                    </w:rPr>
                    <w:t>）推进污水直排口排查与整治，落实“一口一策”整改措施。</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工业废水污染控制措施要求：</w:t>
                  </w:r>
                </w:p>
                <w:p>
                  <w:pPr>
                    <w:rPr>
                      <w:szCs w:val="21"/>
                    </w:rPr>
                  </w:pPr>
                  <w:r>
                    <w:rPr>
                      <w:rFonts w:hint="eastAsia"/>
                      <w:szCs w:val="21"/>
                    </w:rPr>
                    <w:t>（1）落实主要污染物排放总量指标控制要求，加强入河排污口登记、审批和监督管理；</w:t>
                  </w:r>
                </w:p>
                <w:p>
                  <w:pPr>
                    <w:rPr>
                      <w:szCs w:val="21"/>
                    </w:rPr>
                  </w:pPr>
                  <w:r>
                    <w:rPr>
                      <w:rFonts w:hint="eastAsia"/>
                      <w:szCs w:val="21"/>
                    </w:rPr>
                    <w:t>（</w:t>
                  </w:r>
                  <w:r>
                    <w:rPr>
                      <w:szCs w:val="21"/>
                    </w:rPr>
                    <w:t>2</w:t>
                  </w:r>
                  <w:r>
                    <w:rPr>
                      <w:rFonts w:hint="eastAsia"/>
                      <w:szCs w:val="21"/>
                    </w:rPr>
                    <w:t>）强化流域内工业点源、规模化畜禽养殖场运行监管，避免偷排、漏排。</w:t>
                  </w:r>
                </w:p>
              </w:tc>
              <w:tc>
                <w:tcPr>
                  <w:tcW w:w="1050" w:type="pct"/>
                  <w:vAlign w:val="center"/>
                </w:tcPr>
                <w:p>
                  <w:pPr>
                    <w:rPr>
                      <w:szCs w:val="21"/>
                    </w:rPr>
                  </w:pPr>
                  <w:r>
                    <w:rPr>
                      <w:rFonts w:hint="eastAsia"/>
                      <w:szCs w:val="21"/>
                    </w:rPr>
                    <w:t>项目不新增水污染物排放。</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农业面源水污染控制措施要求：</w:t>
                  </w:r>
                </w:p>
                <w:p>
                  <w:pPr>
                    <w:rPr>
                      <w:szCs w:val="21"/>
                    </w:rPr>
                  </w:pPr>
                  <w:r>
                    <w:rPr>
                      <w:rFonts w:hint="eastAsia"/>
                      <w:szCs w:val="21"/>
                    </w:rPr>
                    <w:t>（1）推进农村污染治理。稳步农村污水处理设施建设，适当预留发展空间，宜集中则集中，宜分散则分散；农村生活污水处理设施排水执行《农村生活污水处理设施水污染物排放标准》（DB 51 2626-2019）要求；大力推进农村生活垃圾就地分类减量 和资源化利用，因地制宜选择农村生活垃圾治理模式；严格做好“农家乐”、种植采摘园等范围内的生活及农产品产生污水及垃圾治理；</w:t>
                  </w:r>
                </w:p>
                <w:p>
                  <w:pPr>
                    <w:rPr>
                      <w:szCs w:val="21"/>
                    </w:rPr>
                  </w:pPr>
                  <w:r>
                    <w:rPr>
                      <w:rFonts w:hint="eastAsia"/>
                      <w:szCs w:val="21"/>
                    </w:rPr>
                    <w:t>（</w:t>
                  </w:r>
                  <w:r>
                    <w:rPr>
                      <w:szCs w:val="21"/>
                    </w:rPr>
                    <w:t>2</w:t>
                  </w:r>
                  <w:r>
                    <w:rPr>
                      <w:rFonts w:hint="eastAsia"/>
                      <w:szCs w:val="21"/>
                    </w:rPr>
                    <w:t>）大力推进水产生态健康养殖，加强渔业生产过程中抗菌药物使用管控；强化水产养殖污染治理，水产养殖废水应处理达到《四川省水产养殖业水污染物排放标准》后排放；实施池塘标准化改造，完善循环水和进排水处理设施，推进养殖尾水节水减排。到2025年，水产健康养殖示范比重达到68%以上；</w:t>
                  </w:r>
                </w:p>
                <w:p>
                  <w:pPr>
                    <w:rPr>
                      <w:szCs w:val="21"/>
                    </w:rPr>
                  </w:pPr>
                  <w:r>
                    <w:rPr>
                      <w:rFonts w:hint="eastAsia"/>
                      <w:szCs w:val="21"/>
                    </w:rPr>
                    <w:t>（</w:t>
                  </w:r>
                  <w:r>
                    <w:rPr>
                      <w:szCs w:val="21"/>
                    </w:rPr>
                    <w:t>3</w:t>
                  </w:r>
                  <w:r>
                    <w:rPr>
                      <w:rFonts w:hint="eastAsia"/>
                      <w:szCs w:val="21"/>
                    </w:rPr>
                    <w:t>）推进畜禽粪污分类处置，根据排放去向或利用方式的不同执行相应的标准规范；不断提高畜禽养殖粪污资源化利用率及利用水平；设有污水排放口的规模化畜禽养殖场应当依法申领排污许可证。到2025年，畜禽粪污综合利用率达到80%以上，规模以上养殖场粪污处理设施装备配套率保持100%。到2035年，畜禽粪污基本实现资源化利用，综合利用率达到95%以上；</w:t>
                  </w:r>
                </w:p>
                <w:p>
                  <w:pPr>
                    <w:rPr>
                      <w:szCs w:val="21"/>
                    </w:rPr>
                  </w:pPr>
                  <w:r>
                    <w:rPr>
                      <w:rFonts w:hint="eastAsia"/>
                      <w:szCs w:val="21"/>
                    </w:rPr>
                    <w:t>（</w:t>
                  </w:r>
                  <w:r>
                    <w:rPr>
                      <w:szCs w:val="21"/>
                    </w:rPr>
                    <w:t>4</w:t>
                  </w:r>
                  <w:r>
                    <w:rPr>
                      <w:rFonts w:hint="eastAsia"/>
                      <w:szCs w:val="21"/>
                    </w:rPr>
                    <w:t>）深入推进化肥减量增效，鼓励以循环利用与生态净化相结合的方式控制种植业污染，农企合作推进测土配方施肥；逐步推进农田径流拦截及治理；</w:t>
                  </w:r>
                </w:p>
                <w:p>
                  <w:pPr>
                    <w:rPr>
                      <w:szCs w:val="21"/>
                    </w:rPr>
                  </w:pPr>
                  <w:r>
                    <w:rPr>
                      <w:rFonts w:hint="eastAsia"/>
                      <w:szCs w:val="21"/>
                    </w:rPr>
                    <w:t>（</w:t>
                  </w:r>
                  <w:r>
                    <w:rPr>
                      <w:szCs w:val="21"/>
                    </w:rPr>
                    <w:t>5</w:t>
                  </w:r>
                  <w:r>
                    <w:rPr>
                      <w:rFonts w:hint="eastAsia"/>
                      <w:szCs w:val="21"/>
                    </w:rPr>
                    <w:t>）按照《四川省推进农村黑臭水体治理工作方案（2021-2025年）》要求，持续开展农村黑臭水体排查，实现农村黑臭水体“动态”清零。</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船舶港口水污染控制措施要求</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饮用水水源和其它特殊水体保护要求</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Align w:val="center"/>
                </w:tcPr>
                <w:p>
                  <w:pPr>
                    <w:jc w:val="center"/>
                    <w:rPr>
                      <w:szCs w:val="21"/>
                    </w:rPr>
                  </w:pPr>
                  <w:r>
                    <w:rPr>
                      <w:rFonts w:hint="eastAsia"/>
                      <w:szCs w:val="21"/>
                    </w:rPr>
                    <w:t>环境风险防控</w:t>
                  </w:r>
                </w:p>
              </w:tc>
              <w:tc>
                <w:tcPr>
                  <w:tcW w:w="2564" w:type="pct"/>
                  <w:gridSpan w:val="2"/>
                  <w:vAlign w:val="center"/>
                </w:tcPr>
                <w:p>
                  <w:pPr>
                    <w:rPr>
                      <w:szCs w:val="21"/>
                    </w:rPr>
                  </w:pPr>
                  <w:r>
                    <w:rPr>
                      <w:rFonts w:hint="eastAsia"/>
                      <w:szCs w:val="21"/>
                    </w:rPr>
                    <w:t>/</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Align w:val="center"/>
                </w:tcPr>
                <w:p>
                  <w:pPr>
                    <w:jc w:val="center"/>
                    <w:rPr>
                      <w:szCs w:val="21"/>
                    </w:rPr>
                  </w:pPr>
                  <w:r>
                    <w:rPr>
                      <w:rFonts w:hint="eastAsia"/>
                      <w:szCs w:val="21"/>
                    </w:rPr>
                    <w:t>资源开发效率要求</w:t>
                  </w:r>
                </w:p>
              </w:tc>
              <w:tc>
                <w:tcPr>
                  <w:tcW w:w="2564" w:type="pct"/>
                  <w:gridSpan w:val="2"/>
                  <w:vAlign w:val="center"/>
                </w:tcPr>
                <w:p>
                  <w:pPr>
                    <w:rPr>
                      <w:szCs w:val="21"/>
                    </w:rPr>
                  </w:pPr>
                  <w:r>
                    <w:rPr>
                      <w:rFonts w:hint="eastAsia"/>
                      <w:szCs w:val="21"/>
                    </w:rPr>
                    <w:t>落实生态流量保障，强化流域内水库、水电站下泄生态流量监管。强化种植业节水；推进农村污水分质资源化利用。</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restart"/>
                  <w:vAlign w:val="center"/>
                </w:tcPr>
                <w:p>
                  <w:pPr>
                    <w:jc w:val="center"/>
                    <w:rPr>
                      <w:szCs w:val="21"/>
                    </w:rPr>
                  </w:pPr>
                  <w:r>
                    <w:rPr>
                      <w:rFonts w:hint="eastAsia"/>
                      <w:szCs w:val="21"/>
                    </w:rPr>
                    <w:t>大气环境受体敏感重点管控区、</w:t>
                  </w:r>
                  <w:r>
                    <w:rPr>
                      <w:szCs w:val="21"/>
                    </w:rPr>
                    <w:t>YS511724</w:t>
                  </w:r>
                </w:p>
                <w:p>
                  <w:pPr>
                    <w:jc w:val="center"/>
                    <w:rPr>
                      <w:szCs w:val="21"/>
                    </w:rPr>
                  </w:pPr>
                  <w:r>
                    <w:rPr>
                      <w:szCs w:val="21"/>
                    </w:rPr>
                    <w:t>2340001、</w:t>
                  </w:r>
                  <w:r>
                    <w:rPr>
                      <w:rFonts w:hint="eastAsia"/>
                      <w:szCs w:val="21"/>
                    </w:rPr>
                    <w:t>大竹县城镇集中建设区</w:t>
                  </w:r>
                </w:p>
              </w:tc>
              <w:tc>
                <w:tcPr>
                  <w:tcW w:w="345" w:type="pct"/>
                  <w:vMerge w:val="restart"/>
                  <w:vAlign w:val="center"/>
                </w:tcPr>
                <w:p>
                  <w:pPr>
                    <w:jc w:val="center"/>
                    <w:rPr>
                      <w:szCs w:val="21"/>
                    </w:rPr>
                  </w:pPr>
                  <w:r>
                    <w:rPr>
                      <w:rFonts w:hint="eastAsia"/>
                      <w:szCs w:val="21"/>
                    </w:rPr>
                    <w:t>单元级清单管控要求</w:t>
                  </w:r>
                </w:p>
              </w:tc>
              <w:tc>
                <w:tcPr>
                  <w:tcW w:w="297" w:type="pct"/>
                  <w:vAlign w:val="center"/>
                </w:tcPr>
                <w:p>
                  <w:pPr>
                    <w:jc w:val="center"/>
                    <w:rPr>
                      <w:szCs w:val="21"/>
                    </w:rPr>
                  </w:pPr>
                  <w:r>
                    <w:rPr>
                      <w:szCs w:val="21"/>
                    </w:rPr>
                    <w:t>空间布局约束</w:t>
                  </w:r>
                </w:p>
              </w:tc>
              <w:tc>
                <w:tcPr>
                  <w:tcW w:w="2564" w:type="pct"/>
                  <w:gridSpan w:val="2"/>
                  <w:vAlign w:val="center"/>
                </w:tcPr>
                <w:p>
                  <w:pPr>
                    <w:rPr>
                      <w:szCs w:val="21"/>
                    </w:rPr>
                  </w:pPr>
                  <w:r>
                    <w:rPr>
                      <w:rFonts w:hint="eastAsia"/>
                      <w:szCs w:val="21"/>
                    </w:rPr>
                    <w:t>禁止开发建设活动的要求</w:t>
                  </w:r>
                </w:p>
                <w:p>
                  <w:pPr>
                    <w:rPr>
                      <w:szCs w:val="21"/>
                    </w:rPr>
                  </w:pPr>
                  <w:r>
                    <w:rPr>
                      <w:rFonts w:hint="eastAsia"/>
                      <w:szCs w:val="21"/>
                    </w:rPr>
                    <w:t>限制开发建设活动的要求</w:t>
                  </w:r>
                </w:p>
                <w:p>
                  <w:pPr>
                    <w:rPr>
                      <w:szCs w:val="21"/>
                    </w:rPr>
                  </w:pPr>
                  <w:r>
                    <w:rPr>
                      <w:rFonts w:hint="eastAsia"/>
                      <w:szCs w:val="21"/>
                    </w:rPr>
                    <w:t>允许开发建设活动的要求</w:t>
                  </w:r>
                </w:p>
                <w:p>
                  <w:pPr>
                    <w:rPr>
                      <w:szCs w:val="21"/>
                    </w:rPr>
                  </w:pPr>
                  <w:r>
                    <w:rPr>
                      <w:rFonts w:hint="eastAsia"/>
                      <w:szCs w:val="21"/>
                    </w:rPr>
                    <w:t>不符合空间布局要求活动的退出要求</w:t>
                  </w:r>
                </w:p>
                <w:p>
                  <w:pPr>
                    <w:rPr>
                      <w:szCs w:val="21"/>
                    </w:rPr>
                  </w:pPr>
                  <w:r>
                    <w:rPr>
                      <w:rFonts w:hint="eastAsia"/>
                      <w:szCs w:val="21"/>
                    </w:rPr>
                    <w:t>其他空间布局约束要求</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restart"/>
                  <w:vAlign w:val="center"/>
                </w:tcPr>
                <w:p>
                  <w:pPr>
                    <w:jc w:val="center"/>
                    <w:rPr>
                      <w:szCs w:val="21"/>
                    </w:rPr>
                  </w:pPr>
                  <w:r>
                    <w:rPr>
                      <w:rFonts w:hint="eastAsia"/>
                      <w:szCs w:val="21"/>
                    </w:rPr>
                    <w:t>污染物排放管控</w:t>
                  </w:r>
                </w:p>
              </w:tc>
              <w:tc>
                <w:tcPr>
                  <w:tcW w:w="2564" w:type="pct"/>
                  <w:gridSpan w:val="2"/>
                  <w:vAlign w:val="center"/>
                </w:tcPr>
                <w:p>
                  <w:pPr>
                    <w:rPr>
                      <w:szCs w:val="21"/>
                    </w:rPr>
                  </w:pPr>
                  <w:r>
                    <w:rPr>
                      <w:rFonts w:hint="eastAsia"/>
                      <w:szCs w:val="21"/>
                    </w:rPr>
                    <w:t>大气环境质量执行标准</w:t>
                  </w:r>
                </w:p>
                <w:p>
                  <w:pPr>
                    <w:rPr>
                      <w:szCs w:val="21"/>
                    </w:rPr>
                  </w:pPr>
                  <w:r>
                    <w:rPr>
                      <w:rFonts w:hint="eastAsia"/>
                      <w:szCs w:val="21"/>
                    </w:rPr>
                    <w:t>《环境空气质量标准》（GB3095-2012）：二级</w:t>
                  </w:r>
                  <w:r>
                    <w:rPr>
                      <w:szCs w:val="21"/>
                    </w:rPr>
                    <w:t>。</w:t>
                  </w:r>
                </w:p>
              </w:tc>
              <w:tc>
                <w:tcPr>
                  <w:tcW w:w="1050" w:type="pct"/>
                  <w:vAlign w:val="center"/>
                </w:tcPr>
                <w:p>
                  <w:pPr>
                    <w:rPr>
                      <w:szCs w:val="21"/>
                    </w:rPr>
                  </w:pPr>
                  <w:r>
                    <w:rPr>
                      <w:rFonts w:hint="eastAsia"/>
                      <w:szCs w:val="21"/>
                    </w:rPr>
                    <w:t>项目执行《环境空气质量标准》（GB3095-2012）二级标准</w:t>
                  </w:r>
                  <w:r>
                    <w:rPr>
                      <w:szCs w:val="21"/>
                    </w:rPr>
                    <w:t>。</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区域大气污染物削减/替代要求</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燃煤和其他能源大气污染控制要求</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工业废气污染控制要求</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机动车船大气污染控制要求：</w:t>
                  </w:r>
                </w:p>
                <w:p>
                  <w:pPr>
                    <w:rPr>
                      <w:szCs w:val="21"/>
                    </w:rPr>
                  </w:pPr>
                  <w:r>
                    <w:rPr>
                      <w:rFonts w:hint="eastAsia"/>
                      <w:szCs w:val="21"/>
                    </w:rPr>
                    <w:t>加大新能源汽车在城市公交、出租汽车、城市配送、邮政快递、机场、铁路货场、重点地区港口等领域应用，地级以上城市清洁能源汽车在公共领域使用率显著提升，设区的市城市公交车基本实现新能源化。</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扬尘污染控制要求：</w:t>
                  </w:r>
                </w:p>
                <w:p>
                  <w:pPr>
                    <w:rPr>
                      <w:szCs w:val="21"/>
                    </w:rPr>
                  </w:pPr>
                  <w:r>
                    <w:rPr>
                      <w:rFonts w:hint="eastAsia"/>
                      <w:szCs w:val="21"/>
                    </w:rPr>
                    <w:t>全面落实各类施工工地扬尘防控措施，重点、重大项目工地实现视频监控、可吸入颗粒物（PM</w:t>
                  </w:r>
                  <w:r>
                    <w:rPr>
                      <w:rFonts w:hint="eastAsia"/>
                      <w:szCs w:val="21"/>
                      <w:vertAlign w:val="subscript"/>
                    </w:rPr>
                    <w:t>10</w:t>
                  </w:r>
                  <w:r>
                    <w:rPr>
                      <w:rFonts w:hint="eastAsia"/>
                      <w:szCs w:val="21"/>
                    </w:rPr>
                    <w:t>）在线监测全覆盖。</w:t>
                  </w:r>
                </w:p>
              </w:tc>
              <w:tc>
                <w:tcPr>
                  <w:tcW w:w="1050" w:type="pct"/>
                  <w:vAlign w:val="center"/>
                </w:tcPr>
                <w:p>
                  <w:pPr>
                    <w:rPr>
                      <w:szCs w:val="21"/>
                    </w:rPr>
                  </w:pPr>
                  <w:r>
                    <w:rPr>
                      <w:rFonts w:hint="eastAsia"/>
                      <w:szCs w:val="21"/>
                    </w:rPr>
                    <w:t>项目施工期按照《住房和城乡建设部办公厅关于进一步加强施工工地和道路扬尘管控工作的通知》（建办质〔2019〕23号）、《四川省建筑工程扬尘污染防治技术导则（试行）》（川建发〔2019〕16号）等要求做好扬尘污染管控。</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农业生产经营活动大气污染控制要求</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重点行业企业专项治理要求</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Merge w:val="continue"/>
                  <w:vAlign w:val="center"/>
                </w:tcPr>
                <w:p>
                  <w:pPr>
                    <w:jc w:val="center"/>
                    <w:rPr>
                      <w:szCs w:val="21"/>
                    </w:rPr>
                  </w:pPr>
                </w:p>
              </w:tc>
              <w:tc>
                <w:tcPr>
                  <w:tcW w:w="2564" w:type="pct"/>
                  <w:gridSpan w:val="2"/>
                  <w:vAlign w:val="center"/>
                </w:tcPr>
                <w:p>
                  <w:pPr>
                    <w:rPr>
                      <w:szCs w:val="21"/>
                    </w:rPr>
                  </w:pPr>
                  <w:r>
                    <w:rPr>
                      <w:rFonts w:hint="eastAsia"/>
                      <w:szCs w:val="21"/>
                    </w:rPr>
                    <w:t>其他大气污染物排放管控要求：</w:t>
                  </w:r>
                </w:p>
                <w:p>
                  <w:pPr>
                    <w:rPr>
                      <w:szCs w:val="21"/>
                    </w:rPr>
                  </w:pPr>
                  <w:r>
                    <w:rPr>
                      <w:rFonts w:hint="eastAsia"/>
                      <w:szCs w:val="21"/>
                    </w:rPr>
                    <w:t>有序开展城市生活源VOCs污染防治，全面推广房屋建筑和市政工程涉VOCs工序环节使用低VOCs含量涂料和胶粘剂；推进加油站按照《四川省加油站大气污染排放标准》要求安装油气处理装置。</w:t>
                  </w:r>
                </w:p>
              </w:tc>
              <w:tc>
                <w:tcPr>
                  <w:tcW w:w="1050" w:type="pct"/>
                  <w:vAlign w:val="center"/>
                </w:tcPr>
                <w:p>
                  <w:pPr>
                    <w:rPr>
                      <w:szCs w:val="21"/>
                    </w:rPr>
                  </w:pPr>
                  <w:r>
                    <w:rPr>
                      <w:rFonts w:hint="eastAsia"/>
                      <w:szCs w:val="21"/>
                    </w:rPr>
                    <w:t>项目不涉及。</w:t>
                  </w:r>
                </w:p>
              </w:tc>
              <w:tc>
                <w:tcPr>
                  <w:tcW w:w="33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Align w:val="center"/>
                </w:tcPr>
                <w:p>
                  <w:pPr>
                    <w:jc w:val="center"/>
                    <w:rPr>
                      <w:szCs w:val="21"/>
                    </w:rPr>
                  </w:pPr>
                  <w:r>
                    <w:rPr>
                      <w:rFonts w:hint="eastAsia" w:ascii="宋体" w:hAnsi="宋体" w:cs="Times New Roman"/>
                      <w:szCs w:val="21"/>
                    </w:rPr>
                    <w:t>环境风险防控</w:t>
                  </w:r>
                </w:p>
              </w:tc>
              <w:tc>
                <w:tcPr>
                  <w:tcW w:w="2564" w:type="pct"/>
                  <w:gridSpan w:val="2"/>
                  <w:vAlign w:val="center"/>
                </w:tcPr>
                <w:p>
                  <w:pPr>
                    <w:rPr>
                      <w:szCs w:val="21"/>
                    </w:rPr>
                  </w:pPr>
                  <w:r>
                    <w:rPr>
                      <w:rFonts w:hint="eastAsia"/>
                      <w:szCs w:val="21"/>
                    </w:rPr>
                    <w:t>/</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pPr>
                    <w:jc w:val="center"/>
                    <w:rPr>
                      <w:szCs w:val="21"/>
                    </w:rPr>
                  </w:pPr>
                </w:p>
              </w:tc>
              <w:tc>
                <w:tcPr>
                  <w:tcW w:w="345" w:type="pct"/>
                  <w:vMerge w:val="continue"/>
                  <w:vAlign w:val="center"/>
                </w:tcPr>
                <w:p>
                  <w:pPr>
                    <w:jc w:val="center"/>
                    <w:rPr>
                      <w:szCs w:val="21"/>
                    </w:rPr>
                  </w:pPr>
                </w:p>
              </w:tc>
              <w:tc>
                <w:tcPr>
                  <w:tcW w:w="297" w:type="pct"/>
                  <w:vAlign w:val="center"/>
                </w:tcPr>
                <w:p>
                  <w:pPr>
                    <w:jc w:val="center"/>
                    <w:rPr>
                      <w:szCs w:val="21"/>
                    </w:rPr>
                  </w:pPr>
                  <w:r>
                    <w:rPr>
                      <w:rFonts w:hint="eastAsia" w:ascii="宋体" w:hAnsi="宋体" w:cs="Times New Roman"/>
                      <w:szCs w:val="21"/>
                    </w:rPr>
                    <w:t>资源开发效率要求</w:t>
                  </w:r>
                </w:p>
              </w:tc>
              <w:tc>
                <w:tcPr>
                  <w:tcW w:w="2564" w:type="pct"/>
                  <w:gridSpan w:val="2"/>
                  <w:vAlign w:val="center"/>
                </w:tcPr>
                <w:p>
                  <w:pPr>
                    <w:rPr>
                      <w:szCs w:val="21"/>
                    </w:rPr>
                  </w:pPr>
                  <w:r>
                    <w:rPr>
                      <w:rFonts w:hint="eastAsia"/>
                      <w:szCs w:val="21"/>
                    </w:rPr>
                    <w:t>/</w:t>
                  </w:r>
                </w:p>
              </w:tc>
              <w:tc>
                <w:tcPr>
                  <w:tcW w:w="1050" w:type="pct"/>
                  <w:vAlign w:val="center"/>
                </w:tcPr>
                <w:p>
                  <w:pPr>
                    <w:rPr>
                      <w:szCs w:val="21"/>
                    </w:rPr>
                  </w:pPr>
                  <w:r>
                    <w:rPr>
                      <w:rFonts w:hint="eastAsia"/>
                      <w:szCs w:val="21"/>
                    </w:rPr>
                    <w:t>/</w:t>
                  </w:r>
                </w:p>
              </w:tc>
              <w:tc>
                <w:tcPr>
                  <w:tcW w:w="339" w:type="pct"/>
                  <w:vAlign w:val="center"/>
                </w:tcPr>
                <w:p>
                  <w:pPr>
                    <w:jc w:val="center"/>
                    <w:rPr>
                      <w:szCs w:val="21"/>
                    </w:rPr>
                  </w:pPr>
                  <w:r>
                    <w:rPr>
                      <w:rFonts w:hint="eastAsia"/>
                      <w:szCs w:val="21"/>
                    </w:rPr>
                    <w:t>/</w:t>
                  </w:r>
                </w:p>
              </w:tc>
            </w:tr>
          </w:tbl>
          <w:p>
            <w:pPr>
              <w:tabs>
                <w:tab w:val="left" w:pos="2040"/>
              </w:tabs>
              <w:spacing w:line="360" w:lineRule="auto"/>
              <w:ind w:firstLine="480" w:firstLineChars="200"/>
              <w:rPr>
                <w:rFonts w:cs="Times New Roman"/>
                <w:bCs/>
                <w:sz w:val="24"/>
                <w:szCs w:val="24"/>
              </w:rPr>
            </w:pPr>
            <w:r>
              <w:rPr>
                <w:rFonts w:hint="eastAsia" w:cs="Times New Roman"/>
                <w:bCs/>
                <w:sz w:val="24"/>
                <w:szCs w:val="24"/>
              </w:rPr>
              <w:t>根据分析，本项目符合生态环境分区管控要求。</w:t>
            </w:r>
          </w:p>
          <w:p>
            <w:pPr>
              <w:tabs>
                <w:tab w:val="left" w:pos="2040"/>
              </w:tabs>
              <w:spacing w:line="360" w:lineRule="auto"/>
              <w:ind w:firstLine="480" w:firstLineChars="200"/>
              <w:rPr>
                <w:rFonts w:cs="Times New Roman"/>
                <w:bCs/>
                <w:sz w:val="24"/>
                <w:szCs w:val="24"/>
              </w:rPr>
            </w:pPr>
          </w:p>
          <w:p>
            <w:pPr>
              <w:tabs>
                <w:tab w:val="left" w:pos="2040"/>
              </w:tabs>
              <w:spacing w:line="360" w:lineRule="auto"/>
              <w:ind w:firstLine="480" w:firstLineChars="200"/>
              <w:rPr>
                <w:rFonts w:cs="Times New Roman"/>
                <w:bCs/>
                <w:sz w:val="24"/>
                <w:szCs w:val="24"/>
              </w:rPr>
            </w:pPr>
          </w:p>
        </w:tc>
      </w:tr>
    </w:tbl>
    <w:p>
      <w:pPr>
        <w:tabs>
          <w:tab w:val="left" w:pos="2040"/>
        </w:tabs>
        <w:rPr>
          <w:sz w:val="28"/>
          <w:szCs w:val="28"/>
        </w:rPr>
        <w:sectPr>
          <w:pgSz w:w="16838" w:h="11906" w:orient="landscape"/>
          <w:pgMar w:top="1134" w:right="1134" w:bottom="1134" w:left="1134" w:header="851" w:footer="992" w:gutter="0"/>
          <w:cols w:space="720" w:num="1"/>
          <w:docGrid w:type="lines" w:linePitch="312" w:charSpace="0"/>
        </w:sectPr>
      </w:pPr>
    </w:p>
    <w:p>
      <w:pPr>
        <w:pStyle w:val="39"/>
        <w:jc w:val="center"/>
        <w:rPr>
          <w:rFonts w:hint="eastAsia" w:ascii="黑体" w:hAnsi="黑体" w:eastAsia="黑体"/>
          <w:b w:val="0"/>
          <w:sz w:val="30"/>
          <w:szCs w:val="30"/>
        </w:rPr>
      </w:pPr>
      <w:bookmarkStart w:id="1" w:name="_Toc126243455"/>
      <w:r>
        <w:rPr>
          <w:rFonts w:hint="eastAsia" w:ascii="黑体" w:hAnsi="黑体" w:eastAsia="黑体"/>
          <w:b w:val="0"/>
          <w:sz w:val="30"/>
          <w:szCs w:val="30"/>
        </w:rPr>
        <w:t>二、建设项目工程分析</w:t>
      </w:r>
      <w:bookmarkEnd w:id="1"/>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9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pPr>
              <w:spacing w:line="360" w:lineRule="auto"/>
              <w:jc w:val="center"/>
              <w:rPr>
                <w:rFonts w:cs="Times New Roman"/>
                <w:sz w:val="24"/>
                <w:szCs w:val="24"/>
              </w:rPr>
            </w:pPr>
            <w:r>
              <w:rPr>
                <w:rFonts w:cs="Times New Roman"/>
                <w:sz w:val="24"/>
                <w:szCs w:val="24"/>
              </w:rPr>
              <w:t>建设内容</w:t>
            </w:r>
          </w:p>
        </w:tc>
        <w:tc>
          <w:tcPr>
            <w:tcW w:w="4756" w:type="pct"/>
            <w:vAlign w:val="center"/>
          </w:tcPr>
          <w:p>
            <w:pPr>
              <w:spacing w:line="360" w:lineRule="auto"/>
              <w:ind w:firstLine="482" w:firstLineChars="200"/>
              <w:rPr>
                <w:rFonts w:cs="Times New Roman"/>
                <w:b/>
                <w:sz w:val="24"/>
                <w:szCs w:val="24"/>
              </w:rPr>
            </w:pPr>
            <w:r>
              <w:rPr>
                <w:rFonts w:cs="Times New Roman"/>
                <w:b/>
                <w:sz w:val="24"/>
                <w:szCs w:val="24"/>
              </w:rPr>
              <w:t>1、项目</w:t>
            </w:r>
            <w:r>
              <w:rPr>
                <w:rFonts w:hint="eastAsia" w:cs="Times New Roman"/>
                <w:b/>
                <w:sz w:val="24"/>
                <w:szCs w:val="24"/>
              </w:rPr>
              <w:t>由来</w:t>
            </w:r>
          </w:p>
          <w:p>
            <w:pPr>
              <w:spacing w:line="360" w:lineRule="auto"/>
              <w:ind w:firstLine="480" w:firstLineChars="200"/>
              <w:rPr>
                <w:sz w:val="24"/>
                <w:szCs w:val="24"/>
              </w:rPr>
            </w:pPr>
            <w:r>
              <w:rPr>
                <w:rFonts w:hint="eastAsia"/>
                <w:sz w:val="24"/>
                <w:szCs w:val="24"/>
              </w:rPr>
              <w:t>我国是世界最大的砂石生产国和消费国，随着天然砂石资源约束趋紧和环境保护日益增强，机制砂石逐渐成为我国建设用砂石的主要来源。近年来，国家高度重视砂石行业发展，先后发布了《关于推进机制砂石行业高质量发展的若干意见》和《关于促进砂石行业健康有序发展的指导意见》等文件，明确了行业发展的方向、途径和目标，绿色安全高质量和健康有序发展已形成行业共识，砂石行业迎来前所未有的发展机遇和空间。</w:t>
            </w:r>
          </w:p>
          <w:p>
            <w:pPr>
              <w:spacing w:line="360" w:lineRule="auto"/>
              <w:ind w:firstLine="480" w:firstLineChars="200"/>
              <w:rPr>
                <w:sz w:val="24"/>
                <w:szCs w:val="24"/>
              </w:rPr>
            </w:pPr>
            <w:r>
              <w:rPr>
                <w:rFonts w:hint="eastAsia"/>
                <w:sz w:val="24"/>
                <w:szCs w:val="24"/>
              </w:rPr>
              <w:t>达州海螺水泥有限责任公司位于达州市大竹县石河镇，现设2条日产4</w:t>
            </w:r>
            <w:r>
              <w:rPr>
                <w:sz w:val="24"/>
                <w:szCs w:val="24"/>
              </w:rPr>
              <w:t>500</w:t>
            </w:r>
            <w:r>
              <w:rPr>
                <w:rFonts w:hint="eastAsia"/>
                <w:sz w:val="24"/>
                <w:szCs w:val="24"/>
              </w:rPr>
              <w:t>吨新型干法熟料生产线，年产水泥约4</w:t>
            </w:r>
            <w:r>
              <w:rPr>
                <w:sz w:val="24"/>
                <w:szCs w:val="24"/>
              </w:rPr>
              <w:t>40</w:t>
            </w:r>
            <w:r>
              <w:rPr>
                <w:rFonts w:hint="eastAsia"/>
                <w:sz w:val="24"/>
                <w:szCs w:val="24"/>
              </w:rPr>
              <w:t>万吨，配套1</w:t>
            </w:r>
            <w:r>
              <w:rPr>
                <w:sz w:val="24"/>
                <w:szCs w:val="24"/>
              </w:rPr>
              <w:t>8000</w:t>
            </w:r>
            <w:r>
              <w:rPr>
                <w:rFonts w:hint="eastAsia"/>
                <w:sz w:val="24"/>
                <w:szCs w:val="24"/>
              </w:rPr>
              <w:t>k</w:t>
            </w:r>
            <w:r>
              <w:rPr>
                <w:sz w:val="24"/>
                <w:szCs w:val="24"/>
              </w:rPr>
              <w:t>W</w:t>
            </w:r>
            <w:r>
              <w:rPr>
                <w:rFonts w:hint="eastAsia"/>
                <w:sz w:val="24"/>
                <w:szCs w:val="24"/>
              </w:rPr>
              <w:t>纯低温发电系统；设1条1</w:t>
            </w:r>
            <w:r>
              <w:rPr>
                <w:sz w:val="24"/>
                <w:szCs w:val="24"/>
              </w:rPr>
              <w:t>00</w:t>
            </w:r>
            <w:r>
              <w:rPr>
                <w:rFonts w:hint="eastAsia"/>
                <w:sz w:val="24"/>
                <w:szCs w:val="24"/>
              </w:rPr>
              <w:t>万吨建筑骨料生产线。</w:t>
            </w:r>
            <w:r>
              <w:rPr>
                <w:rFonts w:hint="eastAsia"/>
                <w:b/>
                <w:bCs/>
                <w:sz w:val="24"/>
                <w:szCs w:val="24"/>
              </w:rPr>
              <w:t>为进一步加快企业发展，完善达州海螺在水泥及关联产品市场的产业布局，满足市场机制砂需求，</w:t>
            </w:r>
            <w:r>
              <w:rPr>
                <w:rFonts w:hint="eastAsia"/>
                <w:sz w:val="24"/>
                <w:szCs w:val="24"/>
              </w:rPr>
              <w:t>达州海螺水泥有限责任公司拟投资1</w:t>
            </w:r>
            <w:r>
              <w:rPr>
                <w:sz w:val="24"/>
                <w:szCs w:val="24"/>
              </w:rPr>
              <w:t>800</w:t>
            </w:r>
            <w:r>
              <w:rPr>
                <w:rFonts w:hint="eastAsia"/>
                <w:sz w:val="24"/>
                <w:szCs w:val="24"/>
              </w:rPr>
              <w:t>万元建设“达州海螺水泥有限责任公司30万t/a机制砂技改项目”，计划在原1</w:t>
            </w:r>
            <w:r>
              <w:rPr>
                <w:sz w:val="24"/>
                <w:szCs w:val="24"/>
              </w:rPr>
              <w:t>00</w:t>
            </w:r>
            <w:r>
              <w:rPr>
                <w:rFonts w:hint="eastAsia"/>
                <w:sz w:val="24"/>
                <w:szCs w:val="24"/>
              </w:rPr>
              <w:t>万</w:t>
            </w:r>
            <w:r>
              <w:rPr>
                <w:sz w:val="24"/>
                <w:szCs w:val="24"/>
              </w:rPr>
              <w:t>t</w:t>
            </w:r>
            <w:r>
              <w:rPr>
                <w:rFonts w:hint="eastAsia"/>
                <w:sz w:val="24"/>
                <w:szCs w:val="24"/>
              </w:rPr>
              <w:t>/</w:t>
            </w:r>
            <w:r>
              <w:rPr>
                <w:sz w:val="24"/>
                <w:szCs w:val="24"/>
              </w:rPr>
              <w:t>a</w:t>
            </w:r>
            <w:r>
              <w:rPr>
                <w:rFonts w:hint="eastAsia"/>
                <w:sz w:val="24"/>
                <w:szCs w:val="24"/>
              </w:rPr>
              <w:t>骨料生产线基础上，对现有筛分机筛网进行调整，同时新建制砂楼、微粉库、成品砂库、钢板仓等，利用现有骨料线副产的33万吨0-5mm粉料作为原材料，改造生产3</w:t>
            </w:r>
            <w:r>
              <w:rPr>
                <w:sz w:val="24"/>
                <w:szCs w:val="24"/>
              </w:rPr>
              <w:t>0</w:t>
            </w:r>
            <w:r>
              <w:rPr>
                <w:rFonts w:hint="eastAsia"/>
                <w:sz w:val="24"/>
                <w:szCs w:val="24"/>
              </w:rPr>
              <w:t>万吨机制砂（</w:t>
            </w:r>
            <w:r>
              <w:rPr>
                <w:sz w:val="24"/>
                <w:szCs w:val="24"/>
              </w:rPr>
              <w:t>0.075-4.75mm</w:t>
            </w:r>
            <w:r>
              <w:rPr>
                <w:rFonts w:hint="eastAsia"/>
                <w:sz w:val="24"/>
                <w:szCs w:val="24"/>
              </w:rPr>
              <w:t>），同时副产3万吨微粉（</w:t>
            </w:r>
            <w:r>
              <w:rPr>
                <w:rFonts w:cstheme="minorHAnsi"/>
                <w:bCs/>
                <w:sz w:val="24"/>
                <w:szCs w:val="24"/>
              </w:rPr>
              <w:t>0-0.075</w:t>
            </w:r>
            <w:r>
              <w:rPr>
                <w:rFonts w:hint="eastAsia" w:cstheme="minorHAnsi"/>
                <w:bCs/>
                <w:sz w:val="24"/>
                <w:szCs w:val="24"/>
              </w:rPr>
              <w:t>mm</w:t>
            </w:r>
            <w:r>
              <w:rPr>
                <w:rFonts w:hint="eastAsia"/>
                <w:sz w:val="24"/>
                <w:szCs w:val="24"/>
              </w:rPr>
              <w:t>）。</w:t>
            </w:r>
            <w:r>
              <w:rPr>
                <w:rFonts w:hint="eastAsia"/>
                <w:b/>
                <w:bCs/>
                <w:sz w:val="24"/>
                <w:szCs w:val="24"/>
                <w:u w:val="single"/>
              </w:rPr>
              <w:t>本次改建仅涉及100万t/a建筑骨料生产线，改建后骨料生产线总生产规模保持不变。</w:t>
            </w:r>
          </w:p>
          <w:p>
            <w:pPr>
              <w:spacing w:line="360" w:lineRule="auto"/>
              <w:ind w:firstLine="480" w:firstLineChars="200"/>
              <w:rPr>
                <w:i/>
                <w:sz w:val="24"/>
                <w:szCs w:val="24"/>
              </w:rPr>
            </w:pPr>
            <w:r>
              <w:rPr>
                <w:rFonts w:hint="eastAsia"/>
                <w:sz w:val="24"/>
                <w:szCs w:val="24"/>
              </w:rPr>
              <w:t>按照《中华人民共和国环境保护法》《中华人民共和国环境影响评价法》以及国务院令第682号《建设项目环境保护管理条例》的要求，本项目需进行环境影响评价。依据《建设项目环境影响评价分类管理名录（2021年版）》中“</w:t>
            </w:r>
            <w:r>
              <w:rPr>
                <w:rFonts w:hint="eastAsia"/>
                <w:i/>
                <w:sz w:val="24"/>
                <w:szCs w:val="24"/>
              </w:rPr>
              <w:t>二十七、非金属矿物制品业/</w:t>
            </w:r>
            <w:r>
              <w:rPr>
                <w:i/>
                <w:sz w:val="24"/>
                <w:szCs w:val="24"/>
              </w:rPr>
              <w:t>60</w:t>
            </w:r>
            <w:r>
              <w:rPr>
                <w:rFonts w:hint="eastAsia"/>
                <w:i/>
                <w:sz w:val="24"/>
                <w:szCs w:val="24"/>
              </w:rPr>
              <w:t>、耐火材料制品制造308；石墨及其他非金属矿物制品制造309</w:t>
            </w:r>
            <w:r>
              <w:rPr>
                <w:i/>
                <w:sz w:val="24"/>
                <w:szCs w:val="24"/>
              </w:rPr>
              <w:t>/其他</w:t>
            </w:r>
            <w:r>
              <w:rPr>
                <w:rFonts w:hint="eastAsia"/>
                <w:sz w:val="24"/>
                <w:szCs w:val="24"/>
              </w:rPr>
              <w:t>”的划分，项目环境影响评价形式为报告表。为此，达州海螺水泥有限责任公司特委托我公司进行环境影响评价工作。我公司接受委托后，即派相关技术人员到项目现场进行实地踏勘和资料收集，并按照有关技术规范编制该项目环境影响报告表，供生态环境主管部门审查。</w:t>
            </w:r>
          </w:p>
          <w:p>
            <w:pPr>
              <w:spacing w:line="360" w:lineRule="auto"/>
              <w:ind w:firstLine="482" w:firstLineChars="200"/>
              <w:rPr>
                <w:rFonts w:cs="Times New Roman"/>
                <w:b/>
                <w:sz w:val="24"/>
                <w:szCs w:val="24"/>
              </w:rPr>
            </w:pPr>
            <w:r>
              <w:rPr>
                <w:rFonts w:cs="Times New Roman"/>
                <w:b/>
                <w:sz w:val="24"/>
                <w:szCs w:val="24"/>
              </w:rPr>
              <w:t>2、项目概况</w:t>
            </w:r>
          </w:p>
          <w:p>
            <w:pPr>
              <w:spacing w:line="360" w:lineRule="auto"/>
              <w:ind w:firstLine="480" w:firstLineChars="200"/>
              <w:rPr>
                <w:sz w:val="24"/>
                <w:szCs w:val="24"/>
              </w:rPr>
            </w:pPr>
            <w:r>
              <w:rPr>
                <w:rFonts w:hint="eastAsia"/>
                <w:sz w:val="24"/>
                <w:szCs w:val="24"/>
              </w:rPr>
              <w:t>项目名称：达州海螺水泥有限责任公司30万t/a机制砂技改项目</w:t>
            </w:r>
          </w:p>
          <w:p>
            <w:pPr>
              <w:spacing w:line="360" w:lineRule="auto"/>
              <w:ind w:firstLine="480" w:firstLineChars="200"/>
              <w:rPr>
                <w:sz w:val="24"/>
                <w:szCs w:val="24"/>
              </w:rPr>
            </w:pPr>
            <w:r>
              <w:rPr>
                <w:rFonts w:hint="eastAsia"/>
                <w:sz w:val="24"/>
                <w:szCs w:val="24"/>
              </w:rPr>
              <w:t>建设单位：达州海螺水泥有限责任公司</w:t>
            </w:r>
          </w:p>
          <w:p>
            <w:pPr>
              <w:spacing w:line="360" w:lineRule="auto"/>
              <w:ind w:firstLine="480" w:firstLineChars="200"/>
              <w:rPr>
                <w:sz w:val="24"/>
                <w:szCs w:val="24"/>
              </w:rPr>
            </w:pPr>
            <w:r>
              <w:rPr>
                <w:rFonts w:hint="eastAsia"/>
                <w:sz w:val="24"/>
                <w:szCs w:val="24"/>
              </w:rPr>
              <w:t>建设地点：达州市大竹县石河镇（达州海螺水泥厂区内）</w:t>
            </w:r>
          </w:p>
          <w:p>
            <w:pPr>
              <w:spacing w:line="360" w:lineRule="auto"/>
              <w:ind w:firstLine="480" w:firstLineChars="200"/>
              <w:rPr>
                <w:sz w:val="24"/>
                <w:szCs w:val="24"/>
              </w:rPr>
            </w:pPr>
            <w:r>
              <w:rPr>
                <w:rFonts w:hint="eastAsia"/>
                <w:sz w:val="24"/>
                <w:szCs w:val="24"/>
              </w:rPr>
              <w:t>建设性质：改建</w:t>
            </w:r>
          </w:p>
          <w:p>
            <w:pPr>
              <w:spacing w:line="360" w:lineRule="auto"/>
              <w:ind w:firstLine="480" w:firstLineChars="200"/>
              <w:rPr>
                <w:sz w:val="24"/>
                <w:szCs w:val="24"/>
              </w:rPr>
            </w:pPr>
            <w:r>
              <w:rPr>
                <w:rFonts w:hint="eastAsia"/>
                <w:sz w:val="24"/>
                <w:szCs w:val="24"/>
              </w:rPr>
              <w:t>项目投资：总投资</w:t>
            </w:r>
            <w:r>
              <w:rPr>
                <w:rFonts w:cs="Times New Roman"/>
                <w:sz w:val="24"/>
                <w:szCs w:val="24"/>
              </w:rPr>
              <w:t>1800万元</w:t>
            </w:r>
          </w:p>
          <w:p>
            <w:pPr>
              <w:spacing w:line="360" w:lineRule="auto"/>
              <w:ind w:firstLine="480" w:firstLineChars="200"/>
              <w:rPr>
                <w:sz w:val="24"/>
                <w:szCs w:val="24"/>
              </w:rPr>
            </w:pPr>
            <w:r>
              <w:rPr>
                <w:rFonts w:hint="eastAsia"/>
                <w:sz w:val="24"/>
                <w:szCs w:val="24"/>
              </w:rPr>
              <w:t>建设内容：在原1</w:t>
            </w:r>
            <w:r>
              <w:rPr>
                <w:sz w:val="24"/>
                <w:szCs w:val="24"/>
              </w:rPr>
              <w:t>00</w:t>
            </w:r>
            <w:r>
              <w:rPr>
                <w:rFonts w:hint="eastAsia"/>
                <w:sz w:val="24"/>
                <w:szCs w:val="24"/>
              </w:rPr>
              <w:t>万</w:t>
            </w:r>
            <w:r>
              <w:rPr>
                <w:sz w:val="24"/>
                <w:szCs w:val="24"/>
              </w:rPr>
              <w:t>t</w:t>
            </w:r>
            <w:r>
              <w:rPr>
                <w:rFonts w:hint="eastAsia"/>
                <w:sz w:val="24"/>
                <w:szCs w:val="24"/>
              </w:rPr>
              <w:t>/</w:t>
            </w:r>
            <w:r>
              <w:rPr>
                <w:sz w:val="24"/>
                <w:szCs w:val="24"/>
              </w:rPr>
              <w:t>a</w:t>
            </w:r>
            <w:r>
              <w:rPr>
                <w:rFonts w:hint="eastAsia"/>
                <w:sz w:val="24"/>
                <w:szCs w:val="24"/>
              </w:rPr>
              <w:t>骨料生产线基础上，对现有筛分机筛网进行调整，同时新建制砂楼、微粉库、成品砂库、钢板仓等，利用现有骨料线副产的33万吨0-5mm粉料作为原材料，改造生产3</w:t>
            </w:r>
            <w:r>
              <w:rPr>
                <w:sz w:val="24"/>
                <w:szCs w:val="24"/>
              </w:rPr>
              <w:t>0</w:t>
            </w:r>
            <w:r>
              <w:rPr>
                <w:rFonts w:hint="eastAsia"/>
                <w:sz w:val="24"/>
                <w:szCs w:val="24"/>
              </w:rPr>
              <w:t>万吨机制砂（</w:t>
            </w:r>
            <w:r>
              <w:rPr>
                <w:sz w:val="24"/>
                <w:szCs w:val="24"/>
              </w:rPr>
              <w:t>0.075-4.75mm</w:t>
            </w:r>
            <w:r>
              <w:rPr>
                <w:rFonts w:hint="eastAsia"/>
                <w:sz w:val="24"/>
                <w:szCs w:val="24"/>
              </w:rPr>
              <w:t>），同时副产3万吨微粉（</w:t>
            </w:r>
            <w:r>
              <w:rPr>
                <w:rFonts w:cstheme="minorHAnsi"/>
                <w:bCs/>
                <w:sz w:val="24"/>
                <w:szCs w:val="24"/>
              </w:rPr>
              <w:t>0-0.075</w:t>
            </w:r>
            <w:r>
              <w:rPr>
                <w:rFonts w:hint="eastAsia" w:cstheme="minorHAnsi"/>
                <w:bCs/>
                <w:sz w:val="24"/>
                <w:szCs w:val="24"/>
              </w:rPr>
              <w:t>mm</w:t>
            </w:r>
            <w:r>
              <w:rPr>
                <w:rFonts w:hint="eastAsia"/>
                <w:sz w:val="24"/>
                <w:szCs w:val="24"/>
              </w:rPr>
              <w:t>）。</w:t>
            </w:r>
          </w:p>
          <w:p>
            <w:pPr>
              <w:spacing w:line="360" w:lineRule="auto"/>
              <w:ind w:firstLine="482" w:firstLineChars="200"/>
              <w:rPr>
                <w:rFonts w:cstheme="minorHAnsi"/>
                <w:sz w:val="24"/>
                <w:szCs w:val="24"/>
                <w:u w:val="single"/>
              </w:rPr>
            </w:pPr>
            <w:r>
              <w:rPr>
                <w:b/>
                <w:sz w:val="24"/>
                <w:szCs w:val="24"/>
                <w:u w:val="single"/>
              </w:rPr>
              <w:t>需要说明的是</w:t>
            </w:r>
            <w:r>
              <w:rPr>
                <w:sz w:val="24"/>
                <w:szCs w:val="24"/>
                <w:u w:val="single"/>
              </w:rPr>
              <w:t>：</w:t>
            </w:r>
            <w:r>
              <w:rPr>
                <w:rFonts w:cstheme="minorHAnsi"/>
                <w:sz w:val="24"/>
                <w:szCs w:val="24"/>
                <w:u w:val="single"/>
              </w:rPr>
              <w:t>本次改建</w:t>
            </w:r>
            <w:r>
              <w:rPr>
                <w:rFonts w:hint="eastAsia" w:cstheme="minorHAnsi"/>
                <w:sz w:val="24"/>
                <w:szCs w:val="24"/>
                <w:u w:val="single"/>
              </w:rPr>
              <w:t>仅涉及100万t/a建筑骨料生产线，不涉及达州海螺水泥有限责任公司其余生产线，改建后骨料生产线总生产规模保持不变。</w:t>
            </w:r>
          </w:p>
          <w:p>
            <w:pPr>
              <w:spacing w:line="360" w:lineRule="auto"/>
              <w:ind w:firstLine="482" w:firstLineChars="200"/>
              <w:rPr>
                <w:rFonts w:cs="Times New Roman"/>
                <w:b/>
                <w:sz w:val="24"/>
                <w:szCs w:val="24"/>
              </w:rPr>
            </w:pPr>
            <w:r>
              <w:rPr>
                <w:rFonts w:cs="Times New Roman"/>
                <w:b/>
                <w:sz w:val="24"/>
                <w:szCs w:val="24"/>
              </w:rPr>
              <w:t>3、</w:t>
            </w:r>
            <w:r>
              <w:rPr>
                <w:rFonts w:hint="eastAsia" w:cs="Times New Roman"/>
                <w:b/>
                <w:sz w:val="24"/>
                <w:szCs w:val="24"/>
              </w:rPr>
              <w:t>产品</w:t>
            </w:r>
            <w:r>
              <w:rPr>
                <w:rFonts w:cs="Times New Roman"/>
                <w:b/>
                <w:sz w:val="24"/>
                <w:szCs w:val="24"/>
              </w:rPr>
              <w:t>方案</w:t>
            </w:r>
          </w:p>
          <w:p>
            <w:pPr>
              <w:spacing w:line="360" w:lineRule="auto"/>
              <w:ind w:firstLine="480" w:firstLineChars="200"/>
              <w:rPr>
                <w:rFonts w:cstheme="minorHAnsi"/>
                <w:b/>
                <w:bCs/>
                <w:sz w:val="24"/>
                <w:szCs w:val="24"/>
              </w:rPr>
            </w:pPr>
            <w:r>
              <w:rPr>
                <w:rFonts w:hint="eastAsia" w:cstheme="minorHAnsi"/>
                <w:sz w:val="24"/>
                <w:szCs w:val="24"/>
              </w:rPr>
              <w:t>根据《达州海螺水泥有限责任公司100万t/a建筑骨料项目环境影响报告表》，现有骨料线主要生产0</w:t>
            </w:r>
            <w:r>
              <w:rPr>
                <w:rFonts w:cstheme="minorHAnsi"/>
                <w:sz w:val="24"/>
                <w:szCs w:val="24"/>
              </w:rPr>
              <w:t>-5mm</w:t>
            </w:r>
            <w:r>
              <w:rPr>
                <w:rFonts w:hint="eastAsia" w:cstheme="minorHAnsi"/>
                <w:sz w:val="24"/>
                <w:szCs w:val="24"/>
              </w:rPr>
              <w:t>、5</w:t>
            </w:r>
            <w:r>
              <w:rPr>
                <w:rFonts w:cstheme="minorHAnsi"/>
                <w:sz w:val="24"/>
                <w:szCs w:val="24"/>
              </w:rPr>
              <w:t>-25mm</w:t>
            </w:r>
            <w:r>
              <w:rPr>
                <w:rFonts w:hint="eastAsia" w:cstheme="minorHAnsi"/>
                <w:sz w:val="24"/>
                <w:szCs w:val="24"/>
              </w:rPr>
              <w:t>、</w:t>
            </w:r>
            <w:r>
              <w:rPr>
                <w:rFonts w:cstheme="minorHAnsi"/>
                <w:sz w:val="24"/>
                <w:szCs w:val="24"/>
              </w:rPr>
              <w:t>25-40</w:t>
            </w:r>
            <w:r>
              <w:rPr>
                <w:rFonts w:hint="eastAsia" w:cstheme="minorHAnsi"/>
                <w:sz w:val="24"/>
                <w:szCs w:val="24"/>
              </w:rPr>
              <w:t>mm三种粒径产品，其中：0-5mm粉料（约3</w:t>
            </w:r>
            <w:r>
              <w:rPr>
                <w:rFonts w:cstheme="minorHAnsi"/>
                <w:sz w:val="24"/>
                <w:szCs w:val="24"/>
              </w:rPr>
              <w:t>3</w:t>
            </w:r>
            <w:r>
              <w:rPr>
                <w:rFonts w:hint="eastAsia" w:cstheme="minorHAnsi"/>
                <w:sz w:val="24"/>
                <w:szCs w:val="24"/>
              </w:rPr>
              <w:t>万t</w:t>
            </w:r>
            <w:r>
              <w:rPr>
                <w:rFonts w:cstheme="minorHAnsi"/>
                <w:sz w:val="24"/>
                <w:szCs w:val="24"/>
              </w:rPr>
              <w:t>/a）</w:t>
            </w:r>
            <w:r>
              <w:rPr>
                <w:rFonts w:hint="eastAsia" w:cstheme="minorHAnsi"/>
                <w:sz w:val="24"/>
                <w:szCs w:val="24"/>
              </w:rPr>
              <w:t>输送至水泥生产线作为辅材使用，5</w:t>
            </w:r>
            <w:r>
              <w:rPr>
                <w:rFonts w:cstheme="minorHAnsi"/>
                <w:sz w:val="24"/>
                <w:szCs w:val="24"/>
              </w:rPr>
              <w:t>-25mm</w:t>
            </w:r>
            <w:r>
              <w:rPr>
                <w:rFonts w:hint="eastAsia" w:cstheme="minorHAnsi"/>
                <w:sz w:val="24"/>
                <w:szCs w:val="24"/>
              </w:rPr>
              <w:t>、</w:t>
            </w:r>
            <w:r>
              <w:rPr>
                <w:rFonts w:cstheme="minorHAnsi"/>
                <w:sz w:val="24"/>
                <w:szCs w:val="24"/>
              </w:rPr>
              <w:t>25-40</w:t>
            </w:r>
            <w:r>
              <w:rPr>
                <w:rFonts w:hint="eastAsia" w:cstheme="minorHAnsi"/>
                <w:sz w:val="24"/>
                <w:szCs w:val="24"/>
              </w:rPr>
              <w:t>mm骨料（约1</w:t>
            </w:r>
            <w:r>
              <w:rPr>
                <w:rFonts w:cstheme="minorHAnsi"/>
                <w:sz w:val="24"/>
                <w:szCs w:val="24"/>
              </w:rPr>
              <w:t>00</w:t>
            </w:r>
            <w:r>
              <w:rPr>
                <w:rFonts w:hint="eastAsia" w:cstheme="minorHAnsi"/>
                <w:sz w:val="24"/>
                <w:szCs w:val="24"/>
              </w:rPr>
              <w:t>万t</w:t>
            </w:r>
            <w:r>
              <w:rPr>
                <w:rFonts w:cstheme="minorHAnsi"/>
                <w:sz w:val="24"/>
                <w:szCs w:val="24"/>
              </w:rPr>
              <w:t>/a</w:t>
            </w:r>
            <w:r>
              <w:rPr>
                <w:rFonts w:hint="eastAsia" w:cstheme="minorHAnsi"/>
                <w:sz w:val="24"/>
                <w:szCs w:val="24"/>
              </w:rPr>
              <w:t>）作为产品外售。</w:t>
            </w:r>
            <w:r>
              <w:rPr>
                <w:rFonts w:hint="eastAsia" w:cstheme="minorHAnsi"/>
                <w:b/>
                <w:bCs/>
                <w:sz w:val="24"/>
                <w:szCs w:val="24"/>
              </w:rPr>
              <w:t>本次改建拟对现有骨料线筛分机筛网进行调整，改建后骨料线主要生产0</w:t>
            </w:r>
            <w:r>
              <w:rPr>
                <w:rFonts w:cstheme="minorHAnsi"/>
                <w:b/>
                <w:bCs/>
                <w:sz w:val="24"/>
                <w:szCs w:val="24"/>
              </w:rPr>
              <w:t>-5mm</w:t>
            </w:r>
            <w:r>
              <w:rPr>
                <w:rFonts w:hint="eastAsia" w:cstheme="minorHAnsi"/>
                <w:b/>
                <w:bCs/>
                <w:sz w:val="24"/>
                <w:szCs w:val="24"/>
              </w:rPr>
              <w:t>、5</w:t>
            </w:r>
            <w:r>
              <w:rPr>
                <w:rFonts w:cstheme="minorHAnsi"/>
                <w:b/>
                <w:bCs/>
                <w:sz w:val="24"/>
                <w:szCs w:val="24"/>
              </w:rPr>
              <w:t>-10mm</w:t>
            </w:r>
            <w:r>
              <w:rPr>
                <w:rFonts w:hint="eastAsia" w:cstheme="minorHAnsi"/>
                <w:b/>
                <w:bCs/>
                <w:sz w:val="24"/>
                <w:szCs w:val="24"/>
              </w:rPr>
              <w:t>、</w:t>
            </w:r>
            <w:r>
              <w:rPr>
                <w:rFonts w:cstheme="minorHAnsi"/>
                <w:b/>
                <w:bCs/>
                <w:sz w:val="24"/>
                <w:szCs w:val="24"/>
              </w:rPr>
              <w:t>10-25mm</w:t>
            </w:r>
            <w:r>
              <w:rPr>
                <w:rFonts w:hint="eastAsia" w:cstheme="minorHAnsi"/>
                <w:b/>
                <w:bCs/>
                <w:sz w:val="24"/>
                <w:szCs w:val="24"/>
              </w:rPr>
              <w:t>、</w:t>
            </w:r>
            <w:r>
              <w:rPr>
                <w:rFonts w:cstheme="minorHAnsi"/>
                <w:b/>
                <w:bCs/>
                <w:sz w:val="24"/>
                <w:szCs w:val="24"/>
              </w:rPr>
              <w:t>25-40</w:t>
            </w:r>
            <w:r>
              <w:rPr>
                <w:rFonts w:hint="eastAsia" w:cstheme="minorHAnsi"/>
                <w:b/>
                <w:bCs/>
                <w:sz w:val="24"/>
                <w:szCs w:val="24"/>
              </w:rPr>
              <w:t>mm四种粒径产品，其中：0-5mm粉料（约33万t/a）作为改建项目制砂原料使用，5</w:t>
            </w:r>
            <w:r>
              <w:rPr>
                <w:rFonts w:cstheme="minorHAnsi"/>
                <w:b/>
                <w:bCs/>
                <w:sz w:val="24"/>
                <w:szCs w:val="24"/>
              </w:rPr>
              <w:t>-10mm</w:t>
            </w:r>
            <w:r>
              <w:rPr>
                <w:rFonts w:hint="eastAsia" w:cstheme="minorHAnsi"/>
                <w:b/>
                <w:bCs/>
                <w:sz w:val="24"/>
                <w:szCs w:val="24"/>
              </w:rPr>
              <w:t>、</w:t>
            </w:r>
            <w:r>
              <w:rPr>
                <w:rFonts w:cstheme="minorHAnsi"/>
                <w:b/>
                <w:bCs/>
                <w:sz w:val="24"/>
                <w:szCs w:val="24"/>
              </w:rPr>
              <w:t>10-25mm</w:t>
            </w:r>
            <w:r>
              <w:rPr>
                <w:rFonts w:hint="eastAsia" w:cstheme="minorHAnsi"/>
                <w:b/>
                <w:bCs/>
                <w:sz w:val="24"/>
                <w:szCs w:val="24"/>
              </w:rPr>
              <w:t>、</w:t>
            </w:r>
            <w:r>
              <w:rPr>
                <w:rFonts w:cstheme="minorHAnsi"/>
                <w:b/>
                <w:bCs/>
                <w:sz w:val="24"/>
                <w:szCs w:val="24"/>
              </w:rPr>
              <w:t>25-40</w:t>
            </w:r>
            <w:r>
              <w:rPr>
                <w:rFonts w:hint="eastAsia" w:cstheme="minorHAnsi"/>
                <w:b/>
                <w:bCs/>
                <w:sz w:val="24"/>
                <w:szCs w:val="24"/>
              </w:rPr>
              <w:t>mm</w:t>
            </w:r>
            <w:r>
              <w:rPr>
                <w:rFonts w:hint="eastAsia" w:cstheme="minorHAnsi"/>
                <w:b/>
                <w:sz w:val="24"/>
                <w:szCs w:val="24"/>
              </w:rPr>
              <w:t>骨料（约1</w:t>
            </w:r>
            <w:r>
              <w:rPr>
                <w:rFonts w:cstheme="minorHAnsi"/>
                <w:b/>
                <w:sz w:val="24"/>
                <w:szCs w:val="24"/>
              </w:rPr>
              <w:t>00</w:t>
            </w:r>
            <w:r>
              <w:rPr>
                <w:rFonts w:hint="eastAsia" w:cstheme="minorHAnsi"/>
                <w:b/>
                <w:sz w:val="24"/>
                <w:szCs w:val="24"/>
              </w:rPr>
              <w:t>万t</w:t>
            </w:r>
            <w:r>
              <w:rPr>
                <w:rFonts w:cstheme="minorHAnsi"/>
                <w:b/>
                <w:sz w:val="24"/>
                <w:szCs w:val="24"/>
              </w:rPr>
              <w:t>/a</w:t>
            </w:r>
            <w:r>
              <w:rPr>
                <w:rFonts w:hint="eastAsia" w:cstheme="minorHAnsi"/>
                <w:b/>
                <w:sz w:val="24"/>
                <w:szCs w:val="24"/>
              </w:rPr>
              <w:t>）作为产品外售，总产量保持不变。</w:t>
            </w:r>
          </w:p>
          <w:p>
            <w:pPr>
              <w:spacing w:line="360" w:lineRule="auto"/>
              <w:ind w:firstLine="482" w:firstLineChars="200"/>
              <w:rPr>
                <w:rFonts w:cstheme="minorHAnsi"/>
                <w:b/>
                <w:sz w:val="24"/>
                <w:szCs w:val="24"/>
              </w:rPr>
            </w:pPr>
            <w:r>
              <w:rPr>
                <w:rFonts w:hint="eastAsia" w:cstheme="minorHAnsi"/>
                <w:b/>
                <w:sz w:val="24"/>
                <w:szCs w:val="24"/>
              </w:rPr>
              <w:t>本</w:t>
            </w:r>
            <w:r>
              <w:rPr>
                <w:rFonts w:cstheme="minorHAnsi"/>
                <w:b/>
                <w:sz w:val="24"/>
                <w:szCs w:val="24"/>
              </w:rPr>
              <w:t>项目</w:t>
            </w:r>
            <w:r>
              <w:rPr>
                <w:rFonts w:hint="eastAsia" w:cstheme="minorHAnsi"/>
                <w:b/>
                <w:sz w:val="24"/>
                <w:szCs w:val="24"/>
              </w:rPr>
              <w:t>利用骨料生产过程产生的0-5mm粉料作为制砂原料，</w:t>
            </w:r>
            <w:r>
              <w:rPr>
                <w:rFonts w:cstheme="minorHAnsi"/>
                <w:b/>
                <w:sz w:val="24"/>
                <w:szCs w:val="24"/>
              </w:rPr>
              <w:t>主要生产0-0.075</w:t>
            </w:r>
            <w:r>
              <w:rPr>
                <w:rFonts w:hint="eastAsia" w:cstheme="minorHAnsi"/>
                <w:b/>
                <w:sz w:val="24"/>
                <w:szCs w:val="24"/>
              </w:rPr>
              <w:t>mm、0</w:t>
            </w:r>
            <w:r>
              <w:rPr>
                <w:rFonts w:cstheme="minorHAnsi"/>
                <w:b/>
                <w:sz w:val="24"/>
                <w:szCs w:val="24"/>
              </w:rPr>
              <w:t>.075-4.75</w:t>
            </w:r>
            <w:r>
              <w:rPr>
                <w:rFonts w:hint="eastAsia" w:cstheme="minorHAnsi"/>
                <w:b/>
                <w:sz w:val="24"/>
                <w:szCs w:val="24"/>
              </w:rPr>
              <w:t>mm两种粒径产品，其中：</w:t>
            </w:r>
            <w:r>
              <w:rPr>
                <w:rFonts w:cstheme="minorHAnsi"/>
                <w:b/>
                <w:sz w:val="24"/>
                <w:szCs w:val="24"/>
              </w:rPr>
              <w:t>0-0.075</w:t>
            </w:r>
            <w:r>
              <w:rPr>
                <w:rFonts w:hint="eastAsia" w:cstheme="minorHAnsi"/>
                <w:b/>
                <w:sz w:val="24"/>
                <w:szCs w:val="24"/>
              </w:rPr>
              <w:t>mm微粉（约3万t</w:t>
            </w:r>
            <w:r>
              <w:rPr>
                <w:rFonts w:cstheme="minorHAnsi"/>
                <w:b/>
                <w:sz w:val="24"/>
                <w:szCs w:val="24"/>
              </w:rPr>
              <w:t>/a</w:t>
            </w:r>
            <w:r>
              <w:rPr>
                <w:rFonts w:hint="eastAsia" w:cstheme="minorHAnsi"/>
                <w:b/>
                <w:sz w:val="24"/>
                <w:szCs w:val="24"/>
              </w:rPr>
              <w:t>）输送至水泥生产线作为辅材使用，0</w:t>
            </w:r>
            <w:r>
              <w:rPr>
                <w:rFonts w:cstheme="minorHAnsi"/>
                <w:b/>
                <w:sz w:val="24"/>
                <w:szCs w:val="24"/>
              </w:rPr>
              <w:t>.075-4.75</w:t>
            </w:r>
            <w:r>
              <w:rPr>
                <w:rFonts w:hint="eastAsia" w:cstheme="minorHAnsi"/>
                <w:b/>
                <w:sz w:val="24"/>
                <w:szCs w:val="24"/>
              </w:rPr>
              <w:t>mm机制砂（约3</w:t>
            </w:r>
            <w:r>
              <w:rPr>
                <w:rFonts w:cstheme="minorHAnsi"/>
                <w:b/>
                <w:sz w:val="24"/>
                <w:szCs w:val="24"/>
              </w:rPr>
              <w:t>0</w:t>
            </w:r>
            <w:r>
              <w:rPr>
                <w:rFonts w:hint="eastAsia" w:cstheme="minorHAnsi"/>
                <w:b/>
                <w:sz w:val="24"/>
                <w:szCs w:val="24"/>
              </w:rPr>
              <w:t>万t</w:t>
            </w:r>
            <w:r>
              <w:rPr>
                <w:rFonts w:cstheme="minorHAnsi"/>
                <w:b/>
                <w:sz w:val="24"/>
                <w:szCs w:val="24"/>
              </w:rPr>
              <w:t>/a</w:t>
            </w:r>
            <w:r>
              <w:rPr>
                <w:rFonts w:hint="eastAsia" w:cstheme="minorHAnsi"/>
                <w:b/>
                <w:sz w:val="24"/>
                <w:szCs w:val="24"/>
              </w:rPr>
              <w:t>）作为产品外售。</w:t>
            </w:r>
          </w:p>
          <w:p>
            <w:pPr>
              <w:spacing w:line="360" w:lineRule="auto"/>
              <w:ind w:firstLine="480" w:firstLineChars="200"/>
              <w:rPr>
                <w:rFonts w:cstheme="minorHAnsi"/>
                <w:sz w:val="24"/>
                <w:szCs w:val="24"/>
              </w:rPr>
            </w:pPr>
            <w:r>
              <w:rPr>
                <w:rFonts w:hint="eastAsia" w:cstheme="minorHAnsi"/>
                <w:sz w:val="24"/>
                <w:szCs w:val="24"/>
              </w:rPr>
              <w:t>因此，本项目产品</w:t>
            </w:r>
            <w:r>
              <w:rPr>
                <w:rFonts w:cstheme="minorHAnsi"/>
                <w:sz w:val="24"/>
                <w:szCs w:val="24"/>
              </w:rPr>
              <w:t>方案及产能见下表</w:t>
            </w:r>
            <w:r>
              <w:rPr>
                <w:rFonts w:hint="eastAsia" w:cstheme="minorHAnsi"/>
                <w:sz w:val="24"/>
                <w:szCs w:val="24"/>
              </w:rPr>
              <w:t>：</w:t>
            </w:r>
          </w:p>
          <w:p>
            <w:pPr>
              <w:spacing w:line="360" w:lineRule="auto"/>
              <w:jc w:val="center"/>
              <w:rPr>
                <w:rFonts w:hint="eastAsia" w:ascii="黑体" w:hAnsi="黑体" w:eastAsia="黑体"/>
                <w:szCs w:val="21"/>
              </w:rPr>
            </w:pPr>
            <w:r>
              <w:rPr>
                <w:rFonts w:hint="eastAsia" w:ascii="黑体" w:hAnsi="黑体" w:eastAsia="黑体"/>
                <w:szCs w:val="21"/>
              </w:rPr>
              <w:t>表</w:t>
            </w:r>
            <w:r>
              <w:rPr>
                <w:rFonts w:eastAsia="黑体" w:cstheme="minorHAnsi"/>
                <w:szCs w:val="21"/>
              </w:rPr>
              <w:t>2-1  项目</w:t>
            </w:r>
            <w:r>
              <w:rPr>
                <w:rFonts w:hint="eastAsia" w:eastAsia="黑体" w:cstheme="minorHAnsi"/>
                <w:szCs w:val="21"/>
              </w:rPr>
              <w:t>产品方案表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982"/>
              <w:gridCol w:w="1599"/>
              <w:gridCol w:w="871"/>
              <w:gridCol w:w="1112"/>
              <w:gridCol w:w="1112"/>
              <w:gridCol w:w="1112"/>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2" w:type="pct"/>
                  <w:vMerge w:val="restart"/>
                  <w:vAlign w:val="center"/>
                </w:tcPr>
                <w:p>
                  <w:pPr>
                    <w:pStyle w:val="2"/>
                    <w:spacing w:line="240" w:lineRule="auto"/>
                    <w:ind w:firstLine="0" w:firstLineChars="0"/>
                    <w:jc w:val="center"/>
                    <w:rPr>
                      <w:sz w:val="21"/>
                      <w:szCs w:val="21"/>
                    </w:rPr>
                  </w:pPr>
                  <w:r>
                    <w:rPr>
                      <w:rFonts w:hint="eastAsia"/>
                      <w:sz w:val="21"/>
                      <w:szCs w:val="21"/>
                    </w:rPr>
                    <w:t>生产设施</w:t>
                  </w:r>
                </w:p>
              </w:tc>
              <w:tc>
                <w:tcPr>
                  <w:tcW w:w="1411" w:type="pct"/>
                  <w:gridSpan w:val="2"/>
                  <w:vMerge w:val="restart"/>
                  <w:vAlign w:val="center"/>
                </w:tcPr>
                <w:p>
                  <w:pPr>
                    <w:pStyle w:val="2"/>
                    <w:spacing w:line="240" w:lineRule="auto"/>
                    <w:ind w:firstLine="0" w:firstLineChars="0"/>
                    <w:jc w:val="center"/>
                    <w:rPr>
                      <w:sz w:val="21"/>
                      <w:szCs w:val="21"/>
                    </w:rPr>
                  </w:pPr>
                  <w:r>
                    <w:rPr>
                      <w:sz w:val="21"/>
                      <w:szCs w:val="21"/>
                    </w:rPr>
                    <w:t>产品名称</w:t>
                  </w:r>
                </w:p>
              </w:tc>
              <w:tc>
                <w:tcPr>
                  <w:tcW w:w="476" w:type="pct"/>
                  <w:vMerge w:val="restart"/>
                  <w:vAlign w:val="center"/>
                </w:tcPr>
                <w:p>
                  <w:pPr>
                    <w:pStyle w:val="2"/>
                    <w:spacing w:line="240" w:lineRule="auto"/>
                    <w:ind w:firstLine="0" w:firstLineChars="0"/>
                    <w:jc w:val="center"/>
                    <w:rPr>
                      <w:sz w:val="21"/>
                      <w:szCs w:val="21"/>
                    </w:rPr>
                  </w:pPr>
                  <w:r>
                    <w:rPr>
                      <w:rFonts w:hint="eastAsia"/>
                      <w:sz w:val="21"/>
                      <w:szCs w:val="21"/>
                    </w:rPr>
                    <w:t>单位</w:t>
                  </w:r>
                </w:p>
              </w:tc>
              <w:tc>
                <w:tcPr>
                  <w:tcW w:w="1824" w:type="pct"/>
                  <w:gridSpan w:val="3"/>
                  <w:vAlign w:val="center"/>
                </w:tcPr>
                <w:p>
                  <w:pPr>
                    <w:pStyle w:val="2"/>
                    <w:spacing w:line="240" w:lineRule="auto"/>
                    <w:ind w:firstLine="0" w:firstLineChars="0"/>
                    <w:jc w:val="center"/>
                    <w:rPr>
                      <w:sz w:val="21"/>
                      <w:szCs w:val="21"/>
                    </w:rPr>
                  </w:pPr>
                  <w:r>
                    <w:rPr>
                      <w:rFonts w:hint="eastAsia"/>
                      <w:sz w:val="21"/>
                      <w:szCs w:val="21"/>
                    </w:rPr>
                    <w:t>年产能</w:t>
                  </w:r>
                </w:p>
              </w:tc>
              <w:tc>
                <w:tcPr>
                  <w:tcW w:w="887" w:type="pct"/>
                  <w:vMerge w:val="restart"/>
                  <w:vAlign w:val="center"/>
                </w:tcPr>
                <w:p>
                  <w:pPr>
                    <w:pStyle w:val="2"/>
                    <w:spacing w:line="240" w:lineRule="auto"/>
                    <w:ind w:firstLine="0" w:firstLineChars="0"/>
                    <w:jc w:val="center"/>
                    <w:rPr>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2" w:type="pct"/>
                  <w:vMerge w:val="continue"/>
                  <w:vAlign w:val="center"/>
                </w:tcPr>
                <w:p>
                  <w:pPr>
                    <w:pStyle w:val="2"/>
                    <w:spacing w:line="240" w:lineRule="auto"/>
                    <w:ind w:firstLine="0" w:firstLineChars="0"/>
                    <w:jc w:val="center"/>
                    <w:rPr>
                      <w:sz w:val="21"/>
                      <w:szCs w:val="21"/>
                    </w:rPr>
                  </w:pPr>
                </w:p>
              </w:tc>
              <w:tc>
                <w:tcPr>
                  <w:tcW w:w="1411" w:type="pct"/>
                  <w:gridSpan w:val="2"/>
                  <w:vMerge w:val="continue"/>
                  <w:vAlign w:val="center"/>
                </w:tcPr>
                <w:p>
                  <w:pPr>
                    <w:pStyle w:val="2"/>
                    <w:spacing w:line="240" w:lineRule="auto"/>
                    <w:ind w:firstLine="0" w:firstLineChars="0"/>
                    <w:jc w:val="center"/>
                    <w:rPr>
                      <w:sz w:val="21"/>
                      <w:szCs w:val="21"/>
                    </w:rPr>
                  </w:pPr>
                </w:p>
              </w:tc>
              <w:tc>
                <w:tcPr>
                  <w:tcW w:w="476" w:type="pct"/>
                  <w:vMerge w:val="continue"/>
                  <w:vAlign w:val="center"/>
                </w:tcPr>
                <w:p>
                  <w:pPr>
                    <w:pStyle w:val="2"/>
                    <w:spacing w:line="240" w:lineRule="auto"/>
                    <w:ind w:firstLine="0" w:firstLineChars="0"/>
                    <w:jc w:val="center"/>
                    <w:rPr>
                      <w:sz w:val="21"/>
                      <w:szCs w:val="21"/>
                    </w:rPr>
                  </w:pPr>
                </w:p>
              </w:tc>
              <w:tc>
                <w:tcPr>
                  <w:tcW w:w="608" w:type="pct"/>
                  <w:vAlign w:val="center"/>
                </w:tcPr>
                <w:p>
                  <w:pPr>
                    <w:pStyle w:val="2"/>
                    <w:spacing w:line="240" w:lineRule="auto"/>
                    <w:ind w:firstLine="0" w:firstLineChars="0"/>
                    <w:jc w:val="center"/>
                    <w:rPr>
                      <w:sz w:val="21"/>
                      <w:szCs w:val="21"/>
                    </w:rPr>
                  </w:pPr>
                  <w:r>
                    <w:rPr>
                      <w:rFonts w:hint="eastAsia"/>
                      <w:sz w:val="21"/>
                      <w:szCs w:val="21"/>
                    </w:rPr>
                    <w:t>改建前</w:t>
                  </w:r>
                </w:p>
              </w:tc>
              <w:tc>
                <w:tcPr>
                  <w:tcW w:w="608" w:type="pct"/>
                  <w:vAlign w:val="center"/>
                </w:tcPr>
                <w:p>
                  <w:pPr>
                    <w:pStyle w:val="2"/>
                    <w:spacing w:line="240" w:lineRule="auto"/>
                    <w:ind w:firstLine="0" w:firstLineChars="0"/>
                    <w:jc w:val="center"/>
                    <w:rPr>
                      <w:sz w:val="21"/>
                      <w:szCs w:val="21"/>
                    </w:rPr>
                  </w:pPr>
                  <w:r>
                    <w:rPr>
                      <w:rFonts w:hint="eastAsia"/>
                      <w:sz w:val="21"/>
                      <w:szCs w:val="21"/>
                    </w:rPr>
                    <w:t>改建后</w:t>
                  </w:r>
                </w:p>
              </w:tc>
              <w:tc>
                <w:tcPr>
                  <w:tcW w:w="608" w:type="pct"/>
                  <w:vAlign w:val="center"/>
                </w:tcPr>
                <w:p>
                  <w:pPr>
                    <w:pStyle w:val="2"/>
                    <w:spacing w:line="240" w:lineRule="auto"/>
                    <w:ind w:firstLine="0" w:firstLineChars="0"/>
                    <w:jc w:val="center"/>
                    <w:rPr>
                      <w:sz w:val="21"/>
                      <w:szCs w:val="21"/>
                    </w:rPr>
                  </w:pPr>
                  <w:r>
                    <w:rPr>
                      <w:rFonts w:hint="eastAsia"/>
                      <w:sz w:val="21"/>
                      <w:szCs w:val="21"/>
                    </w:rPr>
                    <w:t>变化量</w:t>
                  </w:r>
                </w:p>
              </w:tc>
              <w:tc>
                <w:tcPr>
                  <w:tcW w:w="887" w:type="pct"/>
                  <w:vMerge w:val="continue"/>
                  <w:vAlign w:val="center"/>
                </w:tcPr>
                <w:p>
                  <w:pPr>
                    <w:pStyle w:val="2"/>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vMerge w:val="restart"/>
                  <w:vAlign w:val="center"/>
                </w:tcPr>
                <w:p>
                  <w:pPr>
                    <w:pStyle w:val="2"/>
                    <w:spacing w:line="240" w:lineRule="auto"/>
                    <w:ind w:firstLine="0" w:firstLineChars="0"/>
                    <w:jc w:val="center"/>
                    <w:rPr>
                      <w:sz w:val="21"/>
                      <w:szCs w:val="21"/>
                    </w:rPr>
                  </w:pPr>
                  <w:r>
                    <w:rPr>
                      <w:rFonts w:hint="eastAsia"/>
                      <w:sz w:val="21"/>
                      <w:szCs w:val="21"/>
                    </w:rPr>
                    <w:t>骨料生产线</w:t>
                  </w:r>
                </w:p>
              </w:tc>
              <w:tc>
                <w:tcPr>
                  <w:tcW w:w="537" w:type="pct"/>
                  <w:vMerge w:val="restart"/>
                  <w:vAlign w:val="center"/>
                </w:tcPr>
                <w:p>
                  <w:pPr>
                    <w:pStyle w:val="2"/>
                    <w:spacing w:line="240" w:lineRule="auto"/>
                    <w:ind w:firstLine="0" w:firstLineChars="0"/>
                    <w:jc w:val="center"/>
                    <w:rPr>
                      <w:sz w:val="21"/>
                      <w:szCs w:val="21"/>
                    </w:rPr>
                  </w:pPr>
                  <w:r>
                    <w:rPr>
                      <w:rFonts w:hint="eastAsia"/>
                      <w:sz w:val="21"/>
                      <w:szCs w:val="21"/>
                    </w:rPr>
                    <w:t>骨料</w:t>
                  </w:r>
                </w:p>
              </w:tc>
              <w:tc>
                <w:tcPr>
                  <w:tcW w:w="874" w:type="pct"/>
                  <w:vAlign w:val="center"/>
                </w:tcPr>
                <w:p>
                  <w:pPr>
                    <w:pStyle w:val="2"/>
                    <w:spacing w:line="240" w:lineRule="auto"/>
                    <w:ind w:firstLine="0" w:firstLineChars="0"/>
                    <w:jc w:val="center"/>
                    <w:rPr>
                      <w:sz w:val="21"/>
                      <w:szCs w:val="21"/>
                    </w:rPr>
                  </w:pPr>
                  <w:r>
                    <w:rPr>
                      <w:sz w:val="21"/>
                      <w:szCs w:val="21"/>
                    </w:rPr>
                    <w:t>5-25</w:t>
                  </w:r>
                  <w:r>
                    <w:rPr>
                      <w:rFonts w:hint="eastAsia"/>
                      <w:sz w:val="21"/>
                      <w:szCs w:val="21"/>
                    </w:rPr>
                    <w:t>mm</w:t>
                  </w:r>
                </w:p>
              </w:tc>
              <w:tc>
                <w:tcPr>
                  <w:tcW w:w="476" w:type="pct"/>
                  <w:vAlign w:val="center"/>
                </w:tcPr>
                <w:p>
                  <w:pPr>
                    <w:pStyle w:val="2"/>
                    <w:spacing w:line="240" w:lineRule="auto"/>
                    <w:ind w:firstLine="0" w:firstLineChars="0"/>
                    <w:jc w:val="center"/>
                    <w:rPr>
                      <w:sz w:val="21"/>
                      <w:szCs w:val="21"/>
                    </w:rPr>
                  </w:pPr>
                  <w:r>
                    <w:rPr>
                      <w:rFonts w:hint="eastAsia"/>
                      <w:sz w:val="21"/>
                      <w:szCs w:val="21"/>
                    </w:rPr>
                    <w:t>万吨</w:t>
                  </w:r>
                </w:p>
              </w:tc>
              <w:tc>
                <w:tcPr>
                  <w:tcW w:w="608" w:type="pct"/>
                  <w:vAlign w:val="center"/>
                </w:tcPr>
                <w:p>
                  <w:pPr>
                    <w:pStyle w:val="2"/>
                    <w:spacing w:line="240" w:lineRule="auto"/>
                    <w:ind w:firstLine="0" w:firstLineChars="0"/>
                    <w:jc w:val="center"/>
                    <w:rPr>
                      <w:sz w:val="21"/>
                      <w:szCs w:val="21"/>
                    </w:rPr>
                  </w:pPr>
                  <w:r>
                    <w:rPr>
                      <w:sz w:val="21"/>
                      <w:szCs w:val="21"/>
                    </w:rPr>
                    <w:t>67</w:t>
                  </w:r>
                </w:p>
              </w:tc>
              <w:tc>
                <w:tcPr>
                  <w:tcW w:w="608" w:type="pct"/>
                  <w:vAlign w:val="center"/>
                </w:tcPr>
                <w:p>
                  <w:pPr>
                    <w:pStyle w:val="2"/>
                    <w:spacing w:line="240" w:lineRule="auto"/>
                    <w:ind w:firstLine="0" w:firstLineChars="0"/>
                    <w:jc w:val="center"/>
                    <w:rPr>
                      <w:sz w:val="21"/>
                      <w:szCs w:val="21"/>
                    </w:rPr>
                  </w:pPr>
                  <w:r>
                    <w:rPr>
                      <w:rFonts w:hint="eastAsia"/>
                      <w:sz w:val="21"/>
                      <w:szCs w:val="21"/>
                    </w:rPr>
                    <w:t>0</w:t>
                  </w:r>
                </w:p>
              </w:tc>
              <w:tc>
                <w:tcPr>
                  <w:tcW w:w="608" w:type="pct"/>
                  <w:vAlign w:val="center"/>
                </w:tcPr>
                <w:p>
                  <w:pPr>
                    <w:pStyle w:val="2"/>
                    <w:spacing w:line="240" w:lineRule="auto"/>
                    <w:ind w:firstLine="0" w:firstLineChars="0"/>
                    <w:jc w:val="center"/>
                    <w:rPr>
                      <w:sz w:val="21"/>
                      <w:szCs w:val="21"/>
                    </w:rPr>
                  </w:pPr>
                  <w:r>
                    <w:rPr>
                      <w:sz w:val="21"/>
                      <w:szCs w:val="21"/>
                    </w:rPr>
                    <w:t>-67</w:t>
                  </w:r>
                </w:p>
              </w:tc>
              <w:tc>
                <w:tcPr>
                  <w:tcW w:w="887" w:type="pct"/>
                  <w:vMerge w:val="restart"/>
                  <w:vAlign w:val="center"/>
                </w:tcPr>
                <w:p>
                  <w:pPr>
                    <w:pStyle w:val="2"/>
                    <w:spacing w:line="240" w:lineRule="auto"/>
                    <w:ind w:firstLine="0" w:firstLineChars="0"/>
                    <w:jc w:val="center"/>
                    <w:rPr>
                      <w:sz w:val="21"/>
                      <w:szCs w:val="21"/>
                    </w:rPr>
                  </w:pPr>
                  <w:r>
                    <w:rPr>
                      <w:rFonts w:hint="eastAsia"/>
                      <w:sz w:val="21"/>
                      <w:szCs w:val="21"/>
                    </w:rPr>
                    <w:t>产品总产量不变，仅骨料粒径变化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vMerge w:val="continue"/>
                  <w:vAlign w:val="center"/>
                </w:tcPr>
                <w:p>
                  <w:pPr>
                    <w:pStyle w:val="2"/>
                    <w:spacing w:line="240" w:lineRule="auto"/>
                    <w:ind w:firstLine="0" w:firstLineChars="0"/>
                    <w:jc w:val="center"/>
                    <w:rPr>
                      <w:sz w:val="21"/>
                      <w:szCs w:val="21"/>
                    </w:rPr>
                  </w:pPr>
                </w:p>
              </w:tc>
              <w:tc>
                <w:tcPr>
                  <w:tcW w:w="537" w:type="pct"/>
                  <w:vMerge w:val="continue"/>
                  <w:vAlign w:val="center"/>
                </w:tcPr>
                <w:p>
                  <w:pPr>
                    <w:pStyle w:val="2"/>
                    <w:spacing w:line="240" w:lineRule="auto"/>
                    <w:ind w:firstLine="0" w:firstLineChars="0"/>
                    <w:jc w:val="center"/>
                    <w:rPr>
                      <w:sz w:val="21"/>
                      <w:szCs w:val="21"/>
                    </w:rPr>
                  </w:pPr>
                </w:p>
              </w:tc>
              <w:tc>
                <w:tcPr>
                  <w:tcW w:w="874" w:type="pct"/>
                  <w:vAlign w:val="center"/>
                </w:tcPr>
                <w:p>
                  <w:pPr>
                    <w:pStyle w:val="2"/>
                    <w:spacing w:line="240" w:lineRule="auto"/>
                    <w:ind w:firstLine="0" w:firstLineChars="0"/>
                    <w:jc w:val="center"/>
                    <w:rPr>
                      <w:sz w:val="21"/>
                      <w:szCs w:val="21"/>
                    </w:rPr>
                  </w:pPr>
                  <w:r>
                    <w:rPr>
                      <w:rFonts w:hint="eastAsia"/>
                      <w:sz w:val="21"/>
                      <w:szCs w:val="21"/>
                    </w:rPr>
                    <w:t>5</w:t>
                  </w:r>
                  <w:r>
                    <w:rPr>
                      <w:sz w:val="21"/>
                      <w:szCs w:val="21"/>
                    </w:rPr>
                    <w:t>-10</w:t>
                  </w:r>
                  <w:r>
                    <w:rPr>
                      <w:rFonts w:hint="eastAsia"/>
                      <w:sz w:val="21"/>
                      <w:szCs w:val="21"/>
                    </w:rPr>
                    <w:t>mm</w:t>
                  </w:r>
                </w:p>
              </w:tc>
              <w:tc>
                <w:tcPr>
                  <w:tcW w:w="476" w:type="pct"/>
                  <w:vAlign w:val="center"/>
                </w:tcPr>
                <w:p>
                  <w:pPr>
                    <w:pStyle w:val="2"/>
                    <w:spacing w:line="240" w:lineRule="auto"/>
                    <w:ind w:firstLine="0" w:firstLineChars="0"/>
                    <w:jc w:val="center"/>
                    <w:rPr>
                      <w:sz w:val="21"/>
                      <w:szCs w:val="21"/>
                    </w:rPr>
                  </w:pPr>
                  <w:r>
                    <w:rPr>
                      <w:rFonts w:hint="eastAsia"/>
                      <w:sz w:val="21"/>
                      <w:szCs w:val="21"/>
                    </w:rPr>
                    <w:t>万吨</w:t>
                  </w:r>
                </w:p>
              </w:tc>
              <w:tc>
                <w:tcPr>
                  <w:tcW w:w="608" w:type="pct"/>
                  <w:vAlign w:val="center"/>
                </w:tcPr>
                <w:p>
                  <w:pPr>
                    <w:pStyle w:val="2"/>
                    <w:spacing w:line="240" w:lineRule="auto"/>
                    <w:ind w:firstLine="0" w:firstLineChars="0"/>
                    <w:jc w:val="center"/>
                    <w:rPr>
                      <w:sz w:val="21"/>
                      <w:szCs w:val="21"/>
                    </w:rPr>
                  </w:pPr>
                  <w:r>
                    <w:rPr>
                      <w:rFonts w:hint="eastAsia"/>
                      <w:sz w:val="21"/>
                      <w:szCs w:val="21"/>
                    </w:rPr>
                    <w:t>0</w:t>
                  </w:r>
                </w:p>
              </w:tc>
              <w:tc>
                <w:tcPr>
                  <w:tcW w:w="608" w:type="pct"/>
                  <w:vAlign w:val="center"/>
                </w:tcPr>
                <w:p>
                  <w:pPr>
                    <w:pStyle w:val="2"/>
                    <w:spacing w:line="240" w:lineRule="auto"/>
                    <w:ind w:firstLine="0" w:firstLineChars="0"/>
                    <w:jc w:val="center"/>
                    <w:rPr>
                      <w:sz w:val="21"/>
                      <w:szCs w:val="21"/>
                    </w:rPr>
                  </w:pPr>
                  <w:r>
                    <w:rPr>
                      <w:sz w:val="21"/>
                      <w:szCs w:val="21"/>
                    </w:rPr>
                    <w:t>33</w:t>
                  </w:r>
                </w:p>
              </w:tc>
              <w:tc>
                <w:tcPr>
                  <w:tcW w:w="608" w:type="pct"/>
                  <w:vAlign w:val="center"/>
                </w:tcPr>
                <w:p>
                  <w:pPr>
                    <w:pStyle w:val="2"/>
                    <w:spacing w:line="240" w:lineRule="auto"/>
                    <w:ind w:firstLine="0" w:firstLineChars="0"/>
                    <w:jc w:val="center"/>
                    <w:rPr>
                      <w:sz w:val="21"/>
                      <w:szCs w:val="21"/>
                    </w:rPr>
                  </w:pPr>
                  <w:r>
                    <w:rPr>
                      <w:sz w:val="21"/>
                      <w:szCs w:val="21"/>
                    </w:rPr>
                    <w:t>+33</w:t>
                  </w:r>
                </w:p>
              </w:tc>
              <w:tc>
                <w:tcPr>
                  <w:tcW w:w="887" w:type="pct"/>
                  <w:vMerge w:val="continue"/>
                  <w:vAlign w:val="center"/>
                </w:tcPr>
                <w:p>
                  <w:pPr>
                    <w:pStyle w:val="2"/>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2" w:type="pct"/>
                  <w:vMerge w:val="continue"/>
                  <w:vAlign w:val="center"/>
                </w:tcPr>
                <w:p>
                  <w:pPr>
                    <w:pStyle w:val="2"/>
                    <w:spacing w:line="240" w:lineRule="auto"/>
                    <w:ind w:firstLine="0" w:firstLineChars="0"/>
                    <w:jc w:val="center"/>
                    <w:rPr>
                      <w:sz w:val="21"/>
                      <w:szCs w:val="21"/>
                    </w:rPr>
                  </w:pPr>
                </w:p>
              </w:tc>
              <w:tc>
                <w:tcPr>
                  <w:tcW w:w="537" w:type="pct"/>
                  <w:vMerge w:val="continue"/>
                  <w:vAlign w:val="center"/>
                </w:tcPr>
                <w:p>
                  <w:pPr>
                    <w:pStyle w:val="2"/>
                    <w:spacing w:line="240" w:lineRule="auto"/>
                    <w:ind w:firstLine="0" w:firstLineChars="0"/>
                    <w:jc w:val="center"/>
                    <w:rPr>
                      <w:sz w:val="21"/>
                      <w:szCs w:val="21"/>
                    </w:rPr>
                  </w:pPr>
                </w:p>
              </w:tc>
              <w:tc>
                <w:tcPr>
                  <w:tcW w:w="874" w:type="pct"/>
                  <w:vAlign w:val="center"/>
                </w:tcPr>
                <w:p>
                  <w:pPr>
                    <w:pStyle w:val="2"/>
                    <w:spacing w:line="240" w:lineRule="auto"/>
                    <w:ind w:firstLine="0" w:firstLineChars="0"/>
                    <w:jc w:val="center"/>
                    <w:rPr>
                      <w:sz w:val="21"/>
                      <w:szCs w:val="21"/>
                    </w:rPr>
                  </w:pPr>
                  <w:r>
                    <w:rPr>
                      <w:rFonts w:hint="eastAsia"/>
                      <w:sz w:val="21"/>
                      <w:szCs w:val="21"/>
                    </w:rPr>
                    <w:t>1</w:t>
                  </w:r>
                  <w:r>
                    <w:rPr>
                      <w:sz w:val="21"/>
                      <w:szCs w:val="21"/>
                    </w:rPr>
                    <w:t>0-25</w:t>
                  </w:r>
                  <w:r>
                    <w:rPr>
                      <w:rFonts w:hint="eastAsia"/>
                      <w:sz w:val="21"/>
                      <w:szCs w:val="21"/>
                    </w:rPr>
                    <w:t>mm</w:t>
                  </w:r>
                </w:p>
              </w:tc>
              <w:tc>
                <w:tcPr>
                  <w:tcW w:w="476" w:type="pct"/>
                  <w:vAlign w:val="center"/>
                </w:tcPr>
                <w:p>
                  <w:pPr>
                    <w:pStyle w:val="2"/>
                    <w:spacing w:line="240" w:lineRule="auto"/>
                    <w:ind w:firstLine="0" w:firstLineChars="0"/>
                    <w:jc w:val="center"/>
                    <w:rPr>
                      <w:sz w:val="21"/>
                      <w:szCs w:val="21"/>
                    </w:rPr>
                  </w:pPr>
                  <w:r>
                    <w:rPr>
                      <w:rFonts w:hint="eastAsia"/>
                      <w:sz w:val="21"/>
                      <w:szCs w:val="21"/>
                    </w:rPr>
                    <w:t>万吨</w:t>
                  </w:r>
                </w:p>
              </w:tc>
              <w:tc>
                <w:tcPr>
                  <w:tcW w:w="608" w:type="pct"/>
                  <w:vAlign w:val="center"/>
                </w:tcPr>
                <w:p>
                  <w:pPr>
                    <w:pStyle w:val="2"/>
                    <w:spacing w:line="240" w:lineRule="auto"/>
                    <w:ind w:firstLine="0" w:firstLineChars="0"/>
                    <w:jc w:val="center"/>
                    <w:rPr>
                      <w:sz w:val="21"/>
                      <w:szCs w:val="21"/>
                    </w:rPr>
                  </w:pPr>
                  <w:r>
                    <w:rPr>
                      <w:rFonts w:hint="eastAsia"/>
                      <w:sz w:val="21"/>
                      <w:szCs w:val="21"/>
                    </w:rPr>
                    <w:t>0</w:t>
                  </w:r>
                </w:p>
              </w:tc>
              <w:tc>
                <w:tcPr>
                  <w:tcW w:w="608" w:type="pct"/>
                  <w:vAlign w:val="center"/>
                </w:tcPr>
                <w:p>
                  <w:pPr>
                    <w:pStyle w:val="2"/>
                    <w:spacing w:line="240" w:lineRule="auto"/>
                    <w:ind w:firstLine="0" w:firstLineChars="0"/>
                    <w:jc w:val="center"/>
                    <w:rPr>
                      <w:sz w:val="21"/>
                      <w:szCs w:val="21"/>
                    </w:rPr>
                  </w:pPr>
                  <w:r>
                    <w:rPr>
                      <w:sz w:val="21"/>
                      <w:szCs w:val="21"/>
                    </w:rPr>
                    <w:t>34</w:t>
                  </w:r>
                </w:p>
              </w:tc>
              <w:tc>
                <w:tcPr>
                  <w:tcW w:w="608" w:type="pct"/>
                  <w:vAlign w:val="center"/>
                </w:tcPr>
                <w:p>
                  <w:pPr>
                    <w:pStyle w:val="2"/>
                    <w:spacing w:line="240" w:lineRule="auto"/>
                    <w:ind w:firstLine="0" w:firstLineChars="0"/>
                    <w:jc w:val="center"/>
                    <w:rPr>
                      <w:sz w:val="21"/>
                      <w:szCs w:val="21"/>
                    </w:rPr>
                  </w:pPr>
                  <w:r>
                    <w:rPr>
                      <w:sz w:val="21"/>
                      <w:szCs w:val="21"/>
                    </w:rPr>
                    <w:t>+34</w:t>
                  </w:r>
                </w:p>
              </w:tc>
              <w:tc>
                <w:tcPr>
                  <w:tcW w:w="887" w:type="pct"/>
                  <w:vMerge w:val="continue"/>
                  <w:vAlign w:val="center"/>
                </w:tcPr>
                <w:p>
                  <w:pPr>
                    <w:pStyle w:val="2"/>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vMerge w:val="continue"/>
                  <w:vAlign w:val="center"/>
                </w:tcPr>
                <w:p>
                  <w:pPr>
                    <w:pStyle w:val="2"/>
                    <w:spacing w:line="240" w:lineRule="auto"/>
                    <w:ind w:firstLine="0" w:firstLineChars="0"/>
                    <w:jc w:val="center"/>
                    <w:rPr>
                      <w:sz w:val="21"/>
                      <w:szCs w:val="21"/>
                    </w:rPr>
                  </w:pPr>
                </w:p>
              </w:tc>
              <w:tc>
                <w:tcPr>
                  <w:tcW w:w="537" w:type="pct"/>
                  <w:vMerge w:val="continue"/>
                  <w:vAlign w:val="center"/>
                </w:tcPr>
                <w:p>
                  <w:pPr>
                    <w:pStyle w:val="2"/>
                    <w:spacing w:line="240" w:lineRule="auto"/>
                    <w:ind w:firstLine="0" w:firstLineChars="0"/>
                    <w:jc w:val="center"/>
                    <w:rPr>
                      <w:sz w:val="21"/>
                      <w:szCs w:val="21"/>
                    </w:rPr>
                  </w:pPr>
                </w:p>
              </w:tc>
              <w:tc>
                <w:tcPr>
                  <w:tcW w:w="874" w:type="pct"/>
                  <w:vAlign w:val="center"/>
                </w:tcPr>
                <w:p>
                  <w:pPr>
                    <w:pStyle w:val="2"/>
                    <w:spacing w:line="240" w:lineRule="auto"/>
                    <w:ind w:firstLine="0" w:firstLineChars="0"/>
                    <w:jc w:val="center"/>
                    <w:rPr>
                      <w:sz w:val="21"/>
                      <w:szCs w:val="21"/>
                    </w:rPr>
                  </w:pPr>
                  <w:r>
                    <w:rPr>
                      <w:sz w:val="21"/>
                      <w:szCs w:val="21"/>
                    </w:rPr>
                    <w:t>25-40</w:t>
                  </w:r>
                  <w:r>
                    <w:rPr>
                      <w:rFonts w:hint="eastAsia"/>
                      <w:sz w:val="21"/>
                      <w:szCs w:val="21"/>
                    </w:rPr>
                    <w:t>mm</w:t>
                  </w:r>
                </w:p>
              </w:tc>
              <w:tc>
                <w:tcPr>
                  <w:tcW w:w="476" w:type="pct"/>
                  <w:vAlign w:val="center"/>
                </w:tcPr>
                <w:p>
                  <w:pPr>
                    <w:pStyle w:val="2"/>
                    <w:spacing w:line="240" w:lineRule="auto"/>
                    <w:ind w:firstLine="0" w:firstLineChars="0"/>
                    <w:jc w:val="center"/>
                    <w:rPr>
                      <w:sz w:val="21"/>
                      <w:szCs w:val="21"/>
                    </w:rPr>
                  </w:pPr>
                  <w:r>
                    <w:rPr>
                      <w:rFonts w:hint="eastAsia"/>
                      <w:sz w:val="21"/>
                      <w:szCs w:val="21"/>
                    </w:rPr>
                    <w:t>万吨</w:t>
                  </w:r>
                </w:p>
              </w:tc>
              <w:tc>
                <w:tcPr>
                  <w:tcW w:w="608" w:type="pct"/>
                  <w:vAlign w:val="center"/>
                </w:tcPr>
                <w:p>
                  <w:pPr>
                    <w:pStyle w:val="2"/>
                    <w:spacing w:line="240" w:lineRule="auto"/>
                    <w:ind w:firstLine="0" w:firstLineChars="0"/>
                    <w:jc w:val="center"/>
                    <w:rPr>
                      <w:sz w:val="21"/>
                      <w:szCs w:val="21"/>
                    </w:rPr>
                  </w:pPr>
                  <w:r>
                    <w:rPr>
                      <w:sz w:val="21"/>
                      <w:szCs w:val="21"/>
                    </w:rPr>
                    <w:t>33</w:t>
                  </w:r>
                </w:p>
              </w:tc>
              <w:tc>
                <w:tcPr>
                  <w:tcW w:w="608" w:type="pct"/>
                  <w:vAlign w:val="center"/>
                </w:tcPr>
                <w:p>
                  <w:pPr>
                    <w:pStyle w:val="2"/>
                    <w:spacing w:line="240" w:lineRule="auto"/>
                    <w:ind w:firstLine="0" w:firstLineChars="0"/>
                    <w:jc w:val="center"/>
                    <w:rPr>
                      <w:sz w:val="21"/>
                      <w:szCs w:val="21"/>
                    </w:rPr>
                  </w:pPr>
                  <w:r>
                    <w:rPr>
                      <w:sz w:val="21"/>
                      <w:szCs w:val="21"/>
                    </w:rPr>
                    <w:t>33</w:t>
                  </w:r>
                </w:p>
              </w:tc>
              <w:tc>
                <w:tcPr>
                  <w:tcW w:w="608" w:type="pct"/>
                  <w:vAlign w:val="center"/>
                </w:tcPr>
                <w:p>
                  <w:pPr>
                    <w:pStyle w:val="2"/>
                    <w:spacing w:line="240" w:lineRule="auto"/>
                    <w:ind w:firstLine="0" w:firstLineChars="0"/>
                    <w:jc w:val="center"/>
                    <w:rPr>
                      <w:sz w:val="21"/>
                      <w:szCs w:val="21"/>
                    </w:rPr>
                  </w:pPr>
                  <w:r>
                    <w:rPr>
                      <w:sz w:val="21"/>
                      <w:szCs w:val="21"/>
                    </w:rPr>
                    <w:t>0</w:t>
                  </w:r>
                </w:p>
              </w:tc>
              <w:tc>
                <w:tcPr>
                  <w:tcW w:w="887" w:type="pct"/>
                  <w:vMerge w:val="continue"/>
                  <w:vAlign w:val="center"/>
                </w:tcPr>
                <w:p>
                  <w:pPr>
                    <w:pStyle w:val="2"/>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vMerge w:val="continue"/>
                  <w:vAlign w:val="center"/>
                </w:tcPr>
                <w:p>
                  <w:pPr>
                    <w:pStyle w:val="2"/>
                    <w:spacing w:line="240" w:lineRule="auto"/>
                    <w:ind w:firstLine="0" w:firstLineChars="0"/>
                    <w:jc w:val="center"/>
                    <w:rPr>
                      <w:sz w:val="21"/>
                      <w:szCs w:val="21"/>
                    </w:rPr>
                  </w:pPr>
                </w:p>
              </w:tc>
              <w:tc>
                <w:tcPr>
                  <w:tcW w:w="537" w:type="pct"/>
                  <w:vMerge w:val="continue"/>
                  <w:vAlign w:val="center"/>
                </w:tcPr>
                <w:p>
                  <w:pPr>
                    <w:pStyle w:val="2"/>
                    <w:spacing w:line="240" w:lineRule="auto"/>
                    <w:ind w:firstLine="0" w:firstLineChars="0"/>
                    <w:jc w:val="center"/>
                    <w:rPr>
                      <w:sz w:val="21"/>
                      <w:szCs w:val="21"/>
                    </w:rPr>
                  </w:pPr>
                </w:p>
              </w:tc>
              <w:tc>
                <w:tcPr>
                  <w:tcW w:w="874" w:type="pct"/>
                  <w:shd w:val="clear" w:color="auto" w:fill="auto"/>
                  <w:vAlign w:val="center"/>
                </w:tcPr>
                <w:p>
                  <w:pPr>
                    <w:pStyle w:val="2"/>
                    <w:spacing w:line="240" w:lineRule="auto"/>
                    <w:ind w:firstLine="0" w:firstLineChars="0"/>
                    <w:jc w:val="center"/>
                    <w:rPr>
                      <w:bCs/>
                      <w:sz w:val="21"/>
                      <w:szCs w:val="21"/>
                    </w:rPr>
                  </w:pPr>
                  <w:r>
                    <w:rPr>
                      <w:rFonts w:hint="eastAsia"/>
                      <w:bCs/>
                      <w:sz w:val="21"/>
                      <w:szCs w:val="21"/>
                    </w:rPr>
                    <w:t>合计</w:t>
                  </w:r>
                </w:p>
              </w:tc>
              <w:tc>
                <w:tcPr>
                  <w:tcW w:w="476" w:type="pct"/>
                  <w:shd w:val="clear" w:color="auto" w:fill="auto"/>
                  <w:vAlign w:val="center"/>
                </w:tcPr>
                <w:p>
                  <w:pPr>
                    <w:pStyle w:val="2"/>
                    <w:spacing w:line="240" w:lineRule="auto"/>
                    <w:ind w:firstLine="0" w:firstLineChars="0"/>
                    <w:jc w:val="center"/>
                    <w:rPr>
                      <w:bCs/>
                      <w:sz w:val="21"/>
                      <w:szCs w:val="21"/>
                    </w:rPr>
                  </w:pPr>
                  <w:r>
                    <w:rPr>
                      <w:rFonts w:hint="eastAsia"/>
                      <w:bCs/>
                      <w:sz w:val="21"/>
                      <w:szCs w:val="21"/>
                    </w:rPr>
                    <w:t>万吨</w:t>
                  </w:r>
                </w:p>
              </w:tc>
              <w:tc>
                <w:tcPr>
                  <w:tcW w:w="608" w:type="pct"/>
                  <w:shd w:val="clear" w:color="auto" w:fill="auto"/>
                  <w:vAlign w:val="center"/>
                </w:tcPr>
                <w:p>
                  <w:pPr>
                    <w:pStyle w:val="2"/>
                    <w:spacing w:line="240" w:lineRule="auto"/>
                    <w:ind w:firstLine="0" w:firstLineChars="0"/>
                    <w:jc w:val="center"/>
                    <w:rPr>
                      <w:bCs/>
                      <w:sz w:val="21"/>
                      <w:szCs w:val="21"/>
                    </w:rPr>
                  </w:pPr>
                  <w:r>
                    <w:rPr>
                      <w:rFonts w:hint="eastAsia"/>
                      <w:bCs/>
                      <w:sz w:val="21"/>
                      <w:szCs w:val="21"/>
                    </w:rPr>
                    <w:t>1</w:t>
                  </w:r>
                  <w:r>
                    <w:rPr>
                      <w:bCs/>
                      <w:sz w:val="21"/>
                      <w:szCs w:val="21"/>
                    </w:rPr>
                    <w:t>00</w:t>
                  </w:r>
                </w:p>
              </w:tc>
              <w:tc>
                <w:tcPr>
                  <w:tcW w:w="608" w:type="pct"/>
                  <w:shd w:val="clear" w:color="auto" w:fill="auto"/>
                  <w:vAlign w:val="center"/>
                </w:tcPr>
                <w:p>
                  <w:pPr>
                    <w:pStyle w:val="2"/>
                    <w:spacing w:line="240" w:lineRule="auto"/>
                    <w:ind w:firstLine="0" w:firstLineChars="0"/>
                    <w:jc w:val="center"/>
                    <w:rPr>
                      <w:bCs/>
                      <w:sz w:val="21"/>
                      <w:szCs w:val="21"/>
                    </w:rPr>
                  </w:pPr>
                  <w:r>
                    <w:rPr>
                      <w:rFonts w:hint="eastAsia"/>
                      <w:bCs/>
                      <w:sz w:val="21"/>
                      <w:szCs w:val="21"/>
                    </w:rPr>
                    <w:t>1</w:t>
                  </w:r>
                  <w:r>
                    <w:rPr>
                      <w:bCs/>
                      <w:sz w:val="21"/>
                      <w:szCs w:val="21"/>
                    </w:rPr>
                    <w:t>00</w:t>
                  </w:r>
                </w:p>
              </w:tc>
              <w:tc>
                <w:tcPr>
                  <w:tcW w:w="608" w:type="pct"/>
                  <w:shd w:val="clear" w:color="auto" w:fill="auto"/>
                  <w:vAlign w:val="center"/>
                </w:tcPr>
                <w:p>
                  <w:pPr>
                    <w:pStyle w:val="2"/>
                    <w:spacing w:line="240" w:lineRule="auto"/>
                    <w:ind w:firstLine="0" w:firstLineChars="0"/>
                    <w:jc w:val="center"/>
                    <w:rPr>
                      <w:bCs/>
                      <w:sz w:val="21"/>
                      <w:szCs w:val="21"/>
                    </w:rPr>
                  </w:pPr>
                  <w:r>
                    <w:rPr>
                      <w:rFonts w:hint="eastAsia"/>
                      <w:bCs/>
                      <w:sz w:val="21"/>
                      <w:szCs w:val="21"/>
                    </w:rPr>
                    <w:t>0</w:t>
                  </w:r>
                </w:p>
              </w:tc>
              <w:tc>
                <w:tcPr>
                  <w:tcW w:w="887" w:type="pct"/>
                  <w:vMerge w:val="continue"/>
                  <w:vAlign w:val="center"/>
                </w:tcPr>
                <w:p>
                  <w:pPr>
                    <w:pStyle w:val="2"/>
                    <w:spacing w:line="240" w:lineRule="auto"/>
                    <w:ind w:firstLine="0" w:firstLineChars="0"/>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 w:type="pct"/>
                  <w:vMerge w:val="continue"/>
                  <w:vAlign w:val="center"/>
                </w:tcPr>
                <w:p>
                  <w:pPr>
                    <w:pStyle w:val="2"/>
                    <w:spacing w:line="240" w:lineRule="auto"/>
                    <w:ind w:firstLine="0" w:firstLineChars="0"/>
                    <w:jc w:val="center"/>
                    <w:rPr>
                      <w:sz w:val="21"/>
                      <w:szCs w:val="21"/>
                    </w:rPr>
                  </w:pPr>
                </w:p>
              </w:tc>
              <w:tc>
                <w:tcPr>
                  <w:tcW w:w="537" w:type="pct"/>
                  <w:vAlign w:val="center"/>
                </w:tcPr>
                <w:p>
                  <w:pPr>
                    <w:pStyle w:val="2"/>
                    <w:spacing w:line="240" w:lineRule="auto"/>
                    <w:ind w:firstLine="0" w:firstLineChars="0"/>
                    <w:jc w:val="center"/>
                    <w:rPr>
                      <w:sz w:val="21"/>
                      <w:szCs w:val="21"/>
                    </w:rPr>
                  </w:pPr>
                  <w:r>
                    <w:rPr>
                      <w:rFonts w:hint="eastAsia"/>
                      <w:sz w:val="21"/>
                      <w:szCs w:val="21"/>
                    </w:rPr>
                    <w:t>粉料</w:t>
                  </w:r>
                </w:p>
              </w:tc>
              <w:tc>
                <w:tcPr>
                  <w:tcW w:w="874" w:type="pct"/>
                  <w:vAlign w:val="center"/>
                </w:tcPr>
                <w:p>
                  <w:pPr>
                    <w:pStyle w:val="2"/>
                    <w:spacing w:line="240" w:lineRule="auto"/>
                    <w:ind w:firstLine="0" w:firstLineChars="0"/>
                    <w:jc w:val="center"/>
                    <w:rPr>
                      <w:sz w:val="21"/>
                      <w:szCs w:val="21"/>
                    </w:rPr>
                  </w:pPr>
                  <w:r>
                    <w:rPr>
                      <w:rFonts w:hint="eastAsia"/>
                      <w:sz w:val="21"/>
                      <w:szCs w:val="21"/>
                    </w:rPr>
                    <w:t>0</w:t>
                  </w:r>
                  <w:r>
                    <w:rPr>
                      <w:sz w:val="21"/>
                      <w:szCs w:val="21"/>
                    </w:rPr>
                    <w:t>-5</w:t>
                  </w:r>
                  <w:r>
                    <w:rPr>
                      <w:rFonts w:hint="eastAsia"/>
                      <w:sz w:val="21"/>
                      <w:szCs w:val="21"/>
                    </w:rPr>
                    <w:t>mm</w:t>
                  </w:r>
                </w:p>
              </w:tc>
              <w:tc>
                <w:tcPr>
                  <w:tcW w:w="476" w:type="pct"/>
                  <w:vAlign w:val="center"/>
                </w:tcPr>
                <w:p>
                  <w:pPr>
                    <w:pStyle w:val="2"/>
                    <w:spacing w:line="240" w:lineRule="auto"/>
                    <w:ind w:firstLine="0" w:firstLineChars="0"/>
                    <w:jc w:val="center"/>
                    <w:rPr>
                      <w:sz w:val="21"/>
                      <w:szCs w:val="21"/>
                    </w:rPr>
                  </w:pPr>
                  <w:r>
                    <w:rPr>
                      <w:rFonts w:hint="eastAsia"/>
                      <w:sz w:val="21"/>
                      <w:szCs w:val="21"/>
                    </w:rPr>
                    <w:t>万吨</w:t>
                  </w:r>
                </w:p>
              </w:tc>
              <w:tc>
                <w:tcPr>
                  <w:tcW w:w="608" w:type="pct"/>
                  <w:vAlign w:val="center"/>
                </w:tcPr>
                <w:p>
                  <w:pPr>
                    <w:pStyle w:val="2"/>
                    <w:spacing w:line="240" w:lineRule="auto"/>
                    <w:ind w:firstLine="0" w:firstLineChars="0"/>
                    <w:jc w:val="center"/>
                    <w:rPr>
                      <w:sz w:val="21"/>
                      <w:szCs w:val="21"/>
                    </w:rPr>
                  </w:pPr>
                  <w:r>
                    <w:rPr>
                      <w:rFonts w:hint="eastAsia"/>
                      <w:sz w:val="21"/>
                      <w:szCs w:val="21"/>
                    </w:rPr>
                    <w:t>3</w:t>
                  </w:r>
                  <w:r>
                    <w:rPr>
                      <w:sz w:val="21"/>
                      <w:szCs w:val="21"/>
                    </w:rPr>
                    <w:t>3</w:t>
                  </w:r>
                </w:p>
              </w:tc>
              <w:tc>
                <w:tcPr>
                  <w:tcW w:w="608" w:type="pct"/>
                  <w:vAlign w:val="center"/>
                </w:tcPr>
                <w:p>
                  <w:pPr>
                    <w:pStyle w:val="2"/>
                    <w:spacing w:line="240" w:lineRule="auto"/>
                    <w:ind w:firstLine="0" w:firstLineChars="0"/>
                    <w:jc w:val="center"/>
                    <w:rPr>
                      <w:sz w:val="21"/>
                      <w:szCs w:val="21"/>
                    </w:rPr>
                  </w:pPr>
                  <w:r>
                    <w:rPr>
                      <w:sz w:val="21"/>
                      <w:szCs w:val="21"/>
                    </w:rPr>
                    <w:t>0</w:t>
                  </w:r>
                </w:p>
              </w:tc>
              <w:tc>
                <w:tcPr>
                  <w:tcW w:w="608" w:type="pct"/>
                  <w:vAlign w:val="center"/>
                </w:tcPr>
                <w:p>
                  <w:pPr>
                    <w:pStyle w:val="2"/>
                    <w:spacing w:line="240" w:lineRule="auto"/>
                    <w:ind w:firstLine="0" w:firstLineChars="0"/>
                    <w:jc w:val="center"/>
                    <w:rPr>
                      <w:sz w:val="21"/>
                      <w:szCs w:val="21"/>
                    </w:rPr>
                  </w:pPr>
                  <w:r>
                    <w:rPr>
                      <w:sz w:val="21"/>
                      <w:szCs w:val="21"/>
                    </w:rPr>
                    <w:t>-33</w:t>
                  </w:r>
                </w:p>
              </w:tc>
              <w:tc>
                <w:tcPr>
                  <w:tcW w:w="887" w:type="pct"/>
                  <w:vAlign w:val="center"/>
                </w:tcPr>
                <w:p>
                  <w:pPr>
                    <w:pStyle w:val="2"/>
                    <w:spacing w:line="240" w:lineRule="auto"/>
                    <w:ind w:firstLine="0" w:firstLineChars="0"/>
                    <w:jc w:val="center"/>
                    <w:rPr>
                      <w:sz w:val="21"/>
                      <w:szCs w:val="21"/>
                    </w:rPr>
                  </w:pPr>
                  <w:r>
                    <w:rPr>
                      <w:rFonts w:hint="eastAsia"/>
                      <w:sz w:val="21"/>
                      <w:szCs w:val="21"/>
                    </w:rPr>
                    <w:t>副产，改建前用作水泥辅材，改建后用作制砂原料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vMerge w:val="restart"/>
                  <w:vAlign w:val="center"/>
                </w:tcPr>
                <w:p>
                  <w:pPr>
                    <w:pStyle w:val="2"/>
                    <w:spacing w:line="240" w:lineRule="auto"/>
                    <w:ind w:firstLine="0" w:firstLineChars="0"/>
                    <w:jc w:val="center"/>
                    <w:rPr>
                      <w:sz w:val="21"/>
                      <w:szCs w:val="21"/>
                    </w:rPr>
                  </w:pPr>
                  <w:r>
                    <w:rPr>
                      <w:rFonts w:hint="eastAsia"/>
                      <w:sz w:val="21"/>
                      <w:szCs w:val="21"/>
                    </w:rPr>
                    <w:t>机制砂生产线</w:t>
                  </w:r>
                </w:p>
              </w:tc>
              <w:tc>
                <w:tcPr>
                  <w:tcW w:w="537" w:type="pct"/>
                  <w:vAlign w:val="center"/>
                </w:tcPr>
                <w:p>
                  <w:pPr>
                    <w:pStyle w:val="2"/>
                    <w:spacing w:line="240" w:lineRule="auto"/>
                    <w:ind w:firstLine="0" w:firstLineChars="0"/>
                    <w:jc w:val="center"/>
                    <w:rPr>
                      <w:sz w:val="21"/>
                      <w:szCs w:val="21"/>
                    </w:rPr>
                  </w:pPr>
                  <w:r>
                    <w:rPr>
                      <w:rFonts w:hint="eastAsia"/>
                      <w:sz w:val="21"/>
                      <w:szCs w:val="21"/>
                    </w:rPr>
                    <w:t>机制砂</w:t>
                  </w:r>
                </w:p>
              </w:tc>
              <w:tc>
                <w:tcPr>
                  <w:tcW w:w="874" w:type="pct"/>
                  <w:vAlign w:val="center"/>
                </w:tcPr>
                <w:p>
                  <w:pPr>
                    <w:pStyle w:val="2"/>
                    <w:spacing w:line="240" w:lineRule="auto"/>
                    <w:ind w:firstLine="0" w:firstLineChars="0"/>
                    <w:jc w:val="center"/>
                    <w:rPr>
                      <w:sz w:val="21"/>
                      <w:szCs w:val="21"/>
                    </w:rPr>
                  </w:pPr>
                  <w:r>
                    <w:rPr>
                      <w:rFonts w:hint="eastAsia"/>
                      <w:sz w:val="21"/>
                      <w:szCs w:val="21"/>
                    </w:rPr>
                    <w:t>0</w:t>
                  </w:r>
                  <w:r>
                    <w:rPr>
                      <w:sz w:val="21"/>
                      <w:szCs w:val="21"/>
                    </w:rPr>
                    <w:t>.075-4.75</w:t>
                  </w:r>
                  <w:r>
                    <w:rPr>
                      <w:rFonts w:hint="eastAsia"/>
                      <w:sz w:val="21"/>
                      <w:szCs w:val="21"/>
                    </w:rPr>
                    <w:t>mm</w:t>
                  </w:r>
                </w:p>
              </w:tc>
              <w:tc>
                <w:tcPr>
                  <w:tcW w:w="476" w:type="pct"/>
                  <w:vAlign w:val="center"/>
                </w:tcPr>
                <w:p>
                  <w:pPr>
                    <w:pStyle w:val="2"/>
                    <w:spacing w:line="240" w:lineRule="auto"/>
                    <w:ind w:firstLine="0" w:firstLineChars="0"/>
                    <w:jc w:val="center"/>
                    <w:rPr>
                      <w:sz w:val="21"/>
                      <w:szCs w:val="21"/>
                    </w:rPr>
                  </w:pPr>
                  <w:r>
                    <w:rPr>
                      <w:rFonts w:hint="eastAsia"/>
                      <w:sz w:val="21"/>
                      <w:szCs w:val="21"/>
                    </w:rPr>
                    <w:t>万吨</w:t>
                  </w:r>
                </w:p>
              </w:tc>
              <w:tc>
                <w:tcPr>
                  <w:tcW w:w="608" w:type="pct"/>
                  <w:vAlign w:val="center"/>
                </w:tcPr>
                <w:p>
                  <w:pPr>
                    <w:pStyle w:val="2"/>
                    <w:spacing w:line="240" w:lineRule="auto"/>
                    <w:ind w:firstLine="0" w:firstLineChars="0"/>
                    <w:jc w:val="center"/>
                    <w:rPr>
                      <w:sz w:val="21"/>
                      <w:szCs w:val="21"/>
                    </w:rPr>
                  </w:pPr>
                  <w:r>
                    <w:rPr>
                      <w:sz w:val="21"/>
                      <w:szCs w:val="21"/>
                    </w:rPr>
                    <w:t>0</w:t>
                  </w:r>
                </w:p>
              </w:tc>
              <w:tc>
                <w:tcPr>
                  <w:tcW w:w="608" w:type="pct"/>
                  <w:vAlign w:val="center"/>
                </w:tcPr>
                <w:p>
                  <w:pPr>
                    <w:pStyle w:val="2"/>
                    <w:spacing w:line="240" w:lineRule="auto"/>
                    <w:ind w:firstLine="0" w:firstLineChars="0"/>
                    <w:jc w:val="center"/>
                    <w:rPr>
                      <w:sz w:val="21"/>
                      <w:szCs w:val="21"/>
                    </w:rPr>
                  </w:pPr>
                  <w:r>
                    <w:rPr>
                      <w:rFonts w:hint="eastAsia"/>
                      <w:sz w:val="21"/>
                      <w:szCs w:val="21"/>
                    </w:rPr>
                    <w:t>3</w:t>
                  </w:r>
                  <w:r>
                    <w:rPr>
                      <w:sz w:val="21"/>
                      <w:szCs w:val="21"/>
                    </w:rPr>
                    <w:t>0</w:t>
                  </w:r>
                </w:p>
              </w:tc>
              <w:tc>
                <w:tcPr>
                  <w:tcW w:w="608" w:type="pct"/>
                  <w:vAlign w:val="center"/>
                </w:tcPr>
                <w:p>
                  <w:pPr>
                    <w:pStyle w:val="2"/>
                    <w:spacing w:line="240" w:lineRule="auto"/>
                    <w:ind w:firstLine="0" w:firstLineChars="0"/>
                    <w:jc w:val="center"/>
                    <w:rPr>
                      <w:sz w:val="21"/>
                      <w:szCs w:val="21"/>
                    </w:rPr>
                  </w:pPr>
                  <w:r>
                    <w:rPr>
                      <w:sz w:val="21"/>
                      <w:szCs w:val="21"/>
                    </w:rPr>
                    <w:t>+30</w:t>
                  </w:r>
                </w:p>
              </w:tc>
              <w:tc>
                <w:tcPr>
                  <w:tcW w:w="887" w:type="pct"/>
                  <w:vAlign w:val="center"/>
                </w:tcPr>
                <w:p>
                  <w:pPr>
                    <w:pStyle w:val="2"/>
                    <w:spacing w:line="240" w:lineRule="auto"/>
                    <w:ind w:firstLine="0" w:firstLineChars="0"/>
                    <w:jc w:val="center"/>
                    <w:rPr>
                      <w:sz w:val="21"/>
                      <w:szCs w:val="21"/>
                    </w:rPr>
                  </w:pPr>
                  <w:r>
                    <w:rPr>
                      <w:rFonts w:hint="eastAsia"/>
                      <w:sz w:val="21"/>
                      <w:szCs w:val="21"/>
                    </w:rPr>
                    <w:t>产品外售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vMerge w:val="continue"/>
                  <w:vAlign w:val="center"/>
                </w:tcPr>
                <w:p>
                  <w:pPr>
                    <w:pStyle w:val="2"/>
                    <w:spacing w:line="240" w:lineRule="auto"/>
                    <w:ind w:firstLine="0" w:firstLineChars="0"/>
                    <w:jc w:val="center"/>
                    <w:rPr>
                      <w:sz w:val="21"/>
                      <w:szCs w:val="21"/>
                    </w:rPr>
                  </w:pPr>
                </w:p>
              </w:tc>
              <w:tc>
                <w:tcPr>
                  <w:tcW w:w="537" w:type="pct"/>
                  <w:vAlign w:val="center"/>
                </w:tcPr>
                <w:p>
                  <w:pPr>
                    <w:pStyle w:val="2"/>
                    <w:spacing w:line="240" w:lineRule="auto"/>
                    <w:ind w:firstLine="0" w:firstLineChars="0"/>
                    <w:jc w:val="center"/>
                    <w:rPr>
                      <w:sz w:val="21"/>
                      <w:szCs w:val="21"/>
                    </w:rPr>
                  </w:pPr>
                  <w:r>
                    <w:rPr>
                      <w:rFonts w:hint="eastAsia"/>
                      <w:sz w:val="21"/>
                      <w:szCs w:val="21"/>
                    </w:rPr>
                    <w:t>微粉</w:t>
                  </w:r>
                </w:p>
              </w:tc>
              <w:tc>
                <w:tcPr>
                  <w:tcW w:w="874" w:type="pct"/>
                  <w:vAlign w:val="center"/>
                </w:tcPr>
                <w:p>
                  <w:pPr>
                    <w:pStyle w:val="2"/>
                    <w:spacing w:line="240" w:lineRule="auto"/>
                    <w:ind w:firstLine="0" w:firstLineChars="0"/>
                    <w:jc w:val="center"/>
                    <w:rPr>
                      <w:sz w:val="21"/>
                      <w:szCs w:val="21"/>
                    </w:rPr>
                  </w:pPr>
                  <w:r>
                    <w:rPr>
                      <w:sz w:val="21"/>
                      <w:szCs w:val="21"/>
                    </w:rPr>
                    <w:t>0-0.075</w:t>
                  </w:r>
                  <w:r>
                    <w:rPr>
                      <w:rFonts w:hint="eastAsia"/>
                      <w:sz w:val="21"/>
                      <w:szCs w:val="21"/>
                    </w:rPr>
                    <w:t>mm</w:t>
                  </w:r>
                </w:p>
              </w:tc>
              <w:tc>
                <w:tcPr>
                  <w:tcW w:w="476" w:type="pct"/>
                  <w:vAlign w:val="center"/>
                </w:tcPr>
                <w:p>
                  <w:pPr>
                    <w:pStyle w:val="2"/>
                    <w:spacing w:line="240" w:lineRule="auto"/>
                    <w:ind w:firstLine="0" w:firstLineChars="0"/>
                    <w:jc w:val="center"/>
                    <w:rPr>
                      <w:sz w:val="21"/>
                      <w:szCs w:val="21"/>
                    </w:rPr>
                  </w:pPr>
                  <w:r>
                    <w:rPr>
                      <w:rFonts w:hint="eastAsia"/>
                      <w:sz w:val="21"/>
                      <w:szCs w:val="21"/>
                    </w:rPr>
                    <w:t>万吨</w:t>
                  </w:r>
                </w:p>
              </w:tc>
              <w:tc>
                <w:tcPr>
                  <w:tcW w:w="608" w:type="pct"/>
                  <w:vAlign w:val="center"/>
                </w:tcPr>
                <w:p>
                  <w:pPr>
                    <w:pStyle w:val="2"/>
                    <w:spacing w:line="240" w:lineRule="auto"/>
                    <w:ind w:firstLine="0" w:firstLineChars="0"/>
                    <w:jc w:val="center"/>
                    <w:rPr>
                      <w:sz w:val="21"/>
                      <w:szCs w:val="21"/>
                    </w:rPr>
                  </w:pPr>
                  <w:r>
                    <w:rPr>
                      <w:rFonts w:hint="eastAsia"/>
                      <w:sz w:val="21"/>
                      <w:szCs w:val="21"/>
                    </w:rPr>
                    <w:t>0</w:t>
                  </w:r>
                </w:p>
              </w:tc>
              <w:tc>
                <w:tcPr>
                  <w:tcW w:w="608" w:type="pct"/>
                  <w:vAlign w:val="center"/>
                </w:tcPr>
                <w:p>
                  <w:pPr>
                    <w:pStyle w:val="2"/>
                    <w:spacing w:line="240" w:lineRule="auto"/>
                    <w:ind w:firstLine="0" w:firstLineChars="0"/>
                    <w:jc w:val="center"/>
                    <w:rPr>
                      <w:sz w:val="21"/>
                      <w:szCs w:val="21"/>
                    </w:rPr>
                  </w:pPr>
                  <w:r>
                    <w:rPr>
                      <w:rFonts w:hint="eastAsia"/>
                      <w:sz w:val="21"/>
                      <w:szCs w:val="21"/>
                    </w:rPr>
                    <w:t>3</w:t>
                  </w:r>
                </w:p>
              </w:tc>
              <w:tc>
                <w:tcPr>
                  <w:tcW w:w="608" w:type="pct"/>
                  <w:vAlign w:val="center"/>
                </w:tcPr>
                <w:p>
                  <w:pPr>
                    <w:pStyle w:val="2"/>
                    <w:spacing w:line="240" w:lineRule="auto"/>
                    <w:ind w:firstLine="0" w:firstLineChars="0"/>
                    <w:jc w:val="center"/>
                    <w:rPr>
                      <w:sz w:val="21"/>
                      <w:szCs w:val="21"/>
                    </w:rPr>
                  </w:pPr>
                  <w:r>
                    <w:rPr>
                      <w:sz w:val="21"/>
                      <w:szCs w:val="21"/>
                    </w:rPr>
                    <w:t>+3</w:t>
                  </w:r>
                </w:p>
              </w:tc>
              <w:tc>
                <w:tcPr>
                  <w:tcW w:w="887" w:type="pct"/>
                  <w:vAlign w:val="center"/>
                </w:tcPr>
                <w:p>
                  <w:pPr>
                    <w:pStyle w:val="2"/>
                    <w:spacing w:line="240" w:lineRule="auto"/>
                    <w:ind w:firstLine="0" w:firstLineChars="0"/>
                    <w:jc w:val="center"/>
                    <w:rPr>
                      <w:sz w:val="21"/>
                      <w:szCs w:val="21"/>
                    </w:rPr>
                  </w:pPr>
                  <w:r>
                    <w:rPr>
                      <w:rFonts w:hint="eastAsia"/>
                      <w:sz w:val="21"/>
                      <w:szCs w:val="21"/>
                    </w:rPr>
                    <w:t>副产，用作水泥辅材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pPr>
                    <w:pStyle w:val="2"/>
                    <w:spacing w:line="240" w:lineRule="auto"/>
                    <w:ind w:firstLine="0" w:firstLineChars="0"/>
                    <w:rPr>
                      <w:sz w:val="21"/>
                      <w:szCs w:val="21"/>
                    </w:rPr>
                  </w:pPr>
                  <w:r>
                    <w:rPr>
                      <w:rFonts w:hint="eastAsia"/>
                      <w:sz w:val="21"/>
                      <w:szCs w:val="21"/>
                    </w:rPr>
                    <w:t>注：骨料执行《建设用卵石、碎石》（GB</w:t>
                  </w:r>
                  <w:r>
                    <w:rPr>
                      <w:sz w:val="21"/>
                      <w:szCs w:val="21"/>
                    </w:rPr>
                    <w:t>/T14685-2022</w:t>
                  </w:r>
                  <w:r>
                    <w:rPr>
                      <w:rFonts w:hint="eastAsia"/>
                      <w:sz w:val="21"/>
                      <w:szCs w:val="21"/>
                    </w:rPr>
                    <w:t>），机制砂执行《建设用砂》（GB</w:t>
                  </w:r>
                  <w:r>
                    <w:rPr>
                      <w:sz w:val="21"/>
                      <w:szCs w:val="21"/>
                    </w:rPr>
                    <w:t>/T14684-2022</w:t>
                  </w:r>
                  <w:r>
                    <w:rPr>
                      <w:rFonts w:hint="eastAsia"/>
                      <w:sz w:val="21"/>
                      <w:szCs w:val="21"/>
                    </w:rPr>
                    <w:t>）和《四川省机制砂生产与应用技术标准》（DBJ</w:t>
                  </w:r>
                  <w:r>
                    <w:rPr>
                      <w:sz w:val="21"/>
                      <w:szCs w:val="21"/>
                    </w:rPr>
                    <w:t>51/T201-2022</w:t>
                  </w:r>
                  <w:r>
                    <w:rPr>
                      <w:rFonts w:hint="eastAsia"/>
                      <w:sz w:val="21"/>
                      <w:szCs w:val="21"/>
                    </w:rPr>
                    <w:t>）。</w:t>
                  </w:r>
                </w:p>
              </w:tc>
            </w:tr>
          </w:tbl>
          <w:p>
            <w:pPr>
              <w:spacing w:line="360" w:lineRule="auto"/>
              <w:jc w:val="center"/>
            </w:pPr>
            <w:r>
              <w:object>
                <v:shape id="_x0000_i1025" o:spt="75" type="#_x0000_t75" style="height:116.25pt;width:436.5pt;" o:ole="t" filled="f" o:preferrelative="t" stroked="f" coordsize="21600,21600">
                  <v:path/>
                  <v:fill on="f" focussize="0,0"/>
                  <v:stroke on="f" joinstyle="miter"/>
                  <v:imagedata r:id="rId10" o:title=""/>
                  <o:lock v:ext="edit" aspectratio="t"/>
                  <w10:wrap type="none"/>
                  <w10:anchorlock/>
                </v:shape>
                <o:OLEObject Type="Embed" ProgID="Visio.Drawing.15" ShapeID="_x0000_i1025" DrawAspect="Content" ObjectID="_1468075725" r:id="rId9">
                  <o:LockedField>false</o:LockedField>
                </o:OLEObject>
              </w:object>
            </w:r>
          </w:p>
          <w:p>
            <w:pPr>
              <w:spacing w:line="360" w:lineRule="auto"/>
              <w:jc w:val="center"/>
              <w:rPr>
                <w:rFonts w:hint="eastAsia" w:ascii="黑体" w:hAnsi="黑体" w:eastAsia="黑体"/>
                <w:szCs w:val="21"/>
              </w:rPr>
            </w:pPr>
            <w:r>
              <w:rPr>
                <w:rFonts w:hint="eastAsia" w:ascii="黑体" w:hAnsi="黑体" w:eastAsia="黑体"/>
                <w:szCs w:val="21"/>
              </w:rPr>
              <w:t>图</w:t>
            </w:r>
            <w:r>
              <w:rPr>
                <w:rFonts w:eastAsia="黑体" w:cstheme="minorHAnsi"/>
                <w:szCs w:val="21"/>
              </w:rPr>
              <w:t>2-1  项目</w:t>
            </w:r>
            <w:r>
              <w:rPr>
                <w:rFonts w:hint="eastAsia" w:eastAsia="黑体" w:cstheme="minorHAnsi"/>
                <w:szCs w:val="21"/>
              </w:rPr>
              <w:t>产品关联图</w:t>
            </w:r>
          </w:p>
          <w:p>
            <w:pPr>
              <w:spacing w:line="360" w:lineRule="auto"/>
              <w:ind w:firstLine="482" w:firstLineChars="200"/>
              <w:rPr>
                <w:rFonts w:hint="eastAsia" w:asciiTheme="minorEastAsia" w:hAnsiTheme="minorEastAsia"/>
                <w:sz w:val="24"/>
                <w:szCs w:val="24"/>
                <w:u w:val="single"/>
              </w:rPr>
            </w:pPr>
            <w:r>
              <w:rPr>
                <w:b/>
                <w:sz w:val="24"/>
                <w:szCs w:val="24"/>
                <w:u w:val="single"/>
              </w:rPr>
              <w:t>需要说明的是</w:t>
            </w:r>
            <w:r>
              <w:rPr>
                <w:sz w:val="24"/>
                <w:szCs w:val="24"/>
                <w:u w:val="single"/>
              </w:rPr>
              <w:t>：</w:t>
            </w:r>
            <w:r>
              <w:rPr>
                <w:rFonts w:hint="eastAsia" w:asciiTheme="minorEastAsia" w:hAnsiTheme="minorEastAsia"/>
                <w:sz w:val="24"/>
                <w:szCs w:val="24"/>
                <w:u w:val="single"/>
              </w:rPr>
              <w:t>达州海螺水泥厂区内目前已实施达州水泥窑综合利用固废项目、达州海螺环保固废及替代燃料资源化综合利用项目，使用污泥、污染土替代部分水泥辅料，因此本次改建后虽进入水泥生产线的辅材减少，但不会影响水泥生产线的正常生产。</w:t>
            </w:r>
          </w:p>
          <w:p>
            <w:pPr>
              <w:spacing w:line="360" w:lineRule="auto"/>
              <w:ind w:firstLine="482" w:firstLineChars="200"/>
              <w:rPr>
                <w:rFonts w:cs="Times New Roman"/>
                <w:b/>
                <w:sz w:val="24"/>
                <w:szCs w:val="24"/>
              </w:rPr>
            </w:pPr>
            <w:r>
              <w:rPr>
                <w:rFonts w:cs="Times New Roman"/>
                <w:b/>
                <w:sz w:val="24"/>
                <w:szCs w:val="24"/>
              </w:rPr>
              <w:t>4、项目组成及主要环境问题</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本</w:t>
            </w:r>
            <w:r>
              <w:rPr>
                <w:rFonts w:asciiTheme="minorEastAsia" w:hAnsiTheme="minorEastAsia"/>
                <w:sz w:val="24"/>
                <w:szCs w:val="24"/>
              </w:rPr>
              <w:t>项目组成及主要环境问题</w:t>
            </w:r>
            <w:r>
              <w:rPr>
                <w:rFonts w:hint="eastAsia" w:asciiTheme="minorEastAsia" w:hAnsiTheme="minorEastAsia"/>
                <w:sz w:val="24"/>
                <w:szCs w:val="24"/>
              </w:rPr>
              <w:t>见下表。</w:t>
            </w:r>
          </w:p>
          <w:p>
            <w:pPr>
              <w:spacing w:line="360" w:lineRule="auto"/>
              <w:jc w:val="center"/>
              <w:rPr>
                <w:rFonts w:hint="eastAsia" w:ascii="黑体" w:hAnsi="黑体" w:eastAsia="黑体"/>
                <w:szCs w:val="21"/>
              </w:rPr>
            </w:pPr>
            <w:r>
              <w:rPr>
                <w:rFonts w:hint="eastAsia" w:ascii="黑体" w:hAnsi="黑体" w:eastAsia="黑体"/>
                <w:szCs w:val="21"/>
              </w:rPr>
              <w:t>表</w:t>
            </w:r>
            <w:r>
              <w:rPr>
                <w:rFonts w:eastAsia="黑体" w:cstheme="minorHAnsi"/>
                <w:szCs w:val="21"/>
              </w:rPr>
              <w:t xml:space="preserve">2-2  </w:t>
            </w:r>
            <w:r>
              <w:rPr>
                <w:rFonts w:hint="eastAsia" w:ascii="黑体" w:hAnsi="黑体" w:eastAsia="黑体"/>
                <w:szCs w:val="21"/>
              </w:rPr>
              <w:t>项目组成及</w:t>
            </w:r>
            <w:r>
              <w:rPr>
                <w:rFonts w:ascii="黑体" w:hAnsi="黑体" w:eastAsia="黑体"/>
                <w:szCs w:val="21"/>
              </w:rPr>
              <w:t>主要环境问题</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450"/>
              <w:gridCol w:w="763"/>
              <w:gridCol w:w="4067"/>
              <w:gridCol w:w="1171"/>
              <w:gridCol w:w="1196"/>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shd w:val="clear" w:color="auto" w:fill="auto"/>
                  <w:vAlign w:val="center"/>
                </w:tcPr>
                <w:p>
                  <w:pPr>
                    <w:jc w:val="center"/>
                    <w:rPr>
                      <w:szCs w:val="21"/>
                    </w:rPr>
                  </w:pPr>
                  <w:r>
                    <w:rPr>
                      <w:rFonts w:hint="eastAsia"/>
                      <w:szCs w:val="21"/>
                    </w:rPr>
                    <w:t>工程分类</w:t>
                  </w:r>
                </w:p>
              </w:tc>
              <w:tc>
                <w:tcPr>
                  <w:tcW w:w="663" w:type="pct"/>
                  <w:gridSpan w:val="2"/>
                  <w:vMerge w:val="restart"/>
                  <w:shd w:val="clear" w:color="auto" w:fill="auto"/>
                  <w:vAlign w:val="center"/>
                </w:tcPr>
                <w:p>
                  <w:pPr>
                    <w:jc w:val="center"/>
                    <w:rPr>
                      <w:szCs w:val="21"/>
                    </w:rPr>
                  </w:pPr>
                  <w:r>
                    <w:rPr>
                      <w:rFonts w:hint="eastAsia"/>
                      <w:szCs w:val="21"/>
                    </w:rPr>
                    <w:t>项目名称</w:t>
                  </w:r>
                </w:p>
              </w:tc>
              <w:tc>
                <w:tcPr>
                  <w:tcW w:w="2223" w:type="pct"/>
                  <w:vMerge w:val="restart"/>
                  <w:shd w:val="clear" w:color="auto" w:fill="auto"/>
                  <w:vAlign w:val="center"/>
                </w:tcPr>
                <w:p>
                  <w:pPr>
                    <w:jc w:val="center"/>
                    <w:rPr>
                      <w:szCs w:val="21"/>
                    </w:rPr>
                  </w:pPr>
                  <w:r>
                    <w:rPr>
                      <w:rFonts w:hint="eastAsia"/>
                      <w:szCs w:val="21"/>
                    </w:rPr>
                    <w:t>建设</w:t>
                  </w:r>
                  <w:r>
                    <w:rPr>
                      <w:szCs w:val="21"/>
                    </w:rPr>
                    <w:t>内容及规模</w:t>
                  </w:r>
                </w:p>
              </w:tc>
              <w:tc>
                <w:tcPr>
                  <w:tcW w:w="1294" w:type="pct"/>
                  <w:gridSpan w:val="2"/>
                  <w:shd w:val="clear" w:color="auto" w:fill="auto"/>
                  <w:vAlign w:val="center"/>
                </w:tcPr>
                <w:p>
                  <w:pPr>
                    <w:jc w:val="center"/>
                    <w:rPr>
                      <w:szCs w:val="21"/>
                    </w:rPr>
                  </w:pPr>
                  <w:r>
                    <w:rPr>
                      <w:rFonts w:hint="eastAsia"/>
                      <w:szCs w:val="21"/>
                    </w:rPr>
                    <w:t>可能</w:t>
                  </w:r>
                  <w:r>
                    <w:rPr>
                      <w:szCs w:val="21"/>
                    </w:rPr>
                    <w:t>产生的环境问题</w:t>
                  </w:r>
                </w:p>
              </w:tc>
              <w:tc>
                <w:tcPr>
                  <w:tcW w:w="424" w:type="pct"/>
                  <w:vMerge w:val="restart"/>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shd w:val="clear" w:color="auto" w:fill="auto"/>
                  <w:vAlign w:val="center"/>
                </w:tcPr>
                <w:p>
                  <w:pPr>
                    <w:jc w:val="center"/>
                    <w:rPr>
                      <w:szCs w:val="21"/>
                    </w:rPr>
                  </w:pPr>
                </w:p>
              </w:tc>
              <w:tc>
                <w:tcPr>
                  <w:tcW w:w="663" w:type="pct"/>
                  <w:gridSpan w:val="2"/>
                  <w:vMerge w:val="continue"/>
                  <w:shd w:val="clear" w:color="auto" w:fill="auto"/>
                  <w:vAlign w:val="center"/>
                </w:tcPr>
                <w:p>
                  <w:pPr>
                    <w:jc w:val="center"/>
                    <w:rPr>
                      <w:szCs w:val="21"/>
                    </w:rPr>
                  </w:pPr>
                </w:p>
              </w:tc>
              <w:tc>
                <w:tcPr>
                  <w:tcW w:w="2223" w:type="pct"/>
                  <w:vMerge w:val="continue"/>
                  <w:shd w:val="clear" w:color="auto" w:fill="auto"/>
                  <w:vAlign w:val="center"/>
                </w:tcPr>
                <w:p>
                  <w:pPr>
                    <w:jc w:val="center"/>
                    <w:rPr>
                      <w:szCs w:val="21"/>
                    </w:rPr>
                  </w:pPr>
                </w:p>
              </w:tc>
              <w:tc>
                <w:tcPr>
                  <w:tcW w:w="640" w:type="pct"/>
                  <w:shd w:val="clear" w:color="auto" w:fill="auto"/>
                  <w:vAlign w:val="center"/>
                </w:tcPr>
                <w:p>
                  <w:pPr>
                    <w:jc w:val="center"/>
                    <w:rPr>
                      <w:szCs w:val="21"/>
                    </w:rPr>
                  </w:pPr>
                  <w:r>
                    <w:rPr>
                      <w:rFonts w:hint="eastAsia"/>
                      <w:szCs w:val="21"/>
                    </w:rPr>
                    <w:t>施工期</w:t>
                  </w:r>
                </w:p>
              </w:tc>
              <w:tc>
                <w:tcPr>
                  <w:tcW w:w="654" w:type="pct"/>
                  <w:shd w:val="clear" w:color="auto" w:fill="auto"/>
                  <w:vAlign w:val="center"/>
                </w:tcPr>
                <w:p>
                  <w:pPr>
                    <w:jc w:val="center"/>
                    <w:rPr>
                      <w:szCs w:val="21"/>
                    </w:rPr>
                  </w:pPr>
                  <w:r>
                    <w:rPr>
                      <w:rFonts w:hint="eastAsia"/>
                      <w:szCs w:val="21"/>
                    </w:rPr>
                    <w:t>营运期</w:t>
                  </w:r>
                </w:p>
              </w:tc>
              <w:tc>
                <w:tcPr>
                  <w:tcW w:w="42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shd w:val="clear" w:color="auto" w:fill="auto"/>
                  <w:vAlign w:val="center"/>
                </w:tcPr>
                <w:p>
                  <w:pPr>
                    <w:jc w:val="center"/>
                    <w:rPr>
                      <w:szCs w:val="21"/>
                    </w:rPr>
                  </w:pPr>
                  <w:r>
                    <w:rPr>
                      <w:rFonts w:hint="eastAsia"/>
                      <w:szCs w:val="21"/>
                    </w:rPr>
                    <w:t>主体工程</w:t>
                  </w:r>
                </w:p>
              </w:tc>
              <w:tc>
                <w:tcPr>
                  <w:tcW w:w="663" w:type="pct"/>
                  <w:gridSpan w:val="2"/>
                  <w:shd w:val="clear" w:color="auto" w:fill="auto"/>
                  <w:vAlign w:val="center"/>
                </w:tcPr>
                <w:p>
                  <w:pPr>
                    <w:jc w:val="center"/>
                    <w:rPr>
                      <w:bCs/>
                      <w:szCs w:val="21"/>
                    </w:rPr>
                  </w:pPr>
                  <w:r>
                    <w:rPr>
                      <w:rFonts w:hint="eastAsia"/>
                      <w:bCs/>
                      <w:szCs w:val="21"/>
                    </w:rPr>
                    <w:t>制砂楼</w:t>
                  </w:r>
                </w:p>
              </w:tc>
              <w:tc>
                <w:tcPr>
                  <w:tcW w:w="2223" w:type="pct"/>
                  <w:shd w:val="clear" w:color="auto" w:fill="auto"/>
                  <w:vAlign w:val="center"/>
                </w:tcPr>
                <w:p>
                  <w:pPr>
                    <w:rPr>
                      <w:bCs/>
                      <w:szCs w:val="21"/>
                    </w:rPr>
                  </w:pPr>
                  <w:r>
                    <w:rPr>
                      <w:bCs/>
                      <w:szCs w:val="21"/>
                    </w:rPr>
                    <w:t>1</w:t>
                  </w:r>
                  <w:r>
                    <w:rPr>
                      <w:rFonts w:hint="eastAsia"/>
                      <w:bCs/>
                      <w:szCs w:val="21"/>
                    </w:rPr>
                    <w:t>座</w:t>
                  </w:r>
                  <w:r>
                    <w:rPr>
                      <w:rFonts w:cs="Times New Roman"/>
                      <w:bCs/>
                      <w:szCs w:val="21"/>
                    </w:rPr>
                    <w:t>，15.5×15.5×20m，</w:t>
                  </w:r>
                  <w:r>
                    <w:rPr>
                      <w:rFonts w:hint="eastAsia" w:cs="Times New Roman"/>
                      <w:bCs/>
                      <w:szCs w:val="21"/>
                    </w:rPr>
                    <w:t>采用密闭一体化装置，设1台制砂机、筛分机，利用现有骨料生产线产生的0-5mm粉料进行制砂，改造生产30万吨机制砂，副产3万吨微粉。</w:t>
                  </w:r>
                </w:p>
              </w:tc>
              <w:tc>
                <w:tcPr>
                  <w:tcW w:w="640" w:type="pct"/>
                  <w:vMerge w:val="restart"/>
                  <w:shd w:val="clear" w:color="auto" w:fill="auto"/>
                  <w:vAlign w:val="center"/>
                </w:tcPr>
                <w:p>
                  <w:pPr>
                    <w:jc w:val="center"/>
                    <w:rPr>
                      <w:szCs w:val="21"/>
                    </w:rPr>
                  </w:pPr>
                  <w:r>
                    <w:rPr>
                      <w:szCs w:val="21"/>
                    </w:rPr>
                    <w:t>施工扬尘</w:t>
                  </w:r>
                </w:p>
                <w:p>
                  <w:pPr>
                    <w:jc w:val="center"/>
                    <w:rPr>
                      <w:szCs w:val="21"/>
                    </w:rPr>
                  </w:pPr>
                  <w:r>
                    <w:rPr>
                      <w:szCs w:val="21"/>
                    </w:rPr>
                    <w:t>施工废气</w:t>
                  </w:r>
                </w:p>
                <w:p>
                  <w:pPr>
                    <w:jc w:val="center"/>
                    <w:rPr>
                      <w:szCs w:val="21"/>
                    </w:rPr>
                  </w:pPr>
                  <w:r>
                    <w:rPr>
                      <w:szCs w:val="21"/>
                    </w:rPr>
                    <w:t>施工废水</w:t>
                  </w:r>
                </w:p>
                <w:p>
                  <w:pPr>
                    <w:jc w:val="center"/>
                    <w:rPr>
                      <w:szCs w:val="21"/>
                    </w:rPr>
                  </w:pPr>
                  <w:r>
                    <w:rPr>
                      <w:szCs w:val="21"/>
                    </w:rPr>
                    <w:t>施工噪声</w:t>
                  </w:r>
                </w:p>
                <w:p>
                  <w:pPr>
                    <w:jc w:val="center"/>
                    <w:rPr>
                      <w:szCs w:val="21"/>
                    </w:rPr>
                  </w:pPr>
                  <w:r>
                    <w:rPr>
                      <w:szCs w:val="21"/>
                    </w:rPr>
                    <w:t>生活污水</w:t>
                  </w:r>
                </w:p>
                <w:p>
                  <w:pPr>
                    <w:jc w:val="center"/>
                    <w:rPr>
                      <w:szCs w:val="21"/>
                    </w:rPr>
                  </w:pPr>
                  <w:r>
                    <w:rPr>
                      <w:rFonts w:hint="eastAsia"/>
                      <w:szCs w:val="21"/>
                    </w:rPr>
                    <w:t>固体废物</w:t>
                  </w:r>
                </w:p>
                <w:p>
                  <w:pPr>
                    <w:jc w:val="center"/>
                    <w:rPr>
                      <w:szCs w:val="21"/>
                    </w:rPr>
                  </w:pPr>
                  <w:r>
                    <w:rPr>
                      <w:szCs w:val="21"/>
                    </w:rPr>
                    <w:t>生态影响</w:t>
                  </w:r>
                </w:p>
              </w:tc>
              <w:tc>
                <w:tcPr>
                  <w:tcW w:w="654" w:type="pct"/>
                  <w:shd w:val="clear" w:color="auto" w:fill="auto"/>
                  <w:vAlign w:val="center"/>
                </w:tcPr>
                <w:p>
                  <w:pPr>
                    <w:jc w:val="center"/>
                    <w:rPr>
                      <w:bCs/>
                      <w:szCs w:val="21"/>
                    </w:rPr>
                  </w:pPr>
                  <w:r>
                    <w:rPr>
                      <w:rFonts w:hint="eastAsia"/>
                      <w:bCs/>
                      <w:szCs w:val="21"/>
                    </w:rPr>
                    <w:t>废气、噪声、固废</w:t>
                  </w:r>
                </w:p>
              </w:tc>
              <w:tc>
                <w:tcPr>
                  <w:tcW w:w="424" w:type="pct"/>
                  <w:vAlign w:val="center"/>
                </w:tcPr>
                <w:p>
                  <w:pPr>
                    <w:jc w:val="center"/>
                    <w:rPr>
                      <w:bCs/>
                      <w:szCs w:val="21"/>
                    </w:rPr>
                  </w:pPr>
                  <w:r>
                    <w:rPr>
                      <w:rFonts w:hint="eastAsia"/>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shd w:val="clear" w:color="auto" w:fill="auto"/>
                  <w:vAlign w:val="center"/>
                </w:tcPr>
                <w:p>
                  <w:pPr>
                    <w:jc w:val="center"/>
                    <w:rPr>
                      <w:szCs w:val="21"/>
                    </w:rPr>
                  </w:pPr>
                  <w:r>
                    <w:rPr>
                      <w:szCs w:val="21"/>
                    </w:rPr>
                    <w:t>辅助工程</w:t>
                  </w:r>
                </w:p>
              </w:tc>
              <w:tc>
                <w:tcPr>
                  <w:tcW w:w="663" w:type="pct"/>
                  <w:gridSpan w:val="2"/>
                  <w:shd w:val="clear" w:color="auto" w:fill="auto"/>
                  <w:vAlign w:val="center"/>
                </w:tcPr>
                <w:p>
                  <w:pPr>
                    <w:jc w:val="center"/>
                    <w:rPr>
                      <w:szCs w:val="21"/>
                    </w:rPr>
                  </w:pPr>
                  <w:r>
                    <w:rPr>
                      <w:rFonts w:hint="eastAsia"/>
                      <w:szCs w:val="21"/>
                    </w:rPr>
                    <w:t>空压机站</w:t>
                  </w:r>
                </w:p>
              </w:tc>
              <w:tc>
                <w:tcPr>
                  <w:tcW w:w="2223" w:type="pct"/>
                  <w:shd w:val="clear" w:color="auto" w:fill="auto"/>
                  <w:vAlign w:val="center"/>
                </w:tcPr>
                <w:p>
                  <w:pPr>
                    <w:rPr>
                      <w:szCs w:val="21"/>
                    </w:rPr>
                  </w:pPr>
                  <w:r>
                    <w:rPr>
                      <w:rFonts w:hint="eastAsia"/>
                      <w:szCs w:val="21"/>
                    </w:rPr>
                    <w:t>1间，位于现有钢板仓东南侧，建筑面积约</w:t>
                  </w:r>
                  <w:r>
                    <w:rPr>
                      <w:szCs w:val="21"/>
                    </w:rPr>
                    <w:t>119</w:t>
                  </w:r>
                  <w:r>
                    <w:rPr>
                      <w:rFonts w:hint="eastAsia"/>
                      <w:szCs w:val="21"/>
                    </w:rPr>
                    <w:t>m</w:t>
                  </w:r>
                  <w:r>
                    <w:rPr>
                      <w:szCs w:val="21"/>
                      <w:vertAlign w:val="superscript"/>
                    </w:rPr>
                    <w:t>2</w:t>
                  </w:r>
                  <w:r>
                    <w:rPr>
                      <w:rFonts w:hint="eastAsia"/>
                      <w:szCs w:val="21"/>
                    </w:rPr>
                    <w:t>。</w:t>
                  </w:r>
                </w:p>
              </w:tc>
              <w:tc>
                <w:tcPr>
                  <w:tcW w:w="640" w:type="pct"/>
                  <w:vMerge w:val="continue"/>
                  <w:shd w:val="clear" w:color="auto" w:fill="auto"/>
                  <w:vAlign w:val="center"/>
                </w:tcPr>
                <w:p>
                  <w:pPr>
                    <w:jc w:val="center"/>
                    <w:rPr>
                      <w:szCs w:val="21"/>
                    </w:rPr>
                  </w:pPr>
                </w:p>
              </w:tc>
              <w:tc>
                <w:tcPr>
                  <w:tcW w:w="654" w:type="pct"/>
                  <w:shd w:val="clear" w:color="auto" w:fill="auto"/>
                  <w:vAlign w:val="center"/>
                </w:tcPr>
                <w:p>
                  <w:pPr>
                    <w:jc w:val="center"/>
                    <w:rPr>
                      <w:szCs w:val="21"/>
                    </w:rPr>
                  </w:pPr>
                  <w:r>
                    <w:rPr>
                      <w:rFonts w:hint="eastAsia"/>
                      <w:szCs w:val="21"/>
                    </w:rPr>
                    <w:t>噪声</w:t>
                  </w:r>
                </w:p>
              </w:tc>
              <w:tc>
                <w:tcPr>
                  <w:tcW w:w="424" w:type="pct"/>
                  <w:vAlign w:val="center"/>
                </w:tcPr>
                <w:p>
                  <w:pPr>
                    <w:jc w:val="center"/>
                    <w:rPr>
                      <w:szCs w:val="21"/>
                    </w:rPr>
                  </w:pPr>
                  <w:r>
                    <w:rPr>
                      <w:rFonts w:hint="eastAsia"/>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shd w:val="clear" w:color="auto" w:fill="auto"/>
                  <w:vAlign w:val="center"/>
                </w:tcPr>
                <w:p>
                  <w:pPr>
                    <w:jc w:val="center"/>
                    <w:rPr>
                      <w:szCs w:val="21"/>
                    </w:rPr>
                  </w:pPr>
                </w:p>
              </w:tc>
              <w:tc>
                <w:tcPr>
                  <w:tcW w:w="663" w:type="pct"/>
                  <w:gridSpan w:val="2"/>
                  <w:shd w:val="clear" w:color="auto" w:fill="auto"/>
                  <w:vAlign w:val="center"/>
                </w:tcPr>
                <w:p>
                  <w:pPr>
                    <w:jc w:val="center"/>
                    <w:rPr>
                      <w:szCs w:val="21"/>
                    </w:rPr>
                  </w:pPr>
                  <w:r>
                    <w:rPr>
                      <w:rFonts w:hint="eastAsia"/>
                      <w:szCs w:val="21"/>
                    </w:rPr>
                    <w:t>电力室</w:t>
                  </w:r>
                </w:p>
              </w:tc>
              <w:tc>
                <w:tcPr>
                  <w:tcW w:w="2223" w:type="pct"/>
                  <w:shd w:val="clear" w:color="auto" w:fill="auto"/>
                  <w:vAlign w:val="center"/>
                </w:tcPr>
                <w:p>
                  <w:pPr>
                    <w:rPr>
                      <w:szCs w:val="21"/>
                    </w:rPr>
                  </w:pPr>
                  <w:r>
                    <w:rPr>
                      <w:rFonts w:hint="eastAsia"/>
                      <w:szCs w:val="21"/>
                    </w:rPr>
                    <w:t>1间，位于现有钢板仓东侧，建筑面积约</w:t>
                  </w:r>
                  <w:r>
                    <w:rPr>
                      <w:szCs w:val="21"/>
                    </w:rPr>
                    <w:t>112</w:t>
                  </w:r>
                  <w:r>
                    <w:rPr>
                      <w:rFonts w:hint="eastAsia"/>
                      <w:szCs w:val="21"/>
                    </w:rPr>
                    <w:t>m</w:t>
                  </w:r>
                  <w:r>
                    <w:rPr>
                      <w:szCs w:val="21"/>
                      <w:vertAlign w:val="superscript"/>
                    </w:rPr>
                    <w:t>2</w:t>
                  </w:r>
                  <w:r>
                    <w:rPr>
                      <w:rFonts w:hint="eastAsia"/>
                      <w:szCs w:val="21"/>
                    </w:rPr>
                    <w:t>。</w:t>
                  </w:r>
                </w:p>
              </w:tc>
              <w:tc>
                <w:tcPr>
                  <w:tcW w:w="640" w:type="pct"/>
                  <w:vMerge w:val="continue"/>
                  <w:shd w:val="clear" w:color="auto" w:fill="auto"/>
                  <w:vAlign w:val="center"/>
                </w:tcPr>
                <w:p>
                  <w:pPr>
                    <w:jc w:val="center"/>
                    <w:rPr>
                      <w:szCs w:val="21"/>
                    </w:rPr>
                  </w:pPr>
                </w:p>
              </w:tc>
              <w:tc>
                <w:tcPr>
                  <w:tcW w:w="654" w:type="pct"/>
                  <w:shd w:val="clear" w:color="auto" w:fill="auto"/>
                  <w:vAlign w:val="center"/>
                </w:tcPr>
                <w:p>
                  <w:pPr>
                    <w:jc w:val="center"/>
                    <w:rPr>
                      <w:szCs w:val="21"/>
                    </w:rPr>
                  </w:pPr>
                  <w:r>
                    <w:rPr>
                      <w:rFonts w:hint="eastAsia"/>
                      <w:szCs w:val="21"/>
                    </w:rPr>
                    <w:t>/</w:t>
                  </w:r>
                </w:p>
              </w:tc>
              <w:tc>
                <w:tcPr>
                  <w:tcW w:w="424" w:type="pct"/>
                  <w:vAlign w:val="center"/>
                </w:tcPr>
                <w:p>
                  <w:pPr>
                    <w:jc w:val="center"/>
                    <w:rPr>
                      <w:szCs w:val="21"/>
                    </w:rPr>
                  </w:pPr>
                  <w:r>
                    <w:rPr>
                      <w:rFonts w:hint="eastAsia"/>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shd w:val="clear" w:color="auto" w:fill="auto"/>
                  <w:vAlign w:val="center"/>
                </w:tcPr>
                <w:p>
                  <w:pPr>
                    <w:jc w:val="center"/>
                    <w:rPr>
                      <w:szCs w:val="21"/>
                    </w:rPr>
                  </w:pPr>
                  <w:r>
                    <w:rPr>
                      <w:rFonts w:hint="eastAsia"/>
                      <w:szCs w:val="21"/>
                    </w:rPr>
                    <w:t>储运工程</w:t>
                  </w:r>
                </w:p>
              </w:tc>
              <w:tc>
                <w:tcPr>
                  <w:tcW w:w="663" w:type="pct"/>
                  <w:gridSpan w:val="2"/>
                  <w:shd w:val="clear" w:color="auto" w:fill="auto"/>
                  <w:vAlign w:val="center"/>
                </w:tcPr>
                <w:p>
                  <w:pPr>
                    <w:jc w:val="center"/>
                    <w:rPr>
                      <w:szCs w:val="21"/>
                    </w:rPr>
                  </w:pPr>
                  <w:r>
                    <w:rPr>
                      <w:rFonts w:hint="eastAsia"/>
                      <w:szCs w:val="21"/>
                    </w:rPr>
                    <w:t>输送廊道</w:t>
                  </w:r>
                </w:p>
              </w:tc>
              <w:tc>
                <w:tcPr>
                  <w:tcW w:w="2223" w:type="pct"/>
                  <w:shd w:val="clear" w:color="auto" w:fill="auto"/>
                  <w:vAlign w:val="center"/>
                </w:tcPr>
                <w:p>
                  <w:pPr>
                    <w:rPr>
                      <w:szCs w:val="21"/>
                    </w:rPr>
                  </w:pPr>
                  <w:r>
                    <w:rPr>
                      <w:rFonts w:hint="eastAsia"/>
                      <w:szCs w:val="21"/>
                    </w:rPr>
                    <w:t>新建封闭输送廊道5个，总长度约185m。</w:t>
                  </w:r>
                </w:p>
              </w:tc>
              <w:tc>
                <w:tcPr>
                  <w:tcW w:w="640" w:type="pct"/>
                  <w:vMerge w:val="continue"/>
                  <w:shd w:val="clear" w:color="auto" w:fill="auto"/>
                  <w:vAlign w:val="center"/>
                </w:tcPr>
                <w:p>
                  <w:pPr>
                    <w:jc w:val="center"/>
                    <w:rPr>
                      <w:szCs w:val="21"/>
                    </w:rPr>
                  </w:pPr>
                </w:p>
              </w:tc>
              <w:tc>
                <w:tcPr>
                  <w:tcW w:w="654" w:type="pct"/>
                  <w:shd w:val="clear" w:color="auto" w:fill="auto"/>
                  <w:vAlign w:val="center"/>
                </w:tcPr>
                <w:p>
                  <w:pPr>
                    <w:jc w:val="center"/>
                    <w:rPr>
                      <w:szCs w:val="21"/>
                    </w:rPr>
                  </w:pPr>
                  <w:r>
                    <w:rPr>
                      <w:rFonts w:hint="eastAsia"/>
                      <w:szCs w:val="21"/>
                    </w:rPr>
                    <w:t>废气</w:t>
                  </w:r>
                </w:p>
              </w:tc>
              <w:tc>
                <w:tcPr>
                  <w:tcW w:w="424" w:type="pct"/>
                  <w:vAlign w:val="center"/>
                </w:tcPr>
                <w:p>
                  <w:pPr>
                    <w:jc w:val="center"/>
                    <w:rPr>
                      <w:szCs w:val="21"/>
                    </w:rPr>
                  </w:pPr>
                  <w:r>
                    <w:rPr>
                      <w:rFonts w:hint="eastAsia"/>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96" w:type="pct"/>
                  <w:vMerge w:val="continue"/>
                  <w:shd w:val="clear" w:color="auto" w:fill="auto"/>
                  <w:vAlign w:val="center"/>
                </w:tcPr>
                <w:p>
                  <w:pPr>
                    <w:jc w:val="center"/>
                    <w:rPr>
                      <w:szCs w:val="21"/>
                    </w:rPr>
                  </w:pPr>
                </w:p>
              </w:tc>
              <w:tc>
                <w:tcPr>
                  <w:tcW w:w="663" w:type="pct"/>
                  <w:gridSpan w:val="2"/>
                  <w:shd w:val="clear" w:color="auto" w:fill="auto"/>
                  <w:vAlign w:val="center"/>
                </w:tcPr>
                <w:p>
                  <w:pPr>
                    <w:jc w:val="center"/>
                    <w:rPr>
                      <w:szCs w:val="21"/>
                    </w:rPr>
                  </w:pPr>
                  <w:r>
                    <w:rPr>
                      <w:rFonts w:hint="eastAsia"/>
                      <w:szCs w:val="21"/>
                    </w:rPr>
                    <w:t>现有钢板仓</w:t>
                  </w:r>
                </w:p>
              </w:tc>
              <w:tc>
                <w:tcPr>
                  <w:tcW w:w="2223" w:type="pct"/>
                  <w:shd w:val="clear" w:color="auto" w:fill="auto"/>
                  <w:vAlign w:val="center"/>
                </w:tcPr>
                <w:p>
                  <w:pPr>
                    <w:rPr>
                      <w:szCs w:val="21"/>
                    </w:rPr>
                  </w:pPr>
                  <w:r>
                    <w:rPr>
                      <w:rFonts w:hint="eastAsia"/>
                      <w:szCs w:val="21"/>
                    </w:rPr>
                    <w:t>依托现有1座钢板仓，设计储量5</w:t>
                  </w:r>
                  <w:r>
                    <w:rPr>
                      <w:szCs w:val="21"/>
                    </w:rPr>
                    <w:t>00</w:t>
                  </w:r>
                  <w:r>
                    <w:rPr>
                      <w:rFonts w:hint="eastAsia"/>
                      <w:szCs w:val="21"/>
                    </w:rPr>
                    <w:t>t，用于骨料生产线副产的0</w:t>
                  </w:r>
                  <w:r>
                    <w:rPr>
                      <w:szCs w:val="21"/>
                    </w:rPr>
                    <w:t>-5</w:t>
                  </w:r>
                  <w:r>
                    <w:rPr>
                      <w:rFonts w:hint="eastAsia"/>
                      <w:szCs w:val="21"/>
                    </w:rPr>
                    <w:t>mm粉料贮存。</w:t>
                  </w:r>
                </w:p>
              </w:tc>
              <w:tc>
                <w:tcPr>
                  <w:tcW w:w="640" w:type="pct"/>
                  <w:vMerge w:val="continue"/>
                  <w:shd w:val="clear" w:color="auto" w:fill="auto"/>
                  <w:vAlign w:val="center"/>
                </w:tcPr>
                <w:p>
                  <w:pPr>
                    <w:jc w:val="center"/>
                    <w:rPr>
                      <w:szCs w:val="21"/>
                    </w:rPr>
                  </w:pPr>
                </w:p>
              </w:tc>
              <w:tc>
                <w:tcPr>
                  <w:tcW w:w="654" w:type="pct"/>
                  <w:shd w:val="clear" w:color="auto" w:fill="auto"/>
                  <w:vAlign w:val="center"/>
                </w:tcPr>
                <w:p>
                  <w:pPr>
                    <w:jc w:val="center"/>
                    <w:rPr>
                      <w:szCs w:val="21"/>
                    </w:rPr>
                  </w:pPr>
                  <w:r>
                    <w:rPr>
                      <w:rFonts w:hint="eastAsia"/>
                      <w:szCs w:val="21"/>
                    </w:rPr>
                    <w:t>废气</w:t>
                  </w:r>
                </w:p>
              </w:tc>
              <w:tc>
                <w:tcPr>
                  <w:tcW w:w="424" w:type="pct"/>
                  <w:vAlign w:val="center"/>
                </w:tcPr>
                <w:p>
                  <w:pPr>
                    <w:jc w:val="center"/>
                    <w:rPr>
                      <w:szCs w:val="21"/>
                    </w:rPr>
                  </w:pPr>
                  <w:r>
                    <w:rPr>
                      <w:rFonts w:hint="eastAsia"/>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96" w:type="pct"/>
                  <w:vMerge w:val="continue"/>
                  <w:shd w:val="clear" w:color="auto" w:fill="auto"/>
                  <w:vAlign w:val="center"/>
                </w:tcPr>
                <w:p>
                  <w:pPr>
                    <w:jc w:val="center"/>
                    <w:rPr>
                      <w:szCs w:val="21"/>
                    </w:rPr>
                  </w:pPr>
                </w:p>
              </w:tc>
              <w:tc>
                <w:tcPr>
                  <w:tcW w:w="663" w:type="pct"/>
                  <w:gridSpan w:val="2"/>
                  <w:shd w:val="clear" w:color="auto" w:fill="auto"/>
                  <w:vAlign w:val="center"/>
                </w:tcPr>
                <w:p>
                  <w:pPr>
                    <w:jc w:val="center"/>
                    <w:rPr>
                      <w:szCs w:val="21"/>
                    </w:rPr>
                  </w:pPr>
                  <w:r>
                    <w:rPr>
                      <w:rFonts w:hint="eastAsia"/>
                      <w:szCs w:val="21"/>
                    </w:rPr>
                    <w:t>骨料仓</w:t>
                  </w:r>
                </w:p>
              </w:tc>
              <w:tc>
                <w:tcPr>
                  <w:tcW w:w="2223" w:type="pct"/>
                  <w:shd w:val="clear" w:color="auto" w:fill="auto"/>
                  <w:vAlign w:val="center"/>
                </w:tcPr>
                <w:p>
                  <w:pPr>
                    <w:rPr>
                      <w:szCs w:val="21"/>
                    </w:rPr>
                  </w:pPr>
                  <w:r>
                    <w:rPr>
                      <w:rFonts w:hint="eastAsia"/>
                      <w:szCs w:val="21"/>
                    </w:rPr>
                    <w:t>依托现有</w:t>
                  </w:r>
                  <w:r>
                    <w:rPr>
                      <w:szCs w:val="21"/>
                    </w:rPr>
                    <w:t>2</w:t>
                  </w:r>
                  <w:r>
                    <w:rPr>
                      <w:rFonts w:hint="eastAsia"/>
                      <w:szCs w:val="21"/>
                    </w:rPr>
                    <w:t>座骨料仓，设计储量</w:t>
                  </w:r>
                  <w:r>
                    <w:rPr>
                      <w:szCs w:val="21"/>
                    </w:rPr>
                    <w:t>1000</w:t>
                  </w:r>
                  <w:r>
                    <w:rPr>
                      <w:rFonts w:hint="eastAsia"/>
                      <w:szCs w:val="21"/>
                    </w:rPr>
                    <w:t>t，用于骨料生产线产生的</w:t>
                  </w:r>
                  <w:r>
                    <w:rPr>
                      <w:szCs w:val="21"/>
                    </w:rPr>
                    <w:t>5-10</w:t>
                  </w:r>
                  <w:r>
                    <w:rPr>
                      <w:rFonts w:hint="eastAsia"/>
                      <w:szCs w:val="21"/>
                    </w:rPr>
                    <w:t>mm、1</w:t>
                  </w:r>
                  <w:r>
                    <w:rPr>
                      <w:szCs w:val="21"/>
                    </w:rPr>
                    <w:t>0-25</w:t>
                  </w:r>
                  <w:r>
                    <w:rPr>
                      <w:rFonts w:hint="eastAsia"/>
                      <w:szCs w:val="21"/>
                    </w:rPr>
                    <w:t>mm骨料贮存。</w:t>
                  </w:r>
                </w:p>
              </w:tc>
              <w:tc>
                <w:tcPr>
                  <w:tcW w:w="640" w:type="pct"/>
                  <w:vMerge w:val="continue"/>
                  <w:shd w:val="clear" w:color="auto" w:fill="auto"/>
                  <w:vAlign w:val="center"/>
                </w:tcPr>
                <w:p>
                  <w:pPr>
                    <w:jc w:val="center"/>
                    <w:rPr>
                      <w:szCs w:val="21"/>
                    </w:rPr>
                  </w:pPr>
                </w:p>
              </w:tc>
              <w:tc>
                <w:tcPr>
                  <w:tcW w:w="654" w:type="pct"/>
                  <w:shd w:val="clear" w:color="auto" w:fill="auto"/>
                  <w:vAlign w:val="center"/>
                </w:tcPr>
                <w:p>
                  <w:pPr>
                    <w:jc w:val="center"/>
                    <w:rPr>
                      <w:b/>
                      <w:bCs/>
                      <w:szCs w:val="21"/>
                    </w:rPr>
                  </w:pPr>
                  <w:r>
                    <w:rPr>
                      <w:rFonts w:hint="eastAsia"/>
                      <w:szCs w:val="21"/>
                    </w:rPr>
                    <w:t>废气</w:t>
                  </w:r>
                </w:p>
              </w:tc>
              <w:tc>
                <w:tcPr>
                  <w:tcW w:w="424" w:type="pct"/>
                  <w:vAlign w:val="center"/>
                </w:tcPr>
                <w:p>
                  <w:pPr>
                    <w:jc w:val="center"/>
                    <w:rPr>
                      <w:szCs w:val="21"/>
                    </w:rPr>
                  </w:pPr>
                  <w:r>
                    <w:rPr>
                      <w:rFonts w:hint="eastAsia"/>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96" w:type="pct"/>
                  <w:vMerge w:val="continue"/>
                  <w:shd w:val="clear" w:color="auto" w:fill="auto"/>
                  <w:vAlign w:val="center"/>
                </w:tcPr>
                <w:p>
                  <w:pPr>
                    <w:jc w:val="center"/>
                    <w:rPr>
                      <w:szCs w:val="21"/>
                    </w:rPr>
                  </w:pPr>
                </w:p>
              </w:tc>
              <w:tc>
                <w:tcPr>
                  <w:tcW w:w="663" w:type="pct"/>
                  <w:gridSpan w:val="2"/>
                  <w:shd w:val="clear" w:color="auto" w:fill="auto"/>
                  <w:vAlign w:val="center"/>
                </w:tcPr>
                <w:p>
                  <w:pPr>
                    <w:jc w:val="center"/>
                    <w:rPr>
                      <w:szCs w:val="21"/>
                    </w:rPr>
                  </w:pPr>
                  <w:r>
                    <w:rPr>
                      <w:rFonts w:hint="eastAsia"/>
                      <w:szCs w:val="21"/>
                    </w:rPr>
                    <w:t>新建钢板仓</w:t>
                  </w:r>
                </w:p>
              </w:tc>
              <w:tc>
                <w:tcPr>
                  <w:tcW w:w="2223" w:type="pct"/>
                  <w:shd w:val="clear" w:color="auto" w:fill="auto"/>
                  <w:vAlign w:val="center"/>
                </w:tcPr>
                <w:p>
                  <w:pPr>
                    <w:rPr>
                      <w:szCs w:val="21"/>
                    </w:rPr>
                  </w:pPr>
                  <w:r>
                    <w:rPr>
                      <w:rFonts w:hint="eastAsia"/>
                      <w:szCs w:val="21"/>
                    </w:rPr>
                    <w:t>1座，设计储量</w:t>
                  </w:r>
                  <w:r>
                    <w:rPr>
                      <w:szCs w:val="21"/>
                    </w:rPr>
                    <w:t>500</w:t>
                  </w:r>
                  <w:r>
                    <w:rPr>
                      <w:rFonts w:hint="eastAsia"/>
                      <w:szCs w:val="21"/>
                    </w:rPr>
                    <w:t>t，用于骨料生产线产生的</w:t>
                  </w:r>
                  <w:r>
                    <w:rPr>
                      <w:szCs w:val="21"/>
                    </w:rPr>
                    <w:t>25-40</w:t>
                  </w:r>
                  <w:r>
                    <w:rPr>
                      <w:rFonts w:hint="eastAsia"/>
                      <w:szCs w:val="21"/>
                    </w:rPr>
                    <w:t>mm骨料贮存。</w:t>
                  </w:r>
                </w:p>
              </w:tc>
              <w:tc>
                <w:tcPr>
                  <w:tcW w:w="640" w:type="pct"/>
                  <w:vMerge w:val="continue"/>
                  <w:shd w:val="clear" w:color="auto" w:fill="auto"/>
                  <w:vAlign w:val="center"/>
                </w:tcPr>
                <w:p>
                  <w:pPr>
                    <w:jc w:val="center"/>
                    <w:rPr>
                      <w:szCs w:val="21"/>
                    </w:rPr>
                  </w:pPr>
                </w:p>
              </w:tc>
              <w:tc>
                <w:tcPr>
                  <w:tcW w:w="654" w:type="pct"/>
                  <w:shd w:val="clear" w:color="auto" w:fill="auto"/>
                  <w:vAlign w:val="center"/>
                </w:tcPr>
                <w:p>
                  <w:pPr>
                    <w:jc w:val="center"/>
                    <w:rPr>
                      <w:szCs w:val="21"/>
                    </w:rPr>
                  </w:pPr>
                  <w:r>
                    <w:rPr>
                      <w:rFonts w:hint="eastAsia"/>
                      <w:szCs w:val="21"/>
                    </w:rPr>
                    <w:t>废气</w:t>
                  </w:r>
                </w:p>
              </w:tc>
              <w:tc>
                <w:tcPr>
                  <w:tcW w:w="424" w:type="pct"/>
                  <w:vAlign w:val="center"/>
                </w:tcPr>
                <w:p>
                  <w:pPr>
                    <w:jc w:val="center"/>
                    <w:rPr>
                      <w:szCs w:val="21"/>
                    </w:rPr>
                  </w:pPr>
                  <w:r>
                    <w:rPr>
                      <w:rFonts w:hint="eastAsia"/>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shd w:val="clear" w:color="auto" w:fill="auto"/>
                  <w:vAlign w:val="center"/>
                </w:tcPr>
                <w:p>
                  <w:pPr>
                    <w:jc w:val="center"/>
                    <w:rPr>
                      <w:szCs w:val="21"/>
                    </w:rPr>
                  </w:pPr>
                </w:p>
              </w:tc>
              <w:tc>
                <w:tcPr>
                  <w:tcW w:w="663" w:type="pct"/>
                  <w:gridSpan w:val="2"/>
                  <w:shd w:val="clear" w:color="auto" w:fill="auto"/>
                  <w:vAlign w:val="center"/>
                </w:tcPr>
                <w:p>
                  <w:pPr>
                    <w:jc w:val="center"/>
                    <w:rPr>
                      <w:szCs w:val="21"/>
                    </w:rPr>
                  </w:pPr>
                  <w:r>
                    <w:rPr>
                      <w:rFonts w:hint="eastAsia"/>
                      <w:szCs w:val="21"/>
                    </w:rPr>
                    <w:t>成品砂库</w:t>
                  </w:r>
                </w:p>
              </w:tc>
              <w:tc>
                <w:tcPr>
                  <w:tcW w:w="2223" w:type="pct"/>
                  <w:shd w:val="clear" w:color="auto" w:fill="auto"/>
                  <w:vAlign w:val="center"/>
                </w:tcPr>
                <w:p>
                  <w:pPr>
                    <w:rPr>
                      <w:szCs w:val="21"/>
                    </w:rPr>
                  </w:pPr>
                  <w:r>
                    <w:rPr>
                      <w:rFonts w:hint="eastAsia"/>
                      <w:szCs w:val="21"/>
                    </w:rPr>
                    <w:t>1座，设计储量</w:t>
                  </w:r>
                  <w:r>
                    <w:rPr>
                      <w:szCs w:val="21"/>
                    </w:rPr>
                    <w:t>1000</w:t>
                  </w:r>
                  <w:r>
                    <w:rPr>
                      <w:rFonts w:hint="eastAsia"/>
                      <w:szCs w:val="21"/>
                    </w:rPr>
                    <w:t>t，用于机制砂（0.075-4.75mm）贮存。</w:t>
                  </w:r>
                </w:p>
              </w:tc>
              <w:tc>
                <w:tcPr>
                  <w:tcW w:w="640" w:type="pct"/>
                  <w:vMerge w:val="continue"/>
                  <w:shd w:val="clear" w:color="auto" w:fill="auto"/>
                  <w:vAlign w:val="center"/>
                </w:tcPr>
                <w:p>
                  <w:pPr>
                    <w:jc w:val="center"/>
                    <w:rPr>
                      <w:szCs w:val="21"/>
                    </w:rPr>
                  </w:pPr>
                </w:p>
              </w:tc>
              <w:tc>
                <w:tcPr>
                  <w:tcW w:w="654" w:type="pct"/>
                  <w:shd w:val="clear" w:color="auto" w:fill="auto"/>
                  <w:vAlign w:val="center"/>
                </w:tcPr>
                <w:p>
                  <w:pPr>
                    <w:jc w:val="center"/>
                    <w:rPr>
                      <w:b/>
                      <w:bCs/>
                      <w:szCs w:val="21"/>
                    </w:rPr>
                  </w:pPr>
                  <w:r>
                    <w:rPr>
                      <w:rFonts w:hint="eastAsia"/>
                      <w:szCs w:val="21"/>
                    </w:rPr>
                    <w:t>废气</w:t>
                  </w:r>
                </w:p>
              </w:tc>
              <w:tc>
                <w:tcPr>
                  <w:tcW w:w="424" w:type="pct"/>
                  <w:vAlign w:val="center"/>
                </w:tcPr>
                <w:p>
                  <w:pPr>
                    <w:jc w:val="center"/>
                    <w:rPr>
                      <w:szCs w:val="21"/>
                    </w:rPr>
                  </w:pPr>
                  <w:r>
                    <w:rPr>
                      <w:rFonts w:hint="eastAsia"/>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shd w:val="clear" w:color="auto" w:fill="auto"/>
                  <w:vAlign w:val="center"/>
                </w:tcPr>
                <w:p>
                  <w:pPr>
                    <w:jc w:val="center"/>
                    <w:rPr>
                      <w:szCs w:val="21"/>
                    </w:rPr>
                  </w:pPr>
                </w:p>
              </w:tc>
              <w:tc>
                <w:tcPr>
                  <w:tcW w:w="663" w:type="pct"/>
                  <w:gridSpan w:val="2"/>
                  <w:shd w:val="clear" w:color="auto" w:fill="auto"/>
                  <w:vAlign w:val="center"/>
                </w:tcPr>
                <w:p>
                  <w:pPr>
                    <w:jc w:val="center"/>
                    <w:rPr>
                      <w:szCs w:val="21"/>
                    </w:rPr>
                  </w:pPr>
                  <w:r>
                    <w:rPr>
                      <w:rFonts w:hint="eastAsia"/>
                      <w:szCs w:val="21"/>
                    </w:rPr>
                    <w:t>微粉库</w:t>
                  </w:r>
                </w:p>
              </w:tc>
              <w:tc>
                <w:tcPr>
                  <w:tcW w:w="2223" w:type="pct"/>
                  <w:shd w:val="clear" w:color="auto" w:fill="auto"/>
                  <w:vAlign w:val="center"/>
                </w:tcPr>
                <w:p>
                  <w:pPr>
                    <w:rPr>
                      <w:szCs w:val="21"/>
                    </w:rPr>
                  </w:pPr>
                  <w:r>
                    <w:rPr>
                      <w:rFonts w:hint="eastAsia"/>
                      <w:szCs w:val="21"/>
                    </w:rPr>
                    <w:t>1座，设计储量5</w:t>
                  </w:r>
                  <w:r>
                    <w:rPr>
                      <w:szCs w:val="21"/>
                    </w:rPr>
                    <w:t>00</w:t>
                  </w:r>
                  <w:r>
                    <w:rPr>
                      <w:rFonts w:hint="eastAsia"/>
                      <w:szCs w:val="21"/>
                    </w:rPr>
                    <w:t>t，用于机制砂副产0</w:t>
                  </w:r>
                  <w:r>
                    <w:rPr>
                      <w:szCs w:val="21"/>
                    </w:rPr>
                    <w:t>-0.075</w:t>
                  </w:r>
                  <w:r>
                    <w:rPr>
                      <w:rFonts w:hint="eastAsia"/>
                      <w:szCs w:val="21"/>
                    </w:rPr>
                    <w:t>mm微粉贮存。</w:t>
                  </w:r>
                </w:p>
              </w:tc>
              <w:tc>
                <w:tcPr>
                  <w:tcW w:w="640" w:type="pct"/>
                  <w:vMerge w:val="continue"/>
                  <w:shd w:val="clear" w:color="auto" w:fill="auto"/>
                  <w:vAlign w:val="center"/>
                </w:tcPr>
                <w:p>
                  <w:pPr>
                    <w:jc w:val="center"/>
                    <w:rPr>
                      <w:szCs w:val="21"/>
                    </w:rPr>
                  </w:pPr>
                </w:p>
              </w:tc>
              <w:tc>
                <w:tcPr>
                  <w:tcW w:w="654" w:type="pct"/>
                  <w:shd w:val="clear" w:color="auto" w:fill="auto"/>
                  <w:vAlign w:val="center"/>
                </w:tcPr>
                <w:p>
                  <w:pPr>
                    <w:jc w:val="center"/>
                    <w:rPr>
                      <w:b/>
                      <w:bCs/>
                      <w:szCs w:val="21"/>
                    </w:rPr>
                  </w:pPr>
                  <w:r>
                    <w:rPr>
                      <w:rFonts w:hint="eastAsia"/>
                      <w:szCs w:val="21"/>
                    </w:rPr>
                    <w:t>废气</w:t>
                  </w:r>
                </w:p>
              </w:tc>
              <w:tc>
                <w:tcPr>
                  <w:tcW w:w="424" w:type="pct"/>
                  <w:vAlign w:val="center"/>
                </w:tcPr>
                <w:p>
                  <w:pPr>
                    <w:jc w:val="center"/>
                    <w:rPr>
                      <w:szCs w:val="21"/>
                    </w:rPr>
                  </w:pPr>
                  <w:r>
                    <w:rPr>
                      <w:rFonts w:hint="eastAsia"/>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shd w:val="clear" w:color="auto" w:fill="auto"/>
                  <w:vAlign w:val="center"/>
                </w:tcPr>
                <w:p>
                  <w:pPr>
                    <w:jc w:val="center"/>
                    <w:rPr>
                      <w:szCs w:val="21"/>
                    </w:rPr>
                  </w:pPr>
                  <w:r>
                    <w:rPr>
                      <w:rFonts w:hint="eastAsia"/>
                      <w:szCs w:val="21"/>
                    </w:rPr>
                    <w:t>公用工程</w:t>
                  </w:r>
                </w:p>
              </w:tc>
              <w:tc>
                <w:tcPr>
                  <w:tcW w:w="663" w:type="pct"/>
                  <w:gridSpan w:val="2"/>
                  <w:shd w:val="clear" w:color="auto" w:fill="auto"/>
                  <w:vAlign w:val="center"/>
                </w:tcPr>
                <w:p>
                  <w:pPr>
                    <w:jc w:val="center"/>
                    <w:rPr>
                      <w:szCs w:val="21"/>
                    </w:rPr>
                  </w:pPr>
                  <w:r>
                    <w:rPr>
                      <w:rFonts w:hint="eastAsia"/>
                      <w:szCs w:val="21"/>
                    </w:rPr>
                    <w:t>供电</w:t>
                  </w:r>
                </w:p>
              </w:tc>
              <w:tc>
                <w:tcPr>
                  <w:tcW w:w="2223" w:type="pct"/>
                  <w:shd w:val="clear" w:color="auto" w:fill="auto"/>
                  <w:vAlign w:val="center"/>
                </w:tcPr>
                <w:p>
                  <w:pPr>
                    <w:rPr>
                      <w:szCs w:val="21"/>
                    </w:rPr>
                  </w:pPr>
                  <w:r>
                    <w:rPr>
                      <w:rFonts w:hint="eastAsia"/>
                      <w:szCs w:val="21"/>
                    </w:rPr>
                    <w:t>市政电网</w:t>
                  </w:r>
                  <w:r>
                    <w:rPr>
                      <w:szCs w:val="21"/>
                    </w:rPr>
                    <w:t>供电</w:t>
                  </w:r>
                  <w:r>
                    <w:rPr>
                      <w:rFonts w:hint="eastAsia"/>
                      <w:szCs w:val="21"/>
                    </w:rPr>
                    <w:t>。</w:t>
                  </w:r>
                </w:p>
              </w:tc>
              <w:tc>
                <w:tcPr>
                  <w:tcW w:w="640" w:type="pct"/>
                  <w:vMerge w:val="continue"/>
                  <w:shd w:val="clear" w:color="auto" w:fill="auto"/>
                  <w:vAlign w:val="center"/>
                </w:tcPr>
                <w:p>
                  <w:pPr>
                    <w:jc w:val="center"/>
                    <w:rPr>
                      <w:szCs w:val="21"/>
                    </w:rPr>
                  </w:pPr>
                </w:p>
              </w:tc>
              <w:tc>
                <w:tcPr>
                  <w:tcW w:w="654" w:type="pct"/>
                  <w:shd w:val="clear" w:color="auto" w:fill="auto"/>
                  <w:vAlign w:val="center"/>
                </w:tcPr>
                <w:p>
                  <w:pPr>
                    <w:jc w:val="center"/>
                    <w:rPr>
                      <w:szCs w:val="21"/>
                    </w:rPr>
                  </w:pPr>
                  <w:r>
                    <w:rPr>
                      <w:rFonts w:hint="eastAsia"/>
                      <w:szCs w:val="21"/>
                    </w:rPr>
                    <w:t>/</w:t>
                  </w:r>
                </w:p>
              </w:tc>
              <w:tc>
                <w:tcPr>
                  <w:tcW w:w="424" w:type="pct"/>
                  <w:vAlign w:val="center"/>
                </w:tcPr>
                <w:p>
                  <w:pPr>
                    <w:jc w:val="center"/>
                    <w:rPr>
                      <w:szCs w:val="21"/>
                    </w:rPr>
                  </w:pPr>
                  <w:r>
                    <w:rPr>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pPr>
                    <w:jc w:val="center"/>
                    <w:rPr>
                      <w:szCs w:val="21"/>
                    </w:rPr>
                  </w:pPr>
                </w:p>
              </w:tc>
              <w:tc>
                <w:tcPr>
                  <w:tcW w:w="663" w:type="pct"/>
                  <w:gridSpan w:val="2"/>
                  <w:shd w:val="clear" w:color="auto" w:fill="auto"/>
                  <w:vAlign w:val="center"/>
                </w:tcPr>
                <w:p>
                  <w:pPr>
                    <w:jc w:val="center"/>
                    <w:rPr>
                      <w:szCs w:val="21"/>
                    </w:rPr>
                  </w:pPr>
                  <w:r>
                    <w:rPr>
                      <w:rFonts w:hint="eastAsia"/>
                      <w:szCs w:val="21"/>
                    </w:rPr>
                    <w:t>供水</w:t>
                  </w:r>
                </w:p>
              </w:tc>
              <w:tc>
                <w:tcPr>
                  <w:tcW w:w="2223" w:type="pct"/>
                  <w:shd w:val="clear" w:color="auto" w:fill="auto"/>
                  <w:vAlign w:val="center"/>
                </w:tcPr>
                <w:p>
                  <w:pPr>
                    <w:rPr>
                      <w:szCs w:val="21"/>
                    </w:rPr>
                  </w:pPr>
                  <w:r>
                    <w:rPr>
                      <w:rFonts w:hint="eastAsia"/>
                      <w:szCs w:val="21"/>
                    </w:rPr>
                    <w:t>市政给水管网供水。</w:t>
                  </w:r>
                </w:p>
              </w:tc>
              <w:tc>
                <w:tcPr>
                  <w:tcW w:w="640" w:type="pct"/>
                  <w:vMerge w:val="continue"/>
                  <w:shd w:val="clear" w:color="auto" w:fill="auto"/>
                  <w:vAlign w:val="center"/>
                </w:tcPr>
                <w:p>
                  <w:pPr>
                    <w:jc w:val="center"/>
                    <w:rPr>
                      <w:szCs w:val="21"/>
                    </w:rPr>
                  </w:pPr>
                </w:p>
              </w:tc>
              <w:tc>
                <w:tcPr>
                  <w:tcW w:w="654" w:type="pct"/>
                  <w:shd w:val="clear" w:color="auto" w:fill="auto"/>
                  <w:vAlign w:val="center"/>
                </w:tcPr>
                <w:p>
                  <w:pPr>
                    <w:jc w:val="center"/>
                    <w:rPr>
                      <w:szCs w:val="21"/>
                    </w:rPr>
                  </w:pPr>
                  <w:r>
                    <w:rPr>
                      <w:rFonts w:hint="eastAsia"/>
                      <w:szCs w:val="21"/>
                    </w:rPr>
                    <w:t>/</w:t>
                  </w:r>
                </w:p>
              </w:tc>
              <w:tc>
                <w:tcPr>
                  <w:tcW w:w="424" w:type="pct"/>
                  <w:vAlign w:val="center"/>
                </w:tcPr>
                <w:p>
                  <w:pPr>
                    <w:jc w:val="center"/>
                    <w:rPr>
                      <w:szCs w:val="21"/>
                    </w:rPr>
                  </w:pPr>
                  <w:r>
                    <w:rPr>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shd w:val="clear" w:color="auto" w:fill="auto"/>
                  <w:vAlign w:val="center"/>
                </w:tcPr>
                <w:p>
                  <w:pPr>
                    <w:jc w:val="center"/>
                    <w:rPr>
                      <w:szCs w:val="21"/>
                    </w:rPr>
                  </w:pPr>
                  <w:r>
                    <w:rPr>
                      <w:rFonts w:hint="eastAsia"/>
                      <w:szCs w:val="21"/>
                    </w:rPr>
                    <w:t>环保</w:t>
                  </w:r>
                  <w:r>
                    <w:rPr>
                      <w:szCs w:val="21"/>
                    </w:rPr>
                    <w:t>工程</w:t>
                  </w:r>
                </w:p>
              </w:tc>
              <w:tc>
                <w:tcPr>
                  <w:tcW w:w="246" w:type="pct"/>
                  <w:vMerge w:val="restart"/>
                  <w:shd w:val="clear" w:color="auto" w:fill="auto"/>
                  <w:vAlign w:val="center"/>
                </w:tcPr>
                <w:p>
                  <w:pPr>
                    <w:jc w:val="center"/>
                    <w:rPr>
                      <w:szCs w:val="21"/>
                    </w:rPr>
                  </w:pPr>
                  <w:r>
                    <w:rPr>
                      <w:szCs w:val="21"/>
                    </w:rPr>
                    <w:t>废气</w:t>
                  </w:r>
                </w:p>
              </w:tc>
              <w:tc>
                <w:tcPr>
                  <w:tcW w:w="417" w:type="pct"/>
                  <w:shd w:val="clear" w:color="auto" w:fill="auto"/>
                  <w:vAlign w:val="center"/>
                </w:tcPr>
                <w:p>
                  <w:pPr>
                    <w:jc w:val="center"/>
                    <w:rPr>
                      <w:bCs/>
                      <w:szCs w:val="21"/>
                    </w:rPr>
                  </w:pPr>
                  <w:r>
                    <w:rPr>
                      <w:rFonts w:hint="eastAsia"/>
                      <w:bCs/>
                      <w:szCs w:val="21"/>
                    </w:rPr>
                    <w:t>制砂/筛分粉尘</w:t>
                  </w:r>
                </w:p>
              </w:tc>
              <w:tc>
                <w:tcPr>
                  <w:tcW w:w="2223" w:type="pct"/>
                  <w:shd w:val="clear" w:color="auto" w:fill="auto"/>
                  <w:vAlign w:val="center"/>
                </w:tcPr>
                <w:p>
                  <w:pPr>
                    <w:rPr>
                      <w:bCs/>
                      <w:szCs w:val="21"/>
                    </w:rPr>
                  </w:pPr>
                  <w:r>
                    <w:rPr>
                      <w:rFonts w:hint="eastAsia"/>
                      <w:bCs/>
                      <w:szCs w:val="21"/>
                    </w:rPr>
                    <w:t>制砂楼采用一体化密闭设施，制砂机、筛分机进出料口设集气罩+1台袋式除尘器（TA151）+</w:t>
                  </w:r>
                  <w:r>
                    <w:rPr>
                      <w:bCs/>
                      <w:szCs w:val="21"/>
                    </w:rPr>
                    <w:t>20</w:t>
                  </w:r>
                  <w:r>
                    <w:rPr>
                      <w:rFonts w:hint="eastAsia"/>
                      <w:bCs/>
                      <w:szCs w:val="21"/>
                    </w:rPr>
                    <w:t>m高排气筒（DA151）。</w:t>
                  </w:r>
                </w:p>
              </w:tc>
              <w:tc>
                <w:tcPr>
                  <w:tcW w:w="640" w:type="pct"/>
                  <w:vMerge w:val="continue"/>
                  <w:shd w:val="clear" w:color="auto" w:fill="auto"/>
                  <w:vAlign w:val="center"/>
                </w:tcPr>
                <w:p>
                  <w:pPr>
                    <w:jc w:val="center"/>
                    <w:rPr>
                      <w:b/>
                      <w:szCs w:val="21"/>
                    </w:rPr>
                  </w:pPr>
                </w:p>
              </w:tc>
              <w:tc>
                <w:tcPr>
                  <w:tcW w:w="654" w:type="pct"/>
                  <w:shd w:val="clear" w:color="auto" w:fill="auto"/>
                  <w:vAlign w:val="center"/>
                </w:tcPr>
                <w:p>
                  <w:pPr>
                    <w:jc w:val="center"/>
                    <w:rPr>
                      <w:bCs/>
                      <w:szCs w:val="21"/>
                    </w:rPr>
                  </w:pPr>
                  <w:r>
                    <w:rPr>
                      <w:rFonts w:hint="eastAsia"/>
                      <w:bCs/>
                      <w:szCs w:val="21"/>
                    </w:rPr>
                    <w:t>除尘器收灰、</w:t>
                  </w:r>
                  <w:r>
                    <w:rPr>
                      <w:bCs/>
                      <w:szCs w:val="21"/>
                    </w:rPr>
                    <w:t>噪声</w:t>
                  </w:r>
                </w:p>
              </w:tc>
              <w:tc>
                <w:tcPr>
                  <w:tcW w:w="424" w:type="pct"/>
                  <w:vAlign w:val="center"/>
                </w:tcPr>
                <w:p>
                  <w:pPr>
                    <w:jc w:val="center"/>
                    <w:rPr>
                      <w:bCs/>
                      <w:szCs w:val="21"/>
                    </w:rPr>
                  </w:pPr>
                  <w:r>
                    <w:rPr>
                      <w:rFonts w:hint="eastAsia"/>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shd w:val="clear" w:color="auto" w:fill="auto"/>
                  <w:vAlign w:val="center"/>
                </w:tcPr>
                <w:p>
                  <w:pPr>
                    <w:jc w:val="center"/>
                    <w:rPr>
                      <w:szCs w:val="21"/>
                    </w:rPr>
                  </w:pPr>
                </w:p>
              </w:tc>
              <w:tc>
                <w:tcPr>
                  <w:tcW w:w="246" w:type="pct"/>
                  <w:vMerge w:val="continue"/>
                  <w:shd w:val="clear" w:color="auto" w:fill="auto"/>
                  <w:vAlign w:val="center"/>
                </w:tcPr>
                <w:p>
                  <w:pPr>
                    <w:jc w:val="center"/>
                    <w:rPr>
                      <w:szCs w:val="21"/>
                    </w:rPr>
                  </w:pPr>
                </w:p>
              </w:tc>
              <w:tc>
                <w:tcPr>
                  <w:tcW w:w="417" w:type="pct"/>
                  <w:shd w:val="clear" w:color="auto" w:fill="auto"/>
                  <w:vAlign w:val="center"/>
                </w:tcPr>
                <w:p>
                  <w:pPr>
                    <w:jc w:val="center"/>
                    <w:rPr>
                      <w:bCs/>
                      <w:szCs w:val="21"/>
                    </w:rPr>
                  </w:pPr>
                  <w:r>
                    <w:rPr>
                      <w:rFonts w:hint="eastAsia"/>
                      <w:bCs/>
                      <w:szCs w:val="21"/>
                    </w:rPr>
                    <w:t>物料输送粉尘</w:t>
                  </w:r>
                </w:p>
              </w:tc>
              <w:tc>
                <w:tcPr>
                  <w:tcW w:w="2223" w:type="pct"/>
                  <w:shd w:val="clear" w:color="auto" w:fill="auto"/>
                  <w:vAlign w:val="center"/>
                </w:tcPr>
                <w:p>
                  <w:pPr>
                    <w:rPr>
                      <w:bCs/>
                      <w:szCs w:val="21"/>
                    </w:rPr>
                  </w:pPr>
                  <w:r>
                    <w:rPr>
                      <w:rFonts w:hint="eastAsia"/>
                      <w:bCs/>
                      <w:szCs w:val="21"/>
                    </w:rPr>
                    <w:t>项目输送廊道</w:t>
                  </w:r>
                  <w:r>
                    <w:rPr>
                      <w:rFonts w:hint="eastAsia"/>
                      <w:szCs w:val="21"/>
                    </w:rPr>
                    <w:t>封闭</w:t>
                  </w:r>
                  <w:r>
                    <w:rPr>
                      <w:rFonts w:hint="eastAsia"/>
                      <w:bCs/>
                      <w:szCs w:val="21"/>
                    </w:rPr>
                    <w:t>，在本次新增的25-40mm骨料输送廊道中间转换点设集气罩+1台袋式除尘器（TA152）+</w:t>
                  </w:r>
                  <w:r>
                    <w:rPr>
                      <w:bCs/>
                      <w:szCs w:val="21"/>
                    </w:rPr>
                    <w:t>20</w:t>
                  </w:r>
                  <w:r>
                    <w:rPr>
                      <w:rFonts w:hint="eastAsia"/>
                      <w:bCs/>
                      <w:szCs w:val="21"/>
                    </w:rPr>
                    <w:t>m高排气筒（DA</w:t>
                  </w:r>
                  <w:r>
                    <w:rPr>
                      <w:bCs/>
                      <w:szCs w:val="21"/>
                    </w:rPr>
                    <w:t>1</w:t>
                  </w:r>
                  <w:r>
                    <w:rPr>
                      <w:rFonts w:hint="eastAsia"/>
                      <w:bCs/>
                      <w:szCs w:val="21"/>
                    </w:rPr>
                    <w:t>52）。</w:t>
                  </w:r>
                </w:p>
              </w:tc>
              <w:tc>
                <w:tcPr>
                  <w:tcW w:w="640" w:type="pct"/>
                  <w:vMerge w:val="continue"/>
                  <w:shd w:val="clear" w:color="auto" w:fill="auto"/>
                  <w:vAlign w:val="center"/>
                </w:tcPr>
                <w:p>
                  <w:pPr>
                    <w:jc w:val="center"/>
                    <w:rPr>
                      <w:b/>
                      <w:szCs w:val="21"/>
                    </w:rPr>
                  </w:pPr>
                </w:p>
              </w:tc>
              <w:tc>
                <w:tcPr>
                  <w:tcW w:w="654" w:type="pct"/>
                  <w:shd w:val="clear" w:color="auto" w:fill="auto"/>
                  <w:vAlign w:val="center"/>
                </w:tcPr>
                <w:p>
                  <w:pPr>
                    <w:jc w:val="center"/>
                    <w:rPr>
                      <w:bCs/>
                      <w:szCs w:val="21"/>
                    </w:rPr>
                  </w:pPr>
                  <w:r>
                    <w:rPr>
                      <w:rFonts w:hint="eastAsia"/>
                      <w:bCs/>
                      <w:szCs w:val="21"/>
                    </w:rPr>
                    <w:t>除尘器收灰、</w:t>
                  </w:r>
                  <w:r>
                    <w:rPr>
                      <w:bCs/>
                      <w:szCs w:val="21"/>
                    </w:rPr>
                    <w:t>噪声</w:t>
                  </w:r>
                </w:p>
              </w:tc>
              <w:tc>
                <w:tcPr>
                  <w:tcW w:w="424" w:type="pct"/>
                  <w:vAlign w:val="center"/>
                </w:tcPr>
                <w:p>
                  <w:pPr>
                    <w:jc w:val="center"/>
                    <w:rPr>
                      <w:bCs/>
                      <w:szCs w:val="21"/>
                    </w:rPr>
                  </w:pPr>
                  <w:r>
                    <w:rPr>
                      <w:rFonts w:hint="eastAsia"/>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396" w:type="pct"/>
                  <w:vMerge w:val="continue"/>
                  <w:shd w:val="clear" w:color="auto" w:fill="auto"/>
                  <w:vAlign w:val="center"/>
                </w:tcPr>
                <w:p>
                  <w:pPr>
                    <w:jc w:val="center"/>
                    <w:rPr>
                      <w:szCs w:val="21"/>
                    </w:rPr>
                  </w:pPr>
                </w:p>
              </w:tc>
              <w:tc>
                <w:tcPr>
                  <w:tcW w:w="246" w:type="pct"/>
                  <w:vMerge w:val="continue"/>
                  <w:shd w:val="clear" w:color="auto" w:fill="auto"/>
                  <w:vAlign w:val="center"/>
                </w:tcPr>
                <w:p>
                  <w:pPr>
                    <w:jc w:val="center"/>
                    <w:rPr>
                      <w:szCs w:val="21"/>
                    </w:rPr>
                  </w:pPr>
                </w:p>
              </w:tc>
              <w:tc>
                <w:tcPr>
                  <w:tcW w:w="417" w:type="pct"/>
                  <w:shd w:val="clear" w:color="auto" w:fill="auto"/>
                  <w:vAlign w:val="center"/>
                </w:tcPr>
                <w:p>
                  <w:pPr>
                    <w:jc w:val="center"/>
                    <w:rPr>
                      <w:bCs/>
                      <w:szCs w:val="21"/>
                    </w:rPr>
                  </w:pPr>
                  <w:r>
                    <w:rPr>
                      <w:rFonts w:hint="eastAsia"/>
                      <w:bCs/>
                      <w:szCs w:val="21"/>
                    </w:rPr>
                    <w:t>贮仓粉尘</w:t>
                  </w:r>
                </w:p>
              </w:tc>
              <w:tc>
                <w:tcPr>
                  <w:tcW w:w="2223" w:type="pct"/>
                  <w:shd w:val="clear" w:color="auto" w:fill="auto"/>
                  <w:vAlign w:val="center"/>
                </w:tcPr>
                <w:p>
                  <w:pPr>
                    <w:rPr>
                      <w:bCs/>
                      <w:szCs w:val="21"/>
                    </w:rPr>
                  </w:pPr>
                  <w:r>
                    <w:rPr>
                      <w:rFonts w:hint="eastAsia"/>
                      <w:bCs/>
                      <w:szCs w:val="21"/>
                    </w:rPr>
                    <w:t>依托现有钢板仓已建密闭</w:t>
                  </w:r>
                  <w:r>
                    <w:rPr>
                      <w:rFonts w:hint="eastAsia"/>
                    </w:rPr>
                    <w:t>管道</w:t>
                  </w:r>
                  <w:r>
                    <w:rPr>
                      <w:rFonts w:hint="eastAsia"/>
                      <w:bCs/>
                      <w:szCs w:val="21"/>
                    </w:rPr>
                    <w:t>收尘+袋式除尘器（TA122）+31.2m高排气筒（DA115）；</w:t>
                  </w:r>
                </w:p>
                <w:p>
                  <w:pPr>
                    <w:rPr>
                      <w:bCs/>
                      <w:szCs w:val="21"/>
                    </w:rPr>
                  </w:pPr>
                  <w:r>
                    <w:rPr>
                      <w:rFonts w:hint="eastAsia"/>
                      <w:bCs/>
                      <w:szCs w:val="21"/>
                    </w:rPr>
                    <w:t>依托现有1#骨料仓已建密闭</w:t>
                  </w:r>
                  <w:r>
                    <w:rPr>
                      <w:rFonts w:hint="eastAsia"/>
                    </w:rPr>
                    <w:t>管道</w:t>
                  </w:r>
                  <w:r>
                    <w:rPr>
                      <w:rFonts w:hint="eastAsia"/>
                      <w:bCs/>
                      <w:szCs w:val="21"/>
                    </w:rPr>
                    <w:t>收尘+袋式除尘器（TA138）+16m高排气筒（DA090）；</w:t>
                  </w:r>
                </w:p>
                <w:p>
                  <w:pPr>
                    <w:rPr>
                      <w:bCs/>
                      <w:szCs w:val="21"/>
                    </w:rPr>
                  </w:pPr>
                  <w:r>
                    <w:rPr>
                      <w:rFonts w:hint="eastAsia"/>
                      <w:bCs/>
                      <w:szCs w:val="21"/>
                    </w:rPr>
                    <w:t>依托现有2#骨料仓已建密闭</w:t>
                  </w:r>
                  <w:r>
                    <w:rPr>
                      <w:rFonts w:hint="eastAsia"/>
                    </w:rPr>
                    <w:t>管道</w:t>
                  </w:r>
                  <w:r>
                    <w:rPr>
                      <w:rFonts w:hint="eastAsia"/>
                      <w:bCs/>
                      <w:szCs w:val="21"/>
                    </w:rPr>
                    <w:t>收尘+袋式除尘器（TA137）+22m高排气筒（DA097）；</w:t>
                  </w:r>
                </w:p>
                <w:p>
                  <w:pPr>
                    <w:rPr>
                      <w:bCs/>
                      <w:szCs w:val="21"/>
                    </w:rPr>
                  </w:pPr>
                  <w:r>
                    <w:rPr>
                      <w:rFonts w:hint="eastAsia"/>
                      <w:bCs/>
                      <w:szCs w:val="21"/>
                    </w:rPr>
                    <w:t>新增钢板仓设1套密闭</w:t>
                  </w:r>
                  <w:r>
                    <w:rPr>
                      <w:rFonts w:hint="eastAsia"/>
                    </w:rPr>
                    <w:t>管道</w:t>
                  </w:r>
                  <w:r>
                    <w:rPr>
                      <w:rFonts w:hint="eastAsia"/>
                      <w:bCs/>
                      <w:szCs w:val="21"/>
                    </w:rPr>
                    <w:t>收尘+袋式除尘器（TA153）+20m高排气筒（DA153）；</w:t>
                  </w:r>
                </w:p>
                <w:p>
                  <w:pPr>
                    <w:rPr>
                      <w:bCs/>
                      <w:szCs w:val="21"/>
                    </w:rPr>
                  </w:pPr>
                  <w:r>
                    <w:rPr>
                      <w:rFonts w:hint="eastAsia"/>
                      <w:bCs/>
                      <w:szCs w:val="21"/>
                    </w:rPr>
                    <w:t>新增成品砂库、微粉库各设1套密闭</w:t>
                  </w:r>
                  <w:r>
                    <w:rPr>
                      <w:rFonts w:hint="eastAsia"/>
                    </w:rPr>
                    <w:t>管道</w:t>
                  </w:r>
                  <w:r>
                    <w:rPr>
                      <w:rFonts w:hint="eastAsia"/>
                      <w:bCs/>
                      <w:szCs w:val="21"/>
                    </w:rPr>
                    <w:t>收尘+袋式除尘器（TA154、TA155）+20m高排气筒（DA154、DA155）。</w:t>
                  </w:r>
                </w:p>
              </w:tc>
              <w:tc>
                <w:tcPr>
                  <w:tcW w:w="640" w:type="pct"/>
                  <w:vMerge w:val="continue"/>
                  <w:shd w:val="clear" w:color="auto" w:fill="auto"/>
                  <w:vAlign w:val="center"/>
                </w:tcPr>
                <w:p>
                  <w:pPr>
                    <w:jc w:val="center"/>
                    <w:rPr>
                      <w:b/>
                      <w:szCs w:val="21"/>
                    </w:rPr>
                  </w:pPr>
                </w:p>
              </w:tc>
              <w:tc>
                <w:tcPr>
                  <w:tcW w:w="654" w:type="pct"/>
                  <w:shd w:val="clear" w:color="auto" w:fill="auto"/>
                  <w:vAlign w:val="center"/>
                </w:tcPr>
                <w:p>
                  <w:pPr>
                    <w:jc w:val="center"/>
                    <w:rPr>
                      <w:bCs/>
                      <w:szCs w:val="21"/>
                    </w:rPr>
                  </w:pPr>
                  <w:r>
                    <w:rPr>
                      <w:rFonts w:hint="eastAsia"/>
                      <w:bCs/>
                      <w:szCs w:val="21"/>
                    </w:rPr>
                    <w:t>除尘器收灰、噪声</w:t>
                  </w:r>
                </w:p>
              </w:tc>
              <w:tc>
                <w:tcPr>
                  <w:tcW w:w="424" w:type="pct"/>
                  <w:vMerge w:val="restart"/>
                  <w:vAlign w:val="center"/>
                </w:tcPr>
                <w:p>
                  <w:pPr>
                    <w:jc w:val="center"/>
                    <w:rPr>
                      <w:bCs/>
                      <w:szCs w:val="21"/>
                    </w:rPr>
                  </w:pPr>
                  <w:r>
                    <w:rPr>
                      <w:rFonts w:hint="eastAsia"/>
                      <w:bCs/>
                      <w:szCs w:val="21"/>
                    </w:rPr>
                    <w:t>部分依托，部分新建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396" w:type="pct"/>
                  <w:vMerge w:val="continue"/>
                  <w:shd w:val="clear" w:color="auto" w:fill="auto"/>
                  <w:vAlign w:val="center"/>
                </w:tcPr>
                <w:p>
                  <w:pPr>
                    <w:jc w:val="center"/>
                    <w:rPr>
                      <w:szCs w:val="21"/>
                    </w:rPr>
                  </w:pPr>
                </w:p>
              </w:tc>
              <w:tc>
                <w:tcPr>
                  <w:tcW w:w="246" w:type="pct"/>
                  <w:vMerge w:val="continue"/>
                  <w:shd w:val="clear" w:color="auto" w:fill="auto"/>
                  <w:vAlign w:val="center"/>
                </w:tcPr>
                <w:p>
                  <w:pPr>
                    <w:jc w:val="center"/>
                    <w:rPr>
                      <w:szCs w:val="21"/>
                    </w:rPr>
                  </w:pPr>
                </w:p>
              </w:tc>
              <w:tc>
                <w:tcPr>
                  <w:tcW w:w="417" w:type="pct"/>
                  <w:shd w:val="clear" w:color="auto" w:fill="auto"/>
                  <w:vAlign w:val="center"/>
                </w:tcPr>
                <w:p>
                  <w:pPr>
                    <w:jc w:val="center"/>
                    <w:rPr>
                      <w:bCs/>
                      <w:szCs w:val="21"/>
                    </w:rPr>
                  </w:pPr>
                  <w:r>
                    <w:rPr>
                      <w:rFonts w:hint="eastAsia"/>
                      <w:bCs/>
                      <w:szCs w:val="21"/>
                    </w:rPr>
                    <w:t>装车粉尘</w:t>
                  </w:r>
                </w:p>
              </w:tc>
              <w:tc>
                <w:tcPr>
                  <w:tcW w:w="2223" w:type="pct"/>
                  <w:shd w:val="clear" w:color="auto" w:fill="auto"/>
                  <w:vAlign w:val="center"/>
                </w:tcPr>
                <w:p>
                  <w:pPr>
                    <w:rPr>
                      <w:bCs/>
                      <w:szCs w:val="21"/>
                    </w:rPr>
                  </w:pPr>
                  <w:r>
                    <w:rPr>
                      <w:rFonts w:hint="eastAsia"/>
                      <w:bCs/>
                      <w:szCs w:val="21"/>
                    </w:rPr>
                    <w:t>现有骨料仓配套装车区封闭，设置自动卷帘门，装卸口设集气罩接入现有骨料仓袋式除尘器（TA137~TA138）；新增成品砂库和钢板仓配套装车区封闭，设置自动卷帘门，装卸口设集气罩接入骨料仓袋式除尘器（TA153~TA154）。</w:t>
                  </w:r>
                </w:p>
              </w:tc>
              <w:tc>
                <w:tcPr>
                  <w:tcW w:w="640" w:type="pct"/>
                  <w:vMerge w:val="continue"/>
                  <w:shd w:val="clear" w:color="auto" w:fill="auto"/>
                  <w:vAlign w:val="center"/>
                </w:tcPr>
                <w:p>
                  <w:pPr>
                    <w:jc w:val="center"/>
                    <w:rPr>
                      <w:b/>
                      <w:szCs w:val="21"/>
                    </w:rPr>
                  </w:pPr>
                </w:p>
              </w:tc>
              <w:tc>
                <w:tcPr>
                  <w:tcW w:w="654" w:type="pct"/>
                  <w:shd w:val="clear" w:color="auto" w:fill="auto"/>
                  <w:vAlign w:val="center"/>
                </w:tcPr>
                <w:p>
                  <w:pPr>
                    <w:jc w:val="center"/>
                    <w:rPr>
                      <w:bCs/>
                      <w:szCs w:val="21"/>
                    </w:rPr>
                  </w:pPr>
                  <w:r>
                    <w:rPr>
                      <w:rFonts w:hint="eastAsia"/>
                      <w:szCs w:val="21"/>
                    </w:rPr>
                    <w:t>废气</w:t>
                  </w:r>
                </w:p>
              </w:tc>
              <w:tc>
                <w:tcPr>
                  <w:tcW w:w="424" w:type="pct"/>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396" w:type="pct"/>
                  <w:vMerge w:val="continue"/>
                  <w:shd w:val="clear" w:color="auto" w:fill="auto"/>
                  <w:vAlign w:val="center"/>
                </w:tcPr>
                <w:p>
                  <w:pPr>
                    <w:jc w:val="center"/>
                    <w:rPr>
                      <w:szCs w:val="21"/>
                    </w:rPr>
                  </w:pPr>
                </w:p>
              </w:tc>
              <w:tc>
                <w:tcPr>
                  <w:tcW w:w="663" w:type="pct"/>
                  <w:gridSpan w:val="2"/>
                  <w:shd w:val="clear" w:color="auto" w:fill="auto"/>
                  <w:vAlign w:val="center"/>
                </w:tcPr>
                <w:p>
                  <w:pPr>
                    <w:jc w:val="center"/>
                    <w:rPr>
                      <w:bCs/>
                      <w:szCs w:val="21"/>
                    </w:rPr>
                  </w:pPr>
                  <w:r>
                    <w:rPr>
                      <w:rFonts w:hint="eastAsia"/>
                      <w:bCs/>
                      <w:szCs w:val="21"/>
                    </w:rPr>
                    <w:t>废水</w:t>
                  </w:r>
                </w:p>
              </w:tc>
              <w:tc>
                <w:tcPr>
                  <w:tcW w:w="2223" w:type="pct"/>
                  <w:shd w:val="clear" w:color="auto" w:fill="auto"/>
                  <w:vAlign w:val="center"/>
                </w:tcPr>
                <w:p>
                  <w:pPr>
                    <w:rPr>
                      <w:bCs/>
                      <w:szCs w:val="21"/>
                    </w:rPr>
                  </w:pPr>
                  <w:r>
                    <w:rPr>
                      <w:rFonts w:hint="eastAsia"/>
                      <w:bCs/>
                      <w:szCs w:val="21"/>
                    </w:rPr>
                    <w:t>依托现有洗车平台配套沉淀池（1个，容积约50m</w:t>
                  </w:r>
                  <w:r>
                    <w:rPr>
                      <w:rFonts w:hint="eastAsia"/>
                      <w:bCs/>
                      <w:szCs w:val="21"/>
                      <w:vertAlign w:val="superscript"/>
                    </w:rPr>
                    <w:t>3</w:t>
                  </w:r>
                  <w:r>
                    <w:rPr>
                      <w:rFonts w:hint="eastAsia"/>
                      <w:bCs/>
                      <w:szCs w:val="21"/>
                    </w:rPr>
                    <w:t>），车辆轮胎冲洗废水经沉淀处理后循环使用。</w:t>
                  </w:r>
                </w:p>
              </w:tc>
              <w:tc>
                <w:tcPr>
                  <w:tcW w:w="640" w:type="pct"/>
                  <w:vMerge w:val="continue"/>
                  <w:shd w:val="clear" w:color="auto" w:fill="auto"/>
                  <w:vAlign w:val="center"/>
                </w:tcPr>
                <w:p>
                  <w:pPr>
                    <w:jc w:val="center"/>
                    <w:rPr>
                      <w:b/>
                      <w:szCs w:val="21"/>
                    </w:rPr>
                  </w:pPr>
                </w:p>
              </w:tc>
              <w:tc>
                <w:tcPr>
                  <w:tcW w:w="654" w:type="pct"/>
                  <w:shd w:val="clear" w:color="auto" w:fill="auto"/>
                  <w:vAlign w:val="center"/>
                </w:tcPr>
                <w:p>
                  <w:pPr>
                    <w:jc w:val="center"/>
                    <w:rPr>
                      <w:szCs w:val="21"/>
                    </w:rPr>
                  </w:pPr>
                  <w:r>
                    <w:rPr>
                      <w:rFonts w:hint="eastAsia"/>
                      <w:szCs w:val="21"/>
                    </w:rPr>
                    <w:t>泥沙</w:t>
                  </w:r>
                </w:p>
              </w:tc>
              <w:tc>
                <w:tcPr>
                  <w:tcW w:w="424" w:type="pct"/>
                  <w:vAlign w:val="center"/>
                </w:tcPr>
                <w:p>
                  <w:pPr>
                    <w:jc w:val="center"/>
                    <w:rPr>
                      <w:bCs/>
                      <w:szCs w:val="21"/>
                    </w:rPr>
                  </w:pPr>
                  <w:r>
                    <w:rPr>
                      <w:rFonts w:hint="eastAsia"/>
                      <w:bCs/>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396" w:type="pct"/>
                  <w:vMerge w:val="continue"/>
                  <w:shd w:val="clear" w:color="auto" w:fill="auto"/>
                  <w:vAlign w:val="center"/>
                </w:tcPr>
                <w:p>
                  <w:pPr>
                    <w:jc w:val="center"/>
                    <w:rPr>
                      <w:szCs w:val="21"/>
                    </w:rPr>
                  </w:pPr>
                </w:p>
              </w:tc>
              <w:tc>
                <w:tcPr>
                  <w:tcW w:w="663" w:type="pct"/>
                  <w:gridSpan w:val="2"/>
                  <w:shd w:val="clear" w:color="auto" w:fill="auto"/>
                  <w:vAlign w:val="center"/>
                </w:tcPr>
                <w:p>
                  <w:pPr>
                    <w:jc w:val="center"/>
                    <w:rPr>
                      <w:bCs/>
                      <w:szCs w:val="21"/>
                    </w:rPr>
                  </w:pPr>
                  <w:r>
                    <w:rPr>
                      <w:rFonts w:hint="eastAsia"/>
                      <w:bCs/>
                      <w:szCs w:val="21"/>
                    </w:rPr>
                    <w:t>噪声</w:t>
                  </w:r>
                </w:p>
              </w:tc>
              <w:tc>
                <w:tcPr>
                  <w:tcW w:w="2223" w:type="pct"/>
                  <w:shd w:val="clear" w:color="auto" w:fill="auto"/>
                  <w:vAlign w:val="center"/>
                </w:tcPr>
                <w:p>
                  <w:pPr>
                    <w:rPr>
                      <w:bCs/>
                      <w:szCs w:val="21"/>
                    </w:rPr>
                  </w:pPr>
                  <w:r>
                    <w:rPr>
                      <w:rFonts w:hint="eastAsia"/>
                      <w:bCs/>
                      <w:szCs w:val="21"/>
                    </w:rPr>
                    <w:t>项目新增生产设施选用低噪声设备，产噪设备基础减震，制砂楼、空压机站采用隔音棉进行隔声处理，风机采取基础减震+隔声罩。</w:t>
                  </w:r>
                </w:p>
              </w:tc>
              <w:tc>
                <w:tcPr>
                  <w:tcW w:w="640" w:type="pct"/>
                  <w:vMerge w:val="continue"/>
                  <w:shd w:val="clear" w:color="auto" w:fill="auto"/>
                  <w:vAlign w:val="center"/>
                </w:tcPr>
                <w:p>
                  <w:pPr>
                    <w:jc w:val="center"/>
                    <w:rPr>
                      <w:b/>
                      <w:szCs w:val="21"/>
                    </w:rPr>
                  </w:pPr>
                </w:p>
              </w:tc>
              <w:tc>
                <w:tcPr>
                  <w:tcW w:w="654" w:type="pct"/>
                  <w:shd w:val="clear" w:color="auto" w:fill="auto"/>
                  <w:vAlign w:val="center"/>
                </w:tcPr>
                <w:p>
                  <w:pPr>
                    <w:jc w:val="center"/>
                    <w:rPr>
                      <w:szCs w:val="21"/>
                    </w:rPr>
                  </w:pPr>
                  <w:r>
                    <w:rPr>
                      <w:rFonts w:hint="eastAsia"/>
                      <w:szCs w:val="21"/>
                    </w:rPr>
                    <w:t>噪声</w:t>
                  </w:r>
                </w:p>
              </w:tc>
              <w:tc>
                <w:tcPr>
                  <w:tcW w:w="424" w:type="pct"/>
                  <w:vAlign w:val="center"/>
                </w:tcPr>
                <w:p>
                  <w:pPr>
                    <w:jc w:val="center"/>
                    <w:rPr>
                      <w:bCs/>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shd w:val="clear" w:color="auto" w:fill="auto"/>
                  <w:vAlign w:val="center"/>
                </w:tcPr>
                <w:p>
                  <w:pPr>
                    <w:jc w:val="center"/>
                    <w:rPr>
                      <w:szCs w:val="21"/>
                    </w:rPr>
                  </w:pPr>
                </w:p>
              </w:tc>
              <w:tc>
                <w:tcPr>
                  <w:tcW w:w="663" w:type="pct"/>
                  <w:gridSpan w:val="2"/>
                  <w:shd w:val="clear" w:color="auto" w:fill="auto"/>
                  <w:vAlign w:val="center"/>
                </w:tcPr>
                <w:p>
                  <w:pPr>
                    <w:jc w:val="center"/>
                    <w:rPr>
                      <w:szCs w:val="21"/>
                    </w:rPr>
                  </w:pPr>
                  <w:r>
                    <w:rPr>
                      <w:szCs w:val="21"/>
                    </w:rPr>
                    <w:t>危废暂存间</w:t>
                  </w:r>
                </w:p>
              </w:tc>
              <w:tc>
                <w:tcPr>
                  <w:tcW w:w="2223" w:type="pct"/>
                  <w:shd w:val="clear" w:color="auto" w:fill="auto"/>
                  <w:vAlign w:val="center"/>
                </w:tcPr>
                <w:p>
                  <w:pPr>
                    <w:rPr>
                      <w:szCs w:val="21"/>
                    </w:rPr>
                  </w:pPr>
                  <w:r>
                    <w:rPr>
                      <w:rFonts w:hint="eastAsia"/>
                      <w:szCs w:val="21"/>
                    </w:rPr>
                    <w:t>依托厂区已建的1间危废暂存间，面积约80m</w:t>
                  </w:r>
                  <w:r>
                    <w:rPr>
                      <w:szCs w:val="21"/>
                      <w:vertAlign w:val="superscript"/>
                    </w:rPr>
                    <w:t>2</w:t>
                  </w:r>
                  <w:r>
                    <w:rPr>
                      <w:rFonts w:hint="eastAsia"/>
                      <w:szCs w:val="21"/>
                    </w:rPr>
                    <w:t>，贮存能力50t，用于危险废物贮存</w:t>
                  </w:r>
                </w:p>
              </w:tc>
              <w:tc>
                <w:tcPr>
                  <w:tcW w:w="640" w:type="pct"/>
                  <w:vMerge w:val="continue"/>
                  <w:shd w:val="clear" w:color="auto" w:fill="auto"/>
                  <w:vAlign w:val="center"/>
                </w:tcPr>
                <w:p>
                  <w:pPr>
                    <w:jc w:val="center"/>
                    <w:rPr>
                      <w:b/>
                      <w:szCs w:val="21"/>
                    </w:rPr>
                  </w:pPr>
                </w:p>
              </w:tc>
              <w:tc>
                <w:tcPr>
                  <w:tcW w:w="654" w:type="pct"/>
                  <w:shd w:val="clear" w:color="auto" w:fill="auto"/>
                  <w:vAlign w:val="center"/>
                </w:tcPr>
                <w:p>
                  <w:pPr>
                    <w:jc w:val="center"/>
                    <w:rPr>
                      <w:szCs w:val="21"/>
                    </w:rPr>
                  </w:pPr>
                  <w:r>
                    <w:rPr>
                      <w:rFonts w:hint="eastAsia"/>
                      <w:szCs w:val="21"/>
                    </w:rPr>
                    <w:t>危险废物</w:t>
                  </w:r>
                </w:p>
              </w:tc>
              <w:tc>
                <w:tcPr>
                  <w:tcW w:w="424" w:type="pct"/>
                  <w:vAlign w:val="center"/>
                </w:tcPr>
                <w:p>
                  <w:pPr>
                    <w:jc w:val="center"/>
                    <w:rPr>
                      <w:szCs w:val="21"/>
                    </w:rPr>
                  </w:pPr>
                  <w:r>
                    <w:rPr>
                      <w:rFonts w:hint="eastAsia"/>
                      <w:szCs w:val="21"/>
                    </w:rPr>
                    <w:t>依托</w:t>
                  </w:r>
                </w:p>
              </w:tc>
            </w:tr>
          </w:tbl>
          <w:p>
            <w:pPr>
              <w:spacing w:line="360" w:lineRule="auto"/>
              <w:ind w:firstLine="482" w:firstLineChars="200"/>
              <w:rPr>
                <w:rFonts w:cs="Times New Roman"/>
                <w:b/>
                <w:sz w:val="24"/>
                <w:szCs w:val="24"/>
              </w:rPr>
            </w:pPr>
            <w:r>
              <w:rPr>
                <w:rFonts w:cs="Times New Roman"/>
                <w:b/>
                <w:sz w:val="24"/>
                <w:szCs w:val="24"/>
              </w:rPr>
              <w:t>5</w:t>
            </w:r>
            <w:r>
              <w:rPr>
                <w:rFonts w:hint="eastAsia" w:cs="Times New Roman"/>
                <w:b/>
                <w:sz w:val="24"/>
                <w:szCs w:val="24"/>
              </w:rPr>
              <w:t>、环保设施</w:t>
            </w:r>
            <w:r>
              <w:rPr>
                <w:rFonts w:cs="Times New Roman"/>
                <w:b/>
                <w:sz w:val="24"/>
                <w:szCs w:val="24"/>
              </w:rPr>
              <w:t>依托可行性</w:t>
            </w:r>
          </w:p>
          <w:p>
            <w:pPr>
              <w:spacing w:line="360" w:lineRule="auto"/>
              <w:ind w:firstLine="480" w:firstLineChars="200"/>
              <w:rPr>
                <w:sz w:val="24"/>
                <w:szCs w:val="24"/>
              </w:rPr>
            </w:pPr>
            <w:r>
              <w:rPr>
                <w:sz w:val="24"/>
                <w:szCs w:val="24"/>
              </w:rPr>
              <w:t>本</w:t>
            </w:r>
            <w:r>
              <w:rPr>
                <w:rFonts w:hint="eastAsia"/>
                <w:sz w:val="24"/>
                <w:szCs w:val="24"/>
              </w:rPr>
              <w:t>次改建将依托现有工程已建的钢板仓、骨料仓配套废气处理设施、危废暂存间等环保设施，</w:t>
            </w:r>
            <w:r>
              <w:rPr>
                <w:rFonts w:hint="eastAsia"/>
                <w:kern w:val="24"/>
                <w:sz w:val="24"/>
                <w:szCs w:val="24"/>
              </w:rPr>
              <w:t>主要依托内容及依托可行性分析见下表。</w:t>
            </w:r>
          </w:p>
          <w:p>
            <w:pPr>
              <w:spacing w:line="360" w:lineRule="auto"/>
              <w:jc w:val="center"/>
              <w:rPr>
                <w:rFonts w:hint="eastAsia" w:ascii="黑体" w:hAnsi="黑体" w:eastAsia="黑体"/>
                <w:szCs w:val="21"/>
              </w:rPr>
            </w:pPr>
            <w:r>
              <w:rPr>
                <w:rFonts w:hint="eastAsia" w:ascii="黑体" w:hAnsi="黑体" w:eastAsia="黑体"/>
                <w:szCs w:val="21"/>
              </w:rPr>
              <w:t>表</w:t>
            </w:r>
            <w:r>
              <w:rPr>
                <w:rFonts w:eastAsia="黑体" w:cstheme="minorHAnsi"/>
                <w:szCs w:val="21"/>
              </w:rPr>
              <w:t xml:space="preserve">2-3  </w:t>
            </w:r>
            <w:r>
              <w:rPr>
                <w:rFonts w:hint="eastAsia" w:ascii="黑体" w:hAnsi="黑体" w:eastAsia="黑体"/>
                <w:szCs w:val="21"/>
              </w:rPr>
              <w:t>环保设施依托情况及依托可行性</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522"/>
              <w:gridCol w:w="3919"/>
              <w:gridCol w:w="2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pct"/>
                  <w:vAlign w:val="center"/>
                </w:tcPr>
                <w:p>
                  <w:pPr>
                    <w:jc w:val="center"/>
                    <w:rPr>
                      <w:rFonts w:cstheme="minorHAnsi"/>
                      <w:szCs w:val="21"/>
                    </w:rPr>
                  </w:pPr>
                  <w:r>
                    <w:rPr>
                      <w:rFonts w:cstheme="minorHAnsi"/>
                      <w:szCs w:val="21"/>
                    </w:rPr>
                    <w:t>序号</w:t>
                  </w:r>
                </w:p>
              </w:tc>
              <w:tc>
                <w:tcPr>
                  <w:tcW w:w="832" w:type="pct"/>
                  <w:vAlign w:val="center"/>
                </w:tcPr>
                <w:p>
                  <w:pPr>
                    <w:jc w:val="center"/>
                    <w:rPr>
                      <w:rFonts w:cstheme="minorHAnsi"/>
                      <w:szCs w:val="21"/>
                    </w:rPr>
                  </w:pPr>
                  <w:r>
                    <w:rPr>
                      <w:rFonts w:cstheme="minorHAnsi"/>
                      <w:szCs w:val="21"/>
                    </w:rPr>
                    <w:t>名称</w:t>
                  </w:r>
                </w:p>
              </w:tc>
              <w:tc>
                <w:tcPr>
                  <w:tcW w:w="2142" w:type="pct"/>
                  <w:vAlign w:val="center"/>
                </w:tcPr>
                <w:p>
                  <w:pPr>
                    <w:jc w:val="center"/>
                    <w:rPr>
                      <w:rFonts w:cstheme="minorHAnsi"/>
                      <w:szCs w:val="21"/>
                    </w:rPr>
                  </w:pPr>
                  <w:r>
                    <w:rPr>
                      <w:rFonts w:cstheme="minorHAnsi"/>
                      <w:szCs w:val="21"/>
                    </w:rPr>
                    <w:t>依托内容</w:t>
                  </w:r>
                </w:p>
              </w:tc>
              <w:tc>
                <w:tcPr>
                  <w:tcW w:w="1600" w:type="pct"/>
                  <w:vAlign w:val="center"/>
                </w:tcPr>
                <w:p>
                  <w:pPr>
                    <w:jc w:val="center"/>
                    <w:rPr>
                      <w:rFonts w:cstheme="minorHAnsi"/>
                      <w:szCs w:val="21"/>
                    </w:rPr>
                  </w:pPr>
                  <w:r>
                    <w:rPr>
                      <w:rFonts w:hint="eastAsia" w:cstheme="minorHAnsi"/>
                      <w:szCs w:val="21"/>
                    </w:rPr>
                    <w:t>依托可行性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5" w:type="pct"/>
                  <w:vAlign w:val="center"/>
                </w:tcPr>
                <w:p>
                  <w:pPr>
                    <w:jc w:val="center"/>
                    <w:rPr>
                      <w:rFonts w:cstheme="minorHAnsi"/>
                      <w:szCs w:val="21"/>
                    </w:rPr>
                  </w:pPr>
                  <w:r>
                    <w:rPr>
                      <w:rFonts w:cstheme="minorHAnsi"/>
                      <w:szCs w:val="21"/>
                    </w:rPr>
                    <w:t>1</w:t>
                  </w:r>
                </w:p>
              </w:tc>
              <w:tc>
                <w:tcPr>
                  <w:tcW w:w="832" w:type="pct"/>
                  <w:vAlign w:val="center"/>
                </w:tcPr>
                <w:p>
                  <w:pPr>
                    <w:jc w:val="center"/>
                    <w:rPr>
                      <w:szCs w:val="21"/>
                    </w:rPr>
                  </w:pPr>
                  <w:r>
                    <w:rPr>
                      <w:rFonts w:hint="eastAsia"/>
                      <w:bCs/>
                      <w:szCs w:val="21"/>
                    </w:rPr>
                    <w:t>贮仓粉尘处理设施</w:t>
                  </w:r>
                </w:p>
              </w:tc>
              <w:tc>
                <w:tcPr>
                  <w:tcW w:w="2142" w:type="pct"/>
                  <w:vAlign w:val="center"/>
                </w:tcPr>
                <w:p>
                  <w:pPr>
                    <w:rPr>
                      <w:bCs/>
                      <w:szCs w:val="21"/>
                    </w:rPr>
                  </w:pPr>
                  <w:r>
                    <w:rPr>
                      <w:rFonts w:hint="eastAsia"/>
                      <w:bCs/>
                      <w:szCs w:val="21"/>
                    </w:rPr>
                    <w:t>依托现有钢板仓已建密闭收尘装置+袋式除尘器+31.2m高排气筒（DA115）；</w:t>
                  </w:r>
                </w:p>
                <w:p>
                  <w:pPr>
                    <w:rPr>
                      <w:bCs/>
                      <w:szCs w:val="21"/>
                    </w:rPr>
                  </w:pPr>
                  <w:r>
                    <w:rPr>
                      <w:rFonts w:hint="eastAsia"/>
                      <w:bCs/>
                      <w:szCs w:val="21"/>
                    </w:rPr>
                    <w:t>依托现有1#骨料仓已建密闭收尘装置+袋式除尘器+16m高排气筒（DA090）；</w:t>
                  </w:r>
                </w:p>
                <w:p>
                  <w:pPr>
                    <w:rPr>
                      <w:bCs/>
                      <w:szCs w:val="21"/>
                    </w:rPr>
                  </w:pPr>
                  <w:r>
                    <w:rPr>
                      <w:rFonts w:hint="eastAsia"/>
                      <w:bCs/>
                      <w:szCs w:val="21"/>
                    </w:rPr>
                    <w:t>依托现有2#骨料仓已建密闭收尘装置+袋式除尘器+22m高排气筒（DA097）；</w:t>
                  </w:r>
                </w:p>
                <w:p>
                  <w:pPr>
                    <w:rPr>
                      <w:szCs w:val="21"/>
                    </w:rPr>
                  </w:pPr>
                  <w:r>
                    <w:rPr>
                      <w:rFonts w:hint="eastAsia"/>
                      <w:bCs/>
                      <w:szCs w:val="21"/>
                    </w:rPr>
                    <w:t>现有骨料仓配套装车区封闭，设置自动卷帘门，装卸口设集气罩接入现有骨料仓袋式除尘器（TA137~TA138）。</w:t>
                  </w:r>
                </w:p>
              </w:tc>
              <w:tc>
                <w:tcPr>
                  <w:tcW w:w="1600" w:type="pct"/>
                  <w:vAlign w:val="center"/>
                </w:tcPr>
                <w:p>
                  <w:pPr>
                    <w:rPr>
                      <w:rFonts w:cstheme="minorHAnsi"/>
                      <w:szCs w:val="21"/>
                    </w:rPr>
                  </w:pPr>
                  <w:r>
                    <w:rPr>
                      <w:rFonts w:hint="eastAsia" w:cstheme="minorHAnsi"/>
                      <w:szCs w:val="21"/>
                    </w:rPr>
                    <w:t>本次改建后骨料生产规模保持不变，仅改变骨料粒径，根据后文计算，改建后贮仓粉尘经现有袋式除尘器处理后可实现达标排放，依托可行。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5" w:type="pct"/>
                  <w:vAlign w:val="center"/>
                </w:tcPr>
                <w:p>
                  <w:pPr>
                    <w:jc w:val="center"/>
                    <w:rPr>
                      <w:rFonts w:cstheme="minorHAnsi"/>
                      <w:szCs w:val="21"/>
                    </w:rPr>
                  </w:pPr>
                  <w:r>
                    <w:rPr>
                      <w:rFonts w:hint="eastAsia" w:cstheme="minorHAnsi"/>
                      <w:szCs w:val="21"/>
                    </w:rPr>
                    <w:t>2</w:t>
                  </w:r>
                </w:p>
              </w:tc>
              <w:tc>
                <w:tcPr>
                  <w:tcW w:w="832" w:type="pct"/>
                  <w:vAlign w:val="center"/>
                </w:tcPr>
                <w:p>
                  <w:pPr>
                    <w:jc w:val="center"/>
                    <w:rPr>
                      <w:bCs/>
                      <w:szCs w:val="21"/>
                    </w:rPr>
                  </w:pPr>
                  <w:r>
                    <w:rPr>
                      <w:rFonts w:hint="eastAsia"/>
                      <w:bCs/>
                      <w:szCs w:val="21"/>
                    </w:rPr>
                    <w:t>沉淀池</w:t>
                  </w:r>
                </w:p>
              </w:tc>
              <w:tc>
                <w:tcPr>
                  <w:tcW w:w="2142" w:type="pct"/>
                  <w:vAlign w:val="center"/>
                </w:tcPr>
                <w:p>
                  <w:pPr>
                    <w:rPr>
                      <w:bCs/>
                      <w:szCs w:val="21"/>
                    </w:rPr>
                  </w:pPr>
                  <w:r>
                    <w:rPr>
                      <w:rFonts w:hint="eastAsia"/>
                      <w:bCs/>
                      <w:szCs w:val="21"/>
                    </w:rPr>
                    <w:t>依托现有洗车平台配套沉淀池（1个，容积约50m</w:t>
                  </w:r>
                  <w:r>
                    <w:rPr>
                      <w:rFonts w:hint="eastAsia"/>
                      <w:bCs/>
                      <w:szCs w:val="21"/>
                      <w:vertAlign w:val="superscript"/>
                    </w:rPr>
                    <w:t>3</w:t>
                  </w:r>
                  <w:r>
                    <w:rPr>
                      <w:rFonts w:hint="eastAsia"/>
                      <w:bCs/>
                      <w:szCs w:val="21"/>
                    </w:rPr>
                    <w:t>），车辆轮胎冲洗废水经沉淀处理后循环使用。</w:t>
                  </w:r>
                </w:p>
              </w:tc>
              <w:tc>
                <w:tcPr>
                  <w:tcW w:w="1600" w:type="pct"/>
                  <w:vAlign w:val="center"/>
                </w:tcPr>
                <w:p>
                  <w:pPr>
                    <w:rPr>
                      <w:rFonts w:cstheme="minorHAnsi"/>
                      <w:szCs w:val="21"/>
                    </w:rPr>
                  </w:pPr>
                  <w:r>
                    <w:rPr>
                      <w:rFonts w:hint="eastAsia"/>
                      <w:szCs w:val="21"/>
                    </w:rPr>
                    <w:t>根据建设单位提供的资料，厂区现有运输车辆冲洗废水约34.55m</w:t>
                  </w:r>
                  <w:r>
                    <w:rPr>
                      <w:rFonts w:hint="eastAsia"/>
                      <w:szCs w:val="21"/>
                      <w:vertAlign w:val="superscript"/>
                    </w:rPr>
                    <w:t>3</w:t>
                  </w:r>
                  <w:r>
                    <w:rPr>
                      <w:rFonts w:hint="eastAsia"/>
                      <w:szCs w:val="21"/>
                    </w:rPr>
                    <w:t>/d，本次改建新增车辆轮胎冲洗废水约</w:t>
                  </w:r>
                  <w:r>
                    <w:rPr>
                      <w:rFonts w:hint="eastAsia"/>
                      <w:kern w:val="24"/>
                      <w:szCs w:val="21"/>
                    </w:rPr>
                    <w:t>2.55m</w:t>
                  </w:r>
                  <w:r>
                    <w:rPr>
                      <w:rFonts w:hint="eastAsia"/>
                      <w:kern w:val="24"/>
                      <w:szCs w:val="21"/>
                      <w:vertAlign w:val="superscript"/>
                    </w:rPr>
                    <w:t>3</w:t>
                  </w:r>
                  <w:r>
                    <w:rPr>
                      <w:rFonts w:hint="eastAsia"/>
                      <w:kern w:val="24"/>
                      <w:szCs w:val="21"/>
                    </w:rPr>
                    <w:t>/d，改建后全厂合计37.1</w:t>
                  </w:r>
                  <w:r>
                    <w:rPr>
                      <w:rFonts w:hint="eastAsia"/>
                      <w:szCs w:val="21"/>
                    </w:rPr>
                    <w:t>m</w:t>
                  </w:r>
                  <w:r>
                    <w:rPr>
                      <w:rFonts w:hint="eastAsia"/>
                      <w:szCs w:val="21"/>
                      <w:vertAlign w:val="superscript"/>
                    </w:rPr>
                    <w:t>3</w:t>
                  </w:r>
                  <w:r>
                    <w:rPr>
                      <w:rFonts w:hint="eastAsia"/>
                      <w:szCs w:val="21"/>
                    </w:rPr>
                    <w:t>/d，现有沉淀池处理能力满足废水处理需求。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25" w:type="pct"/>
                  <w:vAlign w:val="center"/>
                </w:tcPr>
                <w:p>
                  <w:pPr>
                    <w:jc w:val="center"/>
                    <w:rPr>
                      <w:rFonts w:cstheme="minorHAnsi"/>
                      <w:szCs w:val="21"/>
                    </w:rPr>
                  </w:pPr>
                  <w:r>
                    <w:rPr>
                      <w:rFonts w:hint="eastAsia" w:cstheme="minorHAnsi"/>
                      <w:szCs w:val="21"/>
                    </w:rPr>
                    <w:t>3</w:t>
                  </w:r>
                </w:p>
              </w:tc>
              <w:tc>
                <w:tcPr>
                  <w:tcW w:w="832" w:type="pct"/>
                  <w:vAlign w:val="center"/>
                </w:tcPr>
                <w:p>
                  <w:pPr>
                    <w:jc w:val="center"/>
                    <w:rPr>
                      <w:szCs w:val="21"/>
                    </w:rPr>
                  </w:pPr>
                  <w:r>
                    <w:rPr>
                      <w:rFonts w:hint="eastAsia"/>
                      <w:szCs w:val="21"/>
                    </w:rPr>
                    <w:t>危废暂存间</w:t>
                  </w:r>
                </w:p>
              </w:tc>
              <w:tc>
                <w:tcPr>
                  <w:tcW w:w="2142" w:type="pct"/>
                  <w:vAlign w:val="center"/>
                </w:tcPr>
                <w:p>
                  <w:pPr>
                    <w:rPr>
                      <w:szCs w:val="21"/>
                    </w:rPr>
                  </w:pPr>
                  <w:r>
                    <w:rPr>
                      <w:rFonts w:hint="eastAsia"/>
                      <w:szCs w:val="21"/>
                    </w:rPr>
                    <w:t>1间，面积约80m</w:t>
                  </w:r>
                  <w:r>
                    <w:rPr>
                      <w:szCs w:val="21"/>
                      <w:vertAlign w:val="superscript"/>
                    </w:rPr>
                    <w:t>2</w:t>
                  </w:r>
                  <w:r>
                    <w:rPr>
                      <w:rFonts w:hint="eastAsia"/>
                      <w:szCs w:val="21"/>
                    </w:rPr>
                    <w:t>，贮存能力50t。</w:t>
                  </w:r>
                </w:p>
              </w:tc>
              <w:tc>
                <w:tcPr>
                  <w:tcW w:w="1600" w:type="pct"/>
                  <w:vAlign w:val="center"/>
                </w:tcPr>
                <w:p>
                  <w:pPr>
                    <w:rPr>
                      <w:rFonts w:cstheme="minorHAnsi"/>
                      <w:szCs w:val="21"/>
                    </w:rPr>
                  </w:pPr>
                  <w:r>
                    <w:rPr>
                      <w:rFonts w:hint="eastAsia" w:cstheme="minorHAnsi"/>
                      <w:szCs w:val="21"/>
                    </w:rPr>
                    <w:t>本次改建新增危险废物主要为废润滑油及油桶、含油手套及抹布等，新增量约0</w:t>
                  </w:r>
                  <w:r>
                    <w:rPr>
                      <w:rFonts w:cstheme="minorHAnsi"/>
                      <w:szCs w:val="21"/>
                    </w:rPr>
                    <w:t>.03</w:t>
                  </w:r>
                  <w:r>
                    <w:rPr>
                      <w:rFonts w:hint="eastAsia" w:cstheme="minorHAnsi"/>
                      <w:szCs w:val="21"/>
                    </w:rPr>
                    <w:t>t</w:t>
                  </w:r>
                  <w:r>
                    <w:rPr>
                      <w:rFonts w:cstheme="minorHAnsi"/>
                      <w:szCs w:val="21"/>
                    </w:rPr>
                    <w:t>/a</w:t>
                  </w:r>
                  <w:r>
                    <w:rPr>
                      <w:rFonts w:hint="eastAsia" w:cstheme="minorHAnsi"/>
                      <w:szCs w:val="21"/>
                    </w:rPr>
                    <w:t>，不影响现有危废暂存间贮存能力和周转周期，依托可行。</w:t>
                  </w:r>
                </w:p>
              </w:tc>
            </w:tr>
          </w:tbl>
          <w:p>
            <w:pPr>
              <w:spacing w:line="360" w:lineRule="auto"/>
              <w:ind w:firstLine="482" w:firstLineChars="200"/>
              <w:rPr>
                <w:rFonts w:cs="Times New Roman"/>
                <w:b/>
                <w:sz w:val="24"/>
                <w:szCs w:val="24"/>
              </w:rPr>
            </w:pPr>
            <w:r>
              <w:rPr>
                <w:rFonts w:cs="Times New Roman"/>
                <w:b/>
                <w:sz w:val="24"/>
                <w:szCs w:val="24"/>
              </w:rPr>
              <w:t>6</w:t>
            </w:r>
            <w:r>
              <w:rPr>
                <w:rFonts w:hint="eastAsia" w:cs="Times New Roman"/>
                <w:b/>
                <w:sz w:val="24"/>
                <w:szCs w:val="24"/>
              </w:rPr>
              <w:t>、</w:t>
            </w:r>
            <w:r>
              <w:rPr>
                <w:rFonts w:cs="Times New Roman"/>
                <w:b/>
                <w:sz w:val="24"/>
                <w:szCs w:val="24"/>
              </w:rPr>
              <w:t>主要生产</w:t>
            </w:r>
            <w:r>
              <w:rPr>
                <w:rFonts w:hint="eastAsia" w:cs="Times New Roman"/>
                <w:b/>
                <w:sz w:val="24"/>
                <w:szCs w:val="24"/>
              </w:rPr>
              <w:t>设施信息</w:t>
            </w:r>
          </w:p>
          <w:p>
            <w:pPr>
              <w:spacing w:line="360" w:lineRule="auto"/>
              <w:ind w:firstLine="480" w:firstLineChars="200"/>
              <w:rPr>
                <w:kern w:val="24"/>
                <w:sz w:val="24"/>
                <w:szCs w:val="24"/>
              </w:rPr>
            </w:pPr>
            <w:r>
              <w:rPr>
                <w:rFonts w:hint="eastAsia"/>
                <w:kern w:val="24"/>
                <w:sz w:val="24"/>
                <w:szCs w:val="24"/>
              </w:rPr>
              <w:t>改建项目生产设施信息见下表。</w:t>
            </w:r>
          </w:p>
          <w:p>
            <w:pPr>
              <w:spacing w:line="360" w:lineRule="auto"/>
              <w:jc w:val="center"/>
              <w:rPr>
                <w:rFonts w:hint="eastAsia" w:ascii="黑体" w:hAnsi="黑体" w:eastAsia="黑体"/>
                <w:szCs w:val="21"/>
              </w:rPr>
            </w:pPr>
            <w:r>
              <w:rPr>
                <w:rFonts w:hint="eastAsia" w:ascii="黑体" w:hAnsi="黑体" w:eastAsia="黑体"/>
                <w:szCs w:val="21"/>
              </w:rPr>
              <w:t>表</w:t>
            </w:r>
            <w:r>
              <w:rPr>
                <w:rFonts w:eastAsia="黑体" w:cs="Times New Roman"/>
                <w:szCs w:val="21"/>
              </w:rPr>
              <w:t>2</w:t>
            </w:r>
            <w:r>
              <w:rPr>
                <w:rFonts w:hint="eastAsia" w:eastAsia="黑体" w:cs="Times New Roman"/>
                <w:szCs w:val="21"/>
              </w:rPr>
              <w:t>-</w:t>
            </w:r>
            <w:r>
              <w:rPr>
                <w:rFonts w:eastAsia="黑体" w:cs="Times New Roman"/>
                <w:szCs w:val="21"/>
              </w:rPr>
              <w:t xml:space="preserve">4  </w:t>
            </w:r>
            <w:r>
              <w:rPr>
                <w:rFonts w:hint="eastAsia" w:ascii="黑体" w:hAnsi="黑体" w:eastAsia="黑体"/>
                <w:szCs w:val="21"/>
              </w:rPr>
              <w:t>改建项目生产设施信息表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649"/>
              <w:gridCol w:w="1524"/>
              <w:gridCol w:w="1036"/>
              <w:gridCol w:w="1006"/>
              <w:gridCol w:w="1006"/>
              <w:gridCol w:w="1008"/>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0" w:type="pct"/>
                  <w:vMerge w:val="restart"/>
                  <w:vAlign w:val="center"/>
                </w:tcPr>
                <w:p>
                  <w:pPr>
                    <w:jc w:val="center"/>
                    <w:rPr>
                      <w:rFonts w:cs="Times New Roman"/>
                      <w:bCs/>
                      <w:kern w:val="0"/>
                      <w:szCs w:val="21"/>
                    </w:rPr>
                  </w:pPr>
                  <w:r>
                    <w:rPr>
                      <w:rFonts w:cs="Times New Roman"/>
                      <w:bCs/>
                      <w:kern w:val="0"/>
                      <w:szCs w:val="21"/>
                    </w:rPr>
                    <w:t>序号</w:t>
                  </w:r>
                </w:p>
              </w:tc>
              <w:tc>
                <w:tcPr>
                  <w:tcW w:w="901" w:type="pct"/>
                  <w:vMerge w:val="restart"/>
                  <w:shd w:val="clear" w:color="auto" w:fill="auto"/>
                  <w:vAlign w:val="center"/>
                </w:tcPr>
                <w:p>
                  <w:pPr>
                    <w:jc w:val="center"/>
                    <w:rPr>
                      <w:rFonts w:cs="Times New Roman"/>
                      <w:bCs/>
                      <w:kern w:val="0"/>
                      <w:szCs w:val="21"/>
                    </w:rPr>
                  </w:pPr>
                  <w:r>
                    <w:rPr>
                      <w:rFonts w:cs="Times New Roman"/>
                      <w:bCs/>
                      <w:kern w:val="0"/>
                      <w:szCs w:val="21"/>
                    </w:rPr>
                    <w:t>设施名称</w:t>
                  </w:r>
                </w:p>
              </w:tc>
              <w:tc>
                <w:tcPr>
                  <w:tcW w:w="833" w:type="pct"/>
                  <w:vMerge w:val="restart"/>
                  <w:shd w:val="clear" w:color="auto" w:fill="auto"/>
                  <w:vAlign w:val="center"/>
                </w:tcPr>
                <w:p>
                  <w:pPr>
                    <w:jc w:val="center"/>
                    <w:rPr>
                      <w:rFonts w:cs="Times New Roman"/>
                      <w:bCs/>
                      <w:kern w:val="0"/>
                      <w:szCs w:val="21"/>
                    </w:rPr>
                  </w:pPr>
                  <w:r>
                    <w:rPr>
                      <w:rFonts w:hint="eastAsia" w:cs="Times New Roman"/>
                      <w:bCs/>
                      <w:kern w:val="0"/>
                      <w:szCs w:val="21"/>
                    </w:rPr>
                    <w:t>设施</w:t>
                  </w:r>
                  <w:r>
                    <w:rPr>
                      <w:rFonts w:cs="Times New Roman"/>
                      <w:bCs/>
                      <w:kern w:val="0"/>
                      <w:szCs w:val="21"/>
                    </w:rPr>
                    <w:t>型号</w:t>
                  </w:r>
                </w:p>
              </w:tc>
              <w:tc>
                <w:tcPr>
                  <w:tcW w:w="566" w:type="pct"/>
                  <w:vMerge w:val="restart"/>
                  <w:vAlign w:val="center"/>
                </w:tcPr>
                <w:p>
                  <w:pPr>
                    <w:jc w:val="center"/>
                    <w:rPr>
                      <w:rFonts w:cs="Times New Roman"/>
                      <w:bCs/>
                      <w:kern w:val="0"/>
                      <w:szCs w:val="21"/>
                    </w:rPr>
                  </w:pPr>
                  <w:r>
                    <w:rPr>
                      <w:rFonts w:hint="eastAsia" w:cs="Times New Roman"/>
                      <w:bCs/>
                      <w:kern w:val="0"/>
                      <w:szCs w:val="21"/>
                    </w:rPr>
                    <w:t>单位</w:t>
                  </w:r>
                </w:p>
              </w:tc>
              <w:tc>
                <w:tcPr>
                  <w:tcW w:w="1651" w:type="pct"/>
                  <w:gridSpan w:val="3"/>
                  <w:vAlign w:val="center"/>
                </w:tcPr>
                <w:p>
                  <w:pPr>
                    <w:widowControl/>
                    <w:jc w:val="center"/>
                    <w:rPr>
                      <w:rFonts w:cs="Times New Roman"/>
                      <w:bCs/>
                      <w:kern w:val="0"/>
                      <w:szCs w:val="21"/>
                    </w:rPr>
                  </w:pPr>
                  <w:r>
                    <w:rPr>
                      <w:rFonts w:hint="eastAsia" w:cs="Times New Roman"/>
                      <w:bCs/>
                      <w:kern w:val="0"/>
                      <w:szCs w:val="21"/>
                    </w:rPr>
                    <w:t>数量</w:t>
                  </w:r>
                </w:p>
              </w:tc>
              <w:tc>
                <w:tcPr>
                  <w:tcW w:w="648" w:type="pct"/>
                  <w:vMerge w:val="restart"/>
                  <w:vAlign w:val="center"/>
                </w:tcPr>
                <w:p>
                  <w:pPr>
                    <w:widowControl/>
                    <w:jc w:val="center"/>
                    <w:rPr>
                      <w:rFonts w:cs="Times New Roman"/>
                      <w:bCs/>
                      <w:kern w:val="0"/>
                      <w:szCs w:val="21"/>
                    </w:rPr>
                  </w:pPr>
                  <w:r>
                    <w:rPr>
                      <w:rFonts w:hint="eastAsia" w:cs="Times New Roman"/>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0" w:type="pct"/>
                  <w:vMerge w:val="continue"/>
                  <w:vAlign w:val="center"/>
                </w:tcPr>
                <w:p>
                  <w:pPr>
                    <w:jc w:val="center"/>
                    <w:rPr>
                      <w:rFonts w:cs="Times New Roman"/>
                      <w:bCs/>
                      <w:kern w:val="0"/>
                      <w:szCs w:val="21"/>
                    </w:rPr>
                  </w:pPr>
                </w:p>
              </w:tc>
              <w:tc>
                <w:tcPr>
                  <w:tcW w:w="901" w:type="pct"/>
                  <w:vMerge w:val="continue"/>
                  <w:shd w:val="clear" w:color="auto" w:fill="auto"/>
                  <w:vAlign w:val="center"/>
                </w:tcPr>
                <w:p>
                  <w:pPr>
                    <w:jc w:val="center"/>
                    <w:rPr>
                      <w:rFonts w:cs="Times New Roman"/>
                      <w:bCs/>
                      <w:kern w:val="0"/>
                      <w:szCs w:val="21"/>
                    </w:rPr>
                  </w:pPr>
                </w:p>
              </w:tc>
              <w:tc>
                <w:tcPr>
                  <w:tcW w:w="833" w:type="pct"/>
                  <w:vMerge w:val="continue"/>
                  <w:shd w:val="clear" w:color="auto" w:fill="auto"/>
                  <w:vAlign w:val="center"/>
                </w:tcPr>
                <w:p>
                  <w:pPr>
                    <w:jc w:val="center"/>
                    <w:rPr>
                      <w:rFonts w:cs="Times New Roman"/>
                      <w:bCs/>
                      <w:kern w:val="0"/>
                      <w:szCs w:val="21"/>
                    </w:rPr>
                  </w:pPr>
                </w:p>
              </w:tc>
              <w:tc>
                <w:tcPr>
                  <w:tcW w:w="566" w:type="pct"/>
                  <w:vMerge w:val="continue"/>
                  <w:vAlign w:val="center"/>
                </w:tcPr>
                <w:p>
                  <w:pPr>
                    <w:jc w:val="center"/>
                    <w:rPr>
                      <w:rFonts w:cs="Times New Roman"/>
                      <w:bCs/>
                      <w:kern w:val="0"/>
                      <w:szCs w:val="21"/>
                    </w:rPr>
                  </w:pPr>
                </w:p>
              </w:tc>
              <w:tc>
                <w:tcPr>
                  <w:tcW w:w="550" w:type="pct"/>
                  <w:vAlign w:val="center"/>
                </w:tcPr>
                <w:p>
                  <w:pPr>
                    <w:widowControl/>
                    <w:jc w:val="center"/>
                    <w:rPr>
                      <w:rFonts w:cs="Times New Roman"/>
                      <w:bCs/>
                      <w:kern w:val="0"/>
                      <w:szCs w:val="21"/>
                    </w:rPr>
                  </w:pPr>
                  <w:r>
                    <w:rPr>
                      <w:rFonts w:hint="eastAsia" w:cs="Times New Roman"/>
                      <w:bCs/>
                      <w:kern w:val="0"/>
                      <w:szCs w:val="21"/>
                    </w:rPr>
                    <w:t>改建前</w:t>
                  </w:r>
                </w:p>
              </w:tc>
              <w:tc>
                <w:tcPr>
                  <w:tcW w:w="550" w:type="pct"/>
                </w:tcPr>
                <w:p>
                  <w:pPr>
                    <w:widowControl/>
                    <w:jc w:val="center"/>
                    <w:rPr>
                      <w:rFonts w:cs="Times New Roman"/>
                      <w:bCs/>
                      <w:kern w:val="0"/>
                      <w:szCs w:val="21"/>
                    </w:rPr>
                  </w:pPr>
                  <w:r>
                    <w:rPr>
                      <w:rFonts w:hint="eastAsia" w:cs="Times New Roman"/>
                      <w:bCs/>
                      <w:kern w:val="0"/>
                      <w:szCs w:val="21"/>
                    </w:rPr>
                    <w:t>改建后</w:t>
                  </w:r>
                </w:p>
              </w:tc>
              <w:tc>
                <w:tcPr>
                  <w:tcW w:w="551" w:type="pct"/>
                </w:tcPr>
                <w:p>
                  <w:pPr>
                    <w:widowControl/>
                    <w:jc w:val="center"/>
                    <w:rPr>
                      <w:rFonts w:cs="Times New Roman"/>
                      <w:bCs/>
                      <w:kern w:val="0"/>
                      <w:szCs w:val="21"/>
                    </w:rPr>
                  </w:pPr>
                  <w:r>
                    <w:rPr>
                      <w:rFonts w:hint="eastAsia" w:cs="Times New Roman"/>
                      <w:bCs/>
                      <w:kern w:val="0"/>
                      <w:szCs w:val="21"/>
                    </w:rPr>
                    <w:t>变化量</w:t>
                  </w:r>
                </w:p>
              </w:tc>
              <w:tc>
                <w:tcPr>
                  <w:tcW w:w="648" w:type="pct"/>
                  <w:vMerge w:val="continue"/>
                  <w:vAlign w:val="center"/>
                </w:tcPr>
                <w:p>
                  <w:pPr>
                    <w:widowControl/>
                    <w:jc w:val="center"/>
                    <w:rPr>
                      <w:rFonts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0" w:type="pct"/>
                  <w:vAlign w:val="center"/>
                </w:tcPr>
                <w:p>
                  <w:pPr>
                    <w:widowControl/>
                    <w:jc w:val="center"/>
                    <w:rPr>
                      <w:szCs w:val="21"/>
                    </w:rPr>
                  </w:pPr>
                  <w:r>
                    <w:rPr>
                      <w:rFonts w:hint="eastAsia"/>
                      <w:szCs w:val="21"/>
                    </w:rPr>
                    <w:t>1</w:t>
                  </w:r>
                </w:p>
              </w:tc>
              <w:tc>
                <w:tcPr>
                  <w:tcW w:w="901" w:type="pct"/>
                  <w:shd w:val="clear" w:color="auto" w:fill="auto"/>
                  <w:vAlign w:val="center"/>
                </w:tcPr>
                <w:p>
                  <w:pPr>
                    <w:widowControl/>
                    <w:jc w:val="center"/>
                    <w:rPr>
                      <w:rFonts w:cs="Times New Roman"/>
                      <w:bCs/>
                      <w:kern w:val="0"/>
                      <w:szCs w:val="21"/>
                    </w:rPr>
                  </w:pPr>
                  <w:r>
                    <w:rPr>
                      <w:rFonts w:hint="eastAsia" w:cs="Times New Roman"/>
                      <w:bCs/>
                      <w:kern w:val="0"/>
                      <w:szCs w:val="21"/>
                    </w:rPr>
                    <w:t>破碎机</w:t>
                  </w:r>
                </w:p>
              </w:tc>
              <w:tc>
                <w:tcPr>
                  <w:tcW w:w="833" w:type="pct"/>
                  <w:shd w:val="clear" w:color="auto" w:fill="auto"/>
                  <w:vAlign w:val="center"/>
                </w:tcPr>
                <w:p>
                  <w:pPr>
                    <w:jc w:val="center"/>
                    <w:rPr>
                      <w:rFonts w:cs="Times New Roman"/>
                      <w:szCs w:val="21"/>
                    </w:rPr>
                  </w:pPr>
                  <w:r>
                    <w:rPr>
                      <w:rFonts w:hint="eastAsia" w:cs="Times New Roman"/>
                      <w:szCs w:val="21"/>
                    </w:rPr>
                    <w:t>PFS1316G</w:t>
                  </w:r>
                </w:p>
              </w:tc>
              <w:tc>
                <w:tcPr>
                  <w:tcW w:w="566" w:type="pct"/>
                  <w:vAlign w:val="center"/>
                </w:tcPr>
                <w:p>
                  <w:pPr>
                    <w:widowControl/>
                    <w:jc w:val="center"/>
                    <w:rPr>
                      <w:rFonts w:cs="Times New Roman"/>
                      <w:bCs/>
                      <w:kern w:val="0"/>
                      <w:szCs w:val="21"/>
                    </w:rPr>
                  </w:pPr>
                  <w:r>
                    <w:rPr>
                      <w:rFonts w:cs="Times New Roman"/>
                      <w:bCs/>
                      <w:kern w:val="0"/>
                      <w:szCs w:val="21"/>
                    </w:rPr>
                    <w:t>台</w:t>
                  </w:r>
                </w:p>
              </w:tc>
              <w:tc>
                <w:tcPr>
                  <w:tcW w:w="550" w:type="pct"/>
                  <w:vAlign w:val="center"/>
                </w:tcPr>
                <w:p>
                  <w:pPr>
                    <w:widowControl/>
                    <w:jc w:val="center"/>
                    <w:rPr>
                      <w:rFonts w:cs="Times New Roman"/>
                      <w:bCs/>
                      <w:kern w:val="0"/>
                      <w:szCs w:val="21"/>
                    </w:rPr>
                  </w:pPr>
                  <w:r>
                    <w:rPr>
                      <w:rFonts w:hint="eastAsia" w:cs="Times New Roman"/>
                      <w:bCs/>
                      <w:kern w:val="0"/>
                      <w:szCs w:val="21"/>
                    </w:rPr>
                    <w:t>1</w:t>
                  </w:r>
                </w:p>
              </w:tc>
              <w:tc>
                <w:tcPr>
                  <w:tcW w:w="550" w:type="pct"/>
                </w:tcPr>
                <w:p>
                  <w:pPr>
                    <w:widowControl/>
                    <w:jc w:val="center"/>
                    <w:rPr>
                      <w:rFonts w:cs="Times New Roman"/>
                      <w:bCs/>
                      <w:kern w:val="0"/>
                      <w:szCs w:val="21"/>
                    </w:rPr>
                  </w:pPr>
                  <w:r>
                    <w:rPr>
                      <w:rFonts w:hint="eastAsia" w:cs="Times New Roman"/>
                      <w:bCs/>
                      <w:kern w:val="0"/>
                      <w:szCs w:val="21"/>
                    </w:rPr>
                    <w:t>1</w:t>
                  </w:r>
                </w:p>
              </w:tc>
              <w:tc>
                <w:tcPr>
                  <w:tcW w:w="551" w:type="pct"/>
                </w:tcPr>
                <w:p>
                  <w:pPr>
                    <w:widowControl/>
                    <w:jc w:val="center"/>
                    <w:rPr>
                      <w:rFonts w:cs="Times New Roman"/>
                      <w:bCs/>
                      <w:kern w:val="0"/>
                      <w:szCs w:val="21"/>
                    </w:rPr>
                  </w:pPr>
                  <w:r>
                    <w:rPr>
                      <w:rFonts w:hint="eastAsia" w:cs="Times New Roman"/>
                      <w:bCs/>
                      <w:kern w:val="0"/>
                      <w:szCs w:val="21"/>
                    </w:rPr>
                    <w:t>0</w:t>
                  </w:r>
                </w:p>
              </w:tc>
              <w:tc>
                <w:tcPr>
                  <w:tcW w:w="648" w:type="pct"/>
                  <w:vMerge w:val="restart"/>
                  <w:vAlign w:val="center"/>
                </w:tcPr>
                <w:p>
                  <w:pPr>
                    <w:widowControl/>
                    <w:jc w:val="center"/>
                    <w:rPr>
                      <w:rFonts w:cs="Times New Roman"/>
                      <w:bCs/>
                      <w:kern w:val="0"/>
                      <w:szCs w:val="21"/>
                    </w:rPr>
                  </w:pPr>
                  <w:r>
                    <w:rPr>
                      <w:rFonts w:hint="eastAsia" w:cs="Times New Roman"/>
                      <w:bCs/>
                      <w:kern w:val="0"/>
                      <w:szCs w:val="21"/>
                    </w:rPr>
                    <w:t>骨料生产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0" w:type="pct"/>
                  <w:vAlign w:val="center"/>
                </w:tcPr>
                <w:p>
                  <w:pPr>
                    <w:widowControl/>
                    <w:jc w:val="center"/>
                    <w:rPr>
                      <w:szCs w:val="21"/>
                    </w:rPr>
                  </w:pPr>
                  <w:r>
                    <w:rPr>
                      <w:rFonts w:hint="eastAsia"/>
                      <w:szCs w:val="21"/>
                    </w:rPr>
                    <w:t>2</w:t>
                  </w:r>
                </w:p>
              </w:tc>
              <w:tc>
                <w:tcPr>
                  <w:tcW w:w="901" w:type="pct"/>
                  <w:shd w:val="clear" w:color="auto" w:fill="auto"/>
                  <w:vAlign w:val="center"/>
                </w:tcPr>
                <w:p>
                  <w:pPr>
                    <w:widowControl/>
                    <w:jc w:val="center"/>
                    <w:rPr>
                      <w:rFonts w:cs="Times New Roman"/>
                      <w:bCs/>
                      <w:kern w:val="0"/>
                      <w:szCs w:val="21"/>
                    </w:rPr>
                  </w:pPr>
                  <w:r>
                    <w:rPr>
                      <w:rFonts w:hint="eastAsia" w:cs="Times New Roman"/>
                      <w:bCs/>
                      <w:kern w:val="0"/>
                      <w:szCs w:val="21"/>
                    </w:rPr>
                    <w:t>筛分机</w:t>
                  </w:r>
                </w:p>
              </w:tc>
              <w:tc>
                <w:tcPr>
                  <w:tcW w:w="833" w:type="pct"/>
                  <w:shd w:val="clear" w:color="auto" w:fill="auto"/>
                  <w:vAlign w:val="center"/>
                </w:tcPr>
                <w:p>
                  <w:pPr>
                    <w:jc w:val="center"/>
                    <w:rPr>
                      <w:rFonts w:cs="Times New Roman"/>
                      <w:szCs w:val="21"/>
                    </w:rPr>
                  </w:pPr>
                  <w:r>
                    <w:rPr>
                      <w:rFonts w:hint="eastAsia" w:cs="Times New Roman"/>
                      <w:szCs w:val="21"/>
                    </w:rPr>
                    <w:t>3YK3070</w:t>
                  </w:r>
                </w:p>
              </w:tc>
              <w:tc>
                <w:tcPr>
                  <w:tcW w:w="566" w:type="pct"/>
                  <w:vAlign w:val="center"/>
                </w:tcPr>
                <w:p>
                  <w:pPr>
                    <w:widowControl/>
                    <w:jc w:val="center"/>
                    <w:rPr>
                      <w:rFonts w:cs="Times New Roman"/>
                      <w:bCs/>
                      <w:kern w:val="0"/>
                      <w:szCs w:val="21"/>
                    </w:rPr>
                  </w:pPr>
                  <w:r>
                    <w:rPr>
                      <w:rFonts w:cs="Times New Roman"/>
                      <w:bCs/>
                      <w:kern w:val="0"/>
                      <w:szCs w:val="21"/>
                    </w:rPr>
                    <w:t>台</w:t>
                  </w:r>
                </w:p>
              </w:tc>
              <w:tc>
                <w:tcPr>
                  <w:tcW w:w="550" w:type="pct"/>
                  <w:vAlign w:val="center"/>
                </w:tcPr>
                <w:p>
                  <w:pPr>
                    <w:widowControl/>
                    <w:jc w:val="center"/>
                    <w:rPr>
                      <w:rFonts w:cs="Times New Roman"/>
                      <w:bCs/>
                      <w:kern w:val="0"/>
                      <w:szCs w:val="21"/>
                    </w:rPr>
                  </w:pPr>
                  <w:r>
                    <w:rPr>
                      <w:rFonts w:hint="eastAsia" w:cs="Times New Roman"/>
                      <w:bCs/>
                      <w:kern w:val="0"/>
                      <w:szCs w:val="21"/>
                    </w:rPr>
                    <w:t>1</w:t>
                  </w:r>
                </w:p>
              </w:tc>
              <w:tc>
                <w:tcPr>
                  <w:tcW w:w="550" w:type="pct"/>
                </w:tcPr>
                <w:p>
                  <w:pPr>
                    <w:widowControl/>
                    <w:jc w:val="center"/>
                    <w:rPr>
                      <w:rFonts w:cs="Times New Roman"/>
                      <w:bCs/>
                      <w:kern w:val="0"/>
                      <w:szCs w:val="21"/>
                    </w:rPr>
                  </w:pPr>
                  <w:r>
                    <w:rPr>
                      <w:rFonts w:hint="eastAsia" w:cs="Times New Roman"/>
                      <w:bCs/>
                      <w:kern w:val="0"/>
                      <w:szCs w:val="21"/>
                    </w:rPr>
                    <w:t>1</w:t>
                  </w:r>
                </w:p>
              </w:tc>
              <w:tc>
                <w:tcPr>
                  <w:tcW w:w="551" w:type="pct"/>
                </w:tcPr>
                <w:p>
                  <w:pPr>
                    <w:widowControl/>
                    <w:jc w:val="center"/>
                    <w:rPr>
                      <w:rFonts w:cs="Times New Roman"/>
                      <w:bCs/>
                      <w:kern w:val="0"/>
                      <w:szCs w:val="21"/>
                    </w:rPr>
                  </w:pPr>
                  <w:r>
                    <w:rPr>
                      <w:rFonts w:hint="eastAsia" w:cs="Times New Roman"/>
                      <w:bCs/>
                      <w:kern w:val="0"/>
                      <w:szCs w:val="21"/>
                    </w:rPr>
                    <w:t>0</w:t>
                  </w:r>
                </w:p>
              </w:tc>
              <w:tc>
                <w:tcPr>
                  <w:tcW w:w="648" w:type="pct"/>
                  <w:vMerge w:val="continue"/>
                  <w:vAlign w:val="center"/>
                </w:tcPr>
                <w:p>
                  <w:pPr>
                    <w:widowControl/>
                    <w:jc w:val="center"/>
                    <w:rPr>
                      <w:rFonts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0" w:type="pct"/>
                  <w:vAlign w:val="center"/>
                </w:tcPr>
                <w:p>
                  <w:pPr>
                    <w:widowControl/>
                    <w:jc w:val="center"/>
                    <w:rPr>
                      <w:szCs w:val="21"/>
                    </w:rPr>
                  </w:pPr>
                  <w:r>
                    <w:rPr>
                      <w:rFonts w:hint="eastAsia"/>
                      <w:szCs w:val="21"/>
                    </w:rPr>
                    <w:t>3</w:t>
                  </w:r>
                </w:p>
              </w:tc>
              <w:tc>
                <w:tcPr>
                  <w:tcW w:w="901" w:type="pct"/>
                  <w:shd w:val="clear" w:color="auto" w:fill="auto"/>
                  <w:vAlign w:val="center"/>
                </w:tcPr>
                <w:p>
                  <w:pPr>
                    <w:widowControl/>
                    <w:jc w:val="center"/>
                    <w:rPr>
                      <w:rFonts w:cs="Times New Roman"/>
                      <w:bCs/>
                      <w:kern w:val="0"/>
                      <w:szCs w:val="21"/>
                    </w:rPr>
                  </w:pPr>
                  <w:r>
                    <w:rPr>
                      <w:rFonts w:hint="eastAsia" w:cs="Times New Roman"/>
                      <w:bCs/>
                      <w:kern w:val="0"/>
                      <w:szCs w:val="21"/>
                    </w:rPr>
                    <w:t>筛分机</w:t>
                  </w:r>
                </w:p>
              </w:tc>
              <w:tc>
                <w:tcPr>
                  <w:tcW w:w="833" w:type="pct"/>
                  <w:shd w:val="clear" w:color="auto" w:fill="auto"/>
                  <w:vAlign w:val="center"/>
                </w:tcPr>
                <w:p>
                  <w:pPr>
                    <w:jc w:val="center"/>
                    <w:rPr>
                      <w:rFonts w:cs="Times New Roman"/>
                      <w:szCs w:val="21"/>
                    </w:rPr>
                  </w:pPr>
                  <w:r>
                    <w:rPr>
                      <w:rFonts w:hint="eastAsia" w:cs="Times New Roman"/>
                      <w:szCs w:val="21"/>
                    </w:rPr>
                    <w:t>2</w:t>
                  </w:r>
                  <w:r>
                    <w:rPr>
                      <w:rFonts w:cs="Times New Roman"/>
                      <w:szCs w:val="21"/>
                    </w:rPr>
                    <w:t>00</w:t>
                  </w:r>
                  <w:r>
                    <w:rPr>
                      <w:rFonts w:hint="eastAsia" w:cs="Times New Roman"/>
                      <w:szCs w:val="21"/>
                    </w:rPr>
                    <w:t>t</w:t>
                  </w:r>
                  <w:r>
                    <w:rPr>
                      <w:rFonts w:cs="Times New Roman"/>
                      <w:szCs w:val="21"/>
                    </w:rPr>
                    <w:t>/h</w:t>
                  </w:r>
                </w:p>
              </w:tc>
              <w:tc>
                <w:tcPr>
                  <w:tcW w:w="566" w:type="pct"/>
                  <w:vAlign w:val="center"/>
                </w:tcPr>
                <w:p>
                  <w:pPr>
                    <w:widowControl/>
                    <w:jc w:val="center"/>
                    <w:rPr>
                      <w:rFonts w:cs="Times New Roman"/>
                      <w:bCs/>
                      <w:kern w:val="0"/>
                      <w:szCs w:val="21"/>
                    </w:rPr>
                  </w:pPr>
                  <w:r>
                    <w:rPr>
                      <w:rFonts w:cs="Times New Roman"/>
                      <w:bCs/>
                      <w:kern w:val="0"/>
                      <w:szCs w:val="21"/>
                    </w:rPr>
                    <w:t>台</w:t>
                  </w:r>
                </w:p>
              </w:tc>
              <w:tc>
                <w:tcPr>
                  <w:tcW w:w="550" w:type="pct"/>
                  <w:vAlign w:val="center"/>
                </w:tcPr>
                <w:p>
                  <w:pPr>
                    <w:widowControl/>
                    <w:jc w:val="center"/>
                    <w:rPr>
                      <w:rFonts w:cs="Times New Roman"/>
                      <w:bCs/>
                      <w:kern w:val="0"/>
                      <w:szCs w:val="21"/>
                    </w:rPr>
                  </w:pPr>
                  <w:r>
                    <w:rPr>
                      <w:rFonts w:cs="Times New Roman"/>
                      <w:bCs/>
                      <w:kern w:val="0"/>
                      <w:szCs w:val="21"/>
                    </w:rPr>
                    <w:t>0</w:t>
                  </w:r>
                </w:p>
              </w:tc>
              <w:tc>
                <w:tcPr>
                  <w:tcW w:w="550" w:type="pct"/>
                </w:tcPr>
                <w:p>
                  <w:pPr>
                    <w:widowControl/>
                    <w:jc w:val="center"/>
                    <w:rPr>
                      <w:rFonts w:cs="Times New Roman"/>
                      <w:bCs/>
                      <w:kern w:val="0"/>
                      <w:szCs w:val="21"/>
                    </w:rPr>
                  </w:pPr>
                  <w:r>
                    <w:rPr>
                      <w:rFonts w:hint="eastAsia" w:cs="Times New Roman"/>
                      <w:bCs/>
                      <w:kern w:val="0"/>
                      <w:szCs w:val="21"/>
                    </w:rPr>
                    <w:t>1</w:t>
                  </w:r>
                </w:p>
              </w:tc>
              <w:tc>
                <w:tcPr>
                  <w:tcW w:w="551" w:type="pct"/>
                </w:tcPr>
                <w:p>
                  <w:pPr>
                    <w:widowControl/>
                    <w:jc w:val="center"/>
                    <w:rPr>
                      <w:rFonts w:cs="Times New Roman"/>
                      <w:bCs/>
                      <w:kern w:val="0"/>
                      <w:szCs w:val="21"/>
                    </w:rPr>
                  </w:pPr>
                  <w:r>
                    <w:rPr>
                      <w:rFonts w:cs="Times New Roman"/>
                      <w:bCs/>
                      <w:kern w:val="0"/>
                      <w:szCs w:val="21"/>
                    </w:rPr>
                    <w:t>+1</w:t>
                  </w:r>
                </w:p>
              </w:tc>
              <w:tc>
                <w:tcPr>
                  <w:tcW w:w="648" w:type="pct"/>
                  <w:vMerge w:val="restart"/>
                  <w:vAlign w:val="center"/>
                </w:tcPr>
                <w:p>
                  <w:pPr>
                    <w:jc w:val="center"/>
                    <w:rPr>
                      <w:rFonts w:cs="Times New Roman"/>
                      <w:bCs/>
                      <w:kern w:val="0"/>
                      <w:szCs w:val="21"/>
                    </w:rPr>
                  </w:pPr>
                  <w:r>
                    <w:rPr>
                      <w:rFonts w:hint="eastAsia" w:cs="Times New Roman"/>
                      <w:bCs/>
                      <w:kern w:val="0"/>
                      <w:szCs w:val="21"/>
                    </w:rPr>
                    <w:t>制砂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0" w:type="pct"/>
                  <w:vAlign w:val="center"/>
                </w:tcPr>
                <w:p>
                  <w:pPr>
                    <w:widowControl/>
                    <w:jc w:val="center"/>
                    <w:rPr>
                      <w:szCs w:val="21"/>
                    </w:rPr>
                  </w:pPr>
                  <w:r>
                    <w:rPr>
                      <w:rFonts w:hint="eastAsia"/>
                      <w:szCs w:val="21"/>
                    </w:rPr>
                    <w:t>4</w:t>
                  </w:r>
                </w:p>
              </w:tc>
              <w:tc>
                <w:tcPr>
                  <w:tcW w:w="901" w:type="pct"/>
                  <w:shd w:val="clear" w:color="auto" w:fill="auto"/>
                  <w:vAlign w:val="center"/>
                </w:tcPr>
                <w:p>
                  <w:pPr>
                    <w:widowControl/>
                    <w:jc w:val="center"/>
                    <w:rPr>
                      <w:rFonts w:cs="Times New Roman"/>
                      <w:bCs/>
                      <w:kern w:val="0"/>
                      <w:szCs w:val="21"/>
                    </w:rPr>
                  </w:pPr>
                  <w:r>
                    <w:rPr>
                      <w:rFonts w:hint="eastAsia" w:cs="Times New Roman"/>
                      <w:bCs/>
                      <w:kern w:val="0"/>
                      <w:szCs w:val="21"/>
                    </w:rPr>
                    <w:t>制砂机</w:t>
                  </w:r>
                </w:p>
              </w:tc>
              <w:tc>
                <w:tcPr>
                  <w:tcW w:w="833" w:type="pct"/>
                  <w:shd w:val="clear" w:color="auto" w:fill="auto"/>
                  <w:vAlign w:val="center"/>
                </w:tcPr>
                <w:p>
                  <w:pPr>
                    <w:jc w:val="center"/>
                    <w:rPr>
                      <w:rFonts w:cs="Times New Roman"/>
                      <w:szCs w:val="21"/>
                    </w:rPr>
                  </w:pPr>
                  <w:r>
                    <w:rPr>
                      <w:rFonts w:hint="eastAsia" w:cs="Times New Roman"/>
                      <w:szCs w:val="21"/>
                    </w:rPr>
                    <w:t>2</w:t>
                  </w:r>
                  <w:r>
                    <w:rPr>
                      <w:rFonts w:cs="Times New Roman"/>
                      <w:szCs w:val="21"/>
                    </w:rPr>
                    <w:t>00</w:t>
                  </w:r>
                  <w:r>
                    <w:rPr>
                      <w:rFonts w:hint="eastAsia" w:cs="Times New Roman"/>
                      <w:szCs w:val="21"/>
                    </w:rPr>
                    <w:t>t</w:t>
                  </w:r>
                  <w:r>
                    <w:rPr>
                      <w:rFonts w:cs="Times New Roman"/>
                      <w:szCs w:val="21"/>
                    </w:rPr>
                    <w:t>/h</w:t>
                  </w:r>
                </w:p>
              </w:tc>
              <w:tc>
                <w:tcPr>
                  <w:tcW w:w="566" w:type="pct"/>
                  <w:vAlign w:val="center"/>
                </w:tcPr>
                <w:p>
                  <w:pPr>
                    <w:widowControl/>
                    <w:jc w:val="center"/>
                    <w:rPr>
                      <w:rFonts w:cs="Times New Roman"/>
                      <w:bCs/>
                      <w:kern w:val="0"/>
                      <w:szCs w:val="21"/>
                    </w:rPr>
                  </w:pPr>
                  <w:r>
                    <w:rPr>
                      <w:rFonts w:cs="Times New Roman"/>
                      <w:bCs/>
                      <w:kern w:val="0"/>
                      <w:szCs w:val="21"/>
                    </w:rPr>
                    <w:t>台</w:t>
                  </w:r>
                </w:p>
              </w:tc>
              <w:tc>
                <w:tcPr>
                  <w:tcW w:w="550" w:type="pct"/>
                  <w:vAlign w:val="center"/>
                </w:tcPr>
                <w:p>
                  <w:pPr>
                    <w:widowControl/>
                    <w:jc w:val="center"/>
                    <w:rPr>
                      <w:rFonts w:cs="Times New Roman"/>
                      <w:bCs/>
                      <w:kern w:val="0"/>
                      <w:szCs w:val="21"/>
                    </w:rPr>
                  </w:pPr>
                  <w:r>
                    <w:rPr>
                      <w:rFonts w:cs="Times New Roman"/>
                      <w:bCs/>
                      <w:kern w:val="0"/>
                      <w:szCs w:val="21"/>
                    </w:rPr>
                    <w:t>0</w:t>
                  </w:r>
                </w:p>
              </w:tc>
              <w:tc>
                <w:tcPr>
                  <w:tcW w:w="550" w:type="pct"/>
                </w:tcPr>
                <w:p>
                  <w:pPr>
                    <w:widowControl/>
                    <w:jc w:val="center"/>
                    <w:rPr>
                      <w:rFonts w:cs="Times New Roman"/>
                      <w:bCs/>
                      <w:kern w:val="0"/>
                      <w:szCs w:val="21"/>
                    </w:rPr>
                  </w:pPr>
                  <w:r>
                    <w:rPr>
                      <w:rFonts w:hint="eastAsia" w:cs="Times New Roman"/>
                      <w:bCs/>
                      <w:kern w:val="0"/>
                      <w:szCs w:val="21"/>
                    </w:rPr>
                    <w:t>1</w:t>
                  </w:r>
                </w:p>
              </w:tc>
              <w:tc>
                <w:tcPr>
                  <w:tcW w:w="551" w:type="pct"/>
                </w:tcPr>
                <w:p>
                  <w:pPr>
                    <w:widowControl/>
                    <w:jc w:val="center"/>
                    <w:rPr>
                      <w:rFonts w:cs="Times New Roman"/>
                      <w:bCs/>
                      <w:kern w:val="0"/>
                      <w:szCs w:val="21"/>
                    </w:rPr>
                  </w:pPr>
                  <w:r>
                    <w:rPr>
                      <w:rFonts w:cs="Times New Roman"/>
                      <w:bCs/>
                      <w:kern w:val="0"/>
                      <w:szCs w:val="21"/>
                    </w:rPr>
                    <w:t>+1</w:t>
                  </w:r>
                </w:p>
              </w:tc>
              <w:tc>
                <w:tcPr>
                  <w:tcW w:w="648" w:type="pct"/>
                  <w:vMerge w:val="continue"/>
                  <w:vAlign w:val="center"/>
                </w:tcPr>
                <w:p>
                  <w:pPr>
                    <w:widowControl/>
                    <w:jc w:val="center"/>
                    <w:rPr>
                      <w:rFonts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0" w:type="pct"/>
                  <w:vAlign w:val="center"/>
                </w:tcPr>
                <w:p>
                  <w:pPr>
                    <w:widowControl/>
                    <w:jc w:val="center"/>
                    <w:rPr>
                      <w:szCs w:val="21"/>
                    </w:rPr>
                  </w:pPr>
                  <w:r>
                    <w:rPr>
                      <w:rFonts w:hint="eastAsia"/>
                      <w:szCs w:val="21"/>
                    </w:rPr>
                    <w:t>5</w:t>
                  </w:r>
                </w:p>
              </w:tc>
              <w:tc>
                <w:tcPr>
                  <w:tcW w:w="901" w:type="pct"/>
                  <w:shd w:val="clear" w:color="auto" w:fill="auto"/>
                  <w:vAlign w:val="center"/>
                </w:tcPr>
                <w:p>
                  <w:pPr>
                    <w:widowControl/>
                    <w:jc w:val="center"/>
                    <w:rPr>
                      <w:rFonts w:cs="Times New Roman"/>
                      <w:szCs w:val="21"/>
                    </w:rPr>
                  </w:pPr>
                  <w:r>
                    <w:rPr>
                      <w:rFonts w:hint="eastAsia" w:cs="Times New Roman"/>
                      <w:szCs w:val="21"/>
                    </w:rPr>
                    <w:t>皮带机</w:t>
                  </w:r>
                </w:p>
              </w:tc>
              <w:tc>
                <w:tcPr>
                  <w:tcW w:w="833" w:type="pct"/>
                  <w:shd w:val="clear" w:color="auto" w:fill="auto"/>
                  <w:vAlign w:val="center"/>
                </w:tcPr>
                <w:p>
                  <w:pPr>
                    <w:jc w:val="center"/>
                    <w:rPr>
                      <w:rFonts w:cs="Times New Roman"/>
                      <w:szCs w:val="21"/>
                    </w:rPr>
                  </w:pPr>
                  <w:r>
                    <w:rPr>
                      <w:rFonts w:cs="Times New Roman"/>
                      <w:szCs w:val="21"/>
                    </w:rPr>
                    <w:t>/</w:t>
                  </w:r>
                </w:p>
              </w:tc>
              <w:tc>
                <w:tcPr>
                  <w:tcW w:w="566" w:type="pct"/>
                  <w:vAlign w:val="center"/>
                </w:tcPr>
                <w:p>
                  <w:pPr>
                    <w:widowControl/>
                    <w:jc w:val="center"/>
                    <w:rPr>
                      <w:rFonts w:cs="Times New Roman"/>
                      <w:bCs/>
                      <w:kern w:val="0"/>
                      <w:szCs w:val="21"/>
                    </w:rPr>
                  </w:pPr>
                  <w:r>
                    <w:rPr>
                      <w:rFonts w:hint="eastAsia" w:cs="Times New Roman"/>
                      <w:bCs/>
                      <w:kern w:val="0"/>
                      <w:szCs w:val="21"/>
                    </w:rPr>
                    <w:t>条</w:t>
                  </w:r>
                </w:p>
              </w:tc>
              <w:tc>
                <w:tcPr>
                  <w:tcW w:w="550" w:type="pct"/>
                  <w:vAlign w:val="center"/>
                </w:tcPr>
                <w:p>
                  <w:pPr>
                    <w:widowControl/>
                    <w:jc w:val="center"/>
                    <w:rPr>
                      <w:rFonts w:cs="Times New Roman"/>
                      <w:bCs/>
                      <w:kern w:val="0"/>
                      <w:szCs w:val="21"/>
                    </w:rPr>
                  </w:pPr>
                  <w:r>
                    <w:rPr>
                      <w:rFonts w:hint="eastAsia" w:cs="Times New Roman"/>
                      <w:bCs/>
                      <w:kern w:val="0"/>
                      <w:szCs w:val="21"/>
                    </w:rPr>
                    <w:t>8</w:t>
                  </w:r>
                </w:p>
              </w:tc>
              <w:tc>
                <w:tcPr>
                  <w:tcW w:w="550" w:type="pct"/>
                </w:tcPr>
                <w:p>
                  <w:pPr>
                    <w:widowControl/>
                    <w:jc w:val="center"/>
                    <w:rPr>
                      <w:rFonts w:cs="Times New Roman"/>
                      <w:bCs/>
                      <w:kern w:val="0"/>
                      <w:szCs w:val="21"/>
                    </w:rPr>
                  </w:pPr>
                  <w:r>
                    <w:rPr>
                      <w:rFonts w:hint="eastAsia" w:cs="Times New Roman"/>
                      <w:bCs/>
                      <w:kern w:val="0"/>
                      <w:szCs w:val="21"/>
                    </w:rPr>
                    <w:t>12</w:t>
                  </w:r>
                </w:p>
              </w:tc>
              <w:tc>
                <w:tcPr>
                  <w:tcW w:w="551" w:type="pct"/>
                </w:tcPr>
                <w:p>
                  <w:pPr>
                    <w:widowControl/>
                    <w:jc w:val="center"/>
                    <w:rPr>
                      <w:rFonts w:cs="Times New Roman"/>
                      <w:bCs/>
                      <w:kern w:val="0"/>
                      <w:szCs w:val="21"/>
                    </w:rPr>
                  </w:pPr>
                  <w:r>
                    <w:rPr>
                      <w:rFonts w:cs="Times New Roman"/>
                      <w:bCs/>
                      <w:kern w:val="0"/>
                      <w:szCs w:val="21"/>
                    </w:rPr>
                    <w:t>+4</w:t>
                  </w:r>
                </w:p>
              </w:tc>
              <w:tc>
                <w:tcPr>
                  <w:tcW w:w="648" w:type="pct"/>
                  <w:vAlign w:val="center"/>
                </w:tcPr>
                <w:p>
                  <w:pPr>
                    <w:widowControl/>
                    <w:jc w:val="center"/>
                    <w:rPr>
                      <w:rFonts w:cs="Times New Roman"/>
                      <w:bCs/>
                      <w:kern w:val="0"/>
                      <w:szCs w:val="21"/>
                    </w:rPr>
                  </w:pPr>
                  <w:r>
                    <w:rPr>
                      <w:rFonts w:hint="eastAsia" w:cs="Times New Roman"/>
                      <w:bCs/>
                      <w:kern w:val="0"/>
                      <w:szCs w:val="21"/>
                    </w:rPr>
                    <w:t>物料输送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0" w:type="pct"/>
                  <w:vAlign w:val="center"/>
                </w:tcPr>
                <w:p>
                  <w:pPr>
                    <w:widowControl/>
                    <w:jc w:val="center"/>
                    <w:rPr>
                      <w:szCs w:val="21"/>
                    </w:rPr>
                  </w:pPr>
                  <w:r>
                    <w:rPr>
                      <w:rFonts w:hint="eastAsia"/>
                      <w:szCs w:val="21"/>
                    </w:rPr>
                    <w:t>6</w:t>
                  </w:r>
                </w:p>
              </w:tc>
              <w:tc>
                <w:tcPr>
                  <w:tcW w:w="901" w:type="pct"/>
                  <w:shd w:val="clear" w:color="auto" w:fill="auto"/>
                  <w:vAlign w:val="center"/>
                </w:tcPr>
                <w:p>
                  <w:pPr>
                    <w:widowControl/>
                    <w:jc w:val="center"/>
                    <w:rPr>
                      <w:szCs w:val="21"/>
                    </w:rPr>
                  </w:pPr>
                  <w:r>
                    <w:rPr>
                      <w:rFonts w:hint="eastAsia"/>
                      <w:szCs w:val="21"/>
                    </w:rPr>
                    <w:t>空压机</w:t>
                  </w:r>
                </w:p>
              </w:tc>
              <w:tc>
                <w:tcPr>
                  <w:tcW w:w="833" w:type="pct"/>
                  <w:shd w:val="clear" w:color="auto" w:fill="auto"/>
                  <w:vAlign w:val="center"/>
                </w:tcPr>
                <w:p>
                  <w:pPr>
                    <w:jc w:val="center"/>
                    <w:rPr>
                      <w:rFonts w:cstheme="minorHAnsi"/>
                      <w:szCs w:val="21"/>
                    </w:rPr>
                  </w:pPr>
                  <w:r>
                    <w:rPr>
                      <w:rFonts w:cstheme="minorHAnsi"/>
                      <w:szCs w:val="21"/>
                    </w:rPr>
                    <w:t>/</w:t>
                  </w:r>
                </w:p>
              </w:tc>
              <w:tc>
                <w:tcPr>
                  <w:tcW w:w="566" w:type="pct"/>
                  <w:vAlign w:val="center"/>
                </w:tcPr>
                <w:p>
                  <w:pPr>
                    <w:widowControl/>
                    <w:jc w:val="center"/>
                    <w:rPr>
                      <w:rFonts w:cs="Times New Roman"/>
                      <w:bCs/>
                      <w:kern w:val="0"/>
                      <w:szCs w:val="21"/>
                    </w:rPr>
                  </w:pPr>
                  <w:r>
                    <w:rPr>
                      <w:rFonts w:hint="eastAsia" w:cs="Times New Roman"/>
                      <w:bCs/>
                      <w:kern w:val="0"/>
                      <w:szCs w:val="21"/>
                    </w:rPr>
                    <w:t>台</w:t>
                  </w:r>
                </w:p>
              </w:tc>
              <w:tc>
                <w:tcPr>
                  <w:tcW w:w="550" w:type="pct"/>
                  <w:vAlign w:val="center"/>
                </w:tcPr>
                <w:p>
                  <w:pPr>
                    <w:widowControl/>
                    <w:jc w:val="center"/>
                    <w:rPr>
                      <w:rFonts w:cs="Times New Roman"/>
                      <w:bCs/>
                      <w:kern w:val="0"/>
                      <w:szCs w:val="21"/>
                    </w:rPr>
                  </w:pPr>
                  <w:r>
                    <w:rPr>
                      <w:rFonts w:hint="eastAsia" w:cs="Times New Roman"/>
                      <w:bCs/>
                      <w:kern w:val="0"/>
                      <w:szCs w:val="21"/>
                    </w:rPr>
                    <w:t>0</w:t>
                  </w:r>
                </w:p>
              </w:tc>
              <w:tc>
                <w:tcPr>
                  <w:tcW w:w="550" w:type="pct"/>
                </w:tcPr>
                <w:p>
                  <w:pPr>
                    <w:widowControl/>
                    <w:jc w:val="center"/>
                    <w:rPr>
                      <w:rFonts w:cs="Times New Roman"/>
                      <w:bCs/>
                      <w:kern w:val="0"/>
                      <w:szCs w:val="21"/>
                    </w:rPr>
                  </w:pPr>
                  <w:r>
                    <w:rPr>
                      <w:rFonts w:hint="eastAsia" w:cs="Times New Roman"/>
                      <w:bCs/>
                      <w:kern w:val="0"/>
                      <w:szCs w:val="21"/>
                    </w:rPr>
                    <w:t>1</w:t>
                  </w:r>
                </w:p>
              </w:tc>
              <w:tc>
                <w:tcPr>
                  <w:tcW w:w="551" w:type="pct"/>
                </w:tcPr>
                <w:p>
                  <w:pPr>
                    <w:widowControl/>
                    <w:jc w:val="center"/>
                    <w:rPr>
                      <w:rFonts w:cs="Times New Roman"/>
                      <w:bCs/>
                      <w:kern w:val="0"/>
                      <w:szCs w:val="21"/>
                    </w:rPr>
                  </w:pPr>
                  <w:r>
                    <w:rPr>
                      <w:rFonts w:cs="Times New Roman"/>
                      <w:bCs/>
                      <w:kern w:val="0"/>
                      <w:szCs w:val="21"/>
                    </w:rPr>
                    <w:t>+</w:t>
                  </w:r>
                  <w:r>
                    <w:rPr>
                      <w:rFonts w:hint="eastAsia" w:cs="Times New Roman"/>
                      <w:bCs/>
                      <w:kern w:val="0"/>
                      <w:szCs w:val="21"/>
                    </w:rPr>
                    <w:t>1</w:t>
                  </w:r>
                </w:p>
              </w:tc>
              <w:tc>
                <w:tcPr>
                  <w:tcW w:w="648" w:type="pct"/>
                  <w:vAlign w:val="center"/>
                </w:tcPr>
                <w:p>
                  <w:pPr>
                    <w:widowControl/>
                    <w:jc w:val="center"/>
                    <w:rPr>
                      <w:rFonts w:cs="Times New Roman"/>
                      <w:bCs/>
                      <w:kern w:val="0"/>
                      <w:szCs w:val="21"/>
                    </w:rPr>
                  </w:pPr>
                  <w:r>
                    <w:rPr>
                      <w:rFonts w:hint="eastAsia" w:cs="Times New Roman"/>
                      <w:bCs/>
                      <w:kern w:val="0"/>
                      <w:szCs w:val="21"/>
                    </w:rPr>
                    <w:t>辅助设备</w:t>
                  </w:r>
                </w:p>
              </w:tc>
            </w:tr>
          </w:tbl>
          <w:p>
            <w:pPr>
              <w:spacing w:line="360" w:lineRule="auto"/>
              <w:ind w:firstLine="422" w:firstLineChars="200"/>
              <w:rPr>
                <w:rFonts w:cs="Times New Roman"/>
                <w:b/>
                <w:szCs w:val="21"/>
              </w:rPr>
            </w:pPr>
            <w:r>
              <w:rPr>
                <w:rFonts w:cs="Times New Roman"/>
                <w:b/>
                <w:szCs w:val="21"/>
              </w:rPr>
              <w:t>7</w:t>
            </w:r>
            <w:r>
              <w:rPr>
                <w:rFonts w:hint="eastAsia" w:cs="Times New Roman"/>
                <w:b/>
                <w:szCs w:val="21"/>
              </w:rPr>
              <w:t>、</w:t>
            </w:r>
            <w:r>
              <w:rPr>
                <w:rFonts w:cs="Times New Roman"/>
                <w:b/>
                <w:szCs w:val="21"/>
              </w:rPr>
              <w:t>主要</w:t>
            </w:r>
            <w:r>
              <w:rPr>
                <w:rFonts w:hint="eastAsia" w:cs="Times New Roman"/>
                <w:b/>
                <w:szCs w:val="21"/>
              </w:rPr>
              <w:t>原辅材料</w:t>
            </w:r>
            <w:r>
              <w:rPr>
                <w:rFonts w:cs="Times New Roman"/>
                <w:b/>
                <w:szCs w:val="21"/>
              </w:rPr>
              <w:t>及</w:t>
            </w:r>
            <w:r>
              <w:rPr>
                <w:rFonts w:hint="eastAsia" w:cs="Times New Roman"/>
                <w:b/>
                <w:szCs w:val="21"/>
              </w:rPr>
              <w:t>能耗</w:t>
            </w:r>
          </w:p>
          <w:p>
            <w:pPr>
              <w:spacing w:line="360" w:lineRule="auto"/>
              <w:ind w:firstLine="480" w:firstLineChars="200"/>
              <w:rPr>
                <w:kern w:val="24"/>
                <w:sz w:val="24"/>
                <w:szCs w:val="24"/>
              </w:rPr>
            </w:pPr>
            <w:r>
              <w:rPr>
                <w:rFonts w:hint="eastAsia"/>
                <w:kern w:val="24"/>
                <w:sz w:val="24"/>
                <w:szCs w:val="24"/>
              </w:rPr>
              <w:t>项目主要利用现有骨料线副产的33万吨0-5mm粉料作为原材料，改建前后骨料生产线原辅料石灰石用量保持不变，主要原辅材料及能耗见下表。</w:t>
            </w:r>
          </w:p>
          <w:p>
            <w:pPr>
              <w:spacing w:line="360" w:lineRule="auto"/>
              <w:jc w:val="center"/>
              <w:rPr>
                <w:rFonts w:eastAsia="黑体" w:cs="Times New Roman"/>
                <w:szCs w:val="21"/>
              </w:rPr>
            </w:pPr>
            <w:r>
              <w:rPr>
                <w:rFonts w:hint="eastAsia" w:ascii="黑体" w:hAnsi="黑体" w:eastAsia="黑体"/>
                <w:szCs w:val="21"/>
              </w:rPr>
              <w:t>表</w:t>
            </w:r>
            <w:r>
              <w:rPr>
                <w:rFonts w:eastAsia="黑体" w:cs="Times New Roman"/>
                <w:szCs w:val="21"/>
              </w:rPr>
              <w:t>2</w:t>
            </w:r>
            <w:r>
              <w:rPr>
                <w:rFonts w:hint="eastAsia" w:eastAsia="黑体" w:cs="Times New Roman"/>
                <w:szCs w:val="21"/>
              </w:rPr>
              <w:t>-</w:t>
            </w:r>
            <w:r>
              <w:rPr>
                <w:rFonts w:eastAsia="黑体" w:cs="Times New Roman"/>
                <w:szCs w:val="21"/>
              </w:rPr>
              <w:t xml:space="preserve">5  </w:t>
            </w:r>
            <w:r>
              <w:rPr>
                <w:rFonts w:hint="eastAsia" w:ascii="黑体" w:hAnsi="黑体" w:eastAsia="黑体"/>
                <w:szCs w:val="21"/>
              </w:rPr>
              <w:t>项目</w:t>
            </w:r>
            <w:r>
              <w:rPr>
                <w:rFonts w:hint="eastAsia" w:eastAsia="黑体" w:cs="Times New Roman"/>
                <w:szCs w:val="21"/>
              </w:rPr>
              <w:t>原辅材料及</w:t>
            </w:r>
            <w:r>
              <w:rPr>
                <w:rFonts w:eastAsia="黑体" w:cs="Times New Roman"/>
                <w:szCs w:val="21"/>
              </w:rPr>
              <w:t>能耗</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372"/>
              <w:gridCol w:w="1248"/>
              <w:gridCol w:w="962"/>
              <w:gridCol w:w="1094"/>
              <w:gridCol w:w="1094"/>
              <w:gridCol w:w="1094"/>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jc w:val="center"/>
              </w:trPr>
              <w:tc>
                <w:tcPr>
                  <w:tcW w:w="574" w:type="pct"/>
                  <w:vMerge w:val="restart"/>
                  <w:vAlign w:val="center"/>
                </w:tcPr>
                <w:p>
                  <w:pPr>
                    <w:jc w:val="center"/>
                    <w:rPr>
                      <w:rFonts w:cstheme="minorHAnsi"/>
                      <w:szCs w:val="21"/>
                    </w:rPr>
                  </w:pPr>
                  <w:r>
                    <w:rPr>
                      <w:rFonts w:cstheme="minorHAnsi"/>
                      <w:szCs w:val="21"/>
                    </w:rPr>
                    <w:t>类型</w:t>
                  </w:r>
                </w:p>
              </w:tc>
              <w:tc>
                <w:tcPr>
                  <w:tcW w:w="750" w:type="pct"/>
                  <w:vMerge w:val="restart"/>
                  <w:vAlign w:val="center"/>
                </w:tcPr>
                <w:p>
                  <w:pPr>
                    <w:jc w:val="center"/>
                    <w:rPr>
                      <w:rFonts w:cstheme="minorHAnsi"/>
                      <w:szCs w:val="21"/>
                    </w:rPr>
                  </w:pPr>
                  <w:r>
                    <w:rPr>
                      <w:rFonts w:cstheme="minorHAnsi"/>
                      <w:szCs w:val="21"/>
                    </w:rPr>
                    <w:t>名称</w:t>
                  </w:r>
                </w:p>
              </w:tc>
              <w:tc>
                <w:tcPr>
                  <w:tcW w:w="682" w:type="pct"/>
                  <w:vMerge w:val="restart"/>
                  <w:vAlign w:val="center"/>
                </w:tcPr>
                <w:p>
                  <w:pPr>
                    <w:jc w:val="center"/>
                    <w:rPr>
                      <w:rFonts w:cstheme="minorHAnsi"/>
                      <w:szCs w:val="21"/>
                    </w:rPr>
                  </w:pPr>
                  <w:r>
                    <w:rPr>
                      <w:rFonts w:hint="eastAsia" w:cstheme="minorHAnsi"/>
                      <w:szCs w:val="21"/>
                    </w:rPr>
                    <w:t>规格（mm）</w:t>
                  </w:r>
                </w:p>
              </w:tc>
              <w:tc>
                <w:tcPr>
                  <w:tcW w:w="526" w:type="pct"/>
                  <w:vMerge w:val="restart"/>
                  <w:vAlign w:val="center"/>
                </w:tcPr>
                <w:p>
                  <w:pPr>
                    <w:jc w:val="center"/>
                    <w:rPr>
                      <w:rFonts w:cstheme="minorHAnsi"/>
                      <w:szCs w:val="21"/>
                    </w:rPr>
                  </w:pPr>
                  <w:r>
                    <w:rPr>
                      <w:rFonts w:cstheme="minorHAnsi"/>
                      <w:szCs w:val="21"/>
                    </w:rPr>
                    <w:t>单位</w:t>
                  </w:r>
                </w:p>
              </w:tc>
              <w:tc>
                <w:tcPr>
                  <w:tcW w:w="1794" w:type="pct"/>
                  <w:gridSpan w:val="3"/>
                  <w:vAlign w:val="center"/>
                </w:tcPr>
                <w:p>
                  <w:pPr>
                    <w:jc w:val="center"/>
                    <w:rPr>
                      <w:rFonts w:cstheme="minorHAnsi"/>
                      <w:szCs w:val="21"/>
                    </w:rPr>
                  </w:pPr>
                  <w:r>
                    <w:rPr>
                      <w:rFonts w:cstheme="minorHAnsi"/>
                      <w:szCs w:val="21"/>
                    </w:rPr>
                    <w:t>年用量</w:t>
                  </w:r>
                </w:p>
              </w:tc>
              <w:tc>
                <w:tcPr>
                  <w:tcW w:w="674" w:type="pct"/>
                  <w:vMerge w:val="restart"/>
                  <w:vAlign w:val="center"/>
                </w:tcPr>
                <w:p>
                  <w:pPr>
                    <w:jc w:val="center"/>
                    <w:rPr>
                      <w:rFonts w:cstheme="minorHAnsi"/>
                      <w:szCs w:val="21"/>
                    </w:rPr>
                  </w:pPr>
                  <w:r>
                    <w:rPr>
                      <w:rFonts w:cstheme="minorHAnsi"/>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jc w:val="center"/>
              </w:trPr>
              <w:tc>
                <w:tcPr>
                  <w:tcW w:w="574" w:type="pct"/>
                  <w:vMerge w:val="continue"/>
                  <w:vAlign w:val="center"/>
                </w:tcPr>
                <w:p>
                  <w:pPr>
                    <w:jc w:val="center"/>
                    <w:rPr>
                      <w:rFonts w:cstheme="minorHAnsi"/>
                      <w:szCs w:val="21"/>
                    </w:rPr>
                  </w:pPr>
                </w:p>
              </w:tc>
              <w:tc>
                <w:tcPr>
                  <w:tcW w:w="750" w:type="pct"/>
                  <w:vMerge w:val="continue"/>
                  <w:vAlign w:val="center"/>
                </w:tcPr>
                <w:p>
                  <w:pPr>
                    <w:jc w:val="center"/>
                    <w:rPr>
                      <w:rFonts w:cstheme="minorHAnsi"/>
                      <w:szCs w:val="21"/>
                    </w:rPr>
                  </w:pPr>
                </w:p>
              </w:tc>
              <w:tc>
                <w:tcPr>
                  <w:tcW w:w="682" w:type="pct"/>
                  <w:vMerge w:val="continue"/>
                  <w:vAlign w:val="center"/>
                </w:tcPr>
                <w:p>
                  <w:pPr>
                    <w:jc w:val="center"/>
                    <w:rPr>
                      <w:rFonts w:cstheme="minorHAnsi"/>
                      <w:szCs w:val="21"/>
                    </w:rPr>
                  </w:pPr>
                </w:p>
              </w:tc>
              <w:tc>
                <w:tcPr>
                  <w:tcW w:w="526" w:type="pct"/>
                  <w:vMerge w:val="continue"/>
                  <w:vAlign w:val="center"/>
                </w:tcPr>
                <w:p>
                  <w:pPr>
                    <w:jc w:val="center"/>
                    <w:rPr>
                      <w:rFonts w:cstheme="minorHAnsi"/>
                      <w:szCs w:val="21"/>
                    </w:rPr>
                  </w:pPr>
                </w:p>
              </w:tc>
              <w:tc>
                <w:tcPr>
                  <w:tcW w:w="598" w:type="pct"/>
                  <w:vAlign w:val="center"/>
                </w:tcPr>
                <w:p>
                  <w:pPr>
                    <w:jc w:val="center"/>
                    <w:rPr>
                      <w:rFonts w:cstheme="minorHAnsi"/>
                      <w:szCs w:val="21"/>
                    </w:rPr>
                  </w:pPr>
                  <w:r>
                    <w:rPr>
                      <w:rFonts w:cstheme="minorHAnsi"/>
                      <w:szCs w:val="21"/>
                    </w:rPr>
                    <w:t>改建前</w:t>
                  </w:r>
                </w:p>
              </w:tc>
              <w:tc>
                <w:tcPr>
                  <w:tcW w:w="598" w:type="pct"/>
                  <w:vAlign w:val="center"/>
                </w:tcPr>
                <w:p>
                  <w:pPr>
                    <w:jc w:val="center"/>
                    <w:rPr>
                      <w:rFonts w:cstheme="minorHAnsi"/>
                      <w:szCs w:val="21"/>
                    </w:rPr>
                  </w:pPr>
                  <w:r>
                    <w:rPr>
                      <w:rFonts w:hint="eastAsia" w:cstheme="minorHAnsi"/>
                      <w:szCs w:val="21"/>
                    </w:rPr>
                    <w:t>改建后</w:t>
                  </w:r>
                </w:p>
              </w:tc>
              <w:tc>
                <w:tcPr>
                  <w:tcW w:w="598" w:type="pct"/>
                  <w:vAlign w:val="center"/>
                </w:tcPr>
                <w:p>
                  <w:pPr>
                    <w:jc w:val="center"/>
                    <w:rPr>
                      <w:rFonts w:cstheme="minorHAnsi"/>
                      <w:szCs w:val="21"/>
                    </w:rPr>
                  </w:pPr>
                  <w:r>
                    <w:rPr>
                      <w:rFonts w:hint="eastAsia" w:cs="Times New Roman"/>
                      <w:bCs/>
                      <w:kern w:val="0"/>
                      <w:szCs w:val="21"/>
                    </w:rPr>
                    <w:t>变化量</w:t>
                  </w:r>
                </w:p>
              </w:tc>
              <w:tc>
                <w:tcPr>
                  <w:tcW w:w="674" w:type="pct"/>
                  <w:vMerge w:val="continue"/>
                  <w:vAlign w:val="center"/>
                </w:tcPr>
                <w:p>
                  <w:pPr>
                    <w:jc w:val="center"/>
                    <w:rPr>
                      <w:rFonts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574" w:type="pct"/>
                  <w:vMerge w:val="restart"/>
                  <w:vAlign w:val="center"/>
                </w:tcPr>
                <w:p>
                  <w:pPr>
                    <w:jc w:val="center"/>
                    <w:rPr>
                      <w:rFonts w:cstheme="minorHAnsi"/>
                      <w:szCs w:val="21"/>
                    </w:rPr>
                  </w:pPr>
                  <w:r>
                    <w:rPr>
                      <w:rFonts w:cstheme="minorHAnsi"/>
                      <w:szCs w:val="21"/>
                    </w:rPr>
                    <w:t>主</w:t>
                  </w:r>
                </w:p>
                <w:p>
                  <w:pPr>
                    <w:jc w:val="center"/>
                    <w:rPr>
                      <w:rFonts w:cstheme="minorHAnsi"/>
                      <w:szCs w:val="21"/>
                    </w:rPr>
                  </w:pPr>
                  <w:r>
                    <w:rPr>
                      <w:rFonts w:hint="eastAsia" w:cstheme="minorHAnsi"/>
                      <w:szCs w:val="21"/>
                    </w:rPr>
                    <w:t>（</w:t>
                  </w:r>
                  <w:r>
                    <w:rPr>
                      <w:rFonts w:cstheme="minorHAnsi"/>
                      <w:szCs w:val="21"/>
                    </w:rPr>
                    <w:t>辅</w:t>
                  </w:r>
                  <w:r>
                    <w:rPr>
                      <w:rFonts w:hint="eastAsia" w:cstheme="minorHAnsi"/>
                      <w:szCs w:val="21"/>
                    </w:rPr>
                    <w:t>）</w:t>
                  </w:r>
                </w:p>
                <w:p>
                  <w:pPr>
                    <w:jc w:val="center"/>
                    <w:rPr>
                      <w:rFonts w:cstheme="minorHAnsi"/>
                      <w:szCs w:val="21"/>
                    </w:rPr>
                  </w:pPr>
                  <w:r>
                    <w:rPr>
                      <w:rFonts w:cstheme="minorHAnsi"/>
                      <w:szCs w:val="21"/>
                    </w:rPr>
                    <w:t>料</w:t>
                  </w:r>
                </w:p>
              </w:tc>
              <w:tc>
                <w:tcPr>
                  <w:tcW w:w="750" w:type="pct"/>
                  <w:vAlign w:val="center"/>
                </w:tcPr>
                <w:p>
                  <w:pPr>
                    <w:jc w:val="center"/>
                    <w:rPr>
                      <w:rFonts w:cstheme="minorHAnsi"/>
                      <w:szCs w:val="21"/>
                    </w:rPr>
                  </w:pPr>
                  <w:r>
                    <w:rPr>
                      <w:rFonts w:hint="eastAsia" w:cstheme="minorHAnsi"/>
                      <w:szCs w:val="21"/>
                    </w:rPr>
                    <w:t>石灰石</w:t>
                  </w:r>
                </w:p>
              </w:tc>
              <w:tc>
                <w:tcPr>
                  <w:tcW w:w="682" w:type="pct"/>
                  <w:vAlign w:val="center"/>
                </w:tcPr>
                <w:p>
                  <w:pPr>
                    <w:jc w:val="center"/>
                    <w:rPr>
                      <w:rFonts w:cstheme="minorHAnsi"/>
                      <w:szCs w:val="21"/>
                    </w:rPr>
                  </w:pPr>
                  <w:r>
                    <w:rPr>
                      <w:rFonts w:hint="eastAsia" w:cstheme="minorHAnsi"/>
                      <w:szCs w:val="21"/>
                    </w:rPr>
                    <w:t>0-80mm</w:t>
                  </w:r>
                </w:p>
              </w:tc>
              <w:tc>
                <w:tcPr>
                  <w:tcW w:w="526" w:type="pct"/>
                  <w:vAlign w:val="center"/>
                </w:tcPr>
                <w:p>
                  <w:pPr>
                    <w:jc w:val="center"/>
                    <w:rPr>
                      <w:rFonts w:cstheme="minorHAnsi"/>
                      <w:szCs w:val="21"/>
                    </w:rPr>
                  </w:pPr>
                  <w:r>
                    <w:rPr>
                      <w:rFonts w:hint="eastAsia" w:cstheme="minorHAnsi"/>
                      <w:szCs w:val="21"/>
                    </w:rPr>
                    <w:t>万t</w:t>
                  </w:r>
                </w:p>
              </w:tc>
              <w:tc>
                <w:tcPr>
                  <w:tcW w:w="598" w:type="pct"/>
                  <w:vAlign w:val="center"/>
                </w:tcPr>
                <w:p>
                  <w:pPr>
                    <w:jc w:val="center"/>
                    <w:rPr>
                      <w:szCs w:val="21"/>
                    </w:rPr>
                  </w:pPr>
                  <w:r>
                    <w:rPr>
                      <w:rFonts w:hint="eastAsia"/>
                      <w:szCs w:val="21"/>
                    </w:rPr>
                    <w:t>133</w:t>
                  </w:r>
                </w:p>
              </w:tc>
              <w:tc>
                <w:tcPr>
                  <w:tcW w:w="598" w:type="pct"/>
                  <w:vAlign w:val="center"/>
                </w:tcPr>
                <w:p>
                  <w:pPr>
                    <w:jc w:val="center"/>
                    <w:rPr>
                      <w:rFonts w:cstheme="minorHAnsi"/>
                      <w:szCs w:val="21"/>
                    </w:rPr>
                  </w:pPr>
                  <w:r>
                    <w:rPr>
                      <w:rFonts w:hint="eastAsia"/>
                      <w:szCs w:val="21"/>
                    </w:rPr>
                    <w:t>133</w:t>
                  </w:r>
                </w:p>
              </w:tc>
              <w:tc>
                <w:tcPr>
                  <w:tcW w:w="598" w:type="pct"/>
                  <w:vAlign w:val="center"/>
                </w:tcPr>
                <w:p>
                  <w:pPr>
                    <w:jc w:val="center"/>
                    <w:rPr>
                      <w:rFonts w:cstheme="minorHAnsi"/>
                      <w:szCs w:val="21"/>
                    </w:rPr>
                  </w:pPr>
                  <w:r>
                    <w:rPr>
                      <w:rFonts w:hint="eastAsia" w:cstheme="minorHAnsi"/>
                      <w:szCs w:val="21"/>
                    </w:rPr>
                    <w:t>0</w:t>
                  </w:r>
                </w:p>
              </w:tc>
              <w:tc>
                <w:tcPr>
                  <w:tcW w:w="674" w:type="pct"/>
                  <w:vAlign w:val="center"/>
                </w:tcPr>
                <w:p>
                  <w:pPr>
                    <w:jc w:val="center"/>
                    <w:rPr>
                      <w:rFonts w:cstheme="minorHAnsi"/>
                      <w:szCs w:val="21"/>
                    </w:rPr>
                  </w:pPr>
                  <w:r>
                    <w:rPr>
                      <w:rFonts w:hint="eastAsia" w:cstheme="minorHAnsi"/>
                      <w:szCs w:val="21"/>
                    </w:rPr>
                    <w:t>海螺水泥矿区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4" w:type="pct"/>
                  <w:vMerge w:val="continue"/>
                  <w:vAlign w:val="center"/>
                </w:tcPr>
                <w:p>
                  <w:pPr>
                    <w:jc w:val="center"/>
                    <w:rPr>
                      <w:rFonts w:cstheme="minorHAnsi"/>
                      <w:szCs w:val="21"/>
                    </w:rPr>
                  </w:pPr>
                </w:p>
              </w:tc>
              <w:tc>
                <w:tcPr>
                  <w:tcW w:w="750" w:type="pct"/>
                  <w:vAlign w:val="center"/>
                </w:tcPr>
                <w:p>
                  <w:pPr>
                    <w:jc w:val="center"/>
                    <w:rPr>
                      <w:szCs w:val="21"/>
                    </w:rPr>
                  </w:pPr>
                  <w:r>
                    <w:rPr>
                      <w:rFonts w:hint="eastAsia"/>
                      <w:szCs w:val="21"/>
                    </w:rPr>
                    <w:t>润滑油</w:t>
                  </w:r>
                </w:p>
              </w:tc>
              <w:tc>
                <w:tcPr>
                  <w:tcW w:w="682" w:type="pct"/>
                  <w:vAlign w:val="center"/>
                </w:tcPr>
                <w:p>
                  <w:pPr>
                    <w:jc w:val="center"/>
                    <w:rPr>
                      <w:rFonts w:cstheme="minorHAnsi"/>
                      <w:szCs w:val="21"/>
                    </w:rPr>
                  </w:pPr>
                  <w:r>
                    <w:rPr>
                      <w:rFonts w:hint="eastAsia" w:cstheme="minorHAnsi"/>
                      <w:szCs w:val="21"/>
                    </w:rPr>
                    <w:t>/</w:t>
                  </w:r>
                </w:p>
              </w:tc>
              <w:tc>
                <w:tcPr>
                  <w:tcW w:w="526" w:type="pct"/>
                  <w:vAlign w:val="center"/>
                </w:tcPr>
                <w:p>
                  <w:pPr>
                    <w:jc w:val="center"/>
                    <w:rPr>
                      <w:rFonts w:cstheme="minorHAnsi"/>
                      <w:szCs w:val="21"/>
                    </w:rPr>
                  </w:pPr>
                  <w:r>
                    <w:rPr>
                      <w:rFonts w:hint="eastAsia" w:cstheme="minorHAnsi"/>
                      <w:szCs w:val="21"/>
                    </w:rPr>
                    <w:t>t</w:t>
                  </w:r>
                </w:p>
              </w:tc>
              <w:tc>
                <w:tcPr>
                  <w:tcW w:w="598" w:type="pct"/>
                  <w:vAlign w:val="center"/>
                </w:tcPr>
                <w:p>
                  <w:pPr>
                    <w:jc w:val="center"/>
                    <w:rPr>
                      <w:rFonts w:cstheme="minorHAnsi"/>
                      <w:szCs w:val="21"/>
                    </w:rPr>
                  </w:pPr>
                  <w:r>
                    <w:rPr>
                      <w:rFonts w:hint="eastAsia"/>
                      <w:szCs w:val="21"/>
                    </w:rPr>
                    <w:t>10.5</w:t>
                  </w:r>
                </w:p>
              </w:tc>
              <w:tc>
                <w:tcPr>
                  <w:tcW w:w="598" w:type="pct"/>
                  <w:vAlign w:val="center"/>
                </w:tcPr>
                <w:p>
                  <w:pPr>
                    <w:jc w:val="center"/>
                    <w:rPr>
                      <w:rFonts w:cstheme="minorHAnsi"/>
                      <w:szCs w:val="21"/>
                    </w:rPr>
                  </w:pPr>
                  <w:r>
                    <w:rPr>
                      <w:rFonts w:hint="eastAsia" w:cstheme="minorHAnsi"/>
                      <w:szCs w:val="21"/>
                    </w:rPr>
                    <w:t>13.5</w:t>
                  </w:r>
                </w:p>
              </w:tc>
              <w:tc>
                <w:tcPr>
                  <w:tcW w:w="598" w:type="pct"/>
                  <w:vAlign w:val="center"/>
                </w:tcPr>
                <w:p>
                  <w:pPr>
                    <w:jc w:val="center"/>
                    <w:rPr>
                      <w:rFonts w:cstheme="minorHAnsi"/>
                      <w:szCs w:val="21"/>
                    </w:rPr>
                  </w:pPr>
                  <w:r>
                    <w:rPr>
                      <w:rFonts w:hint="eastAsia" w:cstheme="minorHAnsi"/>
                      <w:szCs w:val="21"/>
                    </w:rPr>
                    <w:t>+3</w:t>
                  </w:r>
                </w:p>
              </w:tc>
              <w:tc>
                <w:tcPr>
                  <w:tcW w:w="674" w:type="pct"/>
                  <w:vAlign w:val="center"/>
                </w:tcPr>
                <w:p>
                  <w:pPr>
                    <w:jc w:val="center"/>
                    <w:rPr>
                      <w:rFonts w:cstheme="minorHAnsi"/>
                      <w:szCs w:val="21"/>
                    </w:rPr>
                  </w:pPr>
                  <w:r>
                    <w:rPr>
                      <w:rFonts w:hint="eastAsia" w:cstheme="minorHAnsi"/>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4" w:type="pct"/>
                  <w:vMerge w:val="restart"/>
                  <w:vAlign w:val="center"/>
                </w:tcPr>
                <w:p>
                  <w:pPr>
                    <w:jc w:val="center"/>
                    <w:rPr>
                      <w:rFonts w:cstheme="minorHAnsi"/>
                      <w:szCs w:val="21"/>
                    </w:rPr>
                  </w:pPr>
                  <w:r>
                    <w:rPr>
                      <w:rFonts w:cstheme="minorHAnsi"/>
                      <w:szCs w:val="21"/>
                    </w:rPr>
                    <w:t>能源</w:t>
                  </w:r>
                </w:p>
              </w:tc>
              <w:tc>
                <w:tcPr>
                  <w:tcW w:w="750" w:type="pct"/>
                  <w:vAlign w:val="center"/>
                </w:tcPr>
                <w:p>
                  <w:pPr>
                    <w:jc w:val="center"/>
                    <w:rPr>
                      <w:rFonts w:cstheme="minorHAnsi"/>
                      <w:kern w:val="0"/>
                      <w:szCs w:val="21"/>
                    </w:rPr>
                  </w:pPr>
                  <w:r>
                    <w:rPr>
                      <w:rFonts w:cstheme="minorHAnsi"/>
                      <w:kern w:val="0"/>
                      <w:szCs w:val="21"/>
                    </w:rPr>
                    <w:t>电</w:t>
                  </w:r>
                </w:p>
              </w:tc>
              <w:tc>
                <w:tcPr>
                  <w:tcW w:w="682" w:type="pct"/>
                  <w:vAlign w:val="center"/>
                </w:tcPr>
                <w:p>
                  <w:pPr>
                    <w:jc w:val="center"/>
                    <w:rPr>
                      <w:rFonts w:cstheme="minorHAnsi"/>
                      <w:szCs w:val="21"/>
                    </w:rPr>
                  </w:pPr>
                  <w:r>
                    <w:rPr>
                      <w:rFonts w:hint="eastAsia" w:cstheme="minorHAnsi"/>
                      <w:szCs w:val="21"/>
                    </w:rPr>
                    <w:t>/</w:t>
                  </w:r>
                </w:p>
              </w:tc>
              <w:tc>
                <w:tcPr>
                  <w:tcW w:w="526" w:type="pct"/>
                  <w:vAlign w:val="center"/>
                </w:tcPr>
                <w:p>
                  <w:pPr>
                    <w:jc w:val="center"/>
                    <w:rPr>
                      <w:rFonts w:cstheme="minorHAnsi"/>
                      <w:szCs w:val="21"/>
                    </w:rPr>
                  </w:pPr>
                  <w:r>
                    <w:rPr>
                      <w:rFonts w:hint="eastAsia" w:cstheme="minorHAnsi"/>
                      <w:szCs w:val="21"/>
                    </w:rPr>
                    <w:t>万</w:t>
                  </w:r>
                  <w:r>
                    <w:rPr>
                      <w:rFonts w:cstheme="minorHAnsi"/>
                      <w:szCs w:val="21"/>
                    </w:rPr>
                    <w:t>kw·h</w:t>
                  </w:r>
                </w:p>
              </w:tc>
              <w:tc>
                <w:tcPr>
                  <w:tcW w:w="598" w:type="pct"/>
                  <w:vAlign w:val="center"/>
                </w:tcPr>
                <w:p>
                  <w:pPr>
                    <w:jc w:val="center"/>
                    <w:rPr>
                      <w:rFonts w:cstheme="minorHAnsi"/>
                      <w:szCs w:val="21"/>
                    </w:rPr>
                  </w:pPr>
                  <w:r>
                    <w:rPr>
                      <w:rFonts w:hint="eastAsia" w:cstheme="minorHAnsi"/>
                      <w:szCs w:val="21"/>
                    </w:rPr>
                    <w:t>400</w:t>
                  </w:r>
                </w:p>
              </w:tc>
              <w:tc>
                <w:tcPr>
                  <w:tcW w:w="598" w:type="pct"/>
                  <w:vAlign w:val="center"/>
                </w:tcPr>
                <w:p>
                  <w:pPr>
                    <w:jc w:val="center"/>
                    <w:rPr>
                      <w:rFonts w:cstheme="minorHAnsi"/>
                      <w:szCs w:val="21"/>
                    </w:rPr>
                  </w:pPr>
                  <w:r>
                    <w:rPr>
                      <w:rFonts w:hint="eastAsia" w:cstheme="minorHAnsi"/>
                      <w:szCs w:val="21"/>
                    </w:rPr>
                    <w:t>570</w:t>
                  </w:r>
                </w:p>
              </w:tc>
              <w:tc>
                <w:tcPr>
                  <w:tcW w:w="598" w:type="pct"/>
                  <w:vAlign w:val="center"/>
                </w:tcPr>
                <w:p>
                  <w:pPr>
                    <w:jc w:val="center"/>
                    <w:rPr>
                      <w:rFonts w:cstheme="minorHAnsi"/>
                      <w:szCs w:val="21"/>
                    </w:rPr>
                  </w:pPr>
                  <w:r>
                    <w:rPr>
                      <w:rFonts w:hint="eastAsia" w:cstheme="minorHAnsi"/>
                      <w:szCs w:val="21"/>
                    </w:rPr>
                    <w:t>+170</w:t>
                  </w:r>
                </w:p>
              </w:tc>
              <w:tc>
                <w:tcPr>
                  <w:tcW w:w="674" w:type="pct"/>
                  <w:vAlign w:val="center"/>
                </w:tcPr>
                <w:p>
                  <w:pPr>
                    <w:jc w:val="center"/>
                    <w:rPr>
                      <w:rFonts w:cstheme="minorHAnsi"/>
                      <w:szCs w:val="21"/>
                    </w:rPr>
                  </w:pPr>
                  <w:r>
                    <w:rPr>
                      <w:rFonts w:cstheme="minorHAnsi"/>
                      <w:szCs w:val="21"/>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4" w:type="pct"/>
                  <w:vMerge w:val="continue"/>
                  <w:vAlign w:val="center"/>
                </w:tcPr>
                <w:p>
                  <w:pPr>
                    <w:jc w:val="center"/>
                    <w:rPr>
                      <w:rFonts w:cstheme="minorHAnsi"/>
                      <w:szCs w:val="21"/>
                    </w:rPr>
                  </w:pPr>
                </w:p>
              </w:tc>
              <w:tc>
                <w:tcPr>
                  <w:tcW w:w="750" w:type="pct"/>
                  <w:vAlign w:val="center"/>
                </w:tcPr>
                <w:p>
                  <w:pPr>
                    <w:jc w:val="center"/>
                    <w:rPr>
                      <w:rFonts w:cstheme="minorHAnsi"/>
                      <w:kern w:val="0"/>
                      <w:szCs w:val="21"/>
                    </w:rPr>
                  </w:pPr>
                  <w:r>
                    <w:rPr>
                      <w:rFonts w:hint="eastAsia" w:cstheme="minorHAnsi"/>
                      <w:kern w:val="0"/>
                      <w:szCs w:val="21"/>
                    </w:rPr>
                    <w:t>水</w:t>
                  </w:r>
                </w:p>
              </w:tc>
              <w:tc>
                <w:tcPr>
                  <w:tcW w:w="682" w:type="pct"/>
                  <w:vAlign w:val="center"/>
                </w:tcPr>
                <w:p>
                  <w:pPr>
                    <w:jc w:val="center"/>
                    <w:rPr>
                      <w:rFonts w:cstheme="minorHAnsi"/>
                      <w:szCs w:val="21"/>
                    </w:rPr>
                  </w:pPr>
                  <w:r>
                    <w:rPr>
                      <w:rFonts w:hint="eastAsia" w:cstheme="minorHAnsi"/>
                      <w:szCs w:val="21"/>
                    </w:rPr>
                    <w:t>/</w:t>
                  </w:r>
                </w:p>
              </w:tc>
              <w:tc>
                <w:tcPr>
                  <w:tcW w:w="526" w:type="pct"/>
                  <w:vAlign w:val="center"/>
                </w:tcPr>
                <w:p>
                  <w:pPr>
                    <w:jc w:val="center"/>
                    <w:rPr>
                      <w:rFonts w:cstheme="minorHAnsi"/>
                      <w:szCs w:val="21"/>
                    </w:rPr>
                  </w:pPr>
                  <w:r>
                    <w:rPr>
                      <w:rFonts w:hint="eastAsia" w:cstheme="minorHAnsi"/>
                      <w:szCs w:val="21"/>
                    </w:rPr>
                    <w:t>m</w:t>
                  </w:r>
                  <w:r>
                    <w:rPr>
                      <w:rFonts w:hint="eastAsia" w:cstheme="minorHAnsi"/>
                      <w:szCs w:val="21"/>
                      <w:vertAlign w:val="superscript"/>
                    </w:rPr>
                    <w:t>3</w:t>
                  </w:r>
                </w:p>
              </w:tc>
              <w:tc>
                <w:tcPr>
                  <w:tcW w:w="598" w:type="pct"/>
                  <w:vAlign w:val="center"/>
                </w:tcPr>
                <w:p>
                  <w:pPr>
                    <w:jc w:val="center"/>
                    <w:rPr>
                      <w:rFonts w:cstheme="minorHAnsi"/>
                      <w:szCs w:val="21"/>
                    </w:rPr>
                  </w:pPr>
                  <w:r>
                    <w:rPr>
                      <w:rFonts w:hint="eastAsia" w:cstheme="minorHAnsi"/>
                      <w:szCs w:val="21"/>
                    </w:rPr>
                    <w:t>825</w:t>
                  </w:r>
                </w:p>
              </w:tc>
              <w:tc>
                <w:tcPr>
                  <w:tcW w:w="598" w:type="pct"/>
                  <w:vAlign w:val="center"/>
                </w:tcPr>
                <w:p>
                  <w:pPr>
                    <w:jc w:val="center"/>
                    <w:rPr>
                      <w:rFonts w:cstheme="minorHAnsi"/>
                      <w:szCs w:val="21"/>
                    </w:rPr>
                  </w:pPr>
                  <w:r>
                    <w:rPr>
                      <w:rFonts w:hint="eastAsia" w:cstheme="minorHAnsi"/>
                      <w:szCs w:val="21"/>
                    </w:rPr>
                    <w:t>8</w:t>
                  </w:r>
                  <w:r>
                    <w:rPr>
                      <w:rFonts w:cstheme="minorHAnsi"/>
                      <w:szCs w:val="21"/>
                    </w:rPr>
                    <w:t>25</w:t>
                  </w:r>
                </w:p>
              </w:tc>
              <w:tc>
                <w:tcPr>
                  <w:tcW w:w="598" w:type="pct"/>
                  <w:vAlign w:val="center"/>
                </w:tcPr>
                <w:p>
                  <w:pPr>
                    <w:jc w:val="center"/>
                    <w:rPr>
                      <w:rFonts w:cstheme="minorHAnsi"/>
                      <w:szCs w:val="21"/>
                    </w:rPr>
                  </w:pPr>
                  <w:r>
                    <w:rPr>
                      <w:rFonts w:hint="eastAsia" w:cstheme="minorHAnsi"/>
                      <w:szCs w:val="21"/>
                    </w:rPr>
                    <w:t>0</w:t>
                  </w:r>
                </w:p>
              </w:tc>
              <w:tc>
                <w:tcPr>
                  <w:tcW w:w="674" w:type="pct"/>
                  <w:vAlign w:val="center"/>
                </w:tcPr>
                <w:p>
                  <w:pPr>
                    <w:jc w:val="center"/>
                    <w:rPr>
                      <w:rFonts w:cstheme="minorHAnsi"/>
                      <w:szCs w:val="21"/>
                    </w:rPr>
                  </w:pPr>
                  <w:r>
                    <w:rPr>
                      <w:rFonts w:cstheme="minorHAnsi"/>
                      <w:szCs w:val="21"/>
                    </w:rPr>
                    <w:t>市政供水</w:t>
                  </w:r>
                </w:p>
              </w:tc>
            </w:tr>
          </w:tbl>
          <w:p>
            <w:pPr>
              <w:spacing w:line="360" w:lineRule="auto"/>
              <w:ind w:firstLine="482" w:firstLineChars="200"/>
              <w:rPr>
                <w:rFonts w:cs="Times New Roman"/>
                <w:b/>
                <w:sz w:val="24"/>
                <w:szCs w:val="24"/>
              </w:rPr>
            </w:pPr>
            <w:r>
              <w:rPr>
                <w:rFonts w:cs="Times New Roman"/>
                <w:b/>
                <w:sz w:val="24"/>
                <w:szCs w:val="24"/>
              </w:rPr>
              <w:t>8</w:t>
            </w:r>
            <w:r>
              <w:rPr>
                <w:rFonts w:hint="eastAsia" w:cs="Times New Roman"/>
                <w:b/>
                <w:sz w:val="24"/>
                <w:szCs w:val="24"/>
              </w:rPr>
              <w:t>、物料平衡</w:t>
            </w:r>
          </w:p>
          <w:p>
            <w:pPr>
              <w:spacing w:line="360" w:lineRule="auto"/>
              <w:ind w:firstLine="480" w:firstLineChars="200"/>
              <w:rPr>
                <w:rFonts w:cs="Times New Roman"/>
                <w:sz w:val="24"/>
                <w:szCs w:val="24"/>
              </w:rPr>
            </w:pPr>
            <w:r>
              <w:rPr>
                <w:rFonts w:cs="Times New Roman"/>
                <w:sz w:val="24"/>
                <w:szCs w:val="24"/>
              </w:rPr>
              <w:t>项目物料平衡</w:t>
            </w:r>
            <w:r>
              <w:rPr>
                <w:rFonts w:hint="eastAsia" w:cs="Times New Roman"/>
                <w:sz w:val="24"/>
                <w:szCs w:val="24"/>
              </w:rPr>
              <w:t>见下表</w:t>
            </w:r>
            <w:r>
              <w:rPr>
                <w:rFonts w:cs="Times New Roman"/>
                <w:sz w:val="24"/>
                <w:szCs w:val="24"/>
              </w:rPr>
              <w:t>。</w:t>
            </w:r>
          </w:p>
          <w:p>
            <w:pPr>
              <w:spacing w:line="360" w:lineRule="auto"/>
              <w:jc w:val="center"/>
              <w:rPr>
                <w:rFonts w:eastAsia="黑体" w:cs="Times New Roman"/>
                <w:szCs w:val="21"/>
              </w:rPr>
            </w:pPr>
            <w:r>
              <w:rPr>
                <w:rFonts w:hint="eastAsia" w:ascii="黑体" w:hAnsi="黑体" w:eastAsia="黑体"/>
                <w:szCs w:val="21"/>
              </w:rPr>
              <w:t>表</w:t>
            </w:r>
            <w:r>
              <w:rPr>
                <w:rFonts w:eastAsia="黑体" w:cs="Times New Roman"/>
                <w:szCs w:val="21"/>
              </w:rPr>
              <w:t>2</w:t>
            </w:r>
            <w:r>
              <w:rPr>
                <w:rFonts w:hint="eastAsia" w:eastAsia="黑体" w:cs="Times New Roman"/>
                <w:szCs w:val="21"/>
              </w:rPr>
              <w:t>-6</w:t>
            </w:r>
            <w:r>
              <w:rPr>
                <w:rFonts w:eastAsia="黑体" w:cs="Times New Roman"/>
                <w:szCs w:val="21"/>
              </w:rPr>
              <w:t xml:space="preserve">  </w:t>
            </w:r>
            <w:r>
              <w:rPr>
                <w:rFonts w:hint="eastAsia" w:ascii="黑体" w:hAnsi="黑体" w:eastAsia="黑体"/>
                <w:szCs w:val="21"/>
              </w:rPr>
              <w:t>项目</w:t>
            </w:r>
            <w:r>
              <w:rPr>
                <w:rFonts w:hint="eastAsia" w:eastAsia="黑体" w:cs="Times New Roman"/>
                <w:szCs w:val="21"/>
              </w:rPr>
              <w:t>物料平衡表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6"/>
              <w:gridCol w:w="2287"/>
              <w:gridCol w:w="2287"/>
              <w:gridCol w:w="2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gridSpan w:val="2"/>
                  <w:vAlign w:val="center"/>
                </w:tcPr>
                <w:p>
                  <w:pPr>
                    <w:jc w:val="center"/>
                    <w:rPr>
                      <w:rFonts w:cs="Times New Roman"/>
                      <w:szCs w:val="21"/>
                    </w:rPr>
                  </w:pPr>
                  <w:r>
                    <w:rPr>
                      <w:rFonts w:hint="eastAsia" w:cs="Times New Roman"/>
                      <w:szCs w:val="21"/>
                    </w:rPr>
                    <w:t>投入</w:t>
                  </w:r>
                </w:p>
              </w:tc>
              <w:tc>
                <w:tcPr>
                  <w:tcW w:w="2500" w:type="pct"/>
                  <w:gridSpan w:val="2"/>
                  <w:vAlign w:val="center"/>
                </w:tcPr>
                <w:p>
                  <w:pPr>
                    <w:jc w:val="center"/>
                    <w:rPr>
                      <w:rFonts w:cs="Times New Roman"/>
                      <w:szCs w:val="21"/>
                    </w:rPr>
                  </w:pPr>
                  <w:r>
                    <w:rPr>
                      <w:rFonts w:hint="eastAsia" w:cs="Times New Roman"/>
                      <w:szCs w:val="21"/>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jc w:val="center"/>
                    <w:rPr>
                      <w:rFonts w:cs="Times New Roman"/>
                      <w:szCs w:val="21"/>
                    </w:rPr>
                  </w:pPr>
                  <w:r>
                    <w:rPr>
                      <w:rFonts w:hint="eastAsia" w:cs="Times New Roman"/>
                      <w:szCs w:val="21"/>
                    </w:rPr>
                    <w:t>原料名称</w:t>
                  </w:r>
                </w:p>
              </w:tc>
              <w:tc>
                <w:tcPr>
                  <w:tcW w:w="1250" w:type="pct"/>
                  <w:vAlign w:val="center"/>
                </w:tcPr>
                <w:p>
                  <w:pPr>
                    <w:jc w:val="center"/>
                    <w:rPr>
                      <w:rFonts w:cs="Times New Roman"/>
                      <w:szCs w:val="21"/>
                    </w:rPr>
                  </w:pPr>
                  <w:r>
                    <w:rPr>
                      <w:rFonts w:hint="eastAsia" w:cs="Times New Roman"/>
                      <w:szCs w:val="21"/>
                    </w:rPr>
                    <w:t>用量（t/a）</w:t>
                  </w:r>
                </w:p>
              </w:tc>
              <w:tc>
                <w:tcPr>
                  <w:tcW w:w="1250" w:type="pct"/>
                  <w:vAlign w:val="center"/>
                </w:tcPr>
                <w:p>
                  <w:pPr>
                    <w:jc w:val="center"/>
                    <w:rPr>
                      <w:rFonts w:cs="Times New Roman"/>
                      <w:szCs w:val="21"/>
                    </w:rPr>
                  </w:pPr>
                  <w:r>
                    <w:rPr>
                      <w:rFonts w:hint="eastAsia" w:cs="Times New Roman"/>
                      <w:szCs w:val="21"/>
                    </w:rPr>
                    <w:t>产物名称</w:t>
                  </w:r>
                </w:p>
              </w:tc>
              <w:tc>
                <w:tcPr>
                  <w:tcW w:w="1250" w:type="pct"/>
                  <w:vAlign w:val="center"/>
                </w:tcPr>
                <w:p>
                  <w:pPr>
                    <w:jc w:val="center"/>
                    <w:rPr>
                      <w:rFonts w:cs="Times New Roman"/>
                      <w:szCs w:val="21"/>
                    </w:rPr>
                  </w:pPr>
                  <w:r>
                    <w:rPr>
                      <w:rFonts w:hint="eastAsia" w:cs="Times New Roman"/>
                      <w:szCs w:val="21"/>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jc w:val="center"/>
                    <w:rPr>
                      <w:rFonts w:cs="Times New Roman"/>
                      <w:szCs w:val="21"/>
                    </w:rPr>
                  </w:pPr>
                  <w:r>
                    <w:rPr>
                      <w:rFonts w:hint="eastAsia" w:cstheme="minorHAnsi"/>
                      <w:szCs w:val="21"/>
                    </w:rPr>
                    <w:t>石灰石</w:t>
                  </w:r>
                </w:p>
              </w:tc>
              <w:tc>
                <w:tcPr>
                  <w:tcW w:w="1250" w:type="pct"/>
                  <w:vAlign w:val="center"/>
                </w:tcPr>
                <w:p>
                  <w:pPr>
                    <w:jc w:val="center"/>
                    <w:rPr>
                      <w:rFonts w:cs="Times New Roman"/>
                      <w:szCs w:val="21"/>
                    </w:rPr>
                  </w:pPr>
                  <w:r>
                    <w:rPr>
                      <w:rFonts w:cs="Times New Roman"/>
                      <w:szCs w:val="21"/>
                    </w:rPr>
                    <w:t>1330001.793</w:t>
                  </w:r>
                </w:p>
              </w:tc>
              <w:tc>
                <w:tcPr>
                  <w:tcW w:w="1250" w:type="pct"/>
                  <w:vAlign w:val="center"/>
                </w:tcPr>
                <w:p>
                  <w:pPr>
                    <w:jc w:val="center"/>
                    <w:rPr>
                      <w:rFonts w:cs="Times New Roman"/>
                      <w:szCs w:val="21"/>
                    </w:rPr>
                  </w:pPr>
                  <w:r>
                    <w:rPr>
                      <w:rFonts w:hint="eastAsia"/>
                      <w:szCs w:val="21"/>
                    </w:rPr>
                    <w:t>5</w:t>
                  </w:r>
                  <w:r>
                    <w:rPr>
                      <w:szCs w:val="21"/>
                    </w:rPr>
                    <w:t>-10</w:t>
                  </w:r>
                  <w:r>
                    <w:rPr>
                      <w:rFonts w:hint="eastAsia"/>
                      <w:szCs w:val="21"/>
                    </w:rPr>
                    <w:t>mm骨料</w:t>
                  </w:r>
                </w:p>
              </w:tc>
              <w:tc>
                <w:tcPr>
                  <w:tcW w:w="1250" w:type="pct"/>
                  <w:vAlign w:val="center"/>
                </w:tcPr>
                <w:p>
                  <w:pPr>
                    <w:jc w:val="center"/>
                    <w:rPr>
                      <w:rFonts w:cs="Times New Roman"/>
                      <w:szCs w:val="21"/>
                    </w:rPr>
                  </w:pPr>
                  <w:r>
                    <w:rPr>
                      <w:rFonts w:hint="eastAsia" w:cs="Times New Roman"/>
                      <w:szCs w:val="21"/>
                    </w:rPr>
                    <w:t>330000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jc w:val="center"/>
                    <w:rPr>
                      <w:rFonts w:cs="Times New Roman"/>
                      <w:szCs w:val="21"/>
                    </w:rPr>
                  </w:pPr>
                  <w:r>
                    <w:rPr>
                      <w:rFonts w:hint="eastAsia" w:cs="Times New Roman"/>
                      <w:szCs w:val="21"/>
                    </w:rPr>
                    <w:t>/</w:t>
                  </w:r>
                </w:p>
              </w:tc>
              <w:tc>
                <w:tcPr>
                  <w:tcW w:w="1250" w:type="pct"/>
                  <w:vAlign w:val="center"/>
                </w:tcPr>
                <w:p>
                  <w:pPr>
                    <w:jc w:val="center"/>
                    <w:rPr>
                      <w:rFonts w:cs="Times New Roman"/>
                      <w:szCs w:val="21"/>
                    </w:rPr>
                  </w:pPr>
                  <w:r>
                    <w:rPr>
                      <w:rFonts w:hint="eastAsia" w:cs="Times New Roman"/>
                      <w:szCs w:val="21"/>
                    </w:rPr>
                    <w:t>/</w:t>
                  </w:r>
                </w:p>
              </w:tc>
              <w:tc>
                <w:tcPr>
                  <w:tcW w:w="1250" w:type="pct"/>
                  <w:vAlign w:val="center"/>
                </w:tcPr>
                <w:p>
                  <w:pPr>
                    <w:jc w:val="center"/>
                    <w:rPr>
                      <w:rFonts w:cs="Times New Roman"/>
                      <w:szCs w:val="21"/>
                    </w:rPr>
                  </w:pPr>
                  <w:r>
                    <w:rPr>
                      <w:rFonts w:hint="eastAsia"/>
                      <w:szCs w:val="21"/>
                    </w:rPr>
                    <w:t>1</w:t>
                  </w:r>
                  <w:r>
                    <w:rPr>
                      <w:szCs w:val="21"/>
                    </w:rPr>
                    <w:t>0-25</w:t>
                  </w:r>
                  <w:r>
                    <w:rPr>
                      <w:rFonts w:hint="eastAsia"/>
                      <w:szCs w:val="21"/>
                    </w:rPr>
                    <w:t>mm骨料</w:t>
                  </w:r>
                </w:p>
              </w:tc>
              <w:tc>
                <w:tcPr>
                  <w:tcW w:w="1250" w:type="pct"/>
                  <w:vAlign w:val="center"/>
                </w:tcPr>
                <w:p>
                  <w:pPr>
                    <w:jc w:val="center"/>
                    <w:rPr>
                      <w:rFonts w:cs="Times New Roman"/>
                      <w:szCs w:val="21"/>
                    </w:rPr>
                  </w:pPr>
                  <w:r>
                    <w:rPr>
                      <w:rFonts w:hint="eastAsia" w:cs="Times New Roman"/>
                      <w:szCs w:val="21"/>
                    </w:rPr>
                    <w:t>340000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jc w:val="center"/>
                    <w:rPr>
                      <w:rFonts w:cs="Times New Roman"/>
                      <w:szCs w:val="21"/>
                    </w:rPr>
                  </w:pPr>
                  <w:r>
                    <w:rPr>
                      <w:rFonts w:hint="eastAsia" w:cs="Times New Roman"/>
                      <w:szCs w:val="21"/>
                    </w:rPr>
                    <w:t>/</w:t>
                  </w:r>
                </w:p>
              </w:tc>
              <w:tc>
                <w:tcPr>
                  <w:tcW w:w="1250" w:type="pct"/>
                  <w:vAlign w:val="center"/>
                </w:tcPr>
                <w:p>
                  <w:pPr>
                    <w:jc w:val="center"/>
                    <w:rPr>
                      <w:rFonts w:cs="Times New Roman"/>
                      <w:szCs w:val="21"/>
                    </w:rPr>
                  </w:pPr>
                  <w:r>
                    <w:rPr>
                      <w:rFonts w:hint="eastAsia" w:cs="Times New Roman"/>
                      <w:szCs w:val="21"/>
                    </w:rPr>
                    <w:t>/</w:t>
                  </w:r>
                </w:p>
              </w:tc>
              <w:tc>
                <w:tcPr>
                  <w:tcW w:w="1250" w:type="pct"/>
                  <w:vAlign w:val="center"/>
                </w:tcPr>
                <w:p>
                  <w:pPr>
                    <w:jc w:val="center"/>
                    <w:rPr>
                      <w:rFonts w:cs="Times New Roman"/>
                      <w:szCs w:val="21"/>
                    </w:rPr>
                  </w:pPr>
                  <w:r>
                    <w:rPr>
                      <w:szCs w:val="21"/>
                    </w:rPr>
                    <w:t>25-40</w:t>
                  </w:r>
                  <w:r>
                    <w:rPr>
                      <w:rFonts w:hint="eastAsia"/>
                      <w:szCs w:val="21"/>
                    </w:rPr>
                    <w:t>mm骨料</w:t>
                  </w:r>
                </w:p>
              </w:tc>
              <w:tc>
                <w:tcPr>
                  <w:tcW w:w="1250" w:type="pct"/>
                  <w:vAlign w:val="center"/>
                </w:tcPr>
                <w:p>
                  <w:pPr>
                    <w:jc w:val="center"/>
                    <w:rPr>
                      <w:rFonts w:cs="Times New Roman"/>
                      <w:szCs w:val="21"/>
                    </w:rPr>
                  </w:pPr>
                  <w:r>
                    <w:rPr>
                      <w:rFonts w:hint="eastAsia" w:cs="Times New Roman"/>
                      <w:szCs w:val="21"/>
                    </w:rPr>
                    <w:t>330000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jc w:val="center"/>
                    <w:rPr>
                      <w:rFonts w:cs="Times New Roman"/>
                      <w:szCs w:val="21"/>
                    </w:rPr>
                  </w:pPr>
                  <w:r>
                    <w:rPr>
                      <w:rFonts w:hint="eastAsia" w:cs="Times New Roman"/>
                      <w:szCs w:val="21"/>
                    </w:rPr>
                    <w:t>/</w:t>
                  </w:r>
                </w:p>
              </w:tc>
              <w:tc>
                <w:tcPr>
                  <w:tcW w:w="1250" w:type="pct"/>
                  <w:vAlign w:val="center"/>
                </w:tcPr>
                <w:p>
                  <w:pPr>
                    <w:jc w:val="center"/>
                    <w:rPr>
                      <w:rFonts w:cs="Times New Roman"/>
                      <w:szCs w:val="21"/>
                    </w:rPr>
                  </w:pPr>
                  <w:r>
                    <w:rPr>
                      <w:rFonts w:hint="eastAsia" w:cs="Times New Roman"/>
                      <w:szCs w:val="21"/>
                    </w:rPr>
                    <w:t>/</w:t>
                  </w:r>
                </w:p>
              </w:tc>
              <w:tc>
                <w:tcPr>
                  <w:tcW w:w="1250" w:type="pct"/>
                  <w:vAlign w:val="center"/>
                </w:tcPr>
                <w:p>
                  <w:pPr>
                    <w:jc w:val="center"/>
                    <w:rPr>
                      <w:rFonts w:cs="Times New Roman"/>
                      <w:szCs w:val="21"/>
                    </w:rPr>
                  </w:pPr>
                  <w:r>
                    <w:rPr>
                      <w:rFonts w:hint="eastAsia"/>
                      <w:szCs w:val="21"/>
                    </w:rPr>
                    <w:t>0</w:t>
                  </w:r>
                  <w:r>
                    <w:rPr>
                      <w:szCs w:val="21"/>
                    </w:rPr>
                    <w:t>.075-4.75</w:t>
                  </w:r>
                  <w:r>
                    <w:rPr>
                      <w:rFonts w:hint="eastAsia"/>
                      <w:szCs w:val="21"/>
                    </w:rPr>
                    <w:t>mm机制砂</w:t>
                  </w:r>
                </w:p>
              </w:tc>
              <w:tc>
                <w:tcPr>
                  <w:tcW w:w="1250" w:type="pct"/>
                  <w:vAlign w:val="center"/>
                </w:tcPr>
                <w:p>
                  <w:pPr>
                    <w:jc w:val="center"/>
                    <w:rPr>
                      <w:rFonts w:cs="Times New Roman"/>
                      <w:szCs w:val="21"/>
                    </w:rPr>
                  </w:pPr>
                  <w:r>
                    <w:rPr>
                      <w:rFonts w:hint="eastAsia" w:cs="Times New Roman"/>
                      <w:szCs w:val="21"/>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jc w:val="center"/>
                    <w:rPr>
                      <w:rFonts w:cs="Times New Roman"/>
                      <w:szCs w:val="21"/>
                    </w:rPr>
                  </w:pPr>
                  <w:r>
                    <w:rPr>
                      <w:rFonts w:hint="eastAsia" w:cs="Times New Roman"/>
                      <w:szCs w:val="21"/>
                    </w:rPr>
                    <w:t>/</w:t>
                  </w:r>
                </w:p>
              </w:tc>
              <w:tc>
                <w:tcPr>
                  <w:tcW w:w="1250" w:type="pct"/>
                  <w:vAlign w:val="center"/>
                </w:tcPr>
                <w:p>
                  <w:pPr>
                    <w:jc w:val="center"/>
                    <w:rPr>
                      <w:rFonts w:cs="Times New Roman"/>
                      <w:szCs w:val="21"/>
                    </w:rPr>
                  </w:pPr>
                  <w:r>
                    <w:rPr>
                      <w:rFonts w:hint="eastAsia" w:cs="Times New Roman"/>
                      <w:szCs w:val="21"/>
                    </w:rPr>
                    <w:t>/</w:t>
                  </w:r>
                </w:p>
              </w:tc>
              <w:tc>
                <w:tcPr>
                  <w:tcW w:w="1250" w:type="pct"/>
                  <w:vAlign w:val="center"/>
                </w:tcPr>
                <w:p>
                  <w:pPr>
                    <w:jc w:val="center"/>
                    <w:rPr>
                      <w:rFonts w:cs="Times New Roman"/>
                      <w:szCs w:val="21"/>
                    </w:rPr>
                  </w:pPr>
                  <w:r>
                    <w:rPr>
                      <w:szCs w:val="21"/>
                    </w:rPr>
                    <w:t>0-0.075</w:t>
                  </w:r>
                  <w:r>
                    <w:rPr>
                      <w:rFonts w:hint="eastAsia"/>
                      <w:szCs w:val="21"/>
                    </w:rPr>
                    <w:t>mm微粉</w:t>
                  </w:r>
                </w:p>
              </w:tc>
              <w:tc>
                <w:tcPr>
                  <w:tcW w:w="1250" w:type="pct"/>
                  <w:vAlign w:val="center"/>
                </w:tcPr>
                <w:p>
                  <w:pPr>
                    <w:jc w:val="center"/>
                    <w:rPr>
                      <w:rFonts w:cs="Times New Roman"/>
                      <w:szCs w:val="21"/>
                    </w:rPr>
                  </w:pPr>
                  <w:r>
                    <w:rPr>
                      <w:rFonts w:hint="eastAsia" w:cs="Times New Roman"/>
                      <w:szCs w:val="21"/>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jc w:val="center"/>
                    <w:rPr>
                      <w:rFonts w:cs="Times New Roman"/>
                      <w:szCs w:val="21"/>
                    </w:rPr>
                  </w:pPr>
                  <w:r>
                    <w:rPr>
                      <w:rFonts w:hint="eastAsia" w:cs="Times New Roman"/>
                      <w:szCs w:val="21"/>
                    </w:rPr>
                    <w:t>/</w:t>
                  </w:r>
                </w:p>
              </w:tc>
              <w:tc>
                <w:tcPr>
                  <w:tcW w:w="1250" w:type="pct"/>
                  <w:vAlign w:val="center"/>
                </w:tcPr>
                <w:p>
                  <w:pPr>
                    <w:jc w:val="center"/>
                    <w:rPr>
                      <w:rFonts w:cs="Times New Roman"/>
                      <w:szCs w:val="21"/>
                    </w:rPr>
                  </w:pPr>
                  <w:r>
                    <w:rPr>
                      <w:rFonts w:hint="eastAsia" w:cs="Times New Roman"/>
                      <w:szCs w:val="21"/>
                    </w:rPr>
                    <w:t>/</w:t>
                  </w:r>
                </w:p>
              </w:tc>
              <w:tc>
                <w:tcPr>
                  <w:tcW w:w="1250" w:type="pct"/>
                  <w:vAlign w:val="center"/>
                </w:tcPr>
                <w:p>
                  <w:pPr>
                    <w:jc w:val="center"/>
                    <w:rPr>
                      <w:rFonts w:cs="Times New Roman"/>
                      <w:szCs w:val="21"/>
                    </w:rPr>
                  </w:pPr>
                  <w:r>
                    <w:rPr>
                      <w:rFonts w:hint="eastAsia" w:cs="Times New Roman"/>
                      <w:szCs w:val="21"/>
                    </w:rPr>
                    <w:t>外排粉尘</w:t>
                  </w:r>
                </w:p>
              </w:tc>
              <w:tc>
                <w:tcPr>
                  <w:tcW w:w="1250" w:type="pct"/>
                  <w:vAlign w:val="center"/>
                </w:tcPr>
                <w:p>
                  <w:pPr>
                    <w:jc w:val="center"/>
                    <w:rPr>
                      <w:rFonts w:cs="Times New Roman"/>
                      <w:szCs w:val="21"/>
                    </w:rPr>
                  </w:pPr>
                  <w:r>
                    <w:rPr>
                      <w:szCs w:val="21"/>
                    </w:rPr>
                    <w:t>1.7926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jc w:val="center"/>
                    <w:rPr>
                      <w:rFonts w:cs="Times New Roman"/>
                      <w:szCs w:val="21"/>
                    </w:rPr>
                  </w:pPr>
                  <w:r>
                    <w:rPr>
                      <w:rFonts w:hint="eastAsia" w:cs="Times New Roman"/>
                      <w:szCs w:val="21"/>
                    </w:rPr>
                    <w:t>合计</w:t>
                  </w:r>
                </w:p>
              </w:tc>
              <w:tc>
                <w:tcPr>
                  <w:tcW w:w="1250" w:type="pct"/>
                  <w:vAlign w:val="center"/>
                </w:tcPr>
                <w:p>
                  <w:pPr>
                    <w:jc w:val="center"/>
                    <w:rPr>
                      <w:rFonts w:cs="Times New Roman"/>
                      <w:szCs w:val="21"/>
                    </w:rPr>
                  </w:pPr>
                  <w:r>
                    <w:rPr>
                      <w:rFonts w:cs="Times New Roman"/>
                      <w:szCs w:val="21"/>
                    </w:rPr>
                    <w:t>1330001.793</w:t>
                  </w:r>
                </w:p>
              </w:tc>
              <w:tc>
                <w:tcPr>
                  <w:tcW w:w="1250" w:type="pct"/>
                  <w:vAlign w:val="center"/>
                </w:tcPr>
                <w:p>
                  <w:pPr>
                    <w:jc w:val="center"/>
                    <w:rPr>
                      <w:rFonts w:cs="Times New Roman"/>
                      <w:szCs w:val="21"/>
                    </w:rPr>
                  </w:pPr>
                  <w:r>
                    <w:rPr>
                      <w:rFonts w:hint="eastAsia" w:cs="Times New Roman"/>
                      <w:szCs w:val="21"/>
                    </w:rPr>
                    <w:t>合计</w:t>
                  </w:r>
                </w:p>
              </w:tc>
              <w:tc>
                <w:tcPr>
                  <w:tcW w:w="1250" w:type="pct"/>
                  <w:vAlign w:val="center"/>
                </w:tcPr>
                <w:p>
                  <w:pPr>
                    <w:jc w:val="center"/>
                    <w:rPr>
                      <w:rFonts w:cs="Times New Roman"/>
                      <w:szCs w:val="21"/>
                    </w:rPr>
                  </w:pPr>
                  <w:r>
                    <w:rPr>
                      <w:rFonts w:cs="Times New Roman"/>
                      <w:szCs w:val="21"/>
                    </w:rPr>
                    <w:t>1330001.793</w:t>
                  </w:r>
                </w:p>
              </w:tc>
            </w:tr>
          </w:tbl>
          <w:p>
            <w:pPr>
              <w:spacing w:line="360" w:lineRule="auto"/>
              <w:ind w:firstLine="482" w:firstLineChars="200"/>
              <w:rPr>
                <w:rFonts w:cs="Times New Roman"/>
                <w:b/>
                <w:sz w:val="24"/>
                <w:szCs w:val="24"/>
              </w:rPr>
            </w:pPr>
            <w:r>
              <w:rPr>
                <w:rFonts w:hint="eastAsia" w:cs="Times New Roman"/>
                <w:b/>
                <w:sz w:val="24"/>
                <w:szCs w:val="24"/>
              </w:rPr>
              <w:t>9、公用工程</w:t>
            </w:r>
          </w:p>
          <w:p>
            <w:pPr>
              <w:spacing w:line="360" w:lineRule="auto"/>
              <w:ind w:firstLine="482" w:firstLineChars="200"/>
              <w:rPr>
                <w:b/>
                <w:kern w:val="24"/>
                <w:sz w:val="24"/>
                <w:szCs w:val="24"/>
              </w:rPr>
            </w:pPr>
            <w:r>
              <w:rPr>
                <w:rFonts w:hint="eastAsia"/>
                <w:b/>
                <w:kern w:val="24"/>
                <w:sz w:val="24"/>
                <w:szCs w:val="24"/>
              </w:rPr>
              <w:t>①给水</w:t>
            </w:r>
          </w:p>
          <w:p>
            <w:pPr>
              <w:spacing w:line="360" w:lineRule="auto"/>
              <w:ind w:firstLine="480" w:firstLineChars="200"/>
              <w:rPr>
                <w:kern w:val="24"/>
                <w:sz w:val="24"/>
                <w:szCs w:val="24"/>
              </w:rPr>
            </w:pPr>
            <w:r>
              <w:rPr>
                <w:rFonts w:hint="eastAsia"/>
                <w:kern w:val="24"/>
                <w:sz w:val="24"/>
                <w:szCs w:val="24"/>
              </w:rPr>
              <w:t>本项目采用干法生产技术，不涉及地面清洗，无生产用水，不新增劳动定员，运营期新增用水主要为机制砂运输车辆轮胎冲洗用水。根据建设单位提供的资料，单台运输车辆载重量约33t，本次改建新增运输车次约30次/d，根据《四川省用水定额》（川府函〔2021〕8号）制定的用水标准，车辆轮胎冲洗用水按100L/辆</w:t>
            </w:r>
            <w:r>
              <w:rPr>
                <w:rFonts w:cs="Times New Roman"/>
                <w:kern w:val="24"/>
                <w:sz w:val="24"/>
                <w:szCs w:val="24"/>
              </w:rPr>
              <w:t>·</w:t>
            </w:r>
            <w:r>
              <w:rPr>
                <w:rFonts w:hint="eastAsia"/>
                <w:kern w:val="24"/>
                <w:sz w:val="24"/>
                <w:szCs w:val="24"/>
              </w:rPr>
              <w:t>次计，则新增车辆轮胎冲洗用水量约3m</w:t>
            </w:r>
            <w:r>
              <w:rPr>
                <w:rFonts w:hint="eastAsia"/>
                <w:kern w:val="24"/>
                <w:sz w:val="24"/>
                <w:szCs w:val="24"/>
                <w:vertAlign w:val="superscript"/>
              </w:rPr>
              <w:t>3</w:t>
            </w:r>
            <w:r>
              <w:rPr>
                <w:rFonts w:hint="eastAsia"/>
                <w:kern w:val="24"/>
                <w:sz w:val="24"/>
                <w:szCs w:val="24"/>
              </w:rPr>
              <w:t>/d（其中2.55m</w:t>
            </w:r>
            <w:r>
              <w:rPr>
                <w:rFonts w:hint="eastAsia"/>
                <w:kern w:val="24"/>
                <w:sz w:val="24"/>
                <w:szCs w:val="24"/>
                <w:vertAlign w:val="superscript"/>
              </w:rPr>
              <w:t>3</w:t>
            </w:r>
            <w:r>
              <w:rPr>
                <w:rFonts w:hint="eastAsia"/>
                <w:kern w:val="24"/>
                <w:sz w:val="24"/>
                <w:szCs w:val="24"/>
              </w:rPr>
              <w:t>/d采用沉淀后回用水，0.45m</w:t>
            </w:r>
            <w:r>
              <w:rPr>
                <w:rFonts w:hint="eastAsia"/>
                <w:kern w:val="24"/>
                <w:sz w:val="24"/>
                <w:szCs w:val="24"/>
                <w:vertAlign w:val="superscript"/>
              </w:rPr>
              <w:t>3</w:t>
            </w:r>
            <w:r>
              <w:rPr>
                <w:rFonts w:hint="eastAsia"/>
                <w:kern w:val="24"/>
                <w:sz w:val="24"/>
                <w:szCs w:val="24"/>
              </w:rPr>
              <w:t>/d补充新鲜水）。</w:t>
            </w:r>
          </w:p>
          <w:p>
            <w:pPr>
              <w:spacing w:line="360" w:lineRule="auto"/>
              <w:ind w:firstLine="482" w:firstLineChars="200"/>
              <w:rPr>
                <w:b/>
                <w:kern w:val="24"/>
                <w:sz w:val="24"/>
                <w:szCs w:val="24"/>
              </w:rPr>
            </w:pPr>
            <w:r>
              <w:rPr>
                <w:rFonts w:hint="eastAsia"/>
                <w:b/>
                <w:kern w:val="24"/>
                <w:sz w:val="24"/>
                <w:szCs w:val="24"/>
              </w:rPr>
              <w:t>②排水</w:t>
            </w:r>
          </w:p>
          <w:p>
            <w:pPr>
              <w:spacing w:line="360" w:lineRule="auto"/>
              <w:ind w:firstLine="480"/>
              <w:rPr>
                <w:kern w:val="24"/>
                <w:sz w:val="24"/>
                <w:szCs w:val="24"/>
              </w:rPr>
            </w:pPr>
            <w:r>
              <w:rPr>
                <w:rFonts w:hint="eastAsia" w:cs="Times New Roman"/>
                <w:sz w:val="24"/>
                <w:szCs w:val="24"/>
              </w:rPr>
              <w:t>本次改建新增</w:t>
            </w:r>
            <w:r>
              <w:rPr>
                <w:rFonts w:hint="eastAsia"/>
                <w:kern w:val="24"/>
                <w:sz w:val="24"/>
                <w:szCs w:val="24"/>
              </w:rPr>
              <w:t>车辆轮胎冲洗产生量按用水量的85%计，车辆轮胎冲洗废水产生量约2.55m</w:t>
            </w:r>
            <w:r>
              <w:rPr>
                <w:rFonts w:hint="eastAsia"/>
                <w:kern w:val="24"/>
                <w:sz w:val="24"/>
                <w:szCs w:val="24"/>
                <w:vertAlign w:val="superscript"/>
              </w:rPr>
              <w:t>3</w:t>
            </w:r>
            <w:r>
              <w:rPr>
                <w:rFonts w:hint="eastAsia"/>
                <w:kern w:val="24"/>
                <w:sz w:val="24"/>
                <w:szCs w:val="24"/>
              </w:rPr>
              <w:t>/d，经沉淀池处理后全部回用于车辆轮胎冲洗，不外排。</w:t>
            </w:r>
          </w:p>
          <w:p>
            <w:pPr>
              <w:spacing w:line="360" w:lineRule="auto"/>
              <w:ind w:firstLine="482" w:firstLineChars="200"/>
              <w:rPr>
                <w:b/>
                <w:kern w:val="24"/>
                <w:sz w:val="24"/>
                <w:szCs w:val="24"/>
              </w:rPr>
            </w:pPr>
            <w:r>
              <w:rPr>
                <w:rFonts w:hint="eastAsia"/>
                <w:b/>
                <w:kern w:val="24"/>
                <w:sz w:val="24"/>
                <w:szCs w:val="24"/>
              </w:rPr>
              <w:t>③水平衡图</w:t>
            </w:r>
          </w:p>
          <w:p>
            <w:pPr>
              <w:spacing w:line="360" w:lineRule="auto"/>
              <w:jc w:val="center"/>
              <w:rPr>
                <w:kern w:val="24"/>
                <w:sz w:val="24"/>
                <w:szCs w:val="24"/>
              </w:rPr>
            </w:pPr>
            <w:r>
              <w:object>
                <v:shape id="_x0000_i1026" o:spt="75" type="#_x0000_t75" style="height:81.75pt;width:231.75pt;" o:ole="t" filled="f" o:preferrelative="t" stroked="f" coordsize="21600,21600">
                  <v:path/>
                  <v:fill on="f" focussize="0,0"/>
                  <v:stroke on="f" joinstyle="miter"/>
                  <v:imagedata r:id="rId12" o:title=""/>
                  <o:lock v:ext="edit" aspectratio="t"/>
                  <w10:wrap type="none"/>
                  <w10:anchorlock/>
                </v:shape>
                <o:OLEObject Type="Embed" ProgID="Visio.Drawing.15" ShapeID="_x0000_i1026" DrawAspect="Content" ObjectID="_1468075726" r:id="rId11">
                  <o:LockedField>false</o:LockedField>
                </o:OLEObject>
              </w:object>
            </w:r>
          </w:p>
          <w:p>
            <w:pPr>
              <w:spacing w:line="360" w:lineRule="auto"/>
              <w:jc w:val="center"/>
              <w:rPr>
                <w:szCs w:val="21"/>
              </w:rPr>
            </w:pPr>
            <w:r>
              <w:rPr>
                <w:rFonts w:hint="eastAsia" w:eastAsia="黑体" w:cstheme="minorHAnsi"/>
                <w:szCs w:val="21"/>
              </w:rPr>
              <w:t>图</w:t>
            </w:r>
            <w:r>
              <w:rPr>
                <w:rFonts w:eastAsia="黑体" w:cstheme="minorHAnsi"/>
                <w:szCs w:val="21"/>
              </w:rPr>
              <w:t>2</w:t>
            </w:r>
            <w:r>
              <w:rPr>
                <w:rFonts w:hint="eastAsia" w:eastAsia="黑体" w:cstheme="minorHAnsi"/>
                <w:szCs w:val="21"/>
              </w:rPr>
              <w:t>-3</w:t>
            </w:r>
            <w:r>
              <w:rPr>
                <w:rFonts w:eastAsia="黑体" w:cstheme="minorHAnsi"/>
                <w:szCs w:val="21"/>
              </w:rPr>
              <w:t xml:space="preserve">  项目</w:t>
            </w:r>
            <w:r>
              <w:rPr>
                <w:rFonts w:hint="eastAsia" w:eastAsia="黑体" w:cstheme="minorHAnsi"/>
                <w:szCs w:val="21"/>
              </w:rPr>
              <w:t>水量平衡图</w:t>
            </w:r>
            <w:r>
              <w:rPr>
                <w:szCs w:val="21"/>
              </w:rPr>
              <w:t>（</w:t>
            </w:r>
            <w:r>
              <w:rPr>
                <w:rFonts w:eastAsia="黑体"/>
                <w:szCs w:val="21"/>
              </w:rPr>
              <w:t>m</w:t>
            </w:r>
            <w:r>
              <w:rPr>
                <w:rFonts w:eastAsia="黑体"/>
                <w:szCs w:val="21"/>
                <w:vertAlign w:val="superscript"/>
              </w:rPr>
              <w:t>3</w:t>
            </w:r>
            <w:r>
              <w:rPr>
                <w:rFonts w:eastAsia="黑体"/>
                <w:szCs w:val="21"/>
              </w:rPr>
              <w:t>/d</w:t>
            </w:r>
            <w:r>
              <w:rPr>
                <w:rFonts w:hint="eastAsia"/>
                <w:szCs w:val="21"/>
              </w:rPr>
              <w:t>）</w:t>
            </w:r>
          </w:p>
          <w:p>
            <w:pPr>
              <w:spacing w:line="360" w:lineRule="auto"/>
              <w:ind w:firstLine="482" w:firstLineChars="200"/>
              <w:rPr>
                <w:b/>
                <w:kern w:val="24"/>
                <w:sz w:val="24"/>
                <w:szCs w:val="24"/>
              </w:rPr>
            </w:pPr>
            <w:r>
              <w:rPr>
                <w:rFonts w:hint="eastAsia"/>
                <w:b/>
                <w:kern w:val="24"/>
                <w:sz w:val="24"/>
                <w:szCs w:val="24"/>
              </w:rPr>
              <w:t>④供电</w:t>
            </w:r>
          </w:p>
          <w:p>
            <w:pPr>
              <w:spacing w:line="360" w:lineRule="auto"/>
              <w:ind w:firstLine="480"/>
              <w:rPr>
                <w:kern w:val="24"/>
                <w:sz w:val="24"/>
                <w:szCs w:val="24"/>
              </w:rPr>
            </w:pPr>
            <w:r>
              <w:rPr>
                <w:rFonts w:hint="eastAsia"/>
                <w:kern w:val="24"/>
                <w:sz w:val="24"/>
                <w:szCs w:val="24"/>
              </w:rPr>
              <w:t>本次改建新增1间电力室，供电来源为市政供电。</w:t>
            </w:r>
          </w:p>
          <w:p>
            <w:pPr>
              <w:spacing w:line="360" w:lineRule="auto"/>
              <w:ind w:firstLine="482" w:firstLineChars="200"/>
              <w:rPr>
                <w:rFonts w:cs="Times New Roman"/>
                <w:b/>
                <w:sz w:val="24"/>
                <w:szCs w:val="24"/>
              </w:rPr>
            </w:pPr>
            <w:r>
              <w:rPr>
                <w:rFonts w:hint="eastAsia" w:cs="Times New Roman"/>
                <w:b/>
                <w:sz w:val="24"/>
                <w:szCs w:val="24"/>
              </w:rPr>
              <w:t>10、劳动定员及工作制度</w:t>
            </w:r>
          </w:p>
          <w:p>
            <w:pPr>
              <w:spacing w:line="360" w:lineRule="auto"/>
              <w:ind w:firstLine="480" w:firstLineChars="200"/>
              <w:rPr>
                <w:sz w:val="24"/>
                <w:szCs w:val="24"/>
              </w:rPr>
            </w:pPr>
            <w:r>
              <w:rPr>
                <w:rFonts w:hint="eastAsia"/>
                <w:sz w:val="24"/>
                <w:szCs w:val="24"/>
              </w:rPr>
              <w:t>本项目不新增劳动定员，生产人员由厂区统一调配。根据工艺设计方案，项目全年生产</w:t>
            </w:r>
            <w:r>
              <w:rPr>
                <w:sz w:val="24"/>
                <w:szCs w:val="24"/>
              </w:rPr>
              <w:t>300</w:t>
            </w:r>
            <w:r>
              <w:rPr>
                <w:rFonts w:hint="eastAsia"/>
                <w:sz w:val="24"/>
                <w:szCs w:val="24"/>
              </w:rPr>
              <w:t>天，每天生产8小时</w:t>
            </w:r>
            <w:r>
              <w:rPr>
                <w:rFonts w:hint="eastAsia"/>
                <w:kern w:val="24"/>
                <w:sz w:val="24"/>
                <w:szCs w:val="24"/>
              </w:rPr>
              <w:t>。</w:t>
            </w:r>
          </w:p>
          <w:p>
            <w:pPr>
              <w:spacing w:line="360" w:lineRule="auto"/>
              <w:ind w:firstLine="482" w:firstLineChars="200"/>
              <w:rPr>
                <w:rFonts w:cs="Times New Roman"/>
                <w:b/>
                <w:sz w:val="24"/>
                <w:szCs w:val="24"/>
              </w:rPr>
            </w:pPr>
            <w:r>
              <w:rPr>
                <w:rFonts w:cs="Times New Roman"/>
                <w:b/>
                <w:sz w:val="24"/>
                <w:szCs w:val="24"/>
              </w:rPr>
              <w:t>1</w:t>
            </w:r>
            <w:r>
              <w:rPr>
                <w:rFonts w:hint="eastAsia" w:cs="Times New Roman"/>
                <w:b/>
                <w:sz w:val="24"/>
                <w:szCs w:val="24"/>
              </w:rPr>
              <w:t>1、总平面布置</w:t>
            </w:r>
          </w:p>
          <w:p>
            <w:pPr>
              <w:spacing w:line="360" w:lineRule="auto"/>
              <w:ind w:firstLine="480" w:firstLineChars="200"/>
              <w:rPr>
                <w:rFonts w:cs="Times New Roman"/>
                <w:sz w:val="24"/>
                <w:szCs w:val="24"/>
              </w:rPr>
            </w:pPr>
            <w:r>
              <w:rPr>
                <w:rFonts w:hint="eastAsia" w:cs="Times New Roman"/>
                <w:sz w:val="24"/>
                <w:szCs w:val="24"/>
              </w:rPr>
              <w:t>项目总体布置结合厂区现有骨料生产线和生产工艺需求进行布局，总体布局按照《建筑设计防火规范（2</w:t>
            </w:r>
            <w:r>
              <w:rPr>
                <w:rFonts w:cs="Times New Roman"/>
                <w:sz w:val="24"/>
                <w:szCs w:val="24"/>
              </w:rPr>
              <w:t>018</w:t>
            </w:r>
            <w:r>
              <w:rPr>
                <w:rFonts w:hint="eastAsia" w:cs="Times New Roman"/>
                <w:sz w:val="24"/>
                <w:szCs w:val="24"/>
              </w:rPr>
              <w:t>年版）》（GB50016-20</w:t>
            </w:r>
            <w:r>
              <w:rPr>
                <w:rFonts w:cs="Times New Roman"/>
                <w:sz w:val="24"/>
                <w:szCs w:val="24"/>
              </w:rPr>
              <w:t>14</w:t>
            </w:r>
            <w:r>
              <w:rPr>
                <w:rFonts w:hint="eastAsia" w:cs="Times New Roman"/>
                <w:sz w:val="24"/>
                <w:szCs w:val="24"/>
              </w:rPr>
              <w:t>）的要求进行设计。项目在骨料原料库旁新建钢板仓用于25-40mm骨料贮存，同时筛分机末端新建1条输送廊道引入新建钢板仓；在现有钢板仓末端新建1条输送廊道，将骨料线产生的0</w:t>
            </w:r>
            <w:r>
              <w:rPr>
                <w:rFonts w:cs="Times New Roman"/>
                <w:sz w:val="24"/>
                <w:szCs w:val="24"/>
              </w:rPr>
              <w:t>-5</w:t>
            </w:r>
            <w:r>
              <w:rPr>
                <w:rFonts w:hint="eastAsia" w:cs="Times New Roman"/>
                <w:sz w:val="24"/>
                <w:szCs w:val="24"/>
              </w:rPr>
              <w:t>nn粉料引至制砂楼作为制砂原料，制砂楼两侧新建成品砂库、微粉库，便于机制砂和微粉贮存，总体布局上充分考虑输送距离、粉尘的收集和处理需求，整体布局合理。</w:t>
            </w:r>
          </w:p>
          <w:p>
            <w:pPr>
              <w:spacing w:line="360" w:lineRule="auto"/>
              <w:ind w:firstLine="480" w:firstLineChars="200"/>
              <w:rPr>
                <w:rFonts w:cs="Times New Roman"/>
                <w:sz w:val="24"/>
                <w:szCs w:val="24"/>
              </w:rPr>
            </w:pPr>
            <w:r>
              <w:rPr>
                <w:kern w:val="24"/>
                <w:sz w:val="24"/>
                <w:szCs w:val="24"/>
              </w:rPr>
              <w:t>项目总平面布置见附图</w:t>
            </w:r>
            <w:r>
              <w:rPr>
                <w:rFonts w:hint="eastAsia"/>
                <w:kern w:val="24"/>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pPr>
              <w:spacing w:line="360" w:lineRule="auto"/>
              <w:jc w:val="center"/>
              <w:rPr>
                <w:rFonts w:cs="Times New Roman"/>
                <w:sz w:val="24"/>
                <w:szCs w:val="24"/>
              </w:rPr>
            </w:pPr>
            <w:r>
              <w:rPr>
                <w:rFonts w:hint="eastAsia" w:cs="Times New Roman"/>
                <w:sz w:val="24"/>
                <w:szCs w:val="24"/>
              </w:rPr>
              <w:t>工艺流程和产排污环节</w:t>
            </w:r>
          </w:p>
        </w:tc>
        <w:tc>
          <w:tcPr>
            <w:tcW w:w="4756" w:type="pct"/>
            <w:vAlign w:val="center"/>
          </w:tcPr>
          <w:p>
            <w:pPr>
              <w:spacing w:line="360" w:lineRule="auto"/>
              <w:ind w:firstLine="482" w:firstLineChars="200"/>
              <w:rPr>
                <w:rFonts w:cs="Times New Roman"/>
                <w:b/>
                <w:sz w:val="24"/>
                <w:szCs w:val="24"/>
              </w:rPr>
            </w:pPr>
            <w:r>
              <w:rPr>
                <w:rFonts w:cs="Times New Roman"/>
                <w:b/>
                <w:sz w:val="24"/>
                <w:szCs w:val="24"/>
              </w:rPr>
              <w:t>1</w:t>
            </w:r>
            <w:r>
              <w:rPr>
                <w:rFonts w:hint="eastAsia" w:cs="Times New Roman"/>
                <w:b/>
                <w:sz w:val="24"/>
                <w:szCs w:val="24"/>
              </w:rPr>
              <w:t>、施工期工艺流程和产污环节</w:t>
            </w:r>
          </w:p>
          <w:p>
            <w:pPr>
              <w:spacing w:line="360" w:lineRule="auto"/>
              <w:ind w:firstLine="480"/>
              <w:rPr>
                <w:sz w:val="24"/>
                <w:szCs w:val="24"/>
              </w:rPr>
            </w:pPr>
            <w:r>
              <w:rPr>
                <w:rFonts w:hint="eastAsia"/>
                <w:sz w:val="24"/>
                <w:szCs w:val="24"/>
              </w:rPr>
              <w:t>项目施工期基础工程、主体工程、装饰工程、设备安装等建设阶段将产生噪声、扬尘、固体废物、少量污水和废气等污染物，其排放量随工期和施工强度不同而有所变化。施工期工艺流程及产污环节如下图所示。</w:t>
            </w:r>
          </w:p>
          <w:p>
            <w:pPr>
              <w:spacing w:line="360" w:lineRule="auto"/>
              <w:jc w:val="center"/>
            </w:pPr>
            <w:r>
              <w:object>
                <v:shape id="_x0000_i1027" o:spt="75" type="#_x0000_t75" style="height:123pt;width:367.5pt;" o:ole="t" filled="f" o:preferrelative="t" stroked="f" coordsize="21600,21600">
                  <v:path/>
                  <v:fill on="f" focussize="0,0"/>
                  <v:stroke on="f" joinstyle="miter"/>
                  <v:imagedata r:id="rId14" o:title=""/>
                  <o:lock v:ext="edit" aspectratio="t"/>
                  <w10:wrap type="none"/>
                  <w10:anchorlock/>
                </v:shape>
                <o:OLEObject Type="Embed" ProgID="Visio.Drawing.15" ShapeID="_x0000_i1027" DrawAspect="Content" ObjectID="_1468075727" r:id="rId13">
                  <o:LockedField>false</o:LockedField>
                </o:OLEObject>
              </w:object>
            </w:r>
          </w:p>
          <w:p>
            <w:pPr>
              <w:spacing w:line="360" w:lineRule="auto"/>
              <w:jc w:val="center"/>
              <w:rPr>
                <w:rFonts w:eastAsia="黑体" w:cs="Times New Roman"/>
                <w:szCs w:val="21"/>
              </w:rPr>
            </w:pPr>
            <w:r>
              <w:rPr>
                <w:rFonts w:eastAsia="黑体" w:cs="Times New Roman"/>
                <w:szCs w:val="21"/>
              </w:rPr>
              <w:t>图2-</w:t>
            </w:r>
            <w:r>
              <w:rPr>
                <w:rFonts w:hint="eastAsia" w:eastAsia="黑体" w:cs="Times New Roman"/>
                <w:szCs w:val="21"/>
              </w:rPr>
              <w:t>4</w:t>
            </w:r>
            <w:r>
              <w:rPr>
                <w:rFonts w:eastAsia="黑体" w:cs="Times New Roman"/>
                <w:szCs w:val="21"/>
              </w:rPr>
              <w:t xml:space="preserve">  施工期工艺流程及产污环节图</w:t>
            </w:r>
          </w:p>
          <w:p>
            <w:pPr>
              <w:spacing w:line="360" w:lineRule="auto"/>
              <w:ind w:firstLine="480"/>
              <w:rPr>
                <w:b/>
                <w:bCs/>
                <w:sz w:val="24"/>
                <w:szCs w:val="24"/>
              </w:rPr>
            </w:pPr>
            <w:r>
              <w:rPr>
                <w:rFonts w:hint="eastAsia"/>
                <w:b/>
                <w:bCs/>
                <w:sz w:val="24"/>
                <w:szCs w:val="24"/>
              </w:rPr>
              <w:t>主要工序简述：</w:t>
            </w:r>
          </w:p>
          <w:p>
            <w:pPr>
              <w:spacing w:line="360" w:lineRule="auto"/>
              <w:ind w:firstLine="480"/>
              <w:rPr>
                <w:sz w:val="24"/>
                <w:szCs w:val="24"/>
              </w:rPr>
            </w:pPr>
            <w:r>
              <w:rPr>
                <w:rFonts w:hint="eastAsia"/>
                <w:sz w:val="24"/>
                <w:szCs w:val="24"/>
              </w:rPr>
              <w:t>施工期主要以扬尘、施工机械废气、装修废气、施工废水、生活污水、施工噪声、建筑废物、生活垃圾等为主要环境影响因素，但上述污染物随施工期的结束而结束。</w:t>
            </w:r>
          </w:p>
          <w:p>
            <w:pPr>
              <w:spacing w:line="360" w:lineRule="auto"/>
              <w:ind w:firstLine="482" w:firstLineChars="200"/>
              <w:rPr>
                <w:rFonts w:cs="Times New Roman"/>
                <w:b/>
                <w:sz w:val="24"/>
                <w:szCs w:val="24"/>
              </w:rPr>
            </w:pPr>
            <w:r>
              <w:rPr>
                <w:rFonts w:cs="Times New Roman"/>
                <w:b/>
                <w:sz w:val="24"/>
                <w:szCs w:val="24"/>
              </w:rPr>
              <w:t>2</w:t>
            </w:r>
            <w:r>
              <w:rPr>
                <w:rFonts w:hint="eastAsia" w:cs="Times New Roman"/>
                <w:b/>
                <w:sz w:val="24"/>
                <w:szCs w:val="24"/>
              </w:rPr>
              <w:t>、运营期工艺流程和产污环节</w:t>
            </w:r>
          </w:p>
          <w:p>
            <w:pPr>
              <w:spacing w:line="360" w:lineRule="auto"/>
              <w:ind w:firstLine="480" w:firstLineChars="200"/>
              <w:rPr>
                <w:sz w:val="24"/>
                <w:szCs w:val="24"/>
              </w:rPr>
            </w:pPr>
            <w:r>
              <w:rPr>
                <w:rFonts w:hint="eastAsia"/>
                <w:sz w:val="24"/>
                <w:szCs w:val="24"/>
              </w:rPr>
              <w:t>本次改建主要对原骨料生产线筛分机筛网进行调整，由原有的0</w:t>
            </w:r>
            <w:r>
              <w:rPr>
                <w:sz w:val="24"/>
                <w:szCs w:val="24"/>
              </w:rPr>
              <w:t>-</w:t>
            </w:r>
            <w:r>
              <w:rPr>
                <w:rFonts w:hint="eastAsia"/>
                <w:sz w:val="24"/>
                <w:szCs w:val="24"/>
              </w:rPr>
              <w:t>5、5</w:t>
            </w:r>
            <w:r>
              <w:rPr>
                <w:sz w:val="24"/>
                <w:szCs w:val="24"/>
              </w:rPr>
              <w:t>-25</w:t>
            </w:r>
            <w:r>
              <w:rPr>
                <w:rFonts w:hint="eastAsia"/>
                <w:sz w:val="24"/>
                <w:szCs w:val="24"/>
              </w:rPr>
              <w:t>、</w:t>
            </w:r>
            <w:r>
              <w:rPr>
                <w:sz w:val="24"/>
                <w:szCs w:val="24"/>
              </w:rPr>
              <w:t>25-40</w:t>
            </w:r>
            <w:r>
              <w:rPr>
                <w:rFonts w:hint="eastAsia"/>
                <w:sz w:val="24"/>
                <w:szCs w:val="24"/>
              </w:rPr>
              <w:t>mm筛网更换为0-5、5-10、10-25、25-40mm筛网，新建制砂楼、微粉库、成品砂库、钢板仓等，利用骨料线生产的0-5mm粉料作为原料生产机制砂。本次改建前后骨料生产线除贮仓外，其余产污环节和污染物产生量均未发生明显改变。运营期工艺流程及产污环节见下图：</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jc w:val="center"/>
              <w:rPr>
                <w:rFonts w:eastAsia="黑体" w:cs="Times New Roman"/>
              </w:rPr>
            </w:pPr>
            <w:r>
              <w:object>
                <v:shape id="_x0000_i1028" o:spt="75" type="#_x0000_t75" style="height:478.9pt;width:425.25pt;" o:ole="t" filled="f" o:preferrelative="t" stroked="f" coordsize="21600,21600">
                  <v:path/>
                  <v:fill on="f" focussize="0,0"/>
                  <v:stroke on="f" joinstyle="miter"/>
                  <v:imagedata r:id="rId16" o:title=""/>
                  <o:lock v:ext="edit" aspectratio="t"/>
                  <w10:wrap type="none"/>
                  <w10:anchorlock/>
                </v:shape>
                <o:OLEObject Type="Embed" ProgID="Visio.Drawing.15" ShapeID="_x0000_i1028" DrawAspect="Content" ObjectID="_1468075728" r:id="rId15">
                  <o:LockedField>false</o:LockedField>
                </o:OLEObject>
              </w:object>
            </w:r>
          </w:p>
          <w:p>
            <w:pPr>
              <w:spacing w:line="360" w:lineRule="auto"/>
              <w:jc w:val="center"/>
              <w:rPr>
                <w:rFonts w:eastAsia="黑体" w:cs="Times New Roman"/>
                <w:sz w:val="24"/>
              </w:rPr>
            </w:pPr>
            <w:r>
              <w:rPr>
                <w:rFonts w:eastAsia="黑体" w:cs="Times New Roman"/>
              </w:rPr>
              <w:t>图2</w:t>
            </w:r>
            <w:r>
              <w:rPr>
                <w:rFonts w:hint="eastAsia" w:eastAsia="黑体" w:cs="Times New Roman"/>
              </w:rPr>
              <w:t>-5</w:t>
            </w:r>
            <w:r>
              <w:rPr>
                <w:rFonts w:eastAsia="黑体" w:cs="Times New Roman"/>
              </w:rPr>
              <w:t xml:space="preserve">  </w:t>
            </w:r>
            <w:r>
              <w:rPr>
                <w:rFonts w:hint="eastAsia" w:eastAsia="黑体" w:cs="Times New Roman"/>
              </w:rPr>
              <w:t>运营期工艺流程及产污环节</w:t>
            </w:r>
            <w:r>
              <w:rPr>
                <w:rFonts w:eastAsia="黑体" w:cs="Times New Roman"/>
              </w:rPr>
              <w:t>图</w:t>
            </w:r>
          </w:p>
          <w:p>
            <w:pPr>
              <w:spacing w:line="360" w:lineRule="auto"/>
              <w:ind w:firstLine="482" w:firstLineChars="200"/>
              <w:rPr>
                <w:b/>
                <w:sz w:val="24"/>
                <w:szCs w:val="24"/>
              </w:rPr>
            </w:pPr>
            <w:r>
              <w:rPr>
                <w:rFonts w:hint="eastAsia"/>
                <w:b/>
                <w:sz w:val="24"/>
                <w:szCs w:val="24"/>
              </w:rPr>
              <w:t>主要工序</w:t>
            </w:r>
            <w:r>
              <w:rPr>
                <w:b/>
                <w:sz w:val="24"/>
                <w:szCs w:val="24"/>
              </w:rPr>
              <w:t>简述：</w:t>
            </w:r>
          </w:p>
          <w:p>
            <w:pPr>
              <w:spacing w:line="360" w:lineRule="auto"/>
              <w:ind w:firstLine="482" w:firstLineChars="200"/>
              <w:rPr>
                <w:b/>
                <w:sz w:val="24"/>
              </w:rPr>
            </w:pPr>
            <w:r>
              <w:rPr>
                <w:rFonts w:hint="eastAsia"/>
                <w:b/>
                <w:sz w:val="24"/>
              </w:rPr>
              <w:t>①破碎/筛分</w:t>
            </w:r>
          </w:p>
          <w:p>
            <w:pPr>
              <w:spacing w:line="360" w:lineRule="auto"/>
              <w:ind w:firstLine="480" w:firstLineChars="200"/>
              <w:rPr>
                <w:sz w:val="24"/>
              </w:rPr>
            </w:pPr>
            <w:r>
              <w:rPr>
                <w:rFonts w:hint="eastAsia"/>
                <w:sz w:val="24"/>
              </w:rPr>
              <w:t>来自达州海螺水泥配套矿山初破后0-</w:t>
            </w:r>
            <w:r>
              <w:rPr>
                <w:sz w:val="24"/>
              </w:rPr>
              <w:t>80</w:t>
            </w:r>
            <w:r>
              <w:rPr>
                <w:rFonts w:hint="eastAsia"/>
                <w:sz w:val="24"/>
              </w:rPr>
              <w:t>mm粒径的石灰石，通过密闭输送廊道送至海螺水泥厂区内，一部分进入石灰石预均化堆场，一部分则送入骨料原料库。石灰石经破碎机进行再次破碎，随后进入筛分机，将0-</w:t>
            </w:r>
            <w:r>
              <w:rPr>
                <w:sz w:val="24"/>
              </w:rPr>
              <w:t>5</w:t>
            </w:r>
            <w:r>
              <w:rPr>
                <w:rFonts w:hint="eastAsia"/>
                <w:sz w:val="24"/>
              </w:rPr>
              <w:t>mm、</w:t>
            </w:r>
            <w:r>
              <w:rPr>
                <w:sz w:val="24"/>
              </w:rPr>
              <w:t>5-10</w:t>
            </w:r>
            <w:r>
              <w:rPr>
                <w:rFonts w:hint="eastAsia"/>
                <w:sz w:val="24"/>
              </w:rPr>
              <w:t>mm、10-2</w:t>
            </w:r>
            <w:r>
              <w:rPr>
                <w:sz w:val="24"/>
              </w:rPr>
              <w:t>5</w:t>
            </w:r>
            <w:r>
              <w:rPr>
                <w:rFonts w:hint="eastAsia"/>
                <w:sz w:val="24"/>
              </w:rPr>
              <w:t>mm、2</w:t>
            </w:r>
            <w:r>
              <w:rPr>
                <w:sz w:val="24"/>
              </w:rPr>
              <w:t>5-40</w:t>
            </w:r>
            <w:r>
              <w:rPr>
                <w:rFonts w:hint="eastAsia"/>
                <w:sz w:val="24"/>
              </w:rPr>
              <w:t>mm和&gt;</w:t>
            </w:r>
            <w:r>
              <w:rPr>
                <w:sz w:val="24"/>
              </w:rPr>
              <w:t>40</w:t>
            </w:r>
            <w:r>
              <w:rPr>
                <w:rFonts w:hint="eastAsia"/>
                <w:sz w:val="24"/>
              </w:rPr>
              <w:t>mm骨料分离，分离出的0-</w:t>
            </w:r>
            <w:r>
              <w:rPr>
                <w:sz w:val="24"/>
              </w:rPr>
              <w:t>5</w:t>
            </w:r>
            <w:r>
              <w:rPr>
                <w:rFonts w:hint="eastAsia"/>
                <w:sz w:val="24"/>
              </w:rPr>
              <w:t>mm粉料通过密闭输送廊道送入现有钢板仓，</w:t>
            </w:r>
            <w:r>
              <w:rPr>
                <w:sz w:val="24"/>
              </w:rPr>
              <w:t>5-10</w:t>
            </w:r>
            <w:r>
              <w:rPr>
                <w:rFonts w:hint="eastAsia"/>
                <w:sz w:val="24"/>
              </w:rPr>
              <w:t>mm、10-2</w:t>
            </w:r>
            <w:r>
              <w:rPr>
                <w:sz w:val="24"/>
              </w:rPr>
              <w:t>5</w:t>
            </w:r>
            <w:r>
              <w:rPr>
                <w:rFonts w:hint="eastAsia"/>
                <w:sz w:val="24"/>
              </w:rPr>
              <w:t>mm骨料通过密闭输送廊道分别送入现有骨料仓，2</w:t>
            </w:r>
            <w:r>
              <w:rPr>
                <w:sz w:val="24"/>
              </w:rPr>
              <w:t>5-40</w:t>
            </w:r>
            <w:r>
              <w:rPr>
                <w:rFonts w:hint="eastAsia"/>
                <w:sz w:val="24"/>
              </w:rPr>
              <w:t>mm骨料通过新建密闭输送廊道送入新建钢板仓，&gt;</w:t>
            </w:r>
            <w:r>
              <w:rPr>
                <w:sz w:val="24"/>
              </w:rPr>
              <w:t>40</w:t>
            </w:r>
            <w:r>
              <w:rPr>
                <w:rFonts w:hint="eastAsia"/>
                <w:sz w:val="24"/>
              </w:rPr>
              <w:t>mm骨料则通过密闭输送廊道返回破碎机再次破碎。</w:t>
            </w:r>
          </w:p>
          <w:p>
            <w:pPr>
              <w:spacing w:line="360" w:lineRule="auto"/>
              <w:ind w:firstLine="482" w:firstLineChars="200"/>
              <w:rPr>
                <w:b/>
                <w:sz w:val="24"/>
              </w:rPr>
            </w:pPr>
            <w:r>
              <w:rPr>
                <w:rFonts w:hint="eastAsia"/>
                <w:b/>
                <w:sz w:val="24"/>
              </w:rPr>
              <w:t>②制砂/筛分</w:t>
            </w:r>
          </w:p>
          <w:p>
            <w:pPr>
              <w:spacing w:line="360" w:lineRule="auto"/>
              <w:ind w:firstLine="480" w:firstLineChars="200"/>
              <w:rPr>
                <w:sz w:val="24"/>
              </w:rPr>
            </w:pPr>
            <w:r>
              <w:rPr>
                <w:rFonts w:hint="eastAsia"/>
                <w:sz w:val="24"/>
              </w:rPr>
              <w:t>现有钢板仓内0-</w:t>
            </w:r>
            <w:r>
              <w:rPr>
                <w:sz w:val="24"/>
              </w:rPr>
              <w:t>5</w:t>
            </w:r>
            <w:r>
              <w:rPr>
                <w:rFonts w:hint="eastAsia"/>
                <w:sz w:val="24"/>
              </w:rPr>
              <w:t>mm粉料从钢板仓底部通过新建密闭输送廊道送至制砂楼，制砂机通过高速旋转的转子和冲击板的作用，使粉料受到强烈的冲击和碰撞，使其更加细小、均匀、圆滑。经制砂机加工的机制砂进入筛分机进行筛分，经分离出的0-</w:t>
            </w:r>
            <w:r>
              <w:rPr>
                <w:sz w:val="24"/>
              </w:rPr>
              <w:t>0.075</w:t>
            </w:r>
            <w:r>
              <w:rPr>
                <w:rFonts w:hint="eastAsia"/>
                <w:sz w:val="24"/>
              </w:rPr>
              <w:t>mm的微粉通过新建密闭输送廊道送入微粉库，送至水泥生产线作为辅材利用；0</w:t>
            </w:r>
            <w:r>
              <w:rPr>
                <w:sz w:val="24"/>
              </w:rPr>
              <w:t>.075-4.75</w:t>
            </w:r>
            <w:r>
              <w:rPr>
                <w:rFonts w:hint="eastAsia"/>
                <w:sz w:val="24"/>
              </w:rPr>
              <w:t>mm的机制砂则通过新建密闭输送廊道成品砂库；&gt;4.75mm的粉料通过密闭输送廊道返回制砂机继续加工。</w:t>
            </w:r>
          </w:p>
          <w:p>
            <w:pPr>
              <w:spacing w:line="360" w:lineRule="auto"/>
              <w:ind w:firstLine="482" w:firstLineChars="200"/>
              <w:rPr>
                <w:b/>
                <w:sz w:val="24"/>
              </w:rPr>
            </w:pPr>
            <w:r>
              <w:rPr>
                <w:rFonts w:hint="eastAsia"/>
                <w:b/>
                <w:sz w:val="24"/>
              </w:rPr>
              <w:t>③装车</w:t>
            </w:r>
          </w:p>
          <w:p>
            <w:pPr>
              <w:spacing w:line="360" w:lineRule="auto"/>
              <w:ind w:firstLine="480" w:firstLineChars="200"/>
              <w:rPr>
                <w:sz w:val="24"/>
              </w:rPr>
            </w:pPr>
            <w:r>
              <w:rPr>
                <w:rFonts w:hint="eastAsia"/>
                <w:sz w:val="24"/>
              </w:rPr>
              <w:t>骨料仓、钢板仓和成品砂库均配套设置装车区，装车区四周和顶部设置封闭式围挡，进出口设自动卷帘门。装车时，首先打开卷帘门，待运输车辆进入指定位置后，关闭卷帘门，然后打开贮仓底部出料口将物料送入提升机，再经斜槽装车。</w:t>
            </w:r>
          </w:p>
          <w:p>
            <w:pPr>
              <w:spacing w:line="360" w:lineRule="auto"/>
              <w:ind w:firstLine="480" w:firstLineChars="200"/>
              <w:rPr>
                <w:rFonts w:cs="Times New Roman"/>
                <w:b/>
                <w:bCs/>
                <w:sz w:val="24"/>
                <w:szCs w:val="24"/>
              </w:rPr>
            </w:pPr>
            <w:r>
              <w:rPr>
                <w:rFonts w:hint="eastAsia" w:cs="Times New Roman"/>
                <w:sz w:val="24"/>
                <w:szCs w:val="24"/>
              </w:rPr>
              <w:t>综上所述，根据工艺流程和原辅材料分析，本次改建项目主要产排污环节、污染物种类见下表：</w:t>
            </w:r>
          </w:p>
          <w:p>
            <w:pPr>
              <w:spacing w:line="360" w:lineRule="auto"/>
              <w:jc w:val="center"/>
              <w:rPr>
                <w:rFonts w:eastAsia="黑体" w:cs="Times New Roman"/>
                <w:szCs w:val="21"/>
              </w:rPr>
            </w:pPr>
            <w:r>
              <w:rPr>
                <w:rFonts w:eastAsia="黑体" w:cs="Times New Roman"/>
                <w:szCs w:val="21"/>
              </w:rPr>
              <w:t>表2</w:t>
            </w:r>
            <w:r>
              <w:rPr>
                <w:rFonts w:hint="eastAsia" w:eastAsia="黑体" w:cs="Times New Roman"/>
                <w:szCs w:val="21"/>
              </w:rPr>
              <w:t>-7</w:t>
            </w:r>
            <w:r>
              <w:rPr>
                <w:rFonts w:eastAsia="黑体" w:cs="Times New Roman"/>
                <w:szCs w:val="21"/>
              </w:rPr>
              <w:t xml:space="preserve">  </w:t>
            </w:r>
            <w:r>
              <w:rPr>
                <w:rFonts w:hint="eastAsia" w:eastAsia="黑体" w:cs="Times New Roman"/>
                <w:szCs w:val="21"/>
              </w:rPr>
              <w:t>改建项目主要产排污环节、污染物种类</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2572"/>
              <w:gridCol w:w="2965"/>
              <w:gridCol w:w="2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87" w:type="pct"/>
                  <w:vAlign w:val="center"/>
                </w:tcPr>
                <w:p>
                  <w:pPr>
                    <w:jc w:val="center"/>
                    <w:rPr>
                      <w:szCs w:val="21"/>
                    </w:rPr>
                  </w:pPr>
                  <w:r>
                    <w:rPr>
                      <w:szCs w:val="21"/>
                    </w:rPr>
                    <w:t>类型</w:t>
                  </w:r>
                </w:p>
              </w:tc>
              <w:tc>
                <w:tcPr>
                  <w:tcW w:w="1406" w:type="pct"/>
                </w:tcPr>
                <w:p>
                  <w:pPr>
                    <w:jc w:val="center"/>
                    <w:rPr>
                      <w:szCs w:val="21"/>
                    </w:rPr>
                  </w:pPr>
                  <w:r>
                    <w:rPr>
                      <w:szCs w:val="21"/>
                    </w:rPr>
                    <w:t>产排污环节</w:t>
                  </w:r>
                </w:p>
              </w:tc>
              <w:tc>
                <w:tcPr>
                  <w:tcW w:w="1621" w:type="pct"/>
                  <w:vAlign w:val="center"/>
                </w:tcPr>
                <w:p>
                  <w:pPr>
                    <w:jc w:val="center"/>
                    <w:rPr>
                      <w:szCs w:val="21"/>
                    </w:rPr>
                  </w:pPr>
                  <w:r>
                    <w:rPr>
                      <w:szCs w:val="21"/>
                    </w:rPr>
                    <w:t>污染物类型</w:t>
                  </w:r>
                </w:p>
              </w:tc>
              <w:tc>
                <w:tcPr>
                  <w:tcW w:w="1486" w:type="pct"/>
                  <w:vAlign w:val="center"/>
                </w:tcPr>
                <w:p>
                  <w:pPr>
                    <w:jc w:val="center"/>
                    <w:rPr>
                      <w:szCs w:val="21"/>
                    </w:rPr>
                  </w:pPr>
                  <w:r>
                    <w:rPr>
                      <w:rFonts w:hint="eastAsia"/>
                      <w:szCs w:val="21"/>
                    </w:rPr>
                    <w:t>污染物种类/废物类别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487" w:type="pct"/>
                  <w:vAlign w:val="center"/>
                </w:tcPr>
                <w:p>
                  <w:pPr>
                    <w:jc w:val="center"/>
                    <w:rPr>
                      <w:szCs w:val="21"/>
                    </w:rPr>
                  </w:pPr>
                  <w:r>
                    <w:rPr>
                      <w:rFonts w:hint="eastAsia"/>
                      <w:szCs w:val="21"/>
                    </w:rPr>
                    <w:t>废气</w:t>
                  </w:r>
                </w:p>
              </w:tc>
              <w:tc>
                <w:tcPr>
                  <w:tcW w:w="1406" w:type="pct"/>
                  <w:vAlign w:val="center"/>
                </w:tcPr>
                <w:p>
                  <w:pPr>
                    <w:jc w:val="center"/>
                    <w:rPr>
                      <w:szCs w:val="21"/>
                    </w:rPr>
                  </w:pPr>
                  <w:r>
                    <w:rPr>
                      <w:rFonts w:hint="eastAsia"/>
                      <w:szCs w:val="21"/>
                    </w:rPr>
                    <w:t>制砂/筛分、物料输送、贮仓、装车等</w:t>
                  </w:r>
                </w:p>
              </w:tc>
              <w:tc>
                <w:tcPr>
                  <w:tcW w:w="1621" w:type="pct"/>
                  <w:vAlign w:val="center"/>
                </w:tcPr>
                <w:p>
                  <w:pPr>
                    <w:jc w:val="center"/>
                    <w:rPr>
                      <w:szCs w:val="21"/>
                    </w:rPr>
                  </w:pPr>
                  <w:r>
                    <w:rPr>
                      <w:rFonts w:hint="eastAsia"/>
                      <w:szCs w:val="21"/>
                    </w:rPr>
                    <w:t>粉尘</w:t>
                  </w:r>
                </w:p>
              </w:tc>
              <w:tc>
                <w:tcPr>
                  <w:tcW w:w="1486" w:type="pct"/>
                  <w:vAlign w:val="center"/>
                </w:tcPr>
                <w:p>
                  <w:pPr>
                    <w:jc w:val="center"/>
                    <w:rPr>
                      <w:szCs w:val="21"/>
                    </w:rPr>
                  </w:pPr>
                  <w:r>
                    <w:rPr>
                      <w:rFonts w:hint="eastAsia"/>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487" w:type="pct"/>
                  <w:vAlign w:val="center"/>
                </w:tcPr>
                <w:p>
                  <w:pPr>
                    <w:jc w:val="center"/>
                    <w:rPr>
                      <w:szCs w:val="21"/>
                    </w:rPr>
                  </w:pPr>
                  <w:r>
                    <w:rPr>
                      <w:rFonts w:hint="eastAsia"/>
                      <w:szCs w:val="21"/>
                    </w:rPr>
                    <w:t>废水</w:t>
                  </w:r>
                </w:p>
              </w:tc>
              <w:tc>
                <w:tcPr>
                  <w:tcW w:w="1406" w:type="pct"/>
                  <w:vAlign w:val="center"/>
                </w:tcPr>
                <w:p>
                  <w:pPr>
                    <w:jc w:val="center"/>
                    <w:rPr>
                      <w:szCs w:val="21"/>
                    </w:rPr>
                  </w:pPr>
                  <w:r>
                    <w:rPr>
                      <w:rFonts w:hint="eastAsia"/>
                      <w:szCs w:val="21"/>
                    </w:rPr>
                    <w:t>运输车辆</w:t>
                  </w:r>
                </w:p>
              </w:tc>
              <w:tc>
                <w:tcPr>
                  <w:tcW w:w="1621" w:type="pct"/>
                  <w:vAlign w:val="center"/>
                </w:tcPr>
                <w:p>
                  <w:pPr>
                    <w:jc w:val="center"/>
                    <w:rPr>
                      <w:szCs w:val="21"/>
                    </w:rPr>
                  </w:pPr>
                  <w:r>
                    <w:rPr>
                      <w:rFonts w:hint="eastAsia"/>
                      <w:szCs w:val="21"/>
                    </w:rPr>
                    <w:t>车辆轮胎冲洗废水</w:t>
                  </w:r>
                </w:p>
              </w:tc>
              <w:tc>
                <w:tcPr>
                  <w:tcW w:w="1486" w:type="pct"/>
                  <w:vAlign w:val="center"/>
                </w:tcPr>
                <w:p>
                  <w:pPr>
                    <w:jc w:val="center"/>
                    <w:rPr>
                      <w:szCs w:val="21"/>
                    </w:rPr>
                  </w:pPr>
                  <w:r>
                    <w:rPr>
                      <w:rFonts w:hint="eastAsia"/>
                      <w:szCs w:val="21"/>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487" w:type="pct"/>
                  <w:vAlign w:val="center"/>
                </w:tcPr>
                <w:p>
                  <w:pPr>
                    <w:jc w:val="center"/>
                    <w:rPr>
                      <w:szCs w:val="21"/>
                    </w:rPr>
                  </w:pPr>
                  <w:r>
                    <w:rPr>
                      <w:szCs w:val="21"/>
                    </w:rPr>
                    <w:t>噪声</w:t>
                  </w:r>
                </w:p>
              </w:tc>
              <w:tc>
                <w:tcPr>
                  <w:tcW w:w="1406" w:type="pct"/>
                  <w:vAlign w:val="center"/>
                </w:tcPr>
                <w:p>
                  <w:pPr>
                    <w:jc w:val="center"/>
                    <w:rPr>
                      <w:szCs w:val="21"/>
                    </w:rPr>
                  </w:pPr>
                  <w:r>
                    <w:rPr>
                      <w:rFonts w:hint="eastAsia"/>
                      <w:szCs w:val="21"/>
                    </w:rPr>
                    <w:t>工艺</w:t>
                  </w:r>
                  <w:r>
                    <w:rPr>
                      <w:szCs w:val="21"/>
                    </w:rPr>
                    <w:t>设备</w:t>
                  </w:r>
                </w:p>
              </w:tc>
              <w:tc>
                <w:tcPr>
                  <w:tcW w:w="1621" w:type="pct"/>
                  <w:vAlign w:val="center"/>
                </w:tcPr>
                <w:p>
                  <w:pPr>
                    <w:jc w:val="center"/>
                    <w:rPr>
                      <w:szCs w:val="21"/>
                    </w:rPr>
                  </w:pPr>
                  <w:r>
                    <w:rPr>
                      <w:szCs w:val="21"/>
                    </w:rPr>
                    <w:t>设备噪声</w:t>
                  </w:r>
                </w:p>
              </w:tc>
              <w:tc>
                <w:tcPr>
                  <w:tcW w:w="1486"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restart"/>
                  <w:vAlign w:val="center"/>
                </w:tcPr>
                <w:p>
                  <w:pPr>
                    <w:jc w:val="center"/>
                    <w:rPr>
                      <w:szCs w:val="21"/>
                    </w:rPr>
                  </w:pPr>
                  <w:r>
                    <w:rPr>
                      <w:szCs w:val="21"/>
                    </w:rPr>
                    <w:t>固体废物</w:t>
                  </w:r>
                </w:p>
              </w:tc>
              <w:tc>
                <w:tcPr>
                  <w:tcW w:w="1406" w:type="pct"/>
                </w:tcPr>
                <w:p>
                  <w:pPr>
                    <w:jc w:val="center"/>
                    <w:rPr>
                      <w:szCs w:val="21"/>
                    </w:rPr>
                  </w:pPr>
                  <w:r>
                    <w:rPr>
                      <w:rFonts w:hint="eastAsia"/>
                      <w:szCs w:val="21"/>
                    </w:rPr>
                    <w:t>袋式除尘器、制砂楼、装车区等</w:t>
                  </w:r>
                </w:p>
              </w:tc>
              <w:tc>
                <w:tcPr>
                  <w:tcW w:w="1621" w:type="pct"/>
                  <w:vAlign w:val="center"/>
                </w:tcPr>
                <w:p>
                  <w:pPr>
                    <w:jc w:val="center"/>
                    <w:rPr>
                      <w:szCs w:val="21"/>
                    </w:rPr>
                  </w:pPr>
                  <w:r>
                    <w:rPr>
                      <w:rFonts w:hint="eastAsia"/>
                      <w:szCs w:val="21"/>
                    </w:rPr>
                    <w:t>除尘设施及地面收集的粉尘</w:t>
                  </w:r>
                </w:p>
              </w:tc>
              <w:tc>
                <w:tcPr>
                  <w:tcW w:w="1486" w:type="pct"/>
                  <w:vAlign w:val="center"/>
                </w:tcPr>
                <w:p>
                  <w:pPr>
                    <w:jc w:val="center"/>
                    <w:rPr>
                      <w:szCs w:val="21"/>
                    </w:rPr>
                  </w:pPr>
                  <w:r>
                    <w:rPr>
                      <w:szCs w:val="21"/>
                    </w:rPr>
                    <w:t>一般</w:t>
                  </w:r>
                  <w:r>
                    <w:rPr>
                      <w:rFonts w:hint="eastAsia"/>
                      <w:szCs w:val="21"/>
                    </w:rPr>
                    <w:t>固体</w:t>
                  </w:r>
                  <w:r>
                    <w:rPr>
                      <w:szCs w:val="21"/>
                    </w:rPr>
                    <w:t>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jc w:val="center"/>
                    <w:rPr>
                      <w:szCs w:val="21"/>
                    </w:rPr>
                  </w:pPr>
                </w:p>
              </w:tc>
              <w:tc>
                <w:tcPr>
                  <w:tcW w:w="1406" w:type="pct"/>
                </w:tcPr>
                <w:p>
                  <w:pPr>
                    <w:jc w:val="center"/>
                    <w:rPr>
                      <w:szCs w:val="21"/>
                    </w:rPr>
                  </w:pPr>
                  <w:r>
                    <w:rPr>
                      <w:rFonts w:hint="eastAsia"/>
                      <w:szCs w:val="21"/>
                    </w:rPr>
                    <w:t>沉淀池</w:t>
                  </w:r>
                </w:p>
              </w:tc>
              <w:tc>
                <w:tcPr>
                  <w:tcW w:w="1621" w:type="pct"/>
                  <w:vAlign w:val="center"/>
                </w:tcPr>
                <w:p>
                  <w:pPr>
                    <w:jc w:val="center"/>
                    <w:rPr>
                      <w:szCs w:val="21"/>
                    </w:rPr>
                  </w:pPr>
                  <w:r>
                    <w:rPr>
                      <w:rFonts w:hint="eastAsia"/>
                      <w:szCs w:val="21"/>
                    </w:rPr>
                    <w:t>泥沙</w:t>
                  </w:r>
                </w:p>
              </w:tc>
              <w:tc>
                <w:tcPr>
                  <w:tcW w:w="1486" w:type="pct"/>
                  <w:vAlign w:val="center"/>
                </w:tcPr>
                <w:p>
                  <w:pPr>
                    <w:jc w:val="center"/>
                    <w:rPr>
                      <w:szCs w:val="21"/>
                    </w:rPr>
                  </w:pPr>
                  <w:r>
                    <w:rPr>
                      <w:szCs w:val="21"/>
                    </w:rPr>
                    <w:t>一般</w:t>
                  </w:r>
                  <w:r>
                    <w:rPr>
                      <w:rFonts w:hint="eastAsia"/>
                      <w:szCs w:val="21"/>
                    </w:rPr>
                    <w:t>固体</w:t>
                  </w:r>
                  <w:r>
                    <w:rPr>
                      <w:szCs w:val="21"/>
                    </w:rPr>
                    <w:t>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jc w:val="center"/>
                    <w:rPr>
                      <w:szCs w:val="21"/>
                    </w:rPr>
                  </w:pPr>
                </w:p>
              </w:tc>
              <w:tc>
                <w:tcPr>
                  <w:tcW w:w="1406" w:type="pct"/>
                </w:tcPr>
                <w:p>
                  <w:pPr>
                    <w:jc w:val="center"/>
                    <w:rPr>
                      <w:szCs w:val="21"/>
                    </w:rPr>
                  </w:pPr>
                  <w:r>
                    <w:rPr>
                      <w:rFonts w:hint="eastAsia"/>
                      <w:szCs w:val="21"/>
                    </w:rPr>
                    <w:t>设备保养</w:t>
                  </w:r>
                </w:p>
              </w:tc>
              <w:tc>
                <w:tcPr>
                  <w:tcW w:w="1621" w:type="pct"/>
                  <w:vAlign w:val="center"/>
                </w:tcPr>
                <w:p>
                  <w:pPr>
                    <w:jc w:val="center"/>
                    <w:rPr>
                      <w:szCs w:val="21"/>
                    </w:rPr>
                  </w:pPr>
                  <w:r>
                    <w:rPr>
                      <w:rFonts w:hint="eastAsia"/>
                      <w:szCs w:val="21"/>
                    </w:rPr>
                    <w:t>废润滑油及包装桶</w:t>
                  </w:r>
                </w:p>
              </w:tc>
              <w:tc>
                <w:tcPr>
                  <w:tcW w:w="1486" w:type="pct"/>
                  <w:vAlign w:val="center"/>
                </w:tcPr>
                <w:p>
                  <w:pPr>
                    <w:jc w:val="center"/>
                    <w:rPr>
                      <w:szCs w:val="21"/>
                    </w:rPr>
                  </w:pPr>
                  <w:r>
                    <w:rPr>
                      <w:rFonts w:hint="eastAsia"/>
                      <w:szCs w:val="21"/>
                    </w:rPr>
                    <w:t>危险废物（HW</w:t>
                  </w:r>
                  <w:r>
                    <w:rPr>
                      <w:szCs w:val="21"/>
                    </w:rPr>
                    <w:t>08</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jc w:val="center"/>
                    <w:rPr>
                      <w:szCs w:val="21"/>
                    </w:rPr>
                  </w:pPr>
                </w:p>
              </w:tc>
              <w:tc>
                <w:tcPr>
                  <w:tcW w:w="1406" w:type="pct"/>
                </w:tcPr>
                <w:p>
                  <w:pPr>
                    <w:jc w:val="center"/>
                    <w:rPr>
                      <w:szCs w:val="21"/>
                    </w:rPr>
                  </w:pPr>
                  <w:r>
                    <w:rPr>
                      <w:rFonts w:hint="eastAsia"/>
                      <w:szCs w:val="21"/>
                    </w:rPr>
                    <w:t>设备保养</w:t>
                  </w:r>
                </w:p>
              </w:tc>
              <w:tc>
                <w:tcPr>
                  <w:tcW w:w="1621" w:type="pct"/>
                  <w:vAlign w:val="center"/>
                </w:tcPr>
                <w:p>
                  <w:pPr>
                    <w:jc w:val="center"/>
                    <w:rPr>
                      <w:szCs w:val="21"/>
                    </w:rPr>
                  </w:pPr>
                  <w:r>
                    <w:rPr>
                      <w:rFonts w:hint="eastAsia"/>
                      <w:szCs w:val="21"/>
                    </w:rPr>
                    <w:t>含油棉纱及手套</w:t>
                  </w:r>
                </w:p>
              </w:tc>
              <w:tc>
                <w:tcPr>
                  <w:tcW w:w="1486" w:type="pct"/>
                  <w:vAlign w:val="center"/>
                </w:tcPr>
                <w:p>
                  <w:pPr>
                    <w:jc w:val="center"/>
                    <w:rPr>
                      <w:szCs w:val="21"/>
                    </w:rPr>
                  </w:pPr>
                  <w:r>
                    <w:rPr>
                      <w:rFonts w:hint="eastAsia"/>
                      <w:szCs w:val="21"/>
                    </w:rPr>
                    <w:t>危险废物（HW</w:t>
                  </w:r>
                  <w:r>
                    <w:rPr>
                      <w:szCs w:val="21"/>
                    </w:rPr>
                    <w:t>49</w:t>
                  </w:r>
                  <w:r>
                    <w:rPr>
                      <w:rFonts w:hint="eastAsia"/>
                      <w:szCs w:val="21"/>
                    </w:rPr>
                    <w:t>）</w:t>
                  </w:r>
                </w:p>
              </w:tc>
            </w:tr>
          </w:tbl>
          <w:p>
            <w:pPr>
              <w:spacing w:line="360" w:lineRule="auto"/>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Align w:val="center"/>
          </w:tcPr>
          <w:p>
            <w:pPr>
              <w:spacing w:line="360" w:lineRule="auto"/>
              <w:jc w:val="center"/>
              <w:rPr>
                <w:rFonts w:cs="Times New Roman"/>
                <w:sz w:val="24"/>
                <w:szCs w:val="24"/>
              </w:rPr>
            </w:pPr>
            <w:r>
              <w:rPr>
                <w:rFonts w:hint="eastAsia" w:cs="Times New Roman"/>
                <w:sz w:val="24"/>
                <w:szCs w:val="24"/>
              </w:rPr>
              <w:t>与项目有关的原有环境污染问题</w:t>
            </w:r>
          </w:p>
        </w:tc>
        <w:tc>
          <w:tcPr>
            <w:tcW w:w="4756" w:type="pct"/>
            <w:vAlign w:val="center"/>
          </w:tcPr>
          <w:p>
            <w:pPr>
              <w:spacing w:line="360" w:lineRule="auto"/>
              <w:ind w:firstLine="480" w:firstLineChars="200"/>
              <w:rPr>
                <w:sz w:val="24"/>
                <w:szCs w:val="24"/>
              </w:rPr>
            </w:pPr>
            <w:r>
              <w:rPr>
                <w:rFonts w:hint="eastAsia"/>
                <w:sz w:val="24"/>
                <w:szCs w:val="24"/>
              </w:rPr>
              <w:t>达州海螺水泥有限责任公司是安徽海螺水泥股份有限公司旗下的全资子公司之一，位于达州市大竹县石河镇，厂区内同时还有达州海宇能远环保科技有限公司和达州海螺环保科技有限公司2家其它企业，其中：</w:t>
            </w:r>
          </w:p>
          <w:p>
            <w:pPr>
              <w:spacing w:line="360" w:lineRule="auto"/>
              <w:ind w:firstLine="480" w:firstLineChars="200"/>
              <w:rPr>
                <w:sz w:val="24"/>
                <w:szCs w:val="24"/>
              </w:rPr>
            </w:pPr>
            <w:r>
              <w:rPr>
                <w:rFonts w:hint="eastAsia"/>
                <w:sz w:val="24"/>
                <w:szCs w:val="24"/>
              </w:rPr>
              <w:t>达州海宇能远环保科技有限公司隶属于上海海环能远环保科技有限责任公司，于2022年投资1000万元在达州海螺水泥厂区内建设“达州水泥窑综合利用固废项目”，主要依托现有水泥窑进行污染土协同处置，服务范围为达州及周边地区、重庆市区，设计年处理污染土25万吨。该项目于2022年11月经达州市大竹生态环境局以《关于达州水泥窑综合利用固废项目环境影响报告表的批复》（竹环审批〔2022〕61号）进行批复，2023年1月取得《排污许可证》（编号：</w:t>
            </w:r>
            <w:r>
              <w:rPr>
                <w:sz w:val="24"/>
                <w:szCs w:val="24"/>
              </w:rPr>
              <w:t>91511724MA7N7WAN8J001V</w:t>
            </w:r>
            <w:r>
              <w:rPr>
                <w:rFonts w:hint="eastAsia"/>
                <w:sz w:val="24"/>
                <w:szCs w:val="24"/>
              </w:rPr>
              <w:t>），2023年3月完成竣工环境保护验收，目前运行正常。</w:t>
            </w:r>
          </w:p>
          <w:p>
            <w:pPr>
              <w:spacing w:line="360" w:lineRule="auto"/>
              <w:ind w:firstLine="480" w:firstLineChars="200"/>
              <w:rPr>
                <w:sz w:val="24"/>
                <w:szCs w:val="24"/>
              </w:rPr>
            </w:pPr>
            <w:r>
              <w:rPr>
                <w:rFonts w:hint="eastAsia"/>
                <w:sz w:val="24"/>
                <w:szCs w:val="24"/>
              </w:rPr>
              <w:t>达州海螺环保科技有限公司隶属于芜湖海创环保科技有限责任公司，于2023年投资3000万元在达州海螺水泥厂区内建设“达州海螺环保固废及替代燃料资源化综合利用项目”，主要依托现有两条4500t/d熟料新型干法水泥生产线，协同处置一般固废10万吨/年、替代燃料5.5万吨/年。该项目于2023年11月经达州市大竹生态环境局以《关于达州海螺环保固废及替代燃料资源化综合利用项目环境影响报告表的批复》进行批复，目前正在开展竣工环境保护验收。</w:t>
            </w:r>
          </w:p>
          <w:p>
            <w:pPr>
              <w:spacing w:line="360" w:lineRule="auto"/>
              <w:ind w:firstLine="480" w:firstLineChars="200"/>
              <w:rPr>
                <w:sz w:val="24"/>
                <w:szCs w:val="24"/>
              </w:rPr>
            </w:pPr>
            <w:r>
              <w:rPr>
                <w:rFonts w:hint="eastAsia"/>
                <w:sz w:val="24"/>
                <w:szCs w:val="24"/>
              </w:rPr>
              <w:t>由于达州海宇能远环保科技有限公司、达州海螺环保科技有限公司与达州海螺水泥有限责任公司均为独立经营的个体，且环保手续均独立申报、独立管理，属于不同的责任主体。同时，本次改建主要依托1</w:t>
            </w:r>
            <w:r>
              <w:rPr>
                <w:sz w:val="24"/>
                <w:szCs w:val="24"/>
              </w:rPr>
              <w:t>00</w:t>
            </w:r>
            <w:r>
              <w:rPr>
                <w:rFonts w:hint="eastAsia"/>
                <w:sz w:val="24"/>
                <w:szCs w:val="24"/>
              </w:rPr>
              <w:t>万</w:t>
            </w:r>
            <w:r>
              <w:rPr>
                <w:sz w:val="24"/>
                <w:szCs w:val="24"/>
              </w:rPr>
              <w:t>t</w:t>
            </w:r>
            <w:r>
              <w:rPr>
                <w:rFonts w:hint="eastAsia"/>
                <w:sz w:val="24"/>
                <w:szCs w:val="24"/>
              </w:rPr>
              <w:t>/</w:t>
            </w:r>
            <w:r>
              <w:rPr>
                <w:sz w:val="24"/>
                <w:szCs w:val="24"/>
              </w:rPr>
              <w:t>a</w:t>
            </w:r>
            <w:r>
              <w:rPr>
                <w:rFonts w:hint="eastAsia"/>
                <w:sz w:val="24"/>
                <w:szCs w:val="24"/>
              </w:rPr>
              <w:t>骨料生产线进行建设，责任主体为达州海螺水泥有限责任公司，故本次环评主要针对与项目有关的达州海螺水泥有限责任公司现有项目进行阐述。</w:t>
            </w:r>
          </w:p>
          <w:p>
            <w:pPr>
              <w:spacing w:line="360" w:lineRule="auto"/>
              <w:ind w:firstLine="482" w:firstLineChars="200"/>
              <w:rPr>
                <w:b/>
                <w:sz w:val="24"/>
                <w:szCs w:val="24"/>
              </w:rPr>
            </w:pPr>
            <w:r>
              <w:rPr>
                <w:rFonts w:hint="eastAsia"/>
                <w:b/>
                <w:sz w:val="24"/>
                <w:szCs w:val="24"/>
              </w:rPr>
              <w:t>1、环保手续履行情况</w:t>
            </w:r>
          </w:p>
          <w:p>
            <w:pPr>
              <w:spacing w:line="360" w:lineRule="auto"/>
              <w:ind w:firstLine="482" w:firstLineChars="200"/>
              <w:rPr>
                <w:b/>
                <w:sz w:val="24"/>
              </w:rPr>
            </w:pPr>
            <w:r>
              <w:rPr>
                <w:rFonts w:hint="eastAsia"/>
                <w:b/>
                <w:sz w:val="24"/>
              </w:rPr>
              <w:t>（1）环评及验收情况</w:t>
            </w:r>
          </w:p>
          <w:p>
            <w:pPr>
              <w:spacing w:line="360" w:lineRule="auto"/>
              <w:ind w:firstLine="480" w:firstLineChars="200"/>
              <w:rPr>
                <w:sz w:val="24"/>
                <w:szCs w:val="24"/>
              </w:rPr>
            </w:pPr>
            <w:r>
              <w:rPr>
                <w:rFonts w:hint="eastAsia"/>
                <w:sz w:val="24"/>
                <w:szCs w:val="24"/>
              </w:rPr>
              <w:t>达州海螺水泥有限责任公司设2条日产4</w:t>
            </w:r>
            <w:r>
              <w:rPr>
                <w:sz w:val="24"/>
                <w:szCs w:val="24"/>
              </w:rPr>
              <w:t>500</w:t>
            </w:r>
            <w:r>
              <w:rPr>
                <w:rFonts w:hint="eastAsia"/>
                <w:sz w:val="24"/>
                <w:szCs w:val="24"/>
              </w:rPr>
              <w:t>吨新型干法熟料生产线，年产水泥约4</w:t>
            </w:r>
            <w:r>
              <w:rPr>
                <w:sz w:val="24"/>
                <w:szCs w:val="24"/>
              </w:rPr>
              <w:t>40</w:t>
            </w:r>
            <w:r>
              <w:rPr>
                <w:rFonts w:hint="eastAsia"/>
                <w:sz w:val="24"/>
                <w:szCs w:val="24"/>
              </w:rPr>
              <w:t>万吨，配套1</w:t>
            </w:r>
            <w:r>
              <w:rPr>
                <w:sz w:val="24"/>
                <w:szCs w:val="24"/>
              </w:rPr>
              <w:t>8000</w:t>
            </w:r>
            <w:r>
              <w:rPr>
                <w:rFonts w:hint="eastAsia"/>
                <w:sz w:val="24"/>
                <w:szCs w:val="24"/>
              </w:rPr>
              <w:t>k</w:t>
            </w:r>
            <w:r>
              <w:rPr>
                <w:sz w:val="24"/>
                <w:szCs w:val="24"/>
              </w:rPr>
              <w:t>W</w:t>
            </w:r>
            <w:r>
              <w:rPr>
                <w:rFonts w:hint="eastAsia"/>
                <w:sz w:val="24"/>
                <w:szCs w:val="24"/>
              </w:rPr>
              <w:t>纯低温发电系统；设1条1</w:t>
            </w:r>
            <w:r>
              <w:rPr>
                <w:sz w:val="24"/>
                <w:szCs w:val="24"/>
              </w:rPr>
              <w:t>00</w:t>
            </w:r>
            <w:r>
              <w:rPr>
                <w:rFonts w:hint="eastAsia"/>
                <w:sz w:val="24"/>
                <w:szCs w:val="24"/>
              </w:rPr>
              <w:t>万吨建筑骨料生产线。公司建成以来，实施的主要项目有：</w:t>
            </w:r>
          </w:p>
          <w:p>
            <w:pPr>
              <w:spacing w:line="360" w:lineRule="auto"/>
              <w:ind w:firstLine="482" w:firstLineChars="200"/>
              <w:rPr>
                <w:sz w:val="24"/>
                <w:szCs w:val="24"/>
              </w:rPr>
            </w:pPr>
            <w:r>
              <w:rPr>
                <w:rFonts w:hint="eastAsia"/>
                <w:b/>
                <w:bCs/>
                <w:sz w:val="24"/>
                <w:szCs w:val="24"/>
              </w:rPr>
              <w:t>①新型干法水泥项目</w:t>
            </w:r>
            <w:r>
              <w:rPr>
                <w:rFonts w:hint="eastAsia"/>
                <w:sz w:val="24"/>
                <w:szCs w:val="24"/>
              </w:rPr>
              <w:t>：总投资4</w:t>
            </w:r>
            <w:r>
              <w:rPr>
                <w:sz w:val="24"/>
                <w:szCs w:val="24"/>
              </w:rPr>
              <w:t>9787.20</w:t>
            </w:r>
            <w:r>
              <w:rPr>
                <w:rFonts w:hint="eastAsia"/>
                <w:sz w:val="24"/>
                <w:szCs w:val="24"/>
              </w:rPr>
              <w:t>万元，主要建设一条日产4</w:t>
            </w:r>
            <w:r>
              <w:rPr>
                <w:sz w:val="24"/>
                <w:szCs w:val="24"/>
              </w:rPr>
              <w:t>500</w:t>
            </w:r>
            <w:r>
              <w:rPr>
                <w:rFonts w:hint="eastAsia"/>
                <w:sz w:val="24"/>
                <w:szCs w:val="24"/>
              </w:rPr>
              <w:t>吨熟料新型干法水泥生产线、余热发电系统、配套石灰石矿山开采工程。该项目于2</w:t>
            </w:r>
            <w:r>
              <w:rPr>
                <w:sz w:val="24"/>
                <w:szCs w:val="24"/>
              </w:rPr>
              <w:t>008</w:t>
            </w:r>
            <w:r>
              <w:rPr>
                <w:rFonts w:hint="eastAsia"/>
                <w:sz w:val="24"/>
                <w:szCs w:val="24"/>
              </w:rPr>
              <w:t>年1</w:t>
            </w:r>
            <w:r>
              <w:rPr>
                <w:sz w:val="24"/>
                <w:szCs w:val="24"/>
              </w:rPr>
              <w:t>2</w:t>
            </w:r>
            <w:r>
              <w:rPr>
                <w:rFonts w:hint="eastAsia"/>
                <w:sz w:val="24"/>
                <w:szCs w:val="24"/>
              </w:rPr>
              <w:t>月经原四川省环境保护局以《关于达州海螺水泥有限责任公司新型干法水泥项目环境影响报告书的批复》（川环建函〔2</w:t>
            </w:r>
            <w:r>
              <w:rPr>
                <w:sz w:val="24"/>
                <w:szCs w:val="24"/>
              </w:rPr>
              <w:t>008</w:t>
            </w:r>
            <w:r>
              <w:rPr>
                <w:rFonts w:hint="eastAsia"/>
                <w:sz w:val="24"/>
                <w:szCs w:val="24"/>
              </w:rPr>
              <w:t>〕1</w:t>
            </w:r>
            <w:r>
              <w:rPr>
                <w:sz w:val="24"/>
                <w:szCs w:val="24"/>
              </w:rPr>
              <w:t>063</w:t>
            </w:r>
            <w:r>
              <w:rPr>
                <w:rFonts w:hint="eastAsia"/>
                <w:sz w:val="24"/>
                <w:szCs w:val="24"/>
              </w:rPr>
              <w:t>号）审查通过，2</w:t>
            </w:r>
            <w:r>
              <w:rPr>
                <w:sz w:val="24"/>
                <w:szCs w:val="24"/>
              </w:rPr>
              <w:t>011</w:t>
            </w:r>
            <w:r>
              <w:rPr>
                <w:rFonts w:hint="eastAsia"/>
                <w:sz w:val="24"/>
                <w:szCs w:val="24"/>
              </w:rPr>
              <w:t>年1月完成竣工环保验收（川环验〔2</w:t>
            </w:r>
            <w:r>
              <w:rPr>
                <w:sz w:val="24"/>
                <w:szCs w:val="24"/>
              </w:rPr>
              <w:t>011</w:t>
            </w:r>
            <w:r>
              <w:rPr>
                <w:rFonts w:hint="eastAsia"/>
                <w:sz w:val="24"/>
                <w:szCs w:val="24"/>
              </w:rPr>
              <w:t>〕</w:t>
            </w:r>
            <w:r>
              <w:rPr>
                <w:sz w:val="24"/>
                <w:szCs w:val="24"/>
              </w:rPr>
              <w:t>024</w:t>
            </w:r>
            <w:r>
              <w:rPr>
                <w:rFonts w:hint="eastAsia"/>
                <w:sz w:val="24"/>
                <w:szCs w:val="24"/>
              </w:rPr>
              <w:t>号）。</w:t>
            </w:r>
          </w:p>
          <w:p>
            <w:pPr>
              <w:spacing w:line="360" w:lineRule="auto"/>
              <w:ind w:firstLine="482" w:firstLineChars="200"/>
              <w:rPr>
                <w:sz w:val="24"/>
                <w:szCs w:val="24"/>
              </w:rPr>
            </w:pPr>
            <w:r>
              <w:rPr>
                <w:rFonts w:hint="eastAsia"/>
                <w:b/>
                <w:bCs/>
                <w:sz w:val="24"/>
                <w:szCs w:val="24"/>
              </w:rPr>
              <w:t>②二期4</w:t>
            </w:r>
            <w:r>
              <w:rPr>
                <w:b/>
                <w:bCs/>
                <w:sz w:val="24"/>
                <w:szCs w:val="24"/>
              </w:rPr>
              <w:t>500</w:t>
            </w:r>
            <w:r>
              <w:rPr>
                <w:rFonts w:hint="eastAsia"/>
                <w:b/>
                <w:bCs/>
                <w:sz w:val="24"/>
                <w:szCs w:val="24"/>
              </w:rPr>
              <w:t>t</w:t>
            </w:r>
            <w:r>
              <w:rPr>
                <w:b/>
                <w:bCs/>
                <w:sz w:val="24"/>
                <w:szCs w:val="24"/>
              </w:rPr>
              <w:t>/d</w:t>
            </w:r>
            <w:r>
              <w:rPr>
                <w:rFonts w:hint="eastAsia"/>
                <w:b/>
                <w:bCs/>
                <w:sz w:val="24"/>
                <w:szCs w:val="24"/>
              </w:rPr>
              <w:t>新型干法水泥项目</w:t>
            </w:r>
            <w:r>
              <w:rPr>
                <w:rFonts w:hint="eastAsia"/>
                <w:sz w:val="24"/>
                <w:szCs w:val="24"/>
              </w:rPr>
              <w:t>：总投资</w:t>
            </w:r>
            <w:r>
              <w:rPr>
                <w:sz w:val="24"/>
                <w:szCs w:val="24"/>
              </w:rPr>
              <w:t>42188.16</w:t>
            </w:r>
            <w:r>
              <w:rPr>
                <w:rFonts w:hint="eastAsia"/>
                <w:sz w:val="24"/>
                <w:szCs w:val="24"/>
              </w:rPr>
              <w:t>万元，主要建设一条日产4</w:t>
            </w:r>
            <w:r>
              <w:rPr>
                <w:sz w:val="24"/>
                <w:szCs w:val="24"/>
              </w:rPr>
              <w:t>500</w:t>
            </w:r>
            <w:r>
              <w:rPr>
                <w:rFonts w:hint="eastAsia"/>
                <w:sz w:val="24"/>
                <w:szCs w:val="24"/>
              </w:rPr>
              <w:t>吨熟料新型干法水泥生产线，项目所需石灰石矿开采在一期工程确定的开采境界范围内进行，并与一期工程共用一条皮带运输系统；余热发电系统与一期工程共用。该项目于2</w:t>
            </w:r>
            <w:r>
              <w:rPr>
                <w:sz w:val="24"/>
                <w:szCs w:val="24"/>
              </w:rPr>
              <w:t>009</w:t>
            </w:r>
            <w:r>
              <w:rPr>
                <w:rFonts w:hint="eastAsia"/>
                <w:sz w:val="24"/>
                <w:szCs w:val="24"/>
              </w:rPr>
              <w:t>年</w:t>
            </w:r>
            <w:r>
              <w:rPr>
                <w:sz w:val="24"/>
                <w:szCs w:val="24"/>
              </w:rPr>
              <w:t>8</w:t>
            </w:r>
            <w:r>
              <w:rPr>
                <w:rFonts w:hint="eastAsia"/>
                <w:sz w:val="24"/>
                <w:szCs w:val="24"/>
              </w:rPr>
              <w:t>月经原四川省环境保护局以《关于达州海螺水泥有限责任公司二期4500t/d新型干法水泥项目环境影响报告书的批复》（川环审批〔2</w:t>
            </w:r>
            <w:r>
              <w:rPr>
                <w:sz w:val="24"/>
                <w:szCs w:val="24"/>
              </w:rPr>
              <w:t>009</w:t>
            </w:r>
            <w:r>
              <w:rPr>
                <w:rFonts w:hint="eastAsia"/>
                <w:sz w:val="24"/>
                <w:szCs w:val="24"/>
              </w:rPr>
              <w:t>〕5</w:t>
            </w:r>
            <w:r>
              <w:rPr>
                <w:sz w:val="24"/>
                <w:szCs w:val="24"/>
              </w:rPr>
              <w:t>21</w:t>
            </w:r>
            <w:r>
              <w:rPr>
                <w:rFonts w:hint="eastAsia"/>
                <w:sz w:val="24"/>
                <w:szCs w:val="24"/>
              </w:rPr>
              <w:t>号）审查通过，2</w:t>
            </w:r>
            <w:r>
              <w:rPr>
                <w:sz w:val="24"/>
                <w:szCs w:val="24"/>
              </w:rPr>
              <w:t>012</w:t>
            </w:r>
            <w:r>
              <w:rPr>
                <w:rFonts w:hint="eastAsia"/>
                <w:sz w:val="24"/>
                <w:szCs w:val="24"/>
              </w:rPr>
              <w:t>年1</w:t>
            </w:r>
            <w:r>
              <w:rPr>
                <w:sz w:val="24"/>
                <w:szCs w:val="24"/>
              </w:rPr>
              <w:t>0</w:t>
            </w:r>
            <w:r>
              <w:rPr>
                <w:rFonts w:hint="eastAsia"/>
                <w:sz w:val="24"/>
                <w:szCs w:val="24"/>
              </w:rPr>
              <w:t>月完成竣工环保验收（川环验〔2</w:t>
            </w:r>
            <w:r>
              <w:rPr>
                <w:sz w:val="24"/>
                <w:szCs w:val="24"/>
              </w:rPr>
              <w:t>012</w:t>
            </w:r>
            <w:r>
              <w:rPr>
                <w:rFonts w:hint="eastAsia"/>
                <w:sz w:val="24"/>
                <w:szCs w:val="24"/>
              </w:rPr>
              <w:t>〕</w:t>
            </w:r>
            <w:r>
              <w:rPr>
                <w:sz w:val="24"/>
                <w:szCs w:val="24"/>
              </w:rPr>
              <w:t>173</w:t>
            </w:r>
            <w:r>
              <w:rPr>
                <w:rFonts w:hint="eastAsia"/>
                <w:sz w:val="24"/>
                <w:szCs w:val="24"/>
              </w:rPr>
              <w:t>号）。</w:t>
            </w:r>
          </w:p>
          <w:p>
            <w:pPr>
              <w:spacing w:line="360" w:lineRule="auto"/>
              <w:ind w:firstLine="482" w:firstLineChars="200"/>
              <w:rPr>
                <w:sz w:val="24"/>
                <w:szCs w:val="24"/>
              </w:rPr>
            </w:pPr>
            <w:r>
              <w:rPr>
                <w:rFonts w:hint="eastAsia"/>
                <w:b/>
                <w:bCs/>
                <w:sz w:val="24"/>
                <w:szCs w:val="24"/>
              </w:rPr>
              <w:t>③1</w:t>
            </w:r>
            <w:r>
              <w:rPr>
                <w:b/>
                <w:bCs/>
                <w:sz w:val="24"/>
                <w:szCs w:val="24"/>
              </w:rPr>
              <w:t>00</w:t>
            </w:r>
            <w:r>
              <w:rPr>
                <w:rFonts w:hint="eastAsia"/>
                <w:b/>
                <w:bCs/>
                <w:sz w:val="24"/>
                <w:szCs w:val="24"/>
              </w:rPr>
              <w:t>万t</w:t>
            </w:r>
            <w:r>
              <w:rPr>
                <w:b/>
                <w:bCs/>
                <w:sz w:val="24"/>
                <w:szCs w:val="24"/>
              </w:rPr>
              <w:t>/a</w:t>
            </w:r>
            <w:r>
              <w:rPr>
                <w:rFonts w:hint="eastAsia"/>
                <w:b/>
                <w:bCs/>
                <w:sz w:val="24"/>
                <w:szCs w:val="24"/>
              </w:rPr>
              <w:t>建筑骨料项目</w:t>
            </w:r>
            <w:r>
              <w:rPr>
                <w:rFonts w:hint="eastAsia"/>
                <w:sz w:val="24"/>
                <w:szCs w:val="24"/>
              </w:rPr>
              <w:t>：总投资</w:t>
            </w:r>
            <w:r>
              <w:rPr>
                <w:sz w:val="24"/>
                <w:szCs w:val="24"/>
              </w:rPr>
              <w:t>2497.82</w:t>
            </w:r>
            <w:r>
              <w:rPr>
                <w:rFonts w:hint="eastAsia"/>
                <w:sz w:val="24"/>
                <w:szCs w:val="24"/>
              </w:rPr>
              <w:t>万元，主要建设一条年产1</w:t>
            </w:r>
            <w:r>
              <w:rPr>
                <w:sz w:val="24"/>
                <w:szCs w:val="24"/>
              </w:rPr>
              <w:t>00</w:t>
            </w:r>
            <w:r>
              <w:rPr>
                <w:rFonts w:hint="eastAsia"/>
                <w:sz w:val="24"/>
                <w:szCs w:val="24"/>
              </w:rPr>
              <w:t>万吨建筑骨料生产线。该项目于2</w:t>
            </w:r>
            <w:r>
              <w:rPr>
                <w:sz w:val="24"/>
                <w:szCs w:val="24"/>
              </w:rPr>
              <w:t>016</w:t>
            </w:r>
            <w:r>
              <w:rPr>
                <w:rFonts w:hint="eastAsia"/>
                <w:sz w:val="24"/>
                <w:szCs w:val="24"/>
              </w:rPr>
              <w:t>年3月经原大竹县环境保护局以《关于达州海螺1</w:t>
            </w:r>
            <w:r>
              <w:rPr>
                <w:sz w:val="24"/>
                <w:szCs w:val="24"/>
              </w:rPr>
              <w:t>00</w:t>
            </w:r>
            <w:r>
              <w:rPr>
                <w:rFonts w:hint="eastAsia"/>
                <w:sz w:val="24"/>
                <w:szCs w:val="24"/>
              </w:rPr>
              <w:t>万t</w:t>
            </w:r>
            <w:r>
              <w:rPr>
                <w:sz w:val="24"/>
                <w:szCs w:val="24"/>
              </w:rPr>
              <w:t>/a</w:t>
            </w:r>
            <w:r>
              <w:rPr>
                <w:rFonts w:hint="eastAsia"/>
                <w:sz w:val="24"/>
                <w:szCs w:val="24"/>
              </w:rPr>
              <w:t>建筑骨料项目环境影响报告表的批复》（竹环函〔2</w:t>
            </w:r>
            <w:r>
              <w:rPr>
                <w:sz w:val="24"/>
                <w:szCs w:val="24"/>
              </w:rPr>
              <w:t>016</w:t>
            </w:r>
            <w:r>
              <w:rPr>
                <w:rFonts w:hint="eastAsia"/>
                <w:sz w:val="24"/>
                <w:szCs w:val="24"/>
              </w:rPr>
              <w:t>〕3</w:t>
            </w:r>
            <w:r>
              <w:rPr>
                <w:sz w:val="24"/>
                <w:szCs w:val="24"/>
              </w:rPr>
              <w:t>2</w:t>
            </w:r>
            <w:r>
              <w:rPr>
                <w:rFonts w:hint="eastAsia"/>
                <w:sz w:val="24"/>
                <w:szCs w:val="24"/>
              </w:rPr>
              <w:t>号）审查通过，2</w:t>
            </w:r>
            <w:r>
              <w:rPr>
                <w:sz w:val="24"/>
                <w:szCs w:val="24"/>
              </w:rPr>
              <w:t>016</w:t>
            </w:r>
            <w:r>
              <w:rPr>
                <w:rFonts w:hint="eastAsia"/>
                <w:sz w:val="24"/>
                <w:szCs w:val="24"/>
              </w:rPr>
              <w:t>年5月完成竣工环保验收（竹环验〔2</w:t>
            </w:r>
            <w:r>
              <w:rPr>
                <w:sz w:val="24"/>
                <w:szCs w:val="24"/>
              </w:rPr>
              <w:t>016</w:t>
            </w:r>
            <w:r>
              <w:rPr>
                <w:rFonts w:hint="eastAsia"/>
                <w:sz w:val="24"/>
                <w:szCs w:val="24"/>
              </w:rPr>
              <w:t>〕1</w:t>
            </w:r>
            <w:r>
              <w:rPr>
                <w:sz w:val="24"/>
                <w:szCs w:val="24"/>
              </w:rPr>
              <w:t>3</w:t>
            </w:r>
            <w:r>
              <w:rPr>
                <w:rFonts w:hint="eastAsia"/>
                <w:sz w:val="24"/>
                <w:szCs w:val="24"/>
              </w:rPr>
              <w:t>号）。</w:t>
            </w:r>
          </w:p>
          <w:p>
            <w:pPr>
              <w:spacing w:line="360" w:lineRule="auto"/>
              <w:ind w:firstLine="482" w:firstLineChars="200"/>
              <w:rPr>
                <w:sz w:val="24"/>
                <w:szCs w:val="24"/>
              </w:rPr>
            </w:pPr>
            <w:r>
              <w:rPr>
                <w:rFonts w:hint="eastAsia"/>
                <w:b/>
                <w:bCs/>
                <w:sz w:val="24"/>
                <w:szCs w:val="24"/>
              </w:rPr>
              <w:t>④两条日产4500T/D熟料生产线环保处理设施提升技术改造项目</w:t>
            </w:r>
            <w:r>
              <w:rPr>
                <w:rFonts w:hint="eastAsia"/>
                <w:sz w:val="24"/>
                <w:szCs w:val="24"/>
              </w:rPr>
              <w:t>：总投资</w:t>
            </w:r>
            <w:r>
              <w:rPr>
                <w:sz w:val="24"/>
                <w:szCs w:val="24"/>
              </w:rPr>
              <w:t>4768</w:t>
            </w:r>
            <w:r>
              <w:rPr>
                <w:rFonts w:hint="eastAsia"/>
                <w:sz w:val="24"/>
                <w:szCs w:val="24"/>
              </w:rPr>
              <w:t>万元，主要对两条日产4500T熟料生产线窑头、窑尾电除尘器分期改造为袋式除尘器，提高除尘效率。该项目于2</w:t>
            </w:r>
            <w:r>
              <w:rPr>
                <w:sz w:val="24"/>
                <w:szCs w:val="24"/>
              </w:rPr>
              <w:t>019</w:t>
            </w:r>
            <w:r>
              <w:rPr>
                <w:rFonts w:hint="eastAsia"/>
                <w:sz w:val="24"/>
                <w:szCs w:val="24"/>
              </w:rPr>
              <w:t>年</w:t>
            </w:r>
            <w:r>
              <w:rPr>
                <w:sz w:val="24"/>
                <w:szCs w:val="24"/>
              </w:rPr>
              <w:t>11</w:t>
            </w:r>
            <w:r>
              <w:rPr>
                <w:rFonts w:hint="eastAsia"/>
                <w:sz w:val="24"/>
                <w:szCs w:val="24"/>
              </w:rPr>
              <w:t>月完成环境影响登记表备案（备案号：201951172400000258）。</w:t>
            </w:r>
          </w:p>
          <w:p>
            <w:pPr>
              <w:spacing w:line="360" w:lineRule="auto"/>
              <w:ind w:firstLine="482" w:firstLineChars="200"/>
              <w:rPr>
                <w:sz w:val="24"/>
                <w:szCs w:val="24"/>
              </w:rPr>
            </w:pPr>
            <w:r>
              <w:rPr>
                <w:rFonts w:hint="eastAsia"/>
                <w:b/>
                <w:bCs/>
                <w:sz w:val="24"/>
                <w:szCs w:val="24"/>
              </w:rPr>
              <w:t>⑤1#、2#水泥熟料线SCR脱硝技改项目</w:t>
            </w:r>
            <w:r>
              <w:rPr>
                <w:rFonts w:hint="eastAsia"/>
                <w:sz w:val="24"/>
                <w:szCs w:val="24"/>
              </w:rPr>
              <w:t>：总投资</w:t>
            </w:r>
            <w:r>
              <w:rPr>
                <w:sz w:val="24"/>
                <w:szCs w:val="24"/>
              </w:rPr>
              <w:t>5000</w:t>
            </w:r>
            <w:r>
              <w:rPr>
                <w:rFonts w:hint="eastAsia"/>
                <w:sz w:val="24"/>
                <w:szCs w:val="24"/>
              </w:rPr>
              <w:t>万元，主要建设两套（1#、2#窑尾各一套）高温型SCR烟气脱硝系统。该项目于</w:t>
            </w:r>
            <w:r>
              <w:rPr>
                <w:sz w:val="24"/>
                <w:szCs w:val="24"/>
              </w:rPr>
              <w:t>2021</w:t>
            </w:r>
            <w:r>
              <w:rPr>
                <w:rFonts w:hint="eastAsia"/>
                <w:sz w:val="24"/>
                <w:szCs w:val="24"/>
              </w:rPr>
              <w:t>年</w:t>
            </w:r>
            <w:r>
              <w:rPr>
                <w:sz w:val="24"/>
                <w:szCs w:val="24"/>
              </w:rPr>
              <w:t>3</w:t>
            </w:r>
            <w:r>
              <w:rPr>
                <w:rFonts w:hint="eastAsia"/>
                <w:sz w:val="24"/>
                <w:szCs w:val="24"/>
              </w:rPr>
              <w:t>月完成环境影响登记表备案（备案号：</w:t>
            </w:r>
            <w:r>
              <w:rPr>
                <w:sz w:val="24"/>
                <w:szCs w:val="24"/>
              </w:rPr>
              <w:t>202151172400000041</w:t>
            </w:r>
            <w:r>
              <w:rPr>
                <w:rFonts w:hint="eastAsia"/>
                <w:sz w:val="24"/>
                <w:szCs w:val="24"/>
              </w:rPr>
              <w:t>）。</w:t>
            </w:r>
          </w:p>
          <w:p>
            <w:pPr>
              <w:spacing w:line="360" w:lineRule="auto"/>
              <w:ind w:firstLine="482" w:firstLineChars="200"/>
              <w:rPr>
                <w:sz w:val="24"/>
                <w:szCs w:val="24"/>
              </w:rPr>
            </w:pPr>
            <w:r>
              <w:rPr>
                <w:rFonts w:hint="eastAsia"/>
                <w:b/>
                <w:bCs/>
                <w:sz w:val="24"/>
                <w:szCs w:val="24"/>
              </w:rPr>
              <w:t>⑥达州海螺脱硫技改项目</w:t>
            </w:r>
            <w:r>
              <w:rPr>
                <w:rFonts w:hint="eastAsia"/>
                <w:sz w:val="24"/>
                <w:szCs w:val="24"/>
              </w:rPr>
              <w:t>：总投资</w:t>
            </w:r>
            <w:r>
              <w:rPr>
                <w:sz w:val="24"/>
                <w:szCs w:val="24"/>
              </w:rPr>
              <w:t>50</w:t>
            </w:r>
            <w:r>
              <w:rPr>
                <w:rFonts w:hint="eastAsia"/>
                <w:sz w:val="24"/>
                <w:szCs w:val="24"/>
              </w:rPr>
              <w:t>万元，主要在1#、2#熟料生产线增建粉剂脱硫设施。该项目于</w:t>
            </w:r>
            <w:r>
              <w:rPr>
                <w:sz w:val="24"/>
                <w:szCs w:val="24"/>
              </w:rPr>
              <w:t>2022</w:t>
            </w:r>
            <w:r>
              <w:rPr>
                <w:rFonts w:hint="eastAsia"/>
                <w:sz w:val="24"/>
                <w:szCs w:val="24"/>
              </w:rPr>
              <w:t>年</w:t>
            </w:r>
            <w:r>
              <w:rPr>
                <w:sz w:val="24"/>
                <w:szCs w:val="24"/>
              </w:rPr>
              <w:t>7</w:t>
            </w:r>
            <w:r>
              <w:rPr>
                <w:rFonts w:hint="eastAsia"/>
                <w:sz w:val="24"/>
                <w:szCs w:val="24"/>
              </w:rPr>
              <w:t>月完成环境影响登记表备案（备案号：</w:t>
            </w:r>
            <w:r>
              <w:rPr>
                <w:sz w:val="24"/>
                <w:szCs w:val="24"/>
              </w:rPr>
              <w:t>202251172400000074</w:t>
            </w:r>
            <w:r>
              <w:rPr>
                <w:rFonts w:hint="eastAsia"/>
                <w:sz w:val="24"/>
                <w:szCs w:val="24"/>
              </w:rPr>
              <w:t>）。</w:t>
            </w:r>
          </w:p>
          <w:p>
            <w:pPr>
              <w:spacing w:line="360" w:lineRule="auto"/>
              <w:ind w:firstLine="482" w:firstLineChars="200"/>
              <w:rPr>
                <w:sz w:val="24"/>
                <w:szCs w:val="24"/>
              </w:rPr>
            </w:pPr>
            <w:r>
              <w:rPr>
                <w:rFonts w:hint="eastAsia"/>
                <w:b/>
                <w:bCs/>
                <w:sz w:val="24"/>
                <w:szCs w:val="24"/>
              </w:rPr>
              <w:t>⑦熟料库顶及出入库输送系统新增除尘设施</w:t>
            </w:r>
            <w:r>
              <w:rPr>
                <w:rFonts w:hint="eastAsia"/>
                <w:sz w:val="24"/>
                <w:szCs w:val="24"/>
              </w:rPr>
              <w:t>：总投资</w:t>
            </w:r>
            <w:r>
              <w:rPr>
                <w:sz w:val="24"/>
                <w:szCs w:val="24"/>
              </w:rPr>
              <w:t>65</w:t>
            </w:r>
            <w:r>
              <w:rPr>
                <w:rFonts w:hint="eastAsia"/>
                <w:sz w:val="24"/>
                <w:szCs w:val="24"/>
              </w:rPr>
              <w:t>万元，主要在3#熟料库库顶和库底物料输送系统转运点新增5台布袋除尘器，用于收集、处理熟料库及出入库输送系统产生的废气。该项目于</w:t>
            </w:r>
            <w:r>
              <w:rPr>
                <w:sz w:val="24"/>
                <w:szCs w:val="24"/>
              </w:rPr>
              <w:t>2022</w:t>
            </w:r>
            <w:r>
              <w:rPr>
                <w:rFonts w:hint="eastAsia"/>
                <w:sz w:val="24"/>
                <w:szCs w:val="24"/>
              </w:rPr>
              <w:t>年</w:t>
            </w:r>
            <w:r>
              <w:rPr>
                <w:sz w:val="24"/>
                <w:szCs w:val="24"/>
              </w:rPr>
              <w:t>7</w:t>
            </w:r>
            <w:r>
              <w:rPr>
                <w:rFonts w:hint="eastAsia"/>
                <w:sz w:val="24"/>
                <w:szCs w:val="24"/>
              </w:rPr>
              <w:t>月完成环境影响登记表备案（备案号：</w:t>
            </w:r>
            <w:r>
              <w:rPr>
                <w:sz w:val="24"/>
                <w:szCs w:val="24"/>
              </w:rPr>
              <w:t>202251172400000076</w:t>
            </w:r>
            <w:r>
              <w:rPr>
                <w:rFonts w:hint="eastAsia"/>
                <w:sz w:val="24"/>
                <w:szCs w:val="24"/>
              </w:rPr>
              <w:t>）。</w:t>
            </w:r>
          </w:p>
          <w:p>
            <w:pPr>
              <w:spacing w:line="360" w:lineRule="auto"/>
              <w:ind w:firstLine="482" w:firstLineChars="200"/>
              <w:rPr>
                <w:sz w:val="24"/>
                <w:szCs w:val="24"/>
              </w:rPr>
            </w:pPr>
            <w:r>
              <w:rPr>
                <w:rFonts w:hint="eastAsia"/>
                <w:b/>
                <w:bCs/>
                <w:sz w:val="24"/>
                <w:szCs w:val="24"/>
              </w:rPr>
              <w:t>⑧达州海螺1#、2#窑湿法脱硫技改项目</w:t>
            </w:r>
            <w:r>
              <w:rPr>
                <w:rFonts w:hint="eastAsia"/>
                <w:sz w:val="24"/>
                <w:szCs w:val="24"/>
              </w:rPr>
              <w:t>：总投资5000万元，主要将1#、2#窑干法脱硫改造为石灰石-石膏湿法烟气脱硫系统。该项目于</w:t>
            </w:r>
            <w:r>
              <w:rPr>
                <w:sz w:val="24"/>
                <w:szCs w:val="24"/>
              </w:rPr>
              <w:t>202</w:t>
            </w:r>
            <w:r>
              <w:rPr>
                <w:rFonts w:hint="eastAsia"/>
                <w:sz w:val="24"/>
                <w:szCs w:val="24"/>
              </w:rPr>
              <w:t>3年12月完成环境影响登记表备案（备案号：202351172400000198）。</w:t>
            </w:r>
          </w:p>
          <w:p>
            <w:pPr>
              <w:spacing w:line="360" w:lineRule="auto"/>
              <w:jc w:val="center"/>
              <w:rPr>
                <w:rFonts w:eastAsia="黑体" w:cstheme="minorHAnsi"/>
                <w:szCs w:val="21"/>
              </w:rPr>
            </w:pPr>
            <w:r>
              <w:rPr>
                <w:rFonts w:eastAsia="黑体" w:cstheme="minorHAnsi"/>
                <w:szCs w:val="21"/>
              </w:rPr>
              <w:t>表2</w:t>
            </w:r>
            <w:r>
              <w:rPr>
                <w:rFonts w:hint="eastAsia" w:eastAsia="黑体" w:cstheme="minorHAnsi"/>
                <w:szCs w:val="21"/>
              </w:rPr>
              <w:t>-8</w:t>
            </w:r>
            <w:r>
              <w:rPr>
                <w:rFonts w:eastAsia="黑体" w:cstheme="minorHAnsi"/>
                <w:szCs w:val="21"/>
              </w:rPr>
              <w:t xml:space="preserve">  </w:t>
            </w:r>
            <w:r>
              <w:rPr>
                <w:rFonts w:hint="eastAsia" w:eastAsia="黑体" w:cstheme="minorHAnsi"/>
                <w:szCs w:val="21"/>
              </w:rPr>
              <w:t>海螺水泥</w:t>
            </w:r>
            <w:r>
              <w:rPr>
                <w:rFonts w:eastAsia="黑体" w:cstheme="minorHAnsi"/>
                <w:szCs w:val="21"/>
              </w:rPr>
              <w:t>环评及验收情况表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7"/>
              <w:gridCol w:w="2697"/>
              <w:gridCol w:w="2294"/>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pct"/>
                  <w:vAlign w:val="center"/>
                </w:tcPr>
                <w:p>
                  <w:pPr>
                    <w:pStyle w:val="2"/>
                    <w:spacing w:line="240" w:lineRule="auto"/>
                    <w:ind w:firstLine="0" w:firstLineChars="0"/>
                    <w:jc w:val="center"/>
                    <w:rPr>
                      <w:sz w:val="21"/>
                      <w:szCs w:val="21"/>
                    </w:rPr>
                  </w:pPr>
                  <w:r>
                    <w:rPr>
                      <w:rFonts w:hint="eastAsia"/>
                      <w:sz w:val="21"/>
                      <w:szCs w:val="21"/>
                    </w:rPr>
                    <w:t>项目名称</w:t>
                  </w:r>
                </w:p>
              </w:tc>
              <w:tc>
                <w:tcPr>
                  <w:tcW w:w="1474" w:type="pct"/>
                  <w:vAlign w:val="center"/>
                </w:tcPr>
                <w:p>
                  <w:pPr>
                    <w:pStyle w:val="2"/>
                    <w:spacing w:line="240" w:lineRule="auto"/>
                    <w:ind w:firstLine="0" w:firstLineChars="0"/>
                    <w:jc w:val="center"/>
                    <w:rPr>
                      <w:sz w:val="21"/>
                      <w:szCs w:val="21"/>
                    </w:rPr>
                  </w:pPr>
                  <w:r>
                    <w:rPr>
                      <w:rFonts w:hint="eastAsia"/>
                      <w:sz w:val="21"/>
                      <w:szCs w:val="21"/>
                    </w:rPr>
                    <w:t>建设内容</w:t>
                  </w:r>
                </w:p>
              </w:tc>
              <w:tc>
                <w:tcPr>
                  <w:tcW w:w="1254" w:type="pct"/>
                  <w:vAlign w:val="center"/>
                </w:tcPr>
                <w:p>
                  <w:pPr>
                    <w:pStyle w:val="2"/>
                    <w:spacing w:line="240" w:lineRule="auto"/>
                    <w:ind w:firstLine="0" w:firstLineChars="0"/>
                    <w:jc w:val="center"/>
                    <w:rPr>
                      <w:sz w:val="21"/>
                      <w:szCs w:val="21"/>
                    </w:rPr>
                  </w:pPr>
                  <w:r>
                    <w:rPr>
                      <w:rFonts w:hint="eastAsia"/>
                      <w:sz w:val="21"/>
                      <w:szCs w:val="21"/>
                    </w:rPr>
                    <w:t>环评批复文号</w:t>
                  </w:r>
                </w:p>
              </w:tc>
              <w:tc>
                <w:tcPr>
                  <w:tcW w:w="968" w:type="pct"/>
                  <w:vAlign w:val="center"/>
                </w:tcPr>
                <w:p>
                  <w:pPr>
                    <w:pStyle w:val="2"/>
                    <w:spacing w:line="240" w:lineRule="auto"/>
                    <w:ind w:firstLine="0" w:firstLineChars="0"/>
                    <w:jc w:val="center"/>
                    <w:rPr>
                      <w:sz w:val="21"/>
                      <w:szCs w:val="21"/>
                    </w:rPr>
                  </w:pPr>
                  <w:r>
                    <w:rPr>
                      <w:rFonts w:hint="eastAsia"/>
                      <w:sz w:val="21"/>
                      <w:szCs w:val="21"/>
                    </w:rPr>
                    <w:t>竣工验收文号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05" w:type="pct"/>
                  <w:vAlign w:val="center"/>
                </w:tcPr>
                <w:p>
                  <w:pPr>
                    <w:pStyle w:val="2"/>
                    <w:spacing w:line="240" w:lineRule="auto"/>
                    <w:ind w:firstLine="0" w:firstLineChars="0"/>
                    <w:jc w:val="center"/>
                    <w:rPr>
                      <w:sz w:val="21"/>
                      <w:szCs w:val="21"/>
                    </w:rPr>
                  </w:pPr>
                  <w:r>
                    <w:rPr>
                      <w:rFonts w:hint="eastAsia"/>
                      <w:sz w:val="21"/>
                      <w:szCs w:val="21"/>
                    </w:rPr>
                    <w:t>新型干法水泥项目</w:t>
                  </w:r>
                </w:p>
              </w:tc>
              <w:tc>
                <w:tcPr>
                  <w:tcW w:w="1474" w:type="pct"/>
                  <w:vAlign w:val="center"/>
                </w:tcPr>
                <w:p>
                  <w:pPr>
                    <w:pStyle w:val="2"/>
                    <w:spacing w:line="240" w:lineRule="auto"/>
                    <w:ind w:firstLine="0" w:firstLineChars="0"/>
                    <w:jc w:val="center"/>
                    <w:rPr>
                      <w:sz w:val="21"/>
                      <w:szCs w:val="21"/>
                    </w:rPr>
                  </w:pPr>
                  <w:r>
                    <w:rPr>
                      <w:rFonts w:hint="eastAsia"/>
                      <w:sz w:val="21"/>
                      <w:szCs w:val="21"/>
                    </w:rPr>
                    <w:t>建设一条日产4500吨熟料新型干法水泥生产线、余热发电系统、配套石灰石矿山开采工程</w:t>
                  </w:r>
                </w:p>
              </w:tc>
              <w:tc>
                <w:tcPr>
                  <w:tcW w:w="1254" w:type="pct"/>
                  <w:vAlign w:val="center"/>
                </w:tcPr>
                <w:p>
                  <w:pPr>
                    <w:pStyle w:val="2"/>
                    <w:spacing w:line="240" w:lineRule="auto"/>
                    <w:ind w:firstLine="0" w:firstLineChars="0"/>
                    <w:jc w:val="center"/>
                    <w:rPr>
                      <w:sz w:val="21"/>
                      <w:szCs w:val="21"/>
                    </w:rPr>
                  </w:pPr>
                  <w:r>
                    <w:rPr>
                      <w:rFonts w:hint="eastAsia"/>
                      <w:sz w:val="21"/>
                      <w:szCs w:val="21"/>
                    </w:rPr>
                    <w:t>川环建函〔2008〕1063号</w:t>
                  </w:r>
                </w:p>
              </w:tc>
              <w:tc>
                <w:tcPr>
                  <w:tcW w:w="968" w:type="pct"/>
                  <w:vAlign w:val="center"/>
                </w:tcPr>
                <w:p>
                  <w:pPr>
                    <w:pStyle w:val="2"/>
                    <w:spacing w:line="240" w:lineRule="auto"/>
                    <w:ind w:firstLine="0" w:firstLineChars="0"/>
                    <w:jc w:val="center"/>
                    <w:rPr>
                      <w:sz w:val="21"/>
                      <w:szCs w:val="21"/>
                    </w:rPr>
                  </w:pPr>
                  <w:r>
                    <w:rPr>
                      <w:rFonts w:hint="eastAsia"/>
                      <w:sz w:val="21"/>
                      <w:szCs w:val="21"/>
                    </w:rPr>
                    <w:t>川环验〔2011〕024号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pct"/>
                  <w:vAlign w:val="center"/>
                </w:tcPr>
                <w:p>
                  <w:pPr>
                    <w:pStyle w:val="2"/>
                    <w:spacing w:line="240" w:lineRule="auto"/>
                    <w:ind w:firstLine="0" w:firstLineChars="0"/>
                    <w:jc w:val="center"/>
                    <w:rPr>
                      <w:sz w:val="21"/>
                      <w:szCs w:val="21"/>
                    </w:rPr>
                  </w:pPr>
                  <w:r>
                    <w:rPr>
                      <w:rFonts w:hint="eastAsia"/>
                      <w:sz w:val="21"/>
                      <w:szCs w:val="21"/>
                    </w:rPr>
                    <w:t>二期4500t/d新型干法水泥项目</w:t>
                  </w:r>
                </w:p>
              </w:tc>
              <w:tc>
                <w:tcPr>
                  <w:tcW w:w="1474" w:type="pct"/>
                  <w:vAlign w:val="center"/>
                </w:tcPr>
                <w:p>
                  <w:pPr>
                    <w:pStyle w:val="2"/>
                    <w:spacing w:line="240" w:lineRule="auto"/>
                    <w:ind w:firstLine="0" w:firstLineChars="0"/>
                    <w:jc w:val="center"/>
                    <w:rPr>
                      <w:sz w:val="21"/>
                      <w:szCs w:val="21"/>
                    </w:rPr>
                  </w:pPr>
                  <w:r>
                    <w:rPr>
                      <w:rFonts w:hint="eastAsia"/>
                      <w:sz w:val="21"/>
                      <w:szCs w:val="21"/>
                    </w:rPr>
                    <w:t>建设一条日产4500吨熟料新型干法水泥生产线</w:t>
                  </w:r>
                </w:p>
              </w:tc>
              <w:tc>
                <w:tcPr>
                  <w:tcW w:w="1254" w:type="pct"/>
                  <w:vAlign w:val="center"/>
                </w:tcPr>
                <w:p>
                  <w:pPr>
                    <w:pStyle w:val="2"/>
                    <w:spacing w:line="240" w:lineRule="auto"/>
                    <w:ind w:firstLine="0" w:firstLineChars="0"/>
                    <w:jc w:val="center"/>
                    <w:rPr>
                      <w:sz w:val="21"/>
                      <w:szCs w:val="21"/>
                    </w:rPr>
                  </w:pPr>
                  <w:r>
                    <w:rPr>
                      <w:rFonts w:hint="eastAsia"/>
                      <w:sz w:val="21"/>
                      <w:szCs w:val="21"/>
                    </w:rPr>
                    <w:t>川环审批〔2009〕521号</w:t>
                  </w:r>
                </w:p>
              </w:tc>
              <w:tc>
                <w:tcPr>
                  <w:tcW w:w="968" w:type="pct"/>
                  <w:vAlign w:val="center"/>
                </w:tcPr>
                <w:p>
                  <w:pPr>
                    <w:pStyle w:val="2"/>
                    <w:spacing w:line="240" w:lineRule="auto"/>
                    <w:ind w:firstLine="0" w:firstLineChars="0"/>
                    <w:jc w:val="center"/>
                    <w:rPr>
                      <w:sz w:val="21"/>
                      <w:szCs w:val="21"/>
                    </w:rPr>
                  </w:pPr>
                  <w:r>
                    <w:rPr>
                      <w:rFonts w:hint="eastAsia"/>
                      <w:sz w:val="21"/>
                      <w:szCs w:val="21"/>
                    </w:rPr>
                    <w:t>川环验〔2012〕173号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pct"/>
                  <w:vAlign w:val="center"/>
                </w:tcPr>
                <w:p>
                  <w:pPr>
                    <w:pStyle w:val="2"/>
                    <w:spacing w:line="240" w:lineRule="auto"/>
                    <w:ind w:firstLine="0" w:firstLineChars="0"/>
                    <w:jc w:val="center"/>
                    <w:rPr>
                      <w:sz w:val="21"/>
                      <w:szCs w:val="21"/>
                    </w:rPr>
                  </w:pPr>
                  <w:r>
                    <w:rPr>
                      <w:rFonts w:hint="eastAsia"/>
                      <w:sz w:val="21"/>
                      <w:szCs w:val="21"/>
                    </w:rPr>
                    <w:t>100万t/a建筑骨料项目</w:t>
                  </w:r>
                </w:p>
              </w:tc>
              <w:tc>
                <w:tcPr>
                  <w:tcW w:w="1474" w:type="pct"/>
                  <w:vAlign w:val="center"/>
                </w:tcPr>
                <w:p>
                  <w:pPr>
                    <w:pStyle w:val="2"/>
                    <w:spacing w:line="240" w:lineRule="auto"/>
                    <w:ind w:firstLine="0" w:firstLineChars="0"/>
                    <w:jc w:val="center"/>
                    <w:rPr>
                      <w:sz w:val="21"/>
                      <w:szCs w:val="21"/>
                    </w:rPr>
                  </w:pPr>
                  <w:r>
                    <w:rPr>
                      <w:rFonts w:hint="eastAsia"/>
                      <w:sz w:val="21"/>
                      <w:szCs w:val="21"/>
                    </w:rPr>
                    <w:t>建设一条年产100万吨建筑骨料生产线</w:t>
                  </w:r>
                </w:p>
              </w:tc>
              <w:tc>
                <w:tcPr>
                  <w:tcW w:w="1254" w:type="pct"/>
                  <w:vAlign w:val="center"/>
                </w:tcPr>
                <w:p>
                  <w:pPr>
                    <w:pStyle w:val="2"/>
                    <w:spacing w:line="240" w:lineRule="auto"/>
                    <w:ind w:firstLine="0" w:firstLineChars="0"/>
                    <w:jc w:val="center"/>
                    <w:rPr>
                      <w:sz w:val="21"/>
                      <w:szCs w:val="21"/>
                    </w:rPr>
                  </w:pPr>
                  <w:r>
                    <w:rPr>
                      <w:rFonts w:hint="eastAsia"/>
                      <w:sz w:val="21"/>
                      <w:szCs w:val="21"/>
                    </w:rPr>
                    <w:t>竹环函〔2016〕32号</w:t>
                  </w:r>
                </w:p>
              </w:tc>
              <w:tc>
                <w:tcPr>
                  <w:tcW w:w="968" w:type="pct"/>
                  <w:vAlign w:val="center"/>
                </w:tcPr>
                <w:p>
                  <w:pPr>
                    <w:pStyle w:val="2"/>
                    <w:spacing w:line="240" w:lineRule="auto"/>
                    <w:ind w:firstLine="0" w:firstLineChars="0"/>
                    <w:jc w:val="center"/>
                    <w:rPr>
                      <w:sz w:val="21"/>
                      <w:szCs w:val="21"/>
                    </w:rPr>
                  </w:pPr>
                  <w:r>
                    <w:rPr>
                      <w:rFonts w:hint="eastAsia"/>
                      <w:sz w:val="21"/>
                      <w:szCs w:val="21"/>
                    </w:rPr>
                    <w:t>竹环验〔2016〕13号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pct"/>
                  <w:vAlign w:val="center"/>
                </w:tcPr>
                <w:p>
                  <w:pPr>
                    <w:pStyle w:val="2"/>
                    <w:spacing w:line="240" w:lineRule="auto"/>
                    <w:ind w:firstLine="0" w:firstLineChars="0"/>
                    <w:jc w:val="center"/>
                    <w:rPr>
                      <w:sz w:val="21"/>
                      <w:szCs w:val="21"/>
                    </w:rPr>
                  </w:pPr>
                  <w:r>
                    <w:rPr>
                      <w:rFonts w:hint="eastAsia"/>
                      <w:sz w:val="21"/>
                      <w:szCs w:val="21"/>
                    </w:rPr>
                    <w:t>两条日产4500T/D熟料生产线环保处理设施提升技术改造项目</w:t>
                  </w:r>
                </w:p>
              </w:tc>
              <w:tc>
                <w:tcPr>
                  <w:tcW w:w="1474" w:type="pct"/>
                  <w:vAlign w:val="center"/>
                </w:tcPr>
                <w:p>
                  <w:pPr>
                    <w:pStyle w:val="2"/>
                    <w:spacing w:line="240" w:lineRule="auto"/>
                    <w:ind w:firstLine="0" w:firstLineChars="0"/>
                    <w:jc w:val="center"/>
                    <w:rPr>
                      <w:sz w:val="21"/>
                      <w:szCs w:val="21"/>
                    </w:rPr>
                  </w:pPr>
                  <w:r>
                    <w:rPr>
                      <w:rFonts w:hint="eastAsia"/>
                      <w:sz w:val="21"/>
                      <w:szCs w:val="21"/>
                    </w:rPr>
                    <w:t>对两条日产4500T熟料生产线窑头、窑尾电除尘器分期改造为袋式除尘器</w:t>
                  </w:r>
                </w:p>
              </w:tc>
              <w:tc>
                <w:tcPr>
                  <w:tcW w:w="1254" w:type="pct"/>
                  <w:vAlign w:val="center"/>
                </w:tcPr>
                <w:p>
                  <w:pPr>
                    <w:pStyle w:val="2"/>
                    <w:spacing w:line="240" w:lineRule="auto"/>
                    <w:ind w:firstLine="0" w:firstLineChars="0"/>
                    <w:jc w:val="center"/>
                    <w:rPr>
                      <w:sz w:val="21"/>
                      <w:szCs w:val="21"/>
                    </w:rPr>
                  </w:pPr>
                  <w:r>
                    <w:rPr>
                      <w:rFonts w:hint="eastAsia"/>
                      <w:sz w:val="21"/>
                      <w:szCs w:val="21"/>
                    </w:rPr>
                    <w:t>备案号：201951172400000258</w:t>
                  </w:r>
                </w:p>
              </w:tc>
              <w:tc>
                <w:tcPr>
                  <w:tcW w:w="968" w:type="pct"/>
                  <w:vAlign w:val="center"/>
                </w:tcPr>
                <w:p>
                  <w:pPr>
                    <w:pStyle w:val="2"/>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pct"/>
                  <w:vAlign w:val="center"/>
                </w:tcPr>
                <w:p>
                  <w:pPr>
                    <w:pStyle w:val="2"/>
                    <w:spacing w:line="240" w:lineRule="auto"/>
                    <w:ind w:firstLine="0" w:firstLineChars="0"/>
                    <w:jc w:val="center"/>
                    <w:rPr>
                      <w:sz w:val="21"/>
                      <w:szCs w:val="21"/>
                    </w:rPr>
                  </w:pPr>
                  <w:r>
                    <w:rPr>
                      <w:rFonts w:hint="eastAsia"/>
                      <w:sz w:val="21"/>
                      <w:szCs w:val="21"/>
                    </w:rPr>
                    <w:t>1#、2#水泥熟料线SCR脱硝技改项目</w:t>
                  </w:r>
                </w:p>
              </w:tc>
              <w:tc>
                <w:tcPr>
                  <w:tcW w:w="1474" w:type="pct"/>
                  <w:vAlign w:val="center"/>
                </w:tcPr>
                <w:p>
                  <w:pPr>
                    <w:pStyle w:val="2"/>
                    <w:spacing w:line="240" w:lineRule="auto"/>
                    <w:ind w:firstLine="0" w:firstLineChars="0"/>
                    <w:jc w:val="center"/>
                    <w:rPr>
                      <w:sz w:val="21"/>
                      <w:szCs w:val="21"/>
                    </w:rPr>
                  </w:pPr>
                  <w:r>
                    <w:rPr>
                      <w:rFonts w:hint="eastAsia"/>
                      <w:sz w:val="21"/>
                      <w:szCs w:val="21"/>
                    </w:rPr>
                    <w:t>建设两套（1#、2#窑尾各一套）高温型SCR烟气脱硝系统</w:t>
                  </w:r>
                </w:p>
              </w:tc>
              <w:tc>
                <w:tcPr>
                  <w:tcW w:w="1254" w:type="pct"/>
                  <w:vAlign w:val="center"/>
                </w:tcPr>
                <w:p>
                  <w:pPr>
                    <w:pStyle w:val="2"/>
                    <w:spacing w:line="240" w:lineRule="auto"/>
                    <w:ind w:firstLine="0" w:firstLineChars="0"/>
                    <w:jc w:val="center"/>
                    <w:rPr>
                      <w:sz w:val="21"/>
                      <w:szCs w:val="21"/>
                    </w:rPr>
                  </w:pPr>
                  <w:r>
                    <w:rPr>
                      <w:rFonts w:hint="eastAsia"/>
                      <w:sz w:val="21"/>
                      <w:szCs w:val="21"/>
                    </w:rPr>
                    <w:t>备案号：202151172400000041</w:t>
                  </w:r>
                </w:p>
              </w:tc>
              <w:tc>
                <w:tcPr>
                  <w:tcW w:w="968" w:type="pct"/>
                  <w:vAlign w:val="center"/>
                </w:tcPr>
                <w:p>
                  <w:pPr>
                    <w:pStyle w:val="2"/>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pct"/>
                  <w:vAlign w:val="center"/>
                </w:tcPr>
                <w:p>
                  <w:pPr>
                    <w:pStyle w:val="2"/>
                    <w:spacing w:line="240" w:lineRule="auto"/>
                    <w:ind w:firstLine="0" w:firstLineChars="0"/>
                    <w:jc w:val="center"/>
                    <w:rPr>
                      <w:sz w:val="21"/>
                      <w:szCs w:val="21"/>
                    </w:rPr>
                  </w:pPr>
                  <w:r>
                    <w:rPr>
                      <w:rFonts w:hint="eastAsia"/>
                      <w:sz w:val="21"/>
                      <w:szCs w:val="21"/>
                    </w:rPr>
                    <w:t>达州海螺脱硫技改项目</w:t>
                  </w:r>
                </w:p>
              </w:tc>
              <w:tc>
                <w:tcPr>
                  <w:tcW w:w="1474" w:type="pct"/>
                  <w:vAlign w:val="center"/>
                </w:tcPr>
                <w:p>
                  <w:pPr>
                    <w:pStyle w:val="2"/>
                    <w:spacing w:line="240" w:lineRule="auto"/>
                    <w:ind w:firstLine="0" w:firstLineChars="0"/>
                    <w:jc w:val="center"/>
                    <w:rPr>
                      <w:sz w:val="21"/>
                      <w:szCs w:val="21"/>
                    </w:rPr>
                  </w:pPr>
                  <w:r>
                    <w:rPr>
                      <w:rFonts w:hint="eastAsia"/>
                      <w:sz w:val="21"/>
                      <w:szCs w:val="21"/>
                    </w:rPr>
                    <w:t>在1#、2#熟料生产线增建粉剂脱硫设施</w:t>
                  </w:r>
                </w:p>
              </w:tc>
              <w:tc>
                <w:tcPr>
                  <w:tcW w:w="1254" w:type="pct"/>
                  <w:vAlign w:val="center"/>
                </w:tcPr>
                <w:p>
                  <w:pPr>
                    <w:pStyle w:val="2"/>
                    <w:spacing w:line="240" w:lineRule="auto"/>
                    <w:ind w:firstLine="0" w:firstLineChars="0"/>
                    <w:jc w:val="center"/>
                    <w:rPr>
                      <w:sz w:val="21"/>
                      <w:szCs w:val="21"/>
                    </w:rPr>
                  </w:pPr>
                  <w:r>
                    <w:rPr>
                      <w:rFonts w:hint="eastAsia"/>
                      <w:sz w:val="21"/>
                      <w:szCs w:val="21"/>
                    </w:rPr>
                    <w:t>备案号：202251172400000074</w:t>
                  </w:r>
                </w:p>
              </w:tc>
              <w:tc>
                <w:tcPr>
                  <w:tcW w:w="968" w:type="pct"/>
                  <w:vAlign w:val="center"/>
                </w:tcPr>
                <w:p>
                  <w:pPr>
                    <w:pStyle w:val="2"/>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pct"/>
                  <w:vAlign w:val="center"/>
                </w:tcPr>
                <w:p>
                  <w:pPr>
                    <w:pStyle w:val="2"/>
                    <w:spacing w:line="240" w:lineRule="auto"/>
                    <w:ind w:firstLine="0" w:firstLineChars="0"/>
                    <w:jc w:val="center"/>
                    <w:rPr>
                      <w:sz w:val="21"/>
                      <w:szCs w:val="21"/>
                    </w:rPr>
                  </w:pPr>
                  <w:r>
                    <w:rPr>
                      <w:rFonts w:hint="eastAsia"/>
                      <w:sz w:val="21"/>
                      <w:szCs w:val="21"/>
                    </w:rPr>
                    <w:t>熟料库顶及出入库输送系统新增除尘设施</w:t>
                  </w:r>
                </w:p>
              </w:tc>
              <w:tc>
                <w:tcPr>
                  <w:tcW w:w="1474" w:type="pct"/>
                  <w:vAlign w:val="center"/>
                </w:tcPr>
                <w:p>
                  <w:pPr>
                    <w:pStyle w:val="2"/>
                    <w:spacing w:line="240" w:lineRule="auto"/>
                    <w:ind w:firstLine="0" w:firstLineChars="0"/>
                    <w:jc w:val="center"/>
                    <w:rPr>
                      <w:sz w:val="21"/>
                      <w:szCs w:val="21"/>
                    </w:rPr>
                  </w:pPr>
                  <w:r>
                    <w:rPr>
                      <w:rFonts w:hint="eastAsia"/>
                      <w:sz w:val="21"/>
                      <w:szCs w:val="21"/>
                    </w:rPr>
                    <w:t>在3#熟料库库顶和库底物料输送系统转运点新增5台布袋除尘器</w:t>
                  </w:r>
                </w:p>
              </w:tc>
              <w:tc>
                <w:tcPr>
                  <w:tcW w:w="1254" w:type="pct"/>
                  <w:vAlign w:val="center"/>
                </w:tcPr>
                <w:p>
                  <w:pPr>
                    <w:pStyle w:val="2"/>
                    <w:spacing w:line="240" w:lineRule="auto"/>
                    <w:ind w:firstLine="0" w:firstLineChars="0"/>
                    <w:jc w:val="center"/>
                    <w:rPr>
                      <w:sz w:val="21"/>
                      <w:szCs w:val="21"/>
                    </w:rPr>
                  </w:pPr>
                  <w:r>
                    <w:rPr>
                      <w:rFonts w:hint="eastAsia"/>
                      <w:sz w:val="21"/>
                      <w:szCs w:val="21"/>
                    </w:rPr>
                    <w:t>备案号：202251172400000076</w:t>
                  </w:r>
                </w:p>
              </w:tc>
              <w:tc>
                <w:tcPr>
                  <w:tcW w:w="968" w:type="pct"/>
                  <w:vAlign w:val="center"/>
                </w:tcPr>
                <w:p>
                  <w:pPr>
                    <w:pStyle w:val="2"/>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pct"/>
                  <w:vAlign w:val="center"/>
                </w:tcPr>
                <w:p>
                  <w:pPr>
                    <w:pStyle w:val="2"/>
                    <w:spacing w:line="240" w:lineRule="auto"/>
                    <w:ind w:firstLine="0" w:firstLineChars="0"/>
                    <w:jc w:val="center"/>
                    <w:rPr>
                      <w:sz w:val="21"/>
                      <w:szCs w:val="21"/>
                    </w:rPr>
                  </w:pPr>
                  <w:r>
                    <w:rPr>
                      <w:rFonts w:hint="eastAsia"/>
                      <w:sz w:val="21"/>
                      <w:szCs w:val="21"/>
                    </w:rPr>
                    <w:t>达州海螺1#、2#窑湿法脱硫技改项目</w:t>
                  </w:r>
                </w:p>
              </w:tc>
              <w:tc>
                <w:tcPr>
                  <w:tcW w:w="1474" w:type="pct"/>
                  <w:vAlign w:val="center"/>
                </w:tcPr>
                <w:p>
                  <w:pPr>
                    <w:pStyle w:val="2"/>
                    <w:spacing w:line="240" w:lineRule="auto"/>
                    <w:ind w:firstLine="0" w:firstLineChars="0"/>
                    <w:jc w:val="center"/>
                    <w:rPr>
                      <w:sz w:val="21"/>
                      <w:szCs w:val="21"/>
                    </w:rPr>
                  </w:pPr>
                  <w:r>
                    <w:rPr>
                      <w:rFonts w:hint="eastAsia"/>
                      <w:sz w:val="21"/>
                      <w:szCs w:val="21"/>
                    </w:rPr>
                    <w:t>将1#、2#窑干法脱硫改造为石灰石-石膏湿法烟气脱硫系统</w:t>
                  </w:r>
                </w:p>
              </w:tc>
              <w:tc>
                <w:tcPr>
                  <w:tcW w:w="1254" w:type="pct"/>
                  <w:vAlign w:val="center"/>
                </w:tcPr>
                <w:p>
                  <w:pPr>
                    <w:pStyle w:val="2"/>
                    <w:spacing w:line="240" w:lineRule="auto"/>
                    <w:ind w:firstLine="0" w:firstLineChars="0"/>
                    <w:jc w:val="center"/>
                    <w:rPr>
                      <w:sz w:val="21"/>
                      <w:szCs w:val="21"/>
                    </w:rPr>
                  </w:pPr>
                  <w:r>
                    <w:rPr>
                      <w:rFonts w:hint="eastAsia"/>
                      <w:sz w:val="21"/>
                      <w:szCs w:val="21"/>
                    </w:rPr>
                    <w:t>备案号：202351172400000198</w:t>
                  </w:r>
                </w:p>
              </w:tc>
              <w:tc>
                <w:tcPr>
                  <w:tcW w:w="968" w:type="pct"/>
                  <w:vAlign w:val="center"/>
                </w:tcPr>
                <w:p>
                  <w:pPr>
                    <w:pStyle w:val="2"/>
                    <w:spacing w:line="240" w:lineRule="auto"/>
                    <w:ind w:firstLine="0" w:firstLineChars="0"/>
                    <w:jc w:val="center"/>
                    <w:rPr>
                      <w:sz w:val="21"/>
                      <w:szCs w:val="21"/>
                    </w:rPr>
                  </w:pPr>
                  <w:r>
                    <w:rPr>
                      <w:rFonts w:hint="eastAsia"/>
                      <w:sz w:val="21"/>
                      <w:szCs w:val="21"/>
                    </w:rPr>
                    <w:t>/</w:t>
                  </w:r>
                </w:p>
              </w:tc>
            </w:tr>
          </w:tbl>
          <w:p>
            <w:pPr>
              <w:spacing w:line="360" w:lineRule="auto"/>
              <w:ind w:firstLine="482" w:firstLineChars="200"/>
              <w:rPr>
                <w:b/>
                <w:sz w:val="24"/>
              </w:rPr>
            </w:pPr>
            <w:r>
              <w:rPr>
                <w:rFonts w:hint="eastAsia"/>
                <w:b/>
                <w:sz w:val="24"/>
              </w:rPr>
              <w:t>（</w:t>
            </w:r>
            <w:r>
              <w:rPr>
                <w:b/>
                <w:sz w:val="24"/>
              </w:rPr>
              <w:t>2</w:t>
            </w:r>
            <w:r>
              <w:rPr>
                <w:rFonts w:hint="eastAsia"/>
                <w:b/>
                <w:sz w:val="24"/>
              </w:rPr>
              <w:t>）排污许可证执行情况</w:t>
            </w:r>
          </w:p>
          <w:p>
            <w:pPr>
              <w:tabs>
                <w:tab w:val="left" w:pos="7290"/>
              </w:tabs>
              <w:spacing w:line="360" w:lineRule="auto"/>
              <w:ind w:firstLine="480" w:firstLineChars="200"/>
              <w:rPr>
                <w:sz w:val="24"/>
                <w:szCs w:val="24"/>
              </w:rPr>
            </w:pPr>
            <w:r>
              <w:rPr>
                <w:rFonts w:hint="eastAsia"/>
                <w:sz w:val="24"/>
                <w:szCs w:val="24"/>
              </w:rPr>
              <w:t>达州海螺水泥有限责任公司于</w:t>
            </w:r>
            <w:r>
              <w:rPr>
                <w:sz w:val="24"/>
                <w:szCs w:val="24"/>
              </w:rPr>
              <w:t>202</w:t>
            </w:r>
            <w:r>
              <w:rPr>
                <w:rFonts w:hint="eastAsia"/>
                <w:sz w:val="24"/>
                <w:szCs w:val="24"/>
              </w:rPr>
              <w:t>4</w:t>
            </w:r>
            <w:r>
              <w:rPr>
                <w:sz w:val="24"/>
                <w:szCs w:val="24"/>
              </w:rPr>
              <w:t>年</w:t>
            </w:r>
            <w:r>
              <w:rPr>
                <w:rFonts w:hint="eastAsia"/>
                <w:sz w:val="24"/>
                <w:szCs w:val="24"/>
              </w:rPr>
              <w:t>1月重新申请《排污许可证》（编号：</w:t>
            </w:r>
            <w:r>
              <w:rPr>
                <w:sz w:val="24"/>
                <w:szCs w:val="24"/>
              </w:rPr>
              <w:t>91511724675778849K001P</w:t>
            </w:r>
            <w:r>
              <w:rPr>
                <w:rFonts w:hint="eastAsia"/>
                <w:sz w:val="24"/>
                <w:szCs w:val="24"/>
              </w:rPr>
              <w:t>），有效期至2029年</w:t>
            </w:r>
            <w:r>
              <w:rPr>
                <w:sz w:val="24"/>
                <w:szCs w:val="24"/>
              </w:rPr>
              <w:t>1</w:t>
            </w:r>
            <w:r>
              <w:rPr>
                <w:rFonts w:hint="eastAsia"/>
                <w:sz w:val="24"/>
                <w:szCs w:val="24"/>
              </w:rPr>
              <w:t>月。企业</w:t>
            </w:r>
            <w:r>
              <w:rPr>
                <w:sz w:val="24"/>
                <w:szCs w:val="24"/>
              </w:rPr>
              <w:t>已按照相关要求，完成《排污许可证执行报告（</w:t>
            </w:r>
            <w:r>
              <w:rPr>
                <w:rFonts w:hint="eastAsia"/>
                <w:sz w:val="24"/>
                <w:szCs w:val="24"/>
              </w:rPr>
              <w:t>月报、</w:t>
            </w:r>
            <w:r>
              <w:rPr>
                <w:sz w:val="24"/>
                <w:szCs w:val="24"/>
              </w:rPr>
              <w:t>季报、年报）》</w:t>
            </w:r>
            <w:r>
              <w:rPr>
                <w:rFonts w:hint="eastAsia"/>
                <w:sz w:val="24"/>
                <w:szCs w:val="24"/>
              </w:rPr>
              <w:t>。</w:t>
            </w:r>
          </w:p>
          <w:p>
            <w:pPr>
              <w:spacing w:line="360" w:lineRule="auto"/>
              <w:ind w:firstLine="482" w:firstLineChars="200"/>
              <w:rPr>
                <w:b/>
                <w:sz w:val="24"/>
              </w:rPr>
            </w:pPr>
            <w:r>
              <w:rPr>
                <w:rFonts w:hint="eastAsia"/>
                <w:b/>
                <w:sz w:val="24"/>
              </w:rPr>
              <w:t>2、现有项目概况</w:t>
            </w:r>
          </w:p>
          <w:p>
            <w:pPr>
              <w:spacing w:line="360" w:lineRule="auto"/>
              <w:ind w:firstLine="482" w:firstLineChars="200"/>
              <w:rPr>
                <w:b/>
                <w:sz w:val="24"/>
              </w:rPr>
            </w:pPr>
            <w:r>
              <w:rPr>
                <w:rFonts w:hint="eastAsia"/>
                <w:b/>
                <w:sz w:val="24"/>
              </w:rPr>
              <w:t>（1）产品方案</w:t>
            </w:r>
          </w:p>
          <w:p>
            <w:pPr>
              <w:spacing w:line="360" w:lineRule="auto"/>
              <w:ind w:firstLine="480" w:firstLineChars="200"/>
              <w:rPr>
                <w:rFonts w:cs="Times New Roman"/>
                <w:sz w:val="24"/>
                <w:szCs w:val="24"/>
              </w:rPr>
            </w:pPr>
            <w:r>
              <w:rPr>
                <w:rFonts w:hint="eastAsia" w:cs="Times New Roman"/>
                <w:sz w:val="24"/>
                <w:szCs w:val="24"/>
              </w:rPr>
              <w:t>现有项目产品方案见下表。</w:t>
            </w:r>
          </w:p>
          <w:p>
            <w:pPr>
              <w:spacing w:line="360" w:lineRule="auto"/>
              <w:jc w:val="center"/>
              <w:rPr>
                <w:rFonts w:hint="eastAsia" w:ascii="黑体" w:hAnsi="黑体" w:eastAsia="黑体"/>
                <w:szCs w:val="21"/>
              </w:rPr>
            </w:pPr>
            <w:r>
              <w:rPr>
                <w:rFonts w:hint="eastAsia" w:ascii="黑体" w:hAnsi="黑体" w:eastAsia="黑体"/>
                <w:szCs w:val="21"/>
              </w:rPr>
              <w:t>表</w:t>
            </w:r>
            <w:r>
              <w:rPr>
                <w:szCs w:val="21"/>
              </w:rPr>
              <w:t>2</w:t>
            </w:r>
            <w:r>
              <w:rPr>
                <w:rFonts w:hint="eastAsia"/>
                <w:szCs w:val="21"/>
              </w:rPr>
              <w:t>-9</w:t>
            </w:r>
            <w:r>
              <w:rPr>
                <w:rFonts w:ascii="黑体" w:hAnsi="黑体" w:eastAsia="黑体"/>
                <w:szCs w:val="21"/>
              </w:rPr>
              <w:t xml:space="preserve">  </w:t>
            </w:r>
            <w:r>
              <w:rPr>
                <w:rFonts w:hint="eastAsia" w:ascii="黑体" w:hAnsi="黑体" w:eastAsia="黑体"/>
                <w:szCs w:val="21"/>
              </w:rPr>
              <w:t>现有项目</w:t>
            </w:r>
            <w:r>
              <w:rPr>
                <w:rFonts w:ascii="黑体" w:hAnsi="黑体" w:eastAsia="黑体"/>
                <w:szCs w:val="21"/>
              </w:rPr>
              <w:t>产品</w:t>
            </w:r>
            <w:r>
              <w:rPr>
                <w:rFonts w:hint="eastAsia" w:ascii="黑体" w:hAnsi="黑体" w:eastAsia="黑体"/>
                <w:szCs w:val="21"/>
              </w:rPr>
              <w:t>方案表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074"/>
              <w:gridCol w:w="2247"/>
              <w:gridCol w:w="1646"/>
              <w:gridCol w:w="1646"/>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0" w:type="pct"/>
                  <w:vAlign w:val="center"/>
                </w:tcPr>
                <w:p>
                  <w:pPr>
                    <w:pStyle w:val="2"/>
                    <w:spacing w:line="240" w:lineRule="auto"/>
                    <w:ind w:firstLine="0" w:firstLineChars="0"/>
                    <w:jc w:val="center"/>
                    <w:rPr>
                      <w:sz w:val="21"/>
                      <w:szCs w:val="21"/>
                    </w:rPr>
                  </w:pPr>
                  <w:r>
                    <w:rPr>
                      <w:sz w:val="21"/>
                      <w:szCs w:val="21"/>
                    </w:rPr>
                    <w:t>序号</w:t>
                  </w:r>
                </w:p>
              </w:tc>
              <w:tc>
                <w:tcPr>
                  <w:tcW w:w="1815" w:type="pct"/>
                  <w:gridSpan w:val="2"/>
                  <w:vAlign w:val="center"/>
                </w:tcPr>
                <w:p>
                  <w:pPr>
                    <w:pStyle w:val="2"/>
                    <w:spacing w:line="240" w:lineRule="auto"/>
                    <w:ind w:firstLine="0" w:firstLineChars="0"/>
                    <w:jc w:val="center"/>
                    <w:rPr>
                      <w:sz w:val="21"/>
                      <w:szCs w:val="21"/>
                    </w:rPr>
                  </w:pPr>
                  <w:r>
                    <w:rPr>
                      <w:sz w:val="21"/>
                      <w:szCs w:val="21"/>
                    </w:rPr>
                    <w:t>产品名称</w:t>
                  </w:r>
                </w:p>
              </w:tc>
              <w:tc>
                <w:tcPr>
                  <w:tcW w:w="900" w:type="pct"/>
                  <w:vAlign w:val="center"/>
                </w:tcPr>
                <w:p>
                  <w:pPr>
                    <w:pStyle w:val="2"/>
                    <w:spacing w:line="240" w:lineRule="auto"/>
                    <w:ind w:firstLine="0" w:firstLineChars="0"/>
                    <w:jc w:val="center"/>
                    <w:rPr>
                      <w:sz w:val="21"/>
                      <w:szCs w:val="21"/>
                    </w:rPr>
                  </w:pPr>
                  <w:r>
                    <w:rPr>
                      <w:rFonts w:hint="eastAsia"/>
                      <w:sz w:val="21"/>
                      <w:szCs w:val="21"/>
                    </w:rPr>
                    <w:t>单位</w:t>
                  </w:r>
                </w:p>
              </w:tc>
              <w:tc>
                <w:tcPr>
                  <w:tcW w:w="900" w:type="pct"/>
                  <w:vAlign w:val="center"/>
                </w:tcPr>
                <w:p>
                  <w:pPr>
                    <w:pStyle w:val="2"/>
                    <w:spacing w:line="240" w:lineRule="auto"/>
                    <w:ind w:firstLine="0" w:firstLineChars="0"/>
                    <w:jc w:val="center"/>
                    <w:rPr>
                      <w:sz w:val="21"/>
                      <w:szCs w:val="21"/>
                    </w:rPr>
                  </w:pPr>
                  <w:r>
                    <w:rPr>
                      <w:rFonts w:hint="eastAsia"/>
                      <w:sz w:val="21"/>
                      <w:szCs w:val="21"/>
                    </w:rPr>
                    <w:t>年产能</w:t>
                  </w:r>
                </w:p>
              </w:tc>
              <w:tc>
                <w:tcPr>
                  <w:tcW w:w="995" w:type="pct"/>
                  <w:vAlign w:val="center"/>
                </w:tcPr>
                <w:p>
                  <w:pPr>
                    <w:pStyle w:val="2"/>
                    <w:spacing w:line="240" w:lineRule="auto"/>
                    <w:ind w:firstLine="0" w:firstLineChars="0"/>
                    <w:jc w:val="center"/>
                    <w:rPr>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Merge w:val="restart"/>
                  <w:vAlign w:val="center"/>
                </w:tcPr>
                <w:p>
                  <w:pPr>
                    <w:pStyle w:val="2"/>
                    <w:spacing w:line="240" w:lineRule="auto"/>
                    <w:ind w:firstLine="0" w:firstLineChars="0"/>
                    <w:jc w:val="center"/>
                    <w:rPr>
                      <w:sz w:val="21"/>
                      <w:szCs w:val="21"/>
                    </w:rPr>
                  </w:pPr>
                  <w:r>
                    <w:rPr>
                      <w:sz w:val="21"/>
                      <w:szCs w:val="21"/>
                    </w:rPr>
                    <w:t>1</w:t>
                  </w:r>
                </w:p>
              </w:tc>
              <w:tc>
                <w:tcPr>
                  <w:tcW w:w="587" w:type="pct"/>
                  <w:vMerge w:val="restart"/>
                  <w:vAlign w:val="center"/>
                </w:tcPr>
                <w:p>
                  <w:pPr>
                    <w:pStyle w:val="2"/>
                    <w:spacing w:line="240" w:lineRule="auto"/>
                    <w:ind w:firstLine="0" w:firstLineChars="0"/>
                    <w:jc w:val="center"/>
                    <w:rPr>
                      <w:sz w:val="21"/>
                      <w:szCs w:val="21"/>
                    </w:rPr>
                  </w:pPr>
                  <w:r>
                    <w:rPr>
                      <w:rFonts w:hint="eastAsia"/>
                      <w:sz w:val="21"/>
                      <w:szCs w:val="21"/>
                    </w:rPr>
                    <w:t>水泥生产线</w:t>
                  </w:r>
                </w:p>
              </w:tc>
              <w:tc>
                <w:tcPr>
                  <w:tcW w:w="1228" w:type="pct"/>
                  <w:vAlign w:val="center"/>
                </w:tcPr>
                <w:p>
                  <w:pPr>
                    <w:pStyle w:val="2"/>
                    <w:spacing w:line="240" w:lineRule="auto"/>
                    <w:ind w:firstLine="0" w:firstLineChars="0"/>
                    <w:jc w:val="center"/>
                    <w:rPr>
                      <w:sz w:val="21"/>
                      <w:szCs w:val="21"/>
                    </w:rPr>
                  </w:pPr>
                  <w:r>
                    <w:rPr>
                      <w:rFonts w:hint="eastAsia"/>
                      <w:sz w:val="21"/>
                      <w:szCs w:val="21"/>
                    </w:rPr>
                    <w:t>水泥熟料</w:t>
                  </w:r>
                </w:p>
              </w:tc>
              <w:tc>
                <w:tcPr>
                  <w:tcW w:w="900" w:type="pct"/>
                  <w:vAlign w:val="center"/>
                </w:tcPr>
                <w:p>
                  <w:pPr>
                    <w:pStyle w:val="2"/>
                    <w:spacing w:line="240" w:lineRule="auto"/>
                    <w:ind w:firstLine="0" w:firstLineChars="0"/>
                    <w:jc w:val="center"/>
                    <w:rPr>
                      <w:sz w:val="21"/>
                      <w:szCs w:val="21"/>
                    </w:rPr>
                  </w:pPr>
                  <w:r>
                    <w:rPr>
                      <w:rFonts w:hint="eastAsia"/>
                      <w:sz w:val="21"/>
                      <w:szCs w:val="21"/>
                    </w:rPr>
                    <w:t>万吨</w:t>
                  </w:r>
                </w:p>
              </w:tc>
              <w:tc>
                <w:tcPr>
                  <w:tcW w:w="900" w:type="pct"/>
                  <w:vAlign w:val="center"/>
                </w:tcPr>
                <w:p>
                  <w:pPr>
                    <w:pStyle w:val="2"/>
                    <w:spacing w:line="240" w:lineRule="auto"/>
                    <w:ind w:firstLine="0" w:firstLineChars="0"/>
                    <w:jc w:val="center"/>
                    <w:rPr>
                      <w:sz w:val="21"/>
                      <w:szCs w:val="21"/>
                    </w:rPr>
                  </w:pPr>
                  <w:r>
                    <w:rPr>
                      <w:rFonts w:hint="eastAsia"/>
                      <w:sz w:val="21"/>
                      <w:szCs w:val="21"/>
                    </w:rPr>
                    <w:t>2</w:t>
                  </w:r>
                  <w:r>
                    <w:rPr>
                      <w:sz w:val="21"/>
                      <w:szCs w:val="21"/>
                    </w:rPr>
                    <w:t>97</w:t>
                  </w:r>
                </w:p>
              </w:tc>
              <w:tc>
                <w:tcPr>
                  <w:tcW w:w="995" w:type="pct"/>
                  <w:vAlign w:val="center"/>
                </w:tcPr>
                <w:p>
                  <w:pPr>
                    <w:pStyle w:val="2"/>
                    <w:spacing w:line="240" w:lineRule="auto"/>
                    <w:ind w:firstLine="0" w:firstLineChars="0"/>
                    <w:jc w:val="center"/>
                    <w:rPr>
                      <w:sz w:val="21"/>
                      <w:szCs w:val="21"/>
                    </w:rPr>
                  </w:pPr>
                  <w:r>
                    <w:rPr>
                      <w:rFonts w:hint="eastAsia"/>
                      <w:sz w:val="21"/>
                      <w:szCs w:val="21"/>
                    </w:rPr>
                    <w:t>半成品，作为生产水泥的原料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Merge w:val="continue"/>
                  <w:vAlign w:val="center"/>
                </w:tcPr>
                <w:p>
                  <w:pPr>
                    <w:pStyle w:val="2"/>
                    <w:spacing w:line="240" w:lineRule="auto"/>
                    <w:ind w:firstLine="0" w:firstLineChars="0"/>
                    <w:jc w:val="center"/>
                    <w:rPr>
                      <w:sz w:val="21"/>
                      <w:szCs w:val="21"/>
                    </w:rPr>
                  </w:pPr>
                </w:p>
              </w:tc>
              <w:tc>
                <w:tcPr>
                  <w:tcW w:w="587" w:type="pct"/>
                  <w:vMerge w:val="continue"/>
                  <w:vAlign w:val="center"/>
                </w:tcPr>
                <w:p>
                  <w:pPr>
                    <w:pStyle w:val="2"/>
                    <w:spacing w:line="240" w:lineRule="auto"/>
                    <w:ind w:firstLine="0" w:firstLineChars="0"/>
                    <w:jc w:val="center"/>
                    <w:rPr>
                      <w:sz w:val="21"/>
                      <w:szCs w:val="21"/>
                    </w:rPr>
                  </w:pPr>
                </w:p>
              </w:tc>
              <w:tc>
                <w:tcPr>
                  <w:tcW w:w="1228" w:type="pct"/>
                  <w:vAlign w:val="center"/>
                </w:tcPr>
                <w:p>
                  <w:pPr>
                    <w:pStyle w:val="2"/>
                    <w:spacing w:line="240" w:lineRule="auto"/>
                    <w:ind w:firstLine="0" w:firstLineChars="0"/>
                    <w:jc w:val="center"/>
                    <w:rPr>
                      <w:sz w:val="21"/>
                      <w:szCs w:val="21"/>
                    </w:rPr>
                  </w:pPr>
                  <w:r>
                    <w:rPr>
                      <w:rFonts w:hint="eastAsia"/>
                      <w:sz w:val="21"/>
                      <w:szCs w:val="21"/>
                    </w:rPr>
                    <w:t>水泥</w:t>
                  </w:r>
                </w:p>
              </w:tc>
              <w:tc>
                <w:tcPr>
                  <w:tcW w:w="900" w:type="pct"/>
                </w:tcPr>
                <w:p>
                  <w:pPr>
                    <w:pStyle w:val="2"/>
                    <w:spacing w:line="240" w:lineRule="auto"/>
                    <w:ind w:firstLine="0" w:firstLineChars="0"/>
                    <w:jc w:val="center"/>
                    <w:rPr>
                      <w:sz w:val="21"/>
                      <w:szCs w:val="21"/>
                    </w:rPr>
                  </w:pPr>
                  <w:r>
                    <w:rPr>
                      <w:rFonts w:hint="eastAsia"/>
                      <w:sz w:val="21"/>
                      <w:szCs w:val="21"/>
                    </w:rPr>
                    <w:t>万吨</w:t>
                  </w:r>
                </w:p>
              </w:tc>
              <w:tc>
                <w:tcPr>
                  <w:tcW w:w="900" w:type="pct"/>
                  <w:vAlign w:val="center"/>
                </w:tcPr>
                <w:p>
                  <w:pPr>
                    <w:pStyle w:val="2"/>
                    <w:spacing w:line="240" w:lineRule="auto"/>
                    <w:ind w:firstLine="0" w:firstLineChars="0"/>
                    <w:jc w:val="center"/>
                    <w:rPr>
                      <w:sz w:val="21"/>
                      <w:szCs w:val="21"/>
                    </w:rPr>
                  </w:pPr>
                  <w:r>
                    <w:rPr>
                      <w:rFonts w:hint="eastAsia"/>
                      <w:sz w:val="21"/>
                      <w:szCs w:val="21"/>
                    </w:rPr>
                    <w:t>4</w:t>
                  </w:r>
                  <w:r>
                    <w:rPr>
                      <w:sz w:val="21"/>
                      <w:szCs w:val="21"/>
                    </w:rPr>
                    <w:t>40</w:t>
                  </w:r>
                </w:p>
              </w:tc>
              <w:tc>
                <w:tcPr>
                  <w:tcW w:w="995" w:type="pct"/>
                  <w:vAlign w:val="center"/>
                </w:tcPr>
                <w:p>
                  <w:pPr>
                    <w:pStyle w:val="2"/>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Merge w:val="restart"/>
                  <w:vAlign w:val="center"/>
                </w:tcPr>
                <w:p>
                  <w:pPr>
                    <w:pStyle w:val="2"/>
                    <w:spacing w:line="240" w:lineRule="auto"/>
                    <w:ind w:firstLine="0" w:firstLineChars="0"/>
                    <w:jc w:val="center"/>
                    <w:rPr>
                      <w:sz w:val="21"/>
                      <w:szCs w:val="21"/>
                    </w:rPr>
                  </w:pPr>
                  <w:r>
                    <w:rPr>
                      <w:rFonts w:hint="eastAsia"/>
                      <w:sz w:val="21"/>
                      <w:szCs w:val="21"/>
                    </w:rPr>
                    <w:t>2</w:t>
                  </w:r>
                </w:p>
              </w:tc>
              <w:tc>
                <w:tcPr>
                  <w:tcW w:w="587" w:type="pct"/>
                  <w:vMerge w:val="restart"/>
                  <w:vAlign w:val="center"/>
                </w:tcPr>
                <w:p>
                  <w:pPr>
                    <w:pStyle w:val="2"/>
                    <w:spacing w:line="240" w:lineRule="auto"/>
                    <w:ind w:firstLine="0" w:firstLineChars="0"/>
                    <w:jc w:val="center"/>
                    <w:rPr>
                      <w:sz w:val="21"/>
                      <w:szCs w:val="21"/>
                    </w:rPr>
                  </w:pPr>
                  <w:r>
                    <w:rPr>
                      <w:rFonts w:hint="eastAsia"/>
                      <w:sz w:val="21"/>
                      <w:szCs w:val="21"/>
                    </w:rPr>
                    <w:t>骨料生产线</w:t>
                  </w:r>
                </w:p>
              </w:tc>
              <w:tc>
                <w:tcPr>
                  <w:tcW w:w="1228" w:type="pct"/>
                  <w:vAlign w:val="center"/>
                </w:tcPr>
                <w:p>
                  <w:pPr>
                    <w:pStyle w:val="2"/>
                    <w:spacing w:line="240" w:lineRule="auto"/>
                    <w:ind w:firstLine="0" w:firstLineChars="0"/>
                    <w:jc w:val="center"/>
                    <w:rPr>
                      <w:sz w:val="21"/>
                      <w:szCs w:val="21"/>
                    </w:rPr>
                  </w:pPr>
                  <w:r>
                    <w:rPr>
                      <w:sz w:val="21"/>
                      <w:szCs w:val="21"/>
                    </w:rPr>
                    <w:t>5-25</w:t>
                  </w:r>
                  <w:r>
                    <w:rPr>
                      <w:rFonts w:hint="eastAsia"/>
                      <w:sz w:val="21"/>
                      <w:szCs w:val="21"/>
                    </w:rPr>
                    <w:t>mm骨料</w:t>
                  </w:r>
                </w:p>
              </w:tc>
              <w:tc>
                <w:tcPr>
                  <w:tcW w:w="900" w:type="pct"/>
                </w:tcPr>
                <w:p>
                  <w:pPr>
                    <w:pStyle w:val="2"/>
                    <w:spacing w:line="240" w:lineRule="auto"/>
                    <w:ind w:firstLine="0" w:firstLineChars="0"/>
                    <w:jc w:val="center"/>
                    <w:rPr>
                      <w:sz w:val="21"/>
                      <w:szCs w:val="21"/>
                    </w:rPr>
                  </w:pPr>
                  <w:r>
                    <w:rPr>
                      <w:rFonts w:hint="eastAsia"/>
                      <w:sz w:val="21"/>
                      <w:szCs w:val="21"/>
                    </w:rPr>
                    <w:t>万吨</w:t>
                  </w:r>
                </w:p>
              </w:tc>
              <w:tc>
                <w:tcPr>
                  <w:tcW w:w="900" w:type="pct"/>
                  <w:vAlign w:val="center"/>
                </w:tcPr>
                <w:p>
                  <w:pPr>
                    <w:pStyle w:val="2"/>
                    <w:spacing w:line="240" w:lineRule="auto"/>
                    <w:ind w:firstLine="0" w:firstLineChars="0"/>
                    <w:jc w:val="center"/>
                    <w:rPr>
                      <w:sz w:val="21"/>
                      <w:szCs w:val="21"/>
                    </w:rPr>
                  </w:pPr>
                  <w:r>
                    <w:rPr>
                      <w:rFonts w:hint="eastAsia"/>
                      <w:sz w:val="21"/>
                      <w:szCs w:val="21"/>
                    </w:rPr>
                    <w:t>6</w:t>
                  </w:r>
                  <w:r>
                    <w:rPr>
                      <w:sz w:val="21"/>
                      <w:szCs w:val="21"/>
                    </w:rPr>
                    <w:t>7</w:t>
                  </w:r>
                </w:p>
              </w:tc>
              <w:tc>
                <w:tcPr>
                  <w:tcW w:w="995" w:type="pct"/>
                  <w:vAlign w:val="center"/>
                </w:tcPr>
                <w:p>
                  <w:pPr>
                    <w:pStyle w:val="2"/>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Merge w:val="continue"/>
                  <w:vAlign w:val="center"/>
                </w:tcPr>
                <w:p>
                  <w:pPr>
                    <w:pStyle w:val="2"/>
                    <w:spacing w:line="240" w:lineRule="auto"/>
                    <w:ind w:firstLine="0" w:firstLineChars="0"/>
                    <w:jc w:val="center"/>
                    <w:rPr>
                      <w:sz w:val="21"/>
                      <w:szCs w:val="21"/>
                    </w:rPr>
                  </w:pPr>
                </w:p>
              </w:tc>
              <w:tc>
                <w:tcPr>
                  <w:tcW w:w="587" w:type="pct"/>
                  <w:vMerge w:val="continue"/>
                  <w:vAlign w:val="center"/>
                </w:tcPr>
                <w:p>
                  <w:pPr>
                    <w:pStyle w:val="2"/>
                    <w:spacing w:line="240" w:lineRule="auto"/>
                    <w:ind w:firstLine="0" w:firstLineChars="0"/>
                    <w:jc w:val="center"/>
                    <w:rPr>
                      <w:sz w:val="21"/>
                      <w:szCs w:val="21"/>
                    </w:rPr>
                  </w:pPr>
                </w:p>
              </w:tc>
              <w:tc>
                <w:tcPr>
                  <w:tcW w:w="1228" w:type="pct"/>
                  <w:vAlign w:val="center"/>
                </w:tcPr>
                <w:p>
                  <w:pPr>
                    <w:pStyle w:val="2"/>
                    <w:spacing w:line="240" w:lineRule="auto"/>
                    <w:ind w:firstLine="0" w:firstLineChars="0"/>
                    <w:jc w:val="center"/>
                    <w:rPr>
                      <w:sz w:val="21"/>
                      <w:szCs w:val="21"/>
                    </w:rPr>
                  </w:pPr>
                  <w:r>
                    <w:rPr>
                      <w:sz w:val="21"/>
                      <w:szCs w:val="21"/>
                    </w:rPr>
                    <w:t>25-40</w:t>
                  </w:r>
                  <w:r>
                    <w:rPr>
                      <w:rFonts w:hint="eastAsia"/>
                      <w:sz w:val="21"/>
                      <w:szCs w:val="21"/>
                    </w:rPr>
                    <w:t>mm骨料</w:t>
                  </w:r>
                </w:p>
              </w:tc>
              <w:tc>
                <w:tcPr>
                  <w:tcW w:w="900" w:type="pct"/>
                </w:tcPr>
                <w:p>
                  <w:pPr>
                    <w:pStyle w:val="2"/>
                    <w:spacing w:line="240" w:lineRule="auto"/>
                    <w:ind w:firstLine="0" w:firstLineChars="0"/>
                    <w:jc w:val="center"/>
                    <w:rPr>
                      <w:sz w:val="21"/>
                      <w:szCs w:val="21"/>
                    </w:rPr>
                  </w:pPr>
                  <w:r>
                    <w:rPr>
                      <w:rFonts w:hint="eastAsia"/>
                      <w:sz w:val="21"/>
                      <w:szCs w:val="21"/>
                    </w:rPr>
                    <w:t>万吨</w:t>
                  </w:r>
                </w:p>
              </w:tc>
              <w:tc>
                <w:tcPr>
                  <w:tcW w:w="900" w:type="pct"/>
                  <w:vAlign w:val="center"/>
                </w:tcPr>
                <w:p>
                  <w:pPr>
                    <w:pStyle w:val="2"/>
                    <w:spacing w:line="240" w:lineRule="auto"/>
                    <w:ind w:firstLine="0" w:firstLineChars="0"/>
                    <w:jc w:val="center"/>
                    <w:rPr>
                      <w:sz w:val="21"/>
                      <w:szCs w:val="21"/>
                    </w:rPr>
                  </w:pPr>
                  <w:r>
                    <w:rPr>
                      <w:rFonts w:hint="eastAsia"/>
                      <w:sz w:val="21"/>
                      <w:szCs w:val="21"/>
                    </w:rPr>
                    <w:t>3</w:t>
                  </w:r>
                  <w:r>
                    <w:rPr>
                      <w:sz w:val="21"/>
                      <w:szCs w:val="21"/>
                    </w:rPr>
                    <w:t>3</w:t>
                  </w:r>
                </w:p>
              </w:tc>
              <w:tc>
                <w:tcPr>
                  <w:tcW w:w="995" w:type="pct"/>
                  <w:vAlign w:val="center"/>
                </w:tcPr>
                <w:p>
                  <w:pPr>
                    <w:pStyle w:val="2"/>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Merge w:val="continue"/>
                  <w:vAlign w:val="center"/>
                </w:tcPr>
                <w:p>
                  <w:pPr>
                    <w:pStyle w:val="2"/>
                    <w:spacing w:line="240" w:lineRule="auto"/>
                    <w:ind w:firstLine="0" w:firstLineChars="0"/>
                    <w:jc w:val="center"/>
                    <w:rPr>
                      <w:sz w:val="21"/>
                      <w:szCs w:val="21"/>
                    </w:rPr>
                  </w:pPr>
                </w:p>
              </w:tc>
              <w:tc>
                <w:tcPr>
                  <w:tcW w:w="587" w:type="pct"/>
                  <w:vMerge w:val="continue"/>
                  <w:vAlign w:val="center"/>
                </w:tcPr>
                <w:p>
                  <w:pPr>
                    <w:pStyle w:val="2"/>
                    <w:spacing w:line="240" w:lineRule="auto"/>
                    <w:ind w:firstLine="0" w:firstLineChars="0"/>
                    <w:jc w:val="center"/>
                    <w:rPr>
                      <w:sz w:val="21"/>
                      <w:szCs w:val="21"/>
                    </w:rPr>
                  </w:pPr>
                </w:p>
              </w:tc>
              <w:tc>
                <w:tcPr>
                  <w:tcW w:w="1228" w:type="pct"/>
                  <w:vAlign w:val="center"/>
                </w:tcPr>
                <w:p>
                  <w:pPr>
                    <w:pStyle w:val="2"/>
                    <w:spacing w:line="240" w:lineRule="auto"/>
                    <w:ind w:firstLine="0" w:firstLineChars="0"/>
                    <w:jc w:val="center"/>
                    <w:rPr>
                      <w:sz w:val="21"/>
                      <w:szCs w:val="21"/>
                    </w:rPr>
                  </w:pPr>
                  <w:r>
                    <w:rPr>
                      <w:rFonts w:hint="eastAsia"/>
                      <w:sz w:val="21"/>
                      <w:szCs w:val="21"/>
                    </w:rPr>
                    <w:t>0</w:t>
                  </w:r>
                  <w:r>
                    <w:rPr>
                      <w:sz w:val="21"/>
                      <w:szCs w:val="21"/>
                    </w:rPr>
                    <w:t>-5</w:t>
                  </w:r>
                  <w:r>
                    <w:rPr>
                      <w:rFonts w:hint="eastAsia"/>
                      <w:sz w:val="21"/>
                      <w:szCs w:val="21"/>
                    </w:rPr>
                    <w:t>mm粉料</w:t>
                  </w:r>
                </w:p>
              </w:tc>
              <w:tc>
                <w:tcPr>
                  <w:tcW w:w="900" w:type="pct"/>
                  <w:vAlign w:val="center"/>
                </w:tcPr>
                <w:p>
                  <w:pPr>
                    <w:pStyle w:val="2"/>
                    <w:spacing w:line="240" w:lineRule="auto"/>
                    <w:ind w:firstLine="0" w:firstLineChars="0"/>
                    <w:jc w:val="center"/>
                    <w:rPr>
                      <w:sz w:val="21"/>
                      <w:szCs w:val="21"/>
                    </w:rPr>
                  </w:pPr>
                  <w:r>
                    <w:rPr>
                      <w:rFonts w:hint="eastAsia"/>
                      <w:sz w:val="21"/>
                      <w:szCs w:val="21"/>
                    </w:rPr>
                    <w:t>万吨</w:t>
                  </w:r>
                </w:p>
              </w:tc>
              <w:tc>
                <w:tcPr>
                  <w:tcW w:w="900" w:type="pct"/>
                  <w:vAlign w:val="center"/>
                </w:tcPr>
                <w:p>
                  <w:pPr>
                    <w:pStyle w:val="2"/>
                    <w:spacing w:line="240" w:lineRule="auto"/>
                    <w:ind w:firstLine="0" w:firstLineChars="0"/>
                    <w:jc w:val="center"/>
                    <w:rPr>
                      <w:sz w:val="21"/>
                      <w:szCs w:val="21"/>
                    </w:rPr>
                  </w:pPr>
                  <w:r>
                    <w:rPr>
                      <w:sz w:val="21"/>
                      <w:szCs w:val="21"/>
                    </w:rPr>
                    <w:t>33</w:t>
                  </w:r>
                </w:p>
              </w:tc>
              <w:tc>
                <w:tcPr>
                  <w:tcW w:w="995" w:type="pct"/>
                  <w:vAlign w:val="center"/>
                </w:tcPr>
                <w:p>
                  <w:pPr>
                    <w:pStyle w:val="2"/>
                    <w:spacing w:line="240" w:lineRule="auto"/>
                    <w:ind w:firstLine="0" w:firstLineChars="0"/>
                    <w:jc w:val="center"/>
                    <w:rPr>
                      <w:sz w:val="21"/>
                      <w:szCs w:val="21"/>
                    </w:rPr>
                  </w:pPr>
                  <w:r>
                    <w:rPr>
                      <w:rFonts w:hint="eastAsia"/>
                      <w:sz w:val="21"/>
                      <w:szCs w:val="21"/>
                    </w:rPr>
                    <w:t>副产，用作水泥辅材</w:t>
                  </w:r>
                </w:p>
              </w:tc>
            </w:tr>
          </w:tbl>
          <w:p>
            <w:pPr>
              <w:spacing w:line="360" w:lineRule="auto"/>
              <w:ind w:firstLine="482" w:firstLineChars="200"/>
              <w:rPr>
                <w:b/>
                <w:sz w:val="24"/>
              </w:rPr>
            </w:pPr>
            <w:r>
              <w:rPr>
                <w:rFonts w:hint="eastAsia"/>
                <w:b/>
                <w:sz w:val="24"/>
              </w:rPr>
              <w:t>（</w:t>
            </w:r>
            <w:r>
              <w:rPr>
                <w:b/>
                <w:sz w:val="24"/>
              </w:rPr>
              <w:t>2</w:t>
            </w:r>
            <w:r>
              <w:rPr>
                <w:rFonts w:hint="eastAsia"/>
                <w:b/>
                <w:sz w:val="24"/>
              </w:rPr>
              <w:t>）现有项目组成及主要环境问题</w:t>
            </w:r>
          </w:p>
          <w:p>
            <w:pPr>
              <w:spacing w:line="360" w:lineRule="auto"/>
              <w:ind w:firstLine="480" w:firstLineChars="200"/>
              <w:rPr>
                <w:rFonts w:cs="Times New Roman"/>
                <w:sz w:val="24"/>
                <w:szCs w:val="24"/>
              </w:rPr>
            </w:pPr>
            <w:r>
              <w:rPr>
                <w:rFonts w:hint="eastAsia" w:cs="Times New Roman"/>
                <w:sz w:val="24"/>
                <w:szCs w:val="24"/>
              </w:rPr>
              <w:t>现有项目组成及主要环境问题见下表。</w:t>
            </w:r>
          </w:p>
          <w:p>
            <w:pPr>
              <w:spacing w:line="360" w:lineRule="auto"/>
              <w:jc w:val="center"/>
              <w:rPr>
                <w:rFonts w:eastAsia="黑体" w:cstheme="minorHAnsi"/>
                <w:szCs w:val="21"/>
              </w:rPr>
            </w:pPr>
            <w:r>
              <w:rPr>
                <w:rFonts w:hint="eastAsia" w:ascii="黑体" w:hAnsi="黑体" w:eastAsia="黑体"/>
                <w:szCs w:val="21"/>
              </w:rPr>
              <w:t>表</w:t>
            </w:r>
            <w:r>
              <w:rPr>
                <w:rFonts w:eastAsia="黑体" w:cstheme="minorHAnsi"/>
                <w:szCs w:val="21"/>
              </w:rPr>
              <w:t>2</w:t>
            </w:r>
            <w:r>
              <w:rPr>
                <w:rFonts w:hint="eastAsia" w:eastAsia="黑体" w:cstheme="minorHAnsi"/>
                <w:szCs w:val="21"/>
              </w:rPr>
              <w:t>-10</w:t>
            </w:r>
            <w:r>
              <w:rPr>
                <w:rFonts w:eastAsia="黑体" w:cstheme="minorHAnsi"/>
                <w:szCs w:val="21"/>
              </w:rPr>
              <w:t xml:space="preserve">  </w:t>
            </w:r>
            <w:r>
              <w:rPr>
                <w:rFonts w:hint="eastAsia" w:eastAsia="黑体" w:cstheme="minorHAnsi"/>
                <w:szCs w:val="21"/>
              </w:rPr>
              <w:t>现有项目组成及主要环境问题</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746"/>
              <w:gridCol w:w="2543"/>
              <w:gridCol w:w="329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654" w:type="pct"/>
                  <w:gridSpan w:val="2"/>
                  <w:vAlign w:val="center"/>
                </w:tcPr>
                <w:p>
                  <w:pPr>
                    <w:jc w:val="center"/>
                    <w:rPr>
                      <w:szCs w:val="21"/>
                    </w:rPr>
                  </w:pPr>
                  <w:r>
                    <w:rPr>
                      <w:rFonts w:hint="eastAsia"/>
                      <w:szCs w:val="21"/>
                    </w:rPr>
                    <w:t>工程分类</w:t>
                  </w:r>
                </w:p>
              </w:tc>
              <w:tc>
                <w:tcPr>
                  <w:tcW w:w="1390" w:type="pct"/>
                  <w:shd w:val="clear" w:color="auto" w:fill="auto"/>
                  <w:vAlign w:val="center"/>
                </w:tcPr>
                <w:p>
                  <w:pPr>
                    <w:jc w:val="center"/>
                    <w:rPr>
                      <w:szCs w:val="21"/>
                    </w:rPr>
                  </w:pPr>
                  <w:r>
                    <w:rPr>
                      <w:rFonts w:hint="eastAsia"/>
                      <w:szCs w:val="21"/>
                    </w:rPr>
                    <w:t>项目名称</w:t>
                  </w:r>
                </w:p>
              </w:tc>
              <w:tc>
                <w:tcPr>
                  <w:tcW w:w="1800" w:type="pct"/>
                  <w:shd w:val="clear" w:color="auto" w:fill="auto"/>
                  <w:vAlign w:val="center"/>
                </w:tcPr>
                <w:p>
                  <w:pPr>
                    <w:jc w:val="center"/>
                    <w:rPr>
                      <w:szCs w:val="21"/>
                    </w:rPr>
                  </w:pPr>
                  <w:r>
                    <w:rPr>
                      <w:rFonts w:hint="eastAsia"/>
                      <w:szCs w:val="21"/>
                    </w:rPr>
                    <w:t>建设</w:t>
                  </w:r>
                  <w:r>
                    <w:rPr>
                      <w:szCs w:val="21"/>
                    </w:rPr>
                    <w:t>内容及规模</w:t>
                  </w:r>
                </w:p>
              </w:tc>
              <w:tc>
                <w:tcPr>
                  <w:tcW w:w="1156" w:type="pct"/>
                  <w:shd w:val="clear" w:color="auto" w:fill="auto"/>
                  <w:vAlign w:val="center"/>
                </w:tcPr>
                <w:p>
                  <w:pPr>
                    <w:jc w:val="center"/>
                    <w:rPr>
                      <w:szCs w:val="21"/>
                    </w:rPr>
                  </w:pPr>
                  <w:r>
                    <w:rPr>
                      <w:rFonts w:hint="eastAsia"/>
                      <w:szCs w:val="21"/>
                    </w:rPr>
                    <w:t>已采取的治理措施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6" w:type="pct"/>
                  <w:vMerge w:val="restart"/>
                  <w:vAlign w:val="center"/>
                </w:tcPr>
                <w:p>
                  <w:pPr>
                    <w:jc w:val="center"/>
                    <w:rPr>
                      <w:szCs w:val="21"/>
                    </w:rPr>
                  </w:pPr>
                  <w:r>
                    <w:rPr>
                      <w:rFonts w:hint="eastAsia"/>
                      <w:szCs w:val="21"/>
                    </w:rPr>
                    <w:t>海螺水泥厂</w:t>
                  </w:r>
                </w:p>
              </w:tc>
              <w:tc>
                <w:tcPr>
                  <w:tcW w:w="408" w:type="pct"/>
                  <w:vMerge w:val="restart"/>
                  <w:shd w:val="clear" w:color="auto" w:fill="auto"/>
                  <w:vAlign w:val="center"/>
                </w:tcPr>
                <w:p>
                  <w:pPr>
                    <w:jc w:val="center"/>
                    <w:rPr>
                      <w:szCs w:val="21"/>
                    </w:rPr>
                  </w:pPr>
                  <w:r>
                    <w:rPr>
                      <w:rFonts w:hint="eastAsia"/>
                      <w:szCs w:val="21"/>
                    </w:rPr>
                    <w:t>主体工程</w:t>
                  </w:r>
                </w:p>
              </w:tc>
              <w:tc>
                <w:tcPr>
                  <w:tcW w:w="1390" w:type="pct"/>
                  <w:shd w:val="clear" w:color="auto" w:fill="auto"/>
                  <w:vAlign w:val="center"/>
                </w:tcPr>
                <w:p>
                  <w:pPr>
                    <w:ind w:left="-63" w:leftChars="-30" w:right="-63" w:rightChars="-30"/>
                    <w:jc w:val="center"/>
                    <w:rPr>
                      <w:szCs w:val="21"/>
                    </w:rPr>
                  </w:pPr>
                  <w:r>
                    <w:rPr>
                      <w:szCs w:val="21"/>
                    </w:rPr>
                    <w:t>原料车间</w:t>
                  </w:r>
                </w:p>
                <w:p>
                  <w:pPr>
                    <w:jc w:val="center"/>
                    <w:rPr>
                      <w:rFonts w:cs="Times New Roman"/>
                      <w:bCs/>
                      <w:szCs w:val="21"/>
                    </w:rPr>
                  </w:pPr>
                  <w:r>
                    <w:rPr>
                      <w:rFonts w:hint="eastAsia"/>
                      <w:szCs w:val="21"/>
                    </w:rPr>
                    <w:t>（</w:t>
                  </w:r>
                  <w:r>
                    <w:rPr>
                      <w:szCs w:val="21"/>
                    </w:rPr>
                    <w:t>形成日产</w:t>
                  </w:r>
                  <w:r>
                    <w:rPr>
                      <w:rFonts w:hint="eastAsia"/>
                      <w:szCs w:val="21"/>
                    </w:rPr>
                    <w:t>2</w:t>
                  </w:r>
                  <w:r>
                    <w:rPr>
                      <w:rFonts w:ascii="Arial" w:hAnsi="Arial" w:cs="Arial"/>
                      <w:szCs w:val="21"/>
                    </w:rPr>
                    <w:t>×</w:t>
                  </w:r>
                  <w:r>
                    <w:rPr>
                      <w:rFonts w:hint="eastAsia"/>
                      <w:szCs w:val="21"/>
                    </w:rPr>
                    <w:t>4500</w:t>
                  </w:r>
                  <w:r>
                    <w:rPr>
                      <w:szCs w:val="21"/>
                    </w:rPr>
                    <w:t>t熟料配套的生产能力</w:t>
                  </w:r>
                  <w:r>
                    <w:rPr>
                      <w:rFonts w:hint="eastAsia"/>
                      <w:szCs w:val="21"/>
                    </w:rPr>
                    <w:t>）</w:t>
                  </w:r>
                </w:p>
              </w:tc>
              <w:tc>
                <w:tcPr>
                  <w:tcW w:w="1800" w:type="pct"/>
                  <w:shd w:val="clear" w:color="auto" w:fill="auto"/>
                  <w:vAlign w:val="center"/>
                </w:tcPr>
                <w:p>
                  <w:pPr>
                    <w:rPr>
                      <w:rFonts w:cs="Times New Roman"/>
                      <w:bCs/>
                      <w:szCs w:val="21"/>
                    </w:rPr>
                  </w:pPr>
                  <w:r>
                    <w:rPr>
                      <w:rFonts w:hint="eastAsia"/>
                      <w:szCs w:val="21"/>
                    </w:rPr>
                    <w:t>1）石灰石预均化堆棚；2）其他辅料破碎及输送。</w:t>
                  </w:r>
                </w:p>
              </w:tc>
              <w:tc>
                <w:tcPr>
                  <w:tcW w:w="1156" w:type="pct"/>
                  <w:shd w:val="clear" w:color="auto" w:fill="auto"/>
                  <w:vAlign w:val="center"/>
                </w:tcPr>
                <w:p>
                  <w:pPr>
                    <w:jc w:val="center"/>
                    <w:rPr>
                      <w:szCs w:val="21"/>
                    </w:rPr>
                  </w:pPr>
                  <w:r>
                    <w:rPr>
                      <w:rFonts w:hint="eastAsia"/>
                      <w:szCs w:val="21"/>
                    </w:rPr>
                    <w:t>布袋除尘器，建筑隔声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6" w:type="pct"/>
                  <w:vMerge w:val="continue"/>
                  <w:vAlign w:val="center"/>
                </w:tcPr>
                <w:p>
                  <w:pPr>
                    <w:jc w:val="center"/>
                    <w:rPr>
                      <w:szCs w:val="21"/>
                    </w:rPr>
                  </w:pPr>
                </w:p>
              </w:tc>
              <w:tc>
                <w:tcPr>
                  <w:tcW w:w="408" w:type="pct"/>
                  <w:vMerge w:val="continue"/>
                  <w:shd w:val="clear" w:color="auto" w:fill="auto"/>
                  <w:vAlign w:val="center"/>
                </w:tcPr>
                <w:p>
                  <w:pPr>
                    <w:jc w:val="center"/>
                    <w:rPr>
                      <w:szCs w:val="21"/>
                    </w:rPr>
                  </w:pPr>
                </w:p>
              </w:tc>
              <w:tc>
                <w:tcPr>
                  <w:tcW w:w="1390" w:type="pct"/>
                  <w:shd w:val="clear" w:color="auto" w:fill="auto"/>
                  <w:vAlign w:val="center"/>
                </w:tcPr>
                <w:p>
                  <w:pPr>
                    <w:ind w:left="-63" w:leftChars="-30" w:right="-63" w:rightChars="-30"/>
                    <w:jc w:val="center"/>
                    <w:rPr>
                      <w:szCs w:val="21"/>
                    </w:rPr>
                  </w:pPr>
                  <w:r>
                    <w:rPr>
                      <w:szCs w:val="21"/>
                    </w:rPr>
                    <w:t>生料制备车间</w:t>
                  </w:r>
                </w:p>
                <w:p>
                  <w:pPr>
                    <w:jc w:val="center"/>
                    <w:rPr>
                      <w:rFonts w:cs="Times New Roman"/>
                      <w:bCs/>
                      <w:szCs w:val="21"/>
                    </w:rPr>
                  </w:pPr>
                  <w:r>
                    <w:rPr>
                      <w:rFonts w:hint="eastAsia"/>
                      <w:szCs w:val="21"/>
                    </w:rPr>
                    <w:t>（</w:t>
                  </w:r>
                  <w:r>
                    <w:rPr>
                      <w:szCs w:val="21"/>
                    </w:rPr>
                    <w:t>形成日产</w:t>
                  </w:r>
                  <w:r>
                    <w:rPr>
                      <w:rFonts w:hint="eastAsia"/>
                      <w:szCs w:val="21"/>
                    </w:rPr>
                    <w:t>2</w:t>
                  </w:r>
                  <w:r>
                    <w:rPr>
                      <w:rFonts w:ascii="Arial" w:hAnsi="Arial" w:cs="Arial"/>
                      <w:szCs w:val="21"/>
                    </w:rPr>
                    <w:t>×</w:t>
                  </w:r>
                  <w:r>
                    <w:rPr>
                      <w:rFonts w:hint="eastAsia"/>
                      <w:szCs w:val="21"/>
                    </w:rPr>
                    <w:t>4500</w:t>
                  </w:r>
                  <w:r>
                    <w:rPr>
                      <w:szCs w:val="21"/>
                    </w:rPr>
                    <w:t>t熟料配套的生产能力</w:t>
                  </w:r>
                  <w:r>
                    <w:rPr>
                      <w:rFonts w:hint="eastAsia"/>
                      <w:szCs w:val="21"/>
                    </w:rPr>
                    <w:t>）</w:t>
                  </w:r>
                </w:p>
              </w:tc>
              <w:tc>
                <w:tcPr>
                  <w:tcW w:w="1800" w:type="pct"/>
                  <w:shd w:val="clear" w:color="auto" w:fill="auto"/>
                  <w:vAlign w:val="center"/>
                </w:tcPr>
                <w:p>
                  <w:pPr>
                    <w:rPr>
                      <w:rFonts w:cs="Times New Roman"/>
                      <w:bCs/>
                      <w:szCs w:val="21"/>
                    </w:rPr>
                  </w:pPr>
                  <w:r>
                    <w:rPr>
                      <w:szCs w:val="21"/>
                    </w:rPr>
                    <w:t>1）原料配料库及输送</w:t>
                  </w:r>
                  <w:r>
                    <w:rPr>
                      <w:rFonts w:hint="eastAsia"/>
                      <w:szCs w:val="21"/>
                    </w:rPr>
                    <w:t xml:space="preserve">； </w:t>
                  </w:r>
                  <w:r>
                    <w:rPr>
                      <w:szCs w:val="21"/>
                    </w:rPr>
                    <w:t>2）生料磨；3）生料均化及窑尾喂料</w:t>
                  </w:r>
                  <w:r>
                    <w:rPr>
                      <w:rFonts w:hint="eastAsia"/>
                      <w:szCs w:val="21"/>
                    </w:rPr>
                    <w:t>。</w:t>
                  </w:r>
                </w:p>
              </w:tc>
              <w:tc>
                <w:tcPr>
                  <w:tcW w:w="1156" w:type="pct"/>
                  <w:vMerge w:val="restart"/>
                  <w:shd w:val="clear" w:color="auto" w:fill="auto"/>
                  <w:vAlign w:val="center"/>
                </w:tcPr>
                <w:p>
                  <w:pPr>
                    <w:jc w:val="center"/>
                    <w:rPr>
                      <w:szCs w:val="21"/>
                    </w:rPr>
                  </w:pPr>
                  <w:r>
                    <w:rPr>
                      <w:rFonts w:hint="eastAsia"/>
                      <w:szCs w:val="21"/>
                    </w:rPr>
                    <w:t>布袋除尘器；噪声采取消音器、建筑隔声；生产废水循环利用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6" w:type="pct"/>
                  <w:vMerge w:val="continue"/>
                  <w:vAlign w:val="center"/>
                </w:tcPr>
                <w:p>
                  <w:pPr>
                    <w:jc w:val="center"/>
                    <w:rPr>
                      <w:szCs w:val="21"/>
                    </w:rPr>
                  </w:pPr>
                </w:p>
              </w:tc>
              <w:tc>
                <w:tcPr>
                  <w:tcW w:w="408" w:type="pct"/>
                  <w:vMerge w:val="continue"/>
                  <w:shd w:val="clear" w:color="auto" w:fill="auto"/>
                  <w:vAlign w:val="center"/>
                </w:tcPr>
                <w:p>
                  <w:pPr>
                    <w:jc w:val="center"/>
                    <w:rPr>
                      <w:szCs w:val="21"/>
                    </w:rPr>
                  </w:pPr>
                </w:p>
              </w:tc>
              <w:tc>
                <w:tcPr>
                  <w:tcW w:w="1390" w:type="pct"/>
                  <w:shd w:val="clear" w:color="auto" w:fill="auto"/>
                  <w:vAlign w:val="center"/>
                </w:tcPr>
                <w:p>
                  <w:pPr>
                    <w:ind w:left="-63" w:leftChars="-30" w:right="-63" w:rightChars="-30"/>
                    <w:jc w:val="center"/>
                    <w:rPr>
                      <w:szCs w:val="21"/>
                    </w:rPr>
                  </w:pPr>
                  <w:r>
                    <w:rPr>
                      <w:szCs w:val="21"/>
                    </w:rPr>
                    <w:t>烧成车间</w:t>
                  </w:r>
                </w:p>
                <w:p>
                  <w:pPr>
                    <w:jc w:val="center"/>
                    <w:rPr>
                      <w:rFonts w:cs="Times New Roman"/>
                      <w:bCs/>
                      <w:szCs w:val="21"/>
                    </w:rPr>
                  </w:pPr>
                  <w:r>
                    <w:rPr>
                      <w:rFonts w:hint="eastAsia"/>
                      <w:szCs w:val="21"/>
                    </w:rPr>
                    <w:t>（</w:t>
                  </w:r>
                  <w:r>
                    <w:rPr>
                      <w:szCs w:val="21"/>
                    </w:rPr>
                    <w:t>形成日产</w:t>
                  </w:r>
                  <w:r>
                    <w:rPr>
                      <w:rFonts w:hint="eastAsia"/>
                      <w:szCs w:val="21"/>
                    </w:rPr>
                    <w:t>2</w:t>
                  </w:r>
                  <w:r>
                    <w:rPr>
                      <w:rFonts w:ascii="Arial" w:hAnsi="Arial" w:cs="Arial"/>
                      <w:szCs w:val="21"/>
                    </w:rPr>
                    <w:t>×</w:t>
                  </w:r>
                  <w:r>
                    <w:rPr>
                      <w:rFonts w:hint="eastAsia"/>
                      <w:szCs w:val="21"/>
                    </w:rPr>
                    <w:t>4500</w:t>
                  </w:r>
                  <w:r>
                    <w:rPr>
                      <w:szCs w:val="21"/>
                    </w:rPr>
                    <w:t>t熟料配套的生产能力</w:t>
                  </w:r>
                  <w:r>
                    <w:rPr>
                      <w:rFonts w:hint="eastAsia"/>
                      <w:szCs w:val="21"/>
                    </w:rPr>
                    <w:t>）</w:t>
                  </w:r>
                </w:p>
              </w:tc>
              <w:tc>
                <w:tcPr>
                  <w:tcW w:w="1800" w:type="pct"/>
                  <w:shd w:val="clear" w:color="auto" w:fill="auto"/>
                  <w:vAlign w:val="center"/>
                </w:tcPr>
                <w:p>
                  <w:pPr>
                    <w:rPr>
                      <w:rFonts w:cs="Times New Roman"/>
                      <w:bCs/>
                      <w:szCs w:val="21"/>
                    </w:rPr>
                  </w:pPr>
                  <w:r>
                    <w:rPr>
                      <w:szCs w:val="21"/>
                    </w:rPr>
                    <w:t>1）窑、磨废气处理；</w:t>
                  </w:r>
                  <w:r>
                    <w:rPr>
                      <w:rFonts w:hint="eastAsia"/>
                      <w:szCs w:val="21"/>
                    </w:rPr>
                    <w:t xml:space="preserve"> </w:t>
                  </w:r>
                  <w:r>
                    <w:rPr>
                      <w:szCs w:val="21"/>
                    </w:rPr>
                    <w:t>2）烧成窑尾；</w:t>
                  </w:r>
                  <w:r>
                    <w:rPr>
                      <w:rFonts w:hint="eastAsia"/>
                      <w:szCs w:val="21"/>
                    </w:rPr>
                    <w:t xml:space="preserve"> </w:t>
                  </w:r>
                  <w:r>
                    <w:rPr>
                      <w:szCs w:val="21"/>
                    </w:rPr>
                    <w:t>3）窑中；</w:t>
                  </w:r>
                  <w:r>
                    <w:rPr>
                      <w:rFonts w:hint="eastAsia"/>
                      <w:szCs w:val="21"/>
                    </w:rPr>
                    <w:t xml:space="preserve"> </w:t>
                  </w:r>
                  <w:r>
                    <w:rPr>
                      <w:szCs w:val="21"/>
                    </w:rPr>
                    <w:t>4）窑头及熟料冷却输送、储存；</w:t>
                  </w:r>
                  <w:r>
                    <w:rPr>
                      <w:rFonts w:hint="eastAsia"/>
                      <w:szCs w:val="21"/>
                    </w:rPr>
                    <w:t xml:space="preserve"> </w:t>
                  </w:r>
                  <w:r>
                    <w:rPr>
                      <w:szCs w:val="21"/>
                    </w:rPr>
                    <w:t xml:space="preserve">5）窑头废气处理； </w:t>
                  </w:r>
                  <w:r>
                    <w:rPr>
                      <w:rFonts w:hint="eastAsia"/>
                      <w:szCs w:val="21"/>
                    </w:rPr>
                    <w:t>6</w:t>
                  </w:r>
                  <w:r>
                    <w:rPr>
                      <w:szCs w:val="21"/>
                    </w:rPr>
                    <w:t>）</w:t>
                  </w:r>
                  <w:r>
                    <w:rPr>
                      <w:rFonts w:hint="eastAsia"/>
                      <w:szCs w:val="21"/>
                    </w:rPr>
                    <w:t>原料</w:t>
                  </w:r>
                  <w:r>
                    <w:rPr>
                      <w:szCs w:val="21"/>
                    </w:rPr>
                    <w:t>制备</w:t>
                  </w:r>
                  <w:r>
                    <w:rPr>
                      <w:rFonts w:hint="eastAsia"/>
                      <w:szCs w:val="21"/>
                    </w:rPr>
                    <w:t>；7</w:t>
                  </w:r>
                  <w:r>
                    <w:rPr>
                      <w:szCs w:val="21"/>
                    </w:rPr>
                    <w:t>）</w:t>
                  </w:r>
                  <w:r>
                    <w:rPr>
                      <w:rFonts w:hint="eastAsia"/>
                      <w:szCs w:val="21"/>
                    </w:rPr>
                    <w:t>原料</w:t>
                  </w:r>
                  <w:r>
                    <w:rPr>
                      <w:szCs w:val="21"/>
                    </w:rPr>
                    <w:t>储存及输送</w:t>
                  </w:r>
                  <w:r>
                    <w:rPr>
                      <w:rFonts w:hint="eastAsia"/>
                      <w:szCs w:val="21"/>
                    </w:rPr>
                    <w:t>。</w:t>
                  </w:r>
                </w:p>
              </w:tc>
              <w:tc>
                <w:tcPr>
                  <w:tcW w:w="1156"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6" w:type="pct"/>
                  <w:vMerge w:val="continue"/>
                  <w:vAlign w:val="center"/>
                </w:tcPr>
                <w:p>
                  <w:pPr>
                    <w:jc w:val="center"/>
                    <w:rPr>
                      <w:szCs w:val="21"/>
                    </w:rPr>
                  </w:pPr>
                </w:p>
              </w:tc>
              <w:tc>
                <w:tcPr>
                  <w:tcW w:w="408" w:type="pct"/>
                  <w:vMerge w:val="continue"/>
                  <w:shd w:val="clear" w:color="auto" w:fill="auto"/>
                  <w:vAlign w:val="center"/>
                </w:tcPr>
                <w:p>
                  <w:pPr>
                    <w:jc w:val="center"/>
                    <w:rPr>
                      <w:szCs w:val="21"/>
                    </w:rPr>
                  </w:pPr>
                </w:p>
              </w:tc>
              <w:tc>
                <w:tcPr>
                  <w:tcW w:w="1390" w:type="pct"/>
                  <w:shd w:val="clear" w:color="auto" w:fill="auto"/>
                  <w:vAlign w:val="center"/>
                </w:tcPr>
                <w:p>
                  <w:pPr>
                    <w:ind w:left="-63" w:leftChars="-30" w:right="-63" w:rightChars="-30"/>
                    <w:jc w:val="center"/>
                    <w:rPr>
                      <w:szCs w:val="21"/>
                    </w:rPr>
                  </w:pPr>
                  <w:r>
                    <w:rPr>
                      <w:rFonts w:hint="eastAsia"/>
                      <w:szCs w:val="21"/>
                    </w:rPr>
                    <w:t>水泥粉磨</w:t>
                  </w:r>
                </w:p>
                <w:p>
                  <w:pPr>
                    <w:jc w:val="center"/>
                    <w:rPr>
                      <w:rFonts w:cs="Times New Roman"/>
                      <w:bCs/>
                      <w:szCs w:val="21"/>
                    </w:rPr>
                  </w:pPr>
                  <w:r>
                    <w:rPr>
                      <w:rFonts w:hint="eastAsia"/>
                      <w:szCs w:val="21"/>
                    </w:rPr>
                    <w:t>（</w:t>
                  </w:r>
                  <w:r>
                    <w:rPr>
                      <w:szCs w:val="21"/>
                    </w:rPr>
                    <w:t>形成日产</w:t>
                  </w:r>
                  <w:r>
                    <w:rPr>
                      <w:rFonts w:hint="eastAsia"/>
                      <w:szCs w:val="21"/>
                    </w:rPr>
                    <w:t>2</w:t>
                  </w:r>
                  <w:r>
                    <w:rPr>
                      <w:rFonts w:ascii="Arial" w:hAnsi="Arial" w:cs="Arial"/>
                      <w:szCs w:val="21"/>
                    </w:rPr>
                    <w:t>×</w:t>
                  </w:r>
                  <w:r>
                    <w:rPr>
                      <w:rFonts w:hint="eastAsia"/>
                      <w:szCs w:val="21"/>
                    </w:rPr>
                    <w:t>4500</w:t>
                  </w:r>
                  <w:r>
                    <w:rPr>
                      <w:szCs w:val="21"/>
                    </w:rPr>
                    <w:t>t熟料配套的生产能力</w:t>
                  </w:r>
                  <w:r>
                    <w:rPr>
                      <w:rFonts w:hint="eastAsia"/>
                      <w:szCs w:val="21"/>
                    </w:rPr>
                    <w:t>）</w:t>
                  </w:r>
                </w:p>
              </w:tc>
              <w:tc>
                <w:tcPr>
                  <w:tcW w:w="1800" w:type="pct"/>
                  <w:shd w:val="clear" w:color="auto" w:fill="auto"/>
                  <w:vAlign w:val="center"/>
                </w:tcPr>
                <w:p>
                  <w:pPr>
                    <w:rPr>
                      <w:rFonts w:cs="Times New Roman"/>
                      <w:bCs/>
                      <w:szCs w:val="21"/>
                    </w:rPr>
                  </w:pPr>
                  <w:r>
                    <w:rPr>
                      <w:rFonts w:hint="eastAsia"/>
                      <w:szCs w:val="21"/>
                    </w:rPr>
                    <w:t>1）熟料储存库及输送；2）石膏、混合材破碎及输送；3）水泥粉磨配料站及粉磨系统； 4）水泥磨废气处理系统。</w:t>
                  </w:r>
                </w:p>
              </w:tc>
              <w:tc>
                <w:tcPr>
                  <w:tcW w:w="1156" w:type="pct"/>
                  <w:shd w:val="clear" w:color="auto" w:fill="auto"/>
                  <w:vAlign w:val="center"/>
                </w:tcPr>
                <w:p>
                  <w:pPr>
                    <w:jc w:val="center"/>
                    <w:rPr>
                      <w:szCs w:val="21"/>
                    </w:rPr>
                  </w:pPr>
                  <w:r>
                    <w:rPr>
                      <w:rFonts w:hint="eastAsia"/>
                      <w:szCs w:val="21"/>
                    </w:rPr>
                    <w:t>布袋除尘器；噪声采取消音器、建筑隔声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6" w:type="pct"/>
                  <w:vMerge w:val="continue"/>
                  <w:vAlign w:val="center"/>
                </w:tcPr>
                <w:p>
                  <w:pPr>
                    <w:jc w:val="center"/>
                    <w:rPr>
                      <w:szCs w:val="21"/>
                    </w:rPr>
                  </w:pPr>
                </w:p>
              </w:tc>
              <w:tc>
                <w:tcPr>
                  <w:tcW w:w="408" w:type="pct"/>
                  <w:vMerge w:val="continue"/>
                  <w:shd w:val="clear" w:color="auto" w:fill="auto"/>
                  <w:vAlign w:val="center"/>
                </w:tcPr>
                <w:p>
                  <w:pPr>
                    <w:jc w:val="center"/>
                    <w:rPr>
                      <w:szCs w:val="21"/>
                    </w:rPr>
                  </w:pPr>
                </w:p>
              </w:tc>
              <w:tc>
                <w:tcPr>
                  <w:tcW w:w="1390" w:type="pct"/>
                  <w:shd w:val="clear" w:color="auto" w:fill="auto"/>
                  <w:vAlign w:val="center"/>
                </w:tcPr>
                <w:p>
                  <w:pPr>
                    <w:ind w:left="-63" w:leftChars="-30" w:right="-63" w:rightChars="-30"/>
                    <w:jc w:val="center"/>
                    <w:rPr>
                      <w:szCs w:val="21"/>
                    </w:rPr>
                  </w:pPr>
                  <w:r>
                    <w:rPr>
                      <w:rFonts w:hint="eastAsia"/>
                      <w:szCs w:val="21"/>
                    </w:rPr>
                    <w:t>水泥贮运</w:t>
                  </w:r>
                </w:p>
                <w:p>
                  <w:pPr>
                    <w:jc w:val="center"/>
                    <w:rPr>
                      <w:rFonts w:cs="Times New Roman"/>
                      <w:bCs/>
                      <w:szCs w:val="21"/>
                    </w:rPr>
                  </w:pPr>
                  <w:r>
                    <w:rPr>
                      <w:rFonts w:hint="eastAsia"/>
                      <w:szCs w:val="21"/>
                    </w:rPr>
                    <w:t>（</w:t>
                  </w:r>
                  <w:r>
                    <w:rPr>
                      <w:szCs w:val="21"/>
                    </w:rPr>
                    <w:t>形成日产</w:t>
                  </w:r>
                  <w:r>
                    <w:rPr>
                      <w:rFonts w:hint="eastAsia"/>
                      <w:szCs w:val="21"/>
                    </w:rPr>
                    <w:t>2</w:t>
                  </w:r>
                  <w:r>
                    <w:rPr>
                      <w:rFonts w:ascii="Arial" w:hAnsi="Arial" w:cs="Arial"/>
                      <w:szCs w:val="21"/>
                    </w:rPr>
                    <w:t>×</w:t>
                  </w:r>
                  <w:r>
                    <w:rPr>
                      <w:rFonts w:hint="eastAsia"/>
                      <w:szCs w:val="21"/>
                    </w:rPr>
                    <w:t>4500</w:t>
                  </w:r>
                  <w:r>
                    <w:rPr>
                      <w:szCs w:val="21"/>
                    </w:rPr>
                    <w:t>t熟料配套</w:t>
                  </w:r>
                  <w:r>
                    <w:rPr>
                      <w:rFonts w:hint="eastAsia"/>
                      <w:szCs w:val="21"/>
                    </w:rPr>
                    <w:t>贮运能力）</w:t>
                  </w:r>
                </w:p>
              </w:tc>
              <w:tc>
                <w:tcPr>
                  <w:tcW w:w="1800" w:type="pct"/>
                  <w:shd w:val="clear" w:color="auto" w:fill="auto"/>
                  <w:vAlign w:val="center"/>
                </w:tcPr>
                <w:p>
                  <w:pPr>
                    <w:rPr>
                      <w:rFonts w:cs="Times New Roman"/>
                      <w:bCs/>
                      <w:szCs w:val="21"/>
                    </w:rPr>
                  </w:pPr>
                  <w:r>
                    <w:rPr>
                      <w:rFonts w:hint="eastAsia"/>
                      <w:szCs w:val="21"/>
                    </w:rPr>
                    <w:t>1）水泥散装库及输送；2）水泥包装机及输送；3）水泥成品库及输送。</w:t>
                  </w:r>
                </w:p>
              </w:tc>
              <w:tc>
                <w:tcPr>
                  <w:tcW w:w="1156" w:type="pct"/>
                  <w:shd w:val="clear" w:color="auto" w:fill="auto"/>
                  <w:vAlign w:val="center"/>
                </w:tcPr>
                <w:p>
                  <w:pPr>
                    <w:jc w:val="center"/>
                    <w:rPr>
                      <w:szCs w:val="21"/>
                    </w:rPr>
                  </w:pPr>
                  <w:r>
                    <w:rPr>
                      <w:rFonts w:hint="eastAsia"/>
                      <w:szCs w:val="21"/>
                    </w:rPr>
                    <w:t>布袋除尘器，建筑隔声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6" w:type="pct"/>
                  <w:vMerge w:val="continue"/>
                  <w:vAlign w:val="center"/>
                </w:tcPr>
                <w:p>
                  <w:pPr>
                    <w:jc w:val="center"/>
                    <w:rPr>
                      <w:szCs w:val="21"/>
                    </w:rPr>
                  </w:pPr>
                </w:p>
              </w:tc>
              <w:tc>
                <w:tcPr>
                  <w:tcW w:w="408" w:type="pct"/>
                  <w:vMerge w:val="continue"/>
                  <w:shd w:val="clear" w:color="auto" w:fill="auto"/>
                  <w:vAlign w:val="center"/>
                </w:tcPr>
                <w:p>
                  <w:pPr>
                    <w:jc w:val="center"/>
                    <w:rPr>
                      <w:szCs w:val="21"/>
                    </w:rPr>
                  </w:pPr>
                </w:p>
              </w:tc>
              <w:tc>
                <w:tcPr>
                  <w:tcW w:w="1390" w:type="pct"/>
                  <w:shd w:val="clear" w:color="auto" w:fill="auto"/>
                  <w:vAlign w:val="center"/>
                </w:tcPr>
                <w:p>
                  <w:pPr>
                    <w:ind w:left="-63" w:leftChars="-30" w:right="-63" w:rightChars="-30"/>
                    <w:jc w:val="center"/>
                    <w:rPr>
                      <w:szCs w:val="21"/>
                    </w:rPr>
                  </w:pPr>
                  <w:r>
                    <w:rPr>
                      <w:rFonts w:hint="eastAsia"/>
                      <w:szCs w:val="21"/>
                    </w:rPr>
                    <w:t>骨料生产线</w:t>
                  </w:r>
                </w:p>
                <w:p>
                  <w:pPr>
                    <w:ind w:left="-63" w:leftChars="-30" w:right="-63" w:rightChars="-30"/>
                    <w:jc w:val="center"/>
                    <w:rPr>
                      <w:szCs w:val="21"/>
                    </w:rPr>
                  </w:pPr>
                  <w:r>
                    <w:rPr>
                      <w:rFonts w:hint="eastAsia"/>
                      <w:szCs w:val="21"/>
                    </w:rPr>
                    <w:t>（</w:t>
                  </w:r>
                  <w:r>
                    <w:rPr>
                      <w:szCs w:val="21"/>
                    </w:rPr>
                    <w:t>形成</w:t>
                  </w:r>
                  <w:r>
                    <w:rPr>
                      <w:rFonts w:hint="eastAsia"/>
                      <w:szCs w:val="21"/>
                    </w:rPr>
                    <w:t>年产1</w:t>
                  </w:r>
                  <w:r>
                    <w:rPr>
                      <w:szCs w:val="21"/>
                    </w:rPr>
                    <w:t>00</w:t>
                  </w:r>
                  <w:r>
                    <w:rPr>
                      <w:rFonts w:hint="eastAsia"/>
                      <w:szCs w:val="21"/>
                    </w:rPr>
                    <w:t>万吨骨料的生产能力）</w:t>
                  </w:r>
                </w:p>
              </w:tc>
              <w:tc>
                <w:tcPr>
                  <w:tcW w:w="1800" w:type="pct"/>
                  <w:shd w:val="clear" w:color="auto" w:fill="auto"/>
                  <w:vAlign w:val="center"/>
                </w:tcPr>
                <w:p>
                  <w:pPr>
                    <w:rPr>
                      <w:szCs w:val="21"/>
                    </w:rPr>
                  </w:pPr>
                  <w:r>
                    <w:rPr>
                      <w:rFonts w:hint="eastAsia"/>
                      <w:szCs w:val="21"/>
                    </w:rPr>
                    <w:t>1）破碎系统占地面积3</w:t>
                  </w:r>
                  <w:r>
                    <w:rPr>
                      <w:szCs w:val="21"/>
                    </w:rPr>
                    <w:t>1.96</w:t>
                  </w:r>
                  <w:r>
                    <w:rPr>
                      <w:rFonts w:hint="eastAsia"/>
                      <w:szCs w:val="21"/>
                    </w:rPr>
                    <w:t>m</w:t>
                  </w:r>
                  <w:r>
                    <w:rPr>
                      <w:szCs w:val="21"/>
                      <w:vertAlign w:val="superscript"/>
                    </w:rPr>
                    <w:t>2</w:t>
                  </w:r>
                  <w:r>
                    <w:rPr>
                      <w:rFonts w:hint="eastAsia"/>
                      <w:szCs w:val="21"/>
                    </w:rPr>
                    <w:t>，设1台破碎机；筛分系统占地面积</w:t>
                  </w:r>
                  <w:r>
                    <w:rPr>
                      <w:szCs w:val="21"/>
                    </w:rPr>
                    <w:t>55.04</w:t>
                  </w:r>
                  <w:r>
                    <w:rPr>
                      <w:rFonts w:hint="eastAsia"/>
                      <w:szCs w:val="21"/>
                    </w:rPr>
                    <w:t>m</w:t>
                  </w:r>
                  <w:r>
                    <w:rPr>
                      <w:szCs w:val="21"/>
                      <w:vertAlign w:val="superscript"/>
                    </w:rPr>
                    <w:t>2</w:t>
                  </w:r>
                  <w:r>
                    <w:rPr>
                      <w:rFonts w:hint="eastAsia"/>
                      <w:szCs w:val="21"/>
                    </w:rPr>
                    <w:t>，设1台振动筛。</w:t>
                  </w:r>
                </w:p>
              </w:tc>
              <w:tc>
                <w:tcPr>
                  <w:tcW w:w="1156" w:type="pct"/>
                  <w:shd w:val="clear" w:color="auto" w:fill="auto"/>
                  <w:vAlign w:val="center"/>
                </w:tcPr>
                <w:p>
                  <w:pPr>
                    <w:jc w:val="center"/>
                    <w:rPr>
                      <w:szCs w:val="21"/>
                    </w:rPr>
                  </w:pPr>
                  <w:r>
                    <w:rPr>
                      <w:rFonts w:hint="eastAsia"/>
                      <w:szCs w:val="21"/>
                    </w:rPr>
                    <w:t>布袋除尘器，减震、消声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6" w:type="pct"/>
                  <w:vMerge w:val="continue"/>
                  <w:vAlign w:val="center"/>
                </w:tcPr>
                <w:p>
                  <w:pPr>
                    <w:jc w:val="center"/>
                    <w:rPr>
                      <w:szCs w:val="21"/>
                    </w:rPr>
                  </w:pPr>
                </w:p>
              </w:tc>
              <w:tc>
                <w:tcPr>
                  <w:tcW w:w="1798" w:type="pct"/>
                  <w:gridSpan w:val="2"/>
                  <w:shd w:val="clear" w:color="auto" w:fill="auto"/>
                  <w:vAlign w:val="center"/>
                </w:tcPr>
                <w:p>
                  <w:pPr>
                    <w:jc w:val="center"/>
                    <w:rPr>
                      <w:rFonts w:cs="Times New Roman"/>
                      <w:bCs/>
                      <w:szCs w:val="21"/>
                    </w:rPr>
                  </w:pPr>
                  <w:r>
                    <w:rPr>
                      <w:szCs w:val="21"/>
                    </w:rPr>
                    <w:t>余热</w:t>
                  </w:r>
                  <w:r>
                    <w:rPr>
                      <w:rFonts w:hint="eastAsia"/>
                      <w:szCs w:val="21"/>
                    </w:rPr>
                    <w:t>发电系统</w:t>
                  </w:r>
                </w:p>
              </w:tc>
              <w:tc>
                <w:tcPr>
                  <w:tcW w:w="1800" w:type="pct"/>
                  <w:shd w:val="clear" w:color="auto" w:fill="auto"/>
                  <w:vAlign w:val="center"/>
                </w:tcPr>
                <w:p>
                  <w:pPr>
                    <w:rPr>
                      <w:rFonts w:cs="Times New Roman"/>
                      <w:bCs/>
                      <w:szCs w:val="21"/>
                    </w:rPr>
                  </w:pPr>
                  <w:r>
                    <w:rPr>
                      <w:szCs w:val="21"/>
                    </w:rPr>
                    <w:t>1）</w:t>
                  </w:r>
                  <w:r>
                    <w:rPr>
                      <w:rFonts w:hint="eastAsia"/>
                      <w:szCs w:val="21"/>
                    </w:rPr>
                    <w:t>窑尾设SP</w:t>
                  </w:r>
                  <w:r>
                    <w:rPr>
                      <w:szCs w:val="21"/>
                    </w:rPr>
                    <w:t>余热锅炉</w:t>
                  </w:r>
                  <w:r>
                    <w:rPr>
                      <w:rFonts w:hint="eastAsia"/>
                      <w:szCs w:val="21"/>
                    </w:rPr>
                    <w:t>；2</w:t>
                  </w:r>
                  <w:r>
                    <w:rPr>
                      <w:szCs w:val="21"/>
                    </w:rPr>
                    <w:t>）</w:t>
                  </w:r>
                  <w:r>
                    <w:rPr>
                      <w:rFonts w:hint="eastAsia"/>
                      <w:szCs w:val="21"/>
                    </w:rPr>
                    <w:t>窑头设</w:t>
                  </w:r>
                  <w:r>
                    <w:rPr>
                      <w:szCs w:val="21"/>
                    </w:rPr>
                    <w:t>AQC余热锅炉</w:t>
                  </w:r>
                  <w:r>
                    <w:rPr>
                      <w:rFonts w:hint="eastAsia"/>
                      <w:szCs w:val="21"/>
                    </w:rPr>
                    <w:t>；3）</w:t>
                  </w:r>
                  <w:r>
                    <w:rPr>
                      <w:szCs w:val="21"/>
                    </w:rPr>
                    <w:t>额定功率</w:t>
                  </w:r>
                  <w:r>
                    <w:rPr>
                      <w:rFonts w:hint="eastAsia"/>
                      <w:szCs w:val="21"/>
                    </w:rPr>
                    <w:t>为18</w:t>
                  </w:r>
                  <w:r>
                    <w:rPr>
                      <w:szCs w:val="21"/>
                    </w:rPr>
                    <w:t>MW</w:t>
                  </w:r>
                  <w:r>
                    <w:rPr>
                      <w:rFonts w:hint="eastAsia"/>
                      <w:szCs w:val="21"/>
                    </w:rPr>
                    <w:t>混汽</w:t>
                  </w:r>
                  <w:r>
                    <w:rPr>
                      <w:szCs w:val="21"/>
                    </w:rPr>
                    <w:t>式汽轮机，功率</w:t>
                  </w:r>
                  <w:r>
                    <w:rPr>
                      <w:rFonts w:hint="eastAsia"/>
                      <w:szCs w:val="21"/>
                    </w:rPr>
                    <w:t>为18M</w:t>
                  </w:r>
                  <w:r>
                    <w:rPr>
                      <w:szCs w:val="21"/>
                    </w:rPr>
                    <w:t>W发电机</w:t>
                  </w:r>
                  <w:r>
                    <w:rPr>
                      <w:rFonts w:hint="eastAsia"/>
                      <w:szCs w:val="21"/>
                    </w:rPr>
                    <w:t>。</w:t>
                  </w:r>
                </w:p>
              </w:tc>
              <w:tc>
                <w:tcPr>
                  <w:tcW w:w="1156" w:type="pct"/>
                  <w:shd w:val="clear" w:color="auto" w:fill="auto"/>
                  <w:vAlign w:val="center"/>
                </w:tcPr>
                <w:p>
                  <w:pPr>
                    <w:ind w:left="-63" w:leftChars="-30" w:right="-63" w:rightChars="-30"/>
                    <w:jc w:val="center"/>
                    <w:rPr>
                      <w:szCs w:val="21"/>
                    </w:rPr>
                  </w:pPr>
                  <w:r>
                    <w:rPr>
                      <w:szCs w:val="21"/>
                    </w:rPr>
                    <w:t>建筑隔声；</w:t>
                  </w:r>
                </w:p>
                <w:p>
                  <w:pPr>
                    <w:jc w:val="center"/>
                    <w:rPr>
                      <w:szCs w:val="21"/>
                    </w:rPr>
                  </w:pPr>
                  <w:r>
                    <w:rPr>
                      <w:szCs w:val="21"/>
                    </w:rPr>
                    <w:t>生产</w:t>
                  </w:r>
                  <w:r>
                    <w:rPr>
                      <w:rFonts w:hint="eastAsia"/>
                      <w:szCs w:val="21"/>
                    </w:rPr>
                    <w:t>废水</w:t>
                  </w:r>
                  <w:r>
                    <w:rPr>
                      <w:szCs w:val="21"/>
                    </w:rPr>
                    <w:t>循环</w:t>
                  </w:r>
                  <w:r>
                    <w:rPr>
                      <w:rFonts w:hint="eastAsia"/>
                      <w:szCs w:val="21"/>
                    </w:rPr>
                    <w:t>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6" w:type="pct"/>
                  <w:vMerge w:val="continue"/>
                  <w:vAlign w:val="center"/>
                </w:tcPr>
                <w:p>
                  <w:pPr>
                    <w:jc w:val="center"/>
                    <w:rPr>
                      <w:szCs w:val="21"/>
                    </w:rPr>
                  </w:pPr>
                </w:p>
              </w:tc>
              <w:tc>
                <w:tcPr>
                  <w:tcW w:w="1798" w:type="pct"/>
                  <w:gridSpan w:val="2"/>
                  <w:shd w:val="clear" w:color="auto" w:fill="auto"/>
                  <w:vAlign w:val="center"/>
                </w:tcPr>
                <w:p>
                  <w:pPr>
                    <w:jc w:val="center"/>
                    <w:rPr>
                      <w:rFonts w:cs="Times New Roman"/>
                      <w:bCs/>
                      <w:szCs w:val="21"/>
                    </w:rPr>
                  </w:pPr>
                  <w:r>
                    <w:rPr>
                      <w:szCs w:val="21"/>
                    </w:rPr>
                    <w:t>公用工程</w:t>
                  </w:r>
                </w:p>
              </w:tc>
              <w:tc>
                <w:tcPr>
                  <w:tcW w:w="1800" w:type="pct"/>
                  <w:shd w:val="clear" w:color="auto" w:fill="auto"/>
                  <w:vAlign w:val="center"/>
                </w:tcPr>
                <w:p>
                  <w:pPr>
                    <w:rPr>
                      <w:rFonts w:cs="Times New Roman"/>
                      <w:bCs/>
                      <w:szCs w:val="21"/>
                    </w:rPr>
                  </w:pPr>
                  <w:r>
                    <w:rPr>
                      <w:szCs w:val="21"/>
                    </w:rPr>
                    <w:t>1）总降压站及车间配电；2）供</w:t>
                  </w:r>
                  <w:r>
                    <w:rPr>
                      <w:rFonts w:hint="eastAsia"/>
                      <w:szCs w:val="21"/>
                    </w:rPr>
                    <w:t>取</w:t>
                  </w:r>
                  <w:r>
                    <w:rPr>
                      <w:szCs w:val="21"/>
                    </w:rPr>
                    <w:t>水系统；3）空压站</w:t>
                  </w:r>
                  <w:r>
                    <w:rPr>
                      <w:rFonts w:hint="eastAsia"/>
                      <w:szCs w:val="21"/>
                    </w:rPr>
                    <w:t>2座；4）烧成油泵房。</w:t>
                  </w:r>
                </w:p>
              </w:tc>
              <w:tc>
                <w:tcPr>
                  <w:tcW w:w="1156" w:type="pct"/>
                  <w:shd w:val="clear" w:color="auto" w:fill="auto"/>
                  <w:vAlign w:val="center"/>
                </w:tcPr>
                <w:p>
                  <w:pPr>
                    <w:ind w:left="-63" w:leftChars="-30" w:right="-63" w:rightChars="-30"/>
                    <w:jc w:val="center"/>
                    <w:rPr>
                      <w:szCs w:val="21"/>
                    </w:rPr>
                  </w:pPr>
                  <w:r>
                    <w:rPr>
                      <w:szCs w:val="21"/>
                    </w:rPr>
                    <w:t>空压机噪声采取消声器</w:t>
                  </w:r>
                  <w:r>
                    <w:rPr>
                      <w:rFonts w:hint="eastAsia"/>
                      <w:szCs w:val="21"/>
                    </w:rPr>
                    <w:t>；</w:t>
                  </w:r>
                  <w:r>
                    <w:rPr>
                      <w:szCs w:val="21"/>
                    </w:rPr>
                    <w:t>采取水土保持</w:t>
                  </w:r>
                  <w:r>
                    <w:rPr>
                      <w:rFonts w:hint="eastAsia"/>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6" w:type="pct"/>
                  <w:vMerge w:val="continue"/>
                  <w:vAlign w:val="center"/>
                </w:tcPr>
                <w:p>
                  <w:pPr>
                    <w:jc w:val="center"/>
                    <w:rPr>
                      <w:szCs w:val="21"/>
                    </w:rPr>
                  </w:pPr>
                </w:p>
              </w:tc>
              <w:tc>
                <w:tcPr>
                  <w:tcW w:w="1798" w:type="pct"/>
                  <w:gridSpan w:val="2"/>
                  <w:shd w:val="clear" w:color="auto" w:fill="auto"/>
                  <w:vAlign w:val="center"/>
                </w:tcPr>
                <w:p>
                  <w:pPr>
                    <w:jc w:val="center"/>
                    <w:rPr>
                      <w:rFonts w:cs="Times New Roman"/>
                      <w:bCs/>
                      <w:szCs w:val="21"/>
                    </w:rPr>
                  </w:pPr>
                  <w:r>
                    <w:rPr>
                      <w:szCs w:val="21"/>
                    </w:rPr>
                    <w:t>辅助工程</w:t>
                  </w:r>
                </w:p>
              </w:tc>
              <w:tc>
                <w:tcPr>
                  <w:tcW w:w="1800" w:type="pct"/>
                  <w:shd w:val="clear" w:color="auto" w:fill="auto"/>
                  <w:vAlign w:val="center"/>
                </w:tcPr>
                <w:p>
                  <w:pPr>
                    <w:rPr>
                      <w:rFonts w:cs="Times New Roman"/>
                      <w:bCs/>
                      <w:szCs w:val="21"/>
                    </w:rPr>
                  </w:pPr>
                  <w:r>
                    <w:rPr>
                      <w:szCs w:val="21"/>
                    </w:rPr>
                    <w:t>1）机电修车间；2）化验室</w:t>
                  </w:r>
                  <w:r>
                    <w:rPr>
                      <w:rFonts w:hint="eastAsia"/>
                      <w:szCs w:val="21"/>
                    </w:rPr>
                    <w:t>。</w:t>
                  </w:r>
                </w:p>
              </w:tc>
              <w:tc>
                <w:tcPr>
                  <w:tcW w:w="1156" w:type="pct"/>
                  <w:shd w:val="clear" w:color="auto" w:fill="auto"/>
                  <w:vAlign w:val="center"/>
                </w:tcPr>
                <w:p>
                  <w:pPr>
                    <w:jc w:val="center"/>
                    <w:rPr>
                      <w:szCs w:val="21"/>
                    </w:rPr>
                  </w:pPr>
                  <w:r>
                    <w:rPr>
                      <w:rFonts w:hint="eastAsia"/>
                      <w:szCs w:val="21"/>
                    </w:rPr>
                    <w:t>分别</w:t>
                  </w:r>
                  <w:r>
                    <w:rPr>
                      <w:szCs w:val="21"/>
                    </w:rPr>
                    <w:t>处理后</w:t>
                  </w:r>
                  <w:r>
                    <w:rPr>
                      <w:rFonts w:hint="eastAsia"/>
                      <w:szCs w:val="21"/>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6" w:type="pct"/>
                  <w:vMerge w:val="continue"/>
                  <w:vAlign w:val="center"/>
                </w:tcPr>
                <w:p>
                  <w:pPr>
                    <w:jc w:val="center"/>
                    <w:rPr>
                      <w:szCs w:val="21"/>
                    </w:rPr>
                  </w:pPr>
                </w:p>
              </w:tc>
              <w:tc>
                <w:tcPr>
                  <w:tcW w:w="1798" w:type="pct"/>
                  <w:gridSpan w:val="2"/>
                  <w:shd w:val="clear" w:color="auto" w:fill="auto"/>
                  <w:vAlign w:val="center"/>
                </w:tcPr>
                <w:p>
                  <w:pPr>
                    <w:ind w:left="-63" w:leftChars="-30" w:right="-63" w:rightChars="-30"/>
                    <w:jc w:val="center"/>
                    <w:rPr>
                      <w:szCs w:val="21"/>
                    </w:rPr>
                  </w:pPr>
                  <w:r>
                    <w:rPr>
                      <w:szCs w:val="21"/>
                    </w:rPr>
                    <w:t>储存设施</w:t>
                  </w:r>
                  <w:r>
                    <w:rPr>
                      <w:rFonts w:hint="eastAsia"/>
                      <w:szCs w:val="21"/>
                    </w:rPr>
                    <w:t xml:space="preserve"> </w:t>
                  </w:r>
                </w:p>
                <w:p>
                  <w:pPr>
                    <w:jc w:val="center"/>
                    <w:rPr>
                      <w:rFonts w:cs="Times New Roman"/>
                      <w:bCs/>
                      <w:szCs w:val="21"/>
                    </w:rPr>
                  </w:pPr>
                  <w:r>
                    <w:rPr>
                      <w:rFonts w:hint="eastAsia"/>
                      <w:szCs w:val="21"/>
                    </w:rPr>
                    <w:t>（</w:t>
                  </w:r>
                  <w:r>
                    <w:rPr>
                      <w:szCs w:val="21"/>
                    </w:rPr>
                    <w:t>形成</w:t>
                  </w:r>
                  <w:r>
                    <w:rPr>
                      <w:rFonts w:hint="eastAsia"/>
                      <w:szCs w:val="21"/>
                    </w:rPr>
                    <w:t>与日产2</w:t>
                  </w:r>
                  <w:r>
                    <w:rPr>
                      <w:rFonts w:ascii="Arial" w:hAnsi="Arial" w:cs="Arial"/>
                      <w:szCs w:val="21"/>
                    </w:rPr>
                    <w:t>×</w:t>
                  </w:r>
                  <w:r>
                    <w:rPr>
                      <w:rFonts w:hint="eastAsia"/>
                      <w:szCs w:val="21"/>
                    </w:rPr>
                    <w:t>45</w:t>
                  </w:r>
                  <w:r>
                    <w:rPr>
                      <w:szCs w:val="21"/>
                    </w:rPr>
                    <w:t>00t</w:t>
                  </w:r>
                  <w:r>
                    <w:rPr>
                      <w:rFonts w:hint="eastAsia"/>
                      <w:szCs w:val="21"/>
                    </w:rPr>
                    <w:t>熟料配套的物料</w:t>
                  </w:r>
                  <w:r>
                    <w:rPr>
                      <w:szCs w:val="21"/>
                    </w:rPr>
                    <w:t>储存</w:t>
                  </w:r>
                  <w:r>
                    <w:rPr>
                      <w:rFonts w:hint="eastAsia"/>
                      <w:szCs w:val="21"/>
                    </w:rPr>
                    <w:t>能力）</w:t>
                  </w:r>
                </w:p>
              </w:tc>
              <w:tc>
                <w:tcPr>
                  <w:tcW w:w="1800" w:type="pct"/>
                  <w:shd w:val="clear" w:color="auto" w:fill="auto"/>
                  <w:vAlign w:val="center"/>
                </w:tcPr>
                <w:p>
                  <w:pPr>
                    <w:rPr>
                      <w:rFonts w:cs="Times New Roman"/>
                      <w:bCs/>
                      <w:szCs w:val="21"/>
                    </w:rPr>
                  </w:pPr>
                  <w:r>
                    <w:rPr>
                      <w:szCs w:val="21"/>
                    </w:rPr>
                    <w:t>1）石灰石</w:t>
                  </w:r>
                  <w:r>
                    <w:rPr>
                      <w:rFonts w:hint="eastAsia"/>
                      <w:szCs w:val="21"/>
                    </w:rPr>
                    <w:t>（生料原料）圆</w:t>
                  </w:r>
                  <w:r>
                    <w:rPr>
                      <w:szCs w:val="21"/>
                    </w:rPr>
                    <w:t>形预均化堆</w:t>
                  </w:r>
                  <w:r>
                    <w:rPr>
                      <w:rFonts w:hint="eastAsia"/>
                      <w:szCs w:val="21"/>
                    </w:rPr>
                    <w:t>场和配料库</w:t>
                  </w:r>
                  <w:r>
                    <w:rPr>
                      <w:szCs w:val="21"/>
                    </w:rPr>
                    <w:t>；</w:t>
                  </w:r>
                  <w:r>
                    <w:rPr>
                      <w:rFonts w:hint="eastAsia"/>
                      <w:szCs w:val="21"/>
                    </w:rPr>
                    <w:t>2）各辅料联合储库</w:t>
                  </w:r>
                  <w:r>
                    <w:rPr>
                      <w:rFonts w:hint="eastAsia"/>
                      <w:snapToGrid w:val="0"/>
                      <w:szCs w:val="21"/>
                    </w:rPr>
                    <w:t>；3）原煤预均化堆场； 4）生料</w:t>
                  </w:r>
                  <w:r>
                    <w:rPr>
                      <w:rFonts w:hint="eastAsia"/>
                      <w:szCs w:val="21"/>
                    </w:rPr>
                    <w:t>均化库</w:t>
                  </w:r>
                  <w:r>
                    <w:rPr>
                      <w:rFonts w:hint="eastAsia"/>
                      <w:snapToGrid w:val="0"/>
                      <w:szCs w:val="21"/>
                    </w:rPr>
                    <w:t>；5）熟料库和磨头仓</w:t>
                  </w:r>
                  <w:r>
                    <w:rPr>
                      <w:rFonts w:hint="eastAsia"/>
                      <w:szCs w:val="21"/>
                    </w:rPr>
                    <w:t>；6）</w:t>
                  </w:r>
                  <w:r>
                    <w:rPr>
                      <w:rFonts w:hint="eastAsia"/>
                      <w:snapToGrid w:val="0"/>
                      <w:szCs w:val="21"/>
                    </w:rPr>
                    <w:t>石膏堆棚、</w:t>
                  </w:r>
                  <w:r>
                    <w:rPr>
                      <w:rFonts w:hint="eastAsia"/>
                      <w:szCs w:val="21"/>
                    </w:rPr>
                    <w:t>圆库和方形磨头仓</w:t>
                  </w:r>
                  <w:r>
                    <w:rPr>
                      <w:rFonts w:hint="eastAsia"/>
                      <w:snapToGrid w:val="0"/>
                      <w:szCs w:val="21"/>
                    </w:rPr>
                    <w:t>；7）石灰石（混合材）堆棚、</w:t>
                  </w:r>
                  <w:r>
                    <w:rPr>
                      <w:rFonts w:hint="eastAsia"/>
                      <w:szCs w:val="21"/>
                    </w:rPr>
                    <w:t>圆库</w:t>
                  </w:r>
                  <w:r>
                    <w:rPr>
                      <w:rFonts w:hint="eastAsia"/>
                      <w:snapToGrid w:val="0"/>
                      <w:szCs w:val="21"/>
                    </w:rPr>
                    <w:t>和方形磨头仓；8）备用混合材</w:t>
                  </w:r>
                  <w:r>
                    <w:rPr>
                      <w:rFonts w:hint="eastAsia"/>
                      <w:szCs w:val="21"/>
                    </w:rPr>
                    <w:t>圆库；9）粉煤灰圆库；</w:t>
                  </w:r>
                  <w:r>
                    <w:rPr>
                      <w:rFonts w:hint="eastAsia"/>
                      <w:snapToGrid w:val="0"/>
                      <w:szCs w:val="21"/>
                    </w:rPr>
                    <w:t>10</w:t>
                  </w:r>
                  <w:r>
                    <w:rPr>
                      <w:rFonts w:hint="eastAsia"/>
                      <w:szCs w:val="21"/>
                    </w:rPr>
                    <w:t>）</w:t>
                  </w:r>
                  <w:r>
                    <w:rPr>
                      <w:rFonts w:hint="eastAsia"/>
                      <w:snapToGrid w:val="0"/>
                      <w:szCs w:val="21"/>
                    </w:rPr>
                    <w:t>水泥</w:t>
                  </w:r>
                  <w:r>
                    <w:rPr>
                      <w:rFonts w:hint="eastAsia"/>
                      <w:szCs w:val="21"/>
                    </w:rPr>
                    <w:t>圆库、成品库和散装库；1</w:t>
                  </w:r>
                  <w:r>
                    <w:rPr>
                      <w:szCs w:val="21"/>
                    </w:rPr>
                    <w:t>1</w:t>
                  </w:r>
                  <w:r>
                    <w:rPr>
                      <w:rFonts w:hint="eastAsia"/>
                      <w:szCs w:val="21"/>
                    </w:rPr>
                    <w:t>）骨料仓、钢板仓。</w:t>
                  </w:r>
                </w:p>
              </w:tc>
              <w:tc>
                <w:tcPr>
                  <w:tcW w:w="1156" w:type="pct"/>
                  <w:shd w:val="clear" w:color="auto" w:fill="auto"/>
                  <w:vAlign w:val="center"/>
                </w:tcPr>
                <w:p>
                  <w:pPr>
                    <w:jc w:val="center"/>
                    <w:rPr>
                      <w:szCs w:val="21"/>
                    </w:rPr>
                  </w:pPr>
                  <w:r>
                    <w:rPr>
                      <w:rFonts w:hint="eastAsia"/>
                      <w:szCs w:val="21"/>
                    </w:rPr>
                    <w:t>布袋</w:t>
                  </w:r>
                  <w:r>
                    <w:rPr>
                      <w:szCs w:val="21"/>
                    </w:rPr>
                    <w:t>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6" w:type="pct"/>
                  <w:vMerge w:val="continue"/>
                  <w:vAlign w:val="center"/>
                </w:tcPr>
                <w:p>
                  <w:pPr>
                    <w:jc w:val="center"/>
                    <w:rPr>
                      <w:szCs w:val="21"/>
                    </w:rPr>
                  </w:pPr>
                </w:p>
              </w:tc>
              <w:tc>
                <w:tcPr>
                  <w:tcW w:w="1798" w:type="pct"/>
                  <w:gridSpan w:val="2"/>
                  <w:shd w:val="clear" w:color="auto" w:fill="auto"/>
                  <w:vAlign w:val="center"/>
                </w:tcPr>
                <w:p>
                  <w:pPr>
                    <w:jc w:val="center"/>
                    <w:rPr>
                      <w:rFonts w:cs="Times New Roman"/>
                      <w:bCs/>
                      <w:szCs w:val="21"/>
                    </w:rPr>
                  </w:pPr>
                  <w:r>
                    <w:rPr>
                      <w:szCs w:val="21"/>
                    </w:rPr>
                    <w:t>办公生活服务设施</w:t>
                  </w:r>
                </w:p>
              </w:tc>
              <w:tc>
                <w:tcPr>
                  <w:tcW w:w="1800" w:type="pct"/>
                  <w:shd w:val="clear" w:color="auto" w:fill="auto"/>
                  <w:vAlign w:val="center"/>
                </w:tcPr>
                <w:p>
                  <w:pPr>
                    <w:numPr>
                      <w:ilvl w:val="0"/>
                      <w:numId w:val="1"/>
                    </w:numPr>
                    <w:ind w:left="-63" w:leftChars="-30" w:right="-63" w:rightChars="-30"/>
                    <w:rPr>
                      <w:szCs w:val="21"/>
                    </w:rPr>
                  </w:pPr>
                  <w:r>
                    <w:rPr>
                      <w:szCs w:val="21"/>
                    </w:rPr>
                    <w:t>办公楼；</w:t>
                  </w:r>
                </w:p>
                <w:p>
                  <w:pPr>
                    <w:numPr>
                      <w:ilvl w:val="0"/>
                      <w:numId w:val="1"/>
                    </w:numPr>
                    <w:ind w:left="-63" w:leftChars="-30" w:right="-63" w:rightChars="-30"/>
                    <w:rPr>
                      <w:szCs w:val="21"/>
                    </w:rPr>
                  </w:pPr>
                  <w:r>
                    <w:rPr>
                      <w:rFonts w:hint="eastAsia"/>
                      <w:szCs w:val="21"/>
                    </w:rPr>
                    <w:t>食堂、浴室、</w:t>
                  </w:r>
                  <w:r>
                    <w:rPr>
                      <w:szCs w:val="21"/>
                    </w:rPr>
                    <w:t>倒班宿舍</w:t>
                  </w:r>
                  <w:r>
                    <w:rPr>
                      <w:rFonts w:hint="eastAsia"/>
                      <w:szCs w:val="21"/>
                    </w:rPr>
                    <w:t>；</w:t>
                  </w:r>
                </w:p>
                <w:p>
                  <w:pPr>
                    <w:ind w:left="-63" w:right="-63" w:rightChars="-30"/>
                    <w:rPr>
                      <w:szCs w:val="21"/>
                    </w:rPr>
                  </w:pPr>
                  <w:r>
                    <w:rPr>
                      <w:rFonts w:hint="eastAsia"/>
                      <w:szCs w:val="21"/>
                    </w:rPr>
                    <w:t>3）污水生化处理。</w:t>
                  </w:r>
                </w:p>
              </w:tc>
              <w:tc>
                <w:tcPr>
                  <w:tcW w:w="1156" w:type="pct"/>
                  <w:shd w:val="clear" w:color="auto" w:fill="auto"/>
                  <w:vAlign w:val="center"/>
                </w:tcPr>
                <w:p>
                  <w:pPr>
                    <w:jc w:val="center"/>
                    <w:rPr>
                      <w:szCs w:val="21"/>
                    </w:rPr>
                  </w:pPr>
                  <w:r>
                    <w:rPr>
                      <w:rFonts w:hint="eastAsia"/>
                      <w:szCs w:val="21"/>
                    </w:rPr>
                    <w:t>生活污水经地埋式污水处理装置处理；生活垃圾及污泥入水泥窑焚烧。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6" w:type="pct"/>
                  <w:vAlign w:val="center"/>
                </w:tcPr>
                <w:p>
                  <w:pPr>
                    <w:jc w:val="center"/>
                    <w:rPr>
                      <w:szCs w:val="21"/>
                    </w:rPr>
                  </w:pPr>
                  <w:r>
                    <w:rPr>
                      <w:rFonts w:hint="eastAsia"/>
                      <w:szCs w:val="21"/>
                    </w:rPr>
                    <w:t>配套矿山工程</w:t>
                  </w:r>
                </w:p>
              </w:tc>
              <w:tc>
                <w:tcPr>
                  <w:tcW w:w="1798" w:type="pct"/>
                  <w:gridSpan w:val="2"/>
                  <w:shd w:val="clear" w:color="auto" w:fill="auto"/>
                  <w:vAlign w:val="center"/>
                </w:tcPr>
                <w:p>
                  <w:pPr>
                    <w:jc w:val="center"/>
                    <w:rPr>
                      <w:rFonts w:cs="Times New Roman"/>
                      <w:bCs/>
                      <w:szCs w:val="21"/>
                    </w:rPr>
                  </w:pPr>
                  <w:r>
                    <w:rPr>
                      <w:szCs w:val="21"/>
                    </w:rPr>
                    <w:t>石灰石矿山</w:t>
                  </w:r>
                </w:p>
              </w:tc>
              <w:tc>
                <w:tcPr>
                  <w:tcW w:w="1800" w:type="pct"/>
                  <w:shd w:val="clear" w:color="auto" w:fill="auto"/>
                  <w:vAlign w:val="center"/>
                </w:tcPr>
                <w:p>
                  <w:pPr>
                    <w:ind w:left="-63" w:leftChars="-30" w:right="-63" w:rightChars="-30"/>
                    <w:rPr>
                      <w:szCs w:val="21"/>
                    </w:rPr>
                  </w:pPr>
                  <w:r>
                    <w:rPr>
                      <w:rFonts w:hint="eastAsia"/>
                      <w:szCs w:val="21"/>
                    </w:rPr>
                    <w:t>1）新建采矿工作平台；</w:t>
                  </w:r>
                </w:p>
                <w:p>
                  <w:pPr>
                    <w:ind w:left="-63" w:leftChars="-30" w:right="-63" w:rightChars="-30"/>
                    <w:rPr>
                      <w:szCs w:val="21"/>
                    </w:rPr>
                  </w:pPr>
                  <w:r>
                    <w:rPr>
                      <w:rFonts w:hint="eastAsia"/>
                      <w:szCs w:val="21"/>
                    </w:rPr>
                    <w:t>2）石灰石破碎及输送；</w:t>
                  </w:r>
                </w:p>
                <w:p>
                  <w:pPr>
                    <w:ind w:left="-63" w:leftChars="-30" w:right="-63" w:rightChars="-30"/>
                    <w:rPr>
                      <w:szCs w:val="21"/>
                    </w:rPr>
                  </w:pPr>
                  <w:r>
                    <w:rPr>
                      <w:rFonts w:hint="eastAsia"/>
                      <w:szCs w:val="21"/>
                    </w:rPr>
                    <w:t>3）开拓运输系统；</w:t>
                  </w:r>
                </w:p>
                <w:p>
                  <w:pPr>
                    <w:ind w:left="-63" w:leftChars="-30" w:right="-63" w:rightChars="-30"/>
                    <w:rPr>
                      <w:szCs w:val="21"/>
                    </w:rPr>
                  </w:pPr>
                  <w:r>
                    <w:rPr>
                      <w:rFonts w:hint="eastAsia"/>
                      <w:szCs w:val="21"/>
                    </w:rPr>
                    <w:t>4）新建炸药库；</w:t>
                  </w:r>
                </w:p>
                <w:p>
                  <w:pPr>
                    <w:ind w:left="-63" w:leftChars="-30" w:right="-63" w:rightChars="-30"/>
                    <w:rPr>
                      <w:szCs w:val="21"/>
                    </w:rPr>
                  </w:pPr>
                  <w:r>
                    <w:rPr>
                      <w:rFonts w:hint="eastAsia"/>
                      <w:szCs w:val="21"/>
                    </w:rPr>
                    <w:t>5）矿山爆破；</w:t>
                  </w:r>
                </w:p>
                <w:p>
                  <w:pPr>
                    <w:ind w:left="-63" w:leftChars="-30" w:right="-63" w:rightChars="-30"/>
                    <w:rPr>
                      <w:szCs w:val="21"/>
                    </w:rPr>
                  </w:pPr>
                  <w:r>
                    <w:rPr>
                      <w:rFonts w:hint="eastAsia"/>
                      <w:szCs w:val="21"/>
                    </w:rPr>
                    <w:t>6）矿山渣场。</w:t>
                  </w:r>
                </w:p>
              </w:tc>
              <w:tc>
                <w:tcPr>
                  <w:tcW w:w="1156" w:type="pct"/>
                  <w:shd w:val="clear" w:color="auto" w:fill="auto"/>
                  <w:vAlign w:val="center"/>
                </w:tcPr>
                <w:p>
                  <w:pPr>
                    <w:ind w:left="-63" w:leftChars="-30" w:right="-63" w:rightChars="-30"/>
                    <w:rPr>
                      <w:szCs w:val="21"/>
                    </w:rPr>
                  </w:pPr>
                  <w:r>
                    <w:rPr>
                      <w:szCs w:val="21"/>
                    </w:rPr>
                    <w:t>1）采取水土保持及植被恢复措施</w:t>
                  </w:r>
                  <w:r>
                    <w:rPr>
                      <w:rFonts w:hint="eastAsia"/>
                      <w:szCs w:val="21"/>
                    </w:rPr>
                    <w:t>；</w:t>
                  </w:r>
                </w:p>
                <w:p>
                  <w:pPr>
                    <w:rPr>
                      <w:szCs w:val="21"/>
                    </w:rPr>
                  </w:pPr>
                  <w:r>
                    <w:rPr>
                      <w:szCs w:val="21"/>
                    </w:rPr>
                    <w:t>2）治理生活污染</w:t>
                  </w:r>
                </w:p>
              </w:tc>
            </w:tr>
          </w:tbl>
          <w:p>
            <w:pPr>
              <w:spacing w:line="360" w:lineRule="auto"/>
              <w:ind w:firstLine="482" w:firstLineChars="200"/>
              <w:rPr>
                <w:b/>
                <w:sz w:val="24"/>
              </w:rPr>
            </w:pPr>
            <w:r>
              <w:rPr>
                <w:rFonts w:hint="eastAsia"/>
                <w:b/>
                <w:sz w:val="24"/>
              </w:rPr>
              <w:t>（</w:t>
            </w:r>
            <w:r>
              <w:rPr>
                <w:b/>
                <w:sz w:val="24"/>
              </w:rPr>
              <w:t>3</w:t>
            </w:r>
            <w:r>
              <w:rPr>
                <w:rFonts w:hint="eastAsia"/>
                <w:b/>
                <w:sz w:val="24"/>
              </w:rPr>
              <w:t>）生产工艺及产污环节</w:t>
            </w:r>
          </w:p>
          <w:p>
            <w:pPr>
              <w:spacing w:line="360" w:lineRule="auto"/>
              <w:ind w:firstLine="482" w:firstLineChars="200"/>
              <w:rPr>
                <w:b/>
                <w:sz w:val="24"/>
              </w:rPr>
            </w:pPr>
            <w:r>
              <w:rPr>
                <w:rFonts w:hint="eastAsia"/>
                <w:b/>
                <w:sz w:val="24"/>
              </w:rPr>
              <w:t>①水泥生产线</w:t>
            </w:r>
          </w:p>
          <w:p>
            <w:pPr>
              <w:spacing w:line="360" w:lineRule="auto"/>
              <w:ind w:firstLine="480" w:firstLineChars="200"/>
              <w:rPr>
                <w:sz w:val="24"/>
                <w:szCs w:val="24"/>
              </w:rPr>
            </w:pPr>
            <w:r>
              <w:rPr>
                <w:rFonts w:hint="eastAsia"/>
                <w:sz w:val="24"/>
                <w:szCs w:val="24"/>
              </w:rPr>
              <w:t>达州海螺水泥有限责任公司现有的2条水泥生产线采用相同的生产工艺，工艺流程及产污环节见下图。</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jc w:val="center"/>
              <w:rPr>
                <w:rFonts w:eastAsia="黑体" w:cs="Times New Roman"/>
              </w:rPr>
            </w:pPr>
            <w:r>
              <w:drawing>
                <wp:inline distT="0" distB="0" distL="0" distR="0">
                  <wp:extent cx="4792345" cy="5495925"/>
                  <wp:effectExtent l="0" t="0" r="8255" b="0"/>
                  <wp:docPr id="342783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83990"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816591" cy="5523668"/>
                          </a:xfrm>
                          <a:prstGeom prst="rect">
                            <a:avLst/>
                          </a:prstGeom>
                        </pic:spPr>
                      </pic:pic>
                    </a:graphicData>
                  </a:graphic>
                </wp:inline>
              </w:drawing>
            </w:r>
          </w:p>
          <w:p>
            <w:pPr>
              <w:spacing w:line="360" w:lineRule="auto"/>
              <w:jc w:val="center"/>
              <w:rPr>
                <w:rFonts w:eastAsia="黑体" w:cs="Times New Roman"/>
                <w:sz w:val="24"/>
              </w:rPr>
            </w:pPr>
            <w:r>
              <w:rPr>
                <w:rFonts w:eastAsia="黑体" w:cs="Times New Roman"/>
              </w:rPr>
              <w:t>图2</w:t>
            </w:r>
            <w:r>
              <w:rPr>
                <w:rFonts w:hint="eastAsia" w:eastAsia="黑体" w:cs="Times New Roman"/>
              </w:rPr>
              <w:t>-6</w:t>
            </w:r>
            <w:r>
              <w:rPr>
                <w:rFonts w:eastAsia="黑体" w:cs="Times New Roman"/>
              </w:rPr>
              <w:t xml:space="preserve">  </w:t>
            </w:r>
            <w:r>
              <w:rPr>
                <w:rFonts w:hint="eastAsia" w:eastAsia="黑体" w:cs="Times New Roman"/>
              </w:rPr>
              <w:t>现有水泥生产线工艺流程及产污环节</w:t>
            </w:r>
            <w:r>
              <w:rPr>
                <w:rFonts w:eastAsia="黑体" w:cs="Times New Roman"/>
              </w:rPr>
              <w:t>图</w:t>
            </w:r>
          </w:p>
          <w:p>
            <w:pPr>
              <w:spacing w:line="360" w:lineRule="auto"/>
              <w:ind w:firstLine="482" w:firstLineChars="200"/>
              <w:rPr>
                <w:b/>
                <w:sz w:val="24"/>
              </w:rPr>
            </w:pPr>
            <w:r>
              <w:rPr>
                <w:rFonts w:hint="eastAsia"/>
                <w:b/>
                <w:sz w:val="24"/>
              </w:rPr>
              <w:t>主要工艺简述：</w:t>
            </w:r>
          </w:p>
          <w:p>
            <w:pPr>
              <w:spacing w:line="360" w:lineRule="auto"/>
              <w:ind w:firstLine="482" w:firstLineChars="200"/>
              <w:rPr>
                <w:b/>
                <w:sz w:val="24"/>
              </w:rPr>
            </w:pPr>
            <w:r>
              <w:rPr>
                <w:rFonts w:hint="eastAsia"/>
                <w:b/>
                <w:sz w:val="24"/>
              </w:rPr>
              <w:t>1）石灰石破碎及输送</w:t>
            </w:r>
          </w:p>
          <w:p>
            <w:pPr>
              <w:spacing w:line="360" w:lineRule="auto"/>
              <w:ind w:firstLine="480" w:firstLineChars="200"/>
              <w:rPr>
                <w:bCs/>
                <w:sz w:val="24"/>
              </w:rPr>
            </w:pPr>
            <w:r>
              <w:rPr>
                <w:rFonts w:hint="eastAsia"/>
                <w:bCs/>
                <w:sz w:val="24"/>
              </w:rPr>
              <w:t>石灰石破碎站设在矿山，采用单段双转子锤式破碎机，破碎后的石灰石经皮带输送机密闭输送到厂区石灰石预均化堆场转运站。</w:t>
            </w:r>
          </w:p>
          <w:p>
            <w:pPr>
              <w:spacing w:line="360" w:lineRule="auto"/>
              <w:ind w:firstLine="482" w:firstLineChars="200"/>
              <w:rPr>
                <w:b/>
                <w:sz w:val="24"/>
              </w:rPr>
            </w:pPr>
            <w:r>
              <w:rPr>
                <w:rFonts w:hint="eastAsia"/>
                <w:b/>
                <w:sz w:val="24"/>
              </w:rPr>
              <w:t>2）石灰石预均化</w:t>
            </w:r>
          </w:p>
          <w:p>
            <w:pPr>
              <w:spacing w:line="360" w:lineRule="auto"/>
              <w:ind w:firstLine="480" w:firstLineChars="200"/>
              <w:rPr>
                <w:bCs/>
                <w:sz w:val="24"/>
              </w:rPr>
            </w:pPr>
            <w:r>
              <w:rPr>
                <w:rFonts w:hint="eastAsia"/>
                <w:bCs/>
                <w:sz w:val="24"/>
              </w:rPr>
              <w:t>自带式输送机送来预均化堆场的石灰石，由悬臂堆料机进行连续人字形堆料，由刮板取料机横切取料。预均化后的石灰石从堆场中心漏斗卸出，经带式输送机转运石灰石配料库。堆场内下部设有备用卸料坑，由棒闸控制。当堆场检修或取料机发生故障时，可由此旁路暂时卸料。为避免粉尘污染，各带式输送机转运处均设有袋收尘器处理含尘气体，净化后的气体由风机排入大气。</w:t>
            </w:r>
          </w:p>
          <w:p>
            <w:pPr>
              <w:spacing w:line="360" w:lineRule="auto"/>
              <w:ind w:firstLine="482" w:firstLineChars="200"/>
              <w:rPr>
                <w:b/>
                <w:sz w:val="24"/>
              </w:rPr>
            </w:pPr>
            <w:r>
              <w:rPr>
                <w:b/>
                <w:sz w:val="24"/>
              </w:rPr>
              <w:t>3</w:t>
            </w:r>
            <w:r>
              <w:rPr>
                <w:rFonts w:hint="eastAsia"/>
                <w:b/>
                <w:sz w:val="24"/>
              </w:rPr>
              <w:t>）辅助原料破碎</w:t>
            </w:r>
          </w:p>
          <w:p>
            <w:pPr>
              <w:spacing w:line="360" w:lineRule="auto"/>
              <w:ind w:firstLine="480" w:firstLineChars="200"/>
              <w:rPr>
                <w:bCs/>
                <w:sz w:val="24"/>
              </w:rPr>
            </w:pPr>
            <w:r>
              <w:rPr>
                <w:rFonts w:hint="eastAsia"/>
                <w:bCs/>
                <w:sz w:val="24"/>
              </w:rPr>
              <w:t>辅料破碎考虑满足一、二期工程的情况；破碎后的砂岩、泥岩经带式输送机送至辅助原料联合储库。</w:t>
            </w:r>
          </w:p>
          <w:p>
            <w:pPr>
              <w:spacing w:line="360" w:lineRule="auto"/>
              <w:ind w:firstLine="482" w:firstLineChars="200"/>
              <w:rPr>
                <w:b/>
                <w:sz w:val="24"/>
              </w:rPr>
            </w:pPr>
            <w:r>
              <w:rPr>
                <w:rFonts w:hint="eastAsia"/>
                <w:b/>
                <w:sz w:val="24"/>
              </w:rPr>
              <w:t>4）辅助原料储存、原料配料</w:t>
            </w:r>
          </w:p>
          <w:p>
            <w:pPr>
              <w:spacing w:line="360" w:lineRule="auto"/>
              <w:ind w:firstLine="480" w:firstLineChars="200"/>
              <w:rPr>
                <w:bCs/>
                <w:sz w:val="24"/>
              </w:rPr>
            </w:pPr>
            <w:r>
              <w:rPr>
                <w:rFonts w:hint="eastAsia"/>
                <w:bCs/>
                <w:sz w:val="24"/>
              </w:rPr>
              <w:t>破碎后的高硅砂岩、生矸石经带式输送机送至辅助原料联合储库内进行储存。铁粉由汽车运输进厂，直接堆放在联合储库内。在联合储库内，各种辅助原料由桥式抓斗起重机抓到各自的小仓中，小仓底下设有定量给料机，经过计量过后的物料经带式输送机送至出石灰石调配库的带式输送机上，然后由带式输送机送至原料磨内。</w:t>
            </w:r>
          </w:p>
          <w:p>
            <w:pPr>
              <w:spacing w:line="360" w:lineRule="auto"/>
              <w:ind w:firstLine="482" w:firstLineChars="200"/>
              <w:rPr>
                <w:b/>
                <w:sz w:val="24"/>
              </w:rPr>
            </w:pPr>
            <w:r>
              <w:rPr>
                <w:rFonts w:hint="eastAsia"/>
                <w:b/>
                <w:sz w:val="24"/>
              </w:rPr>
              <w:t>5）原煤输送及预均化</w:t>
            </w:r>
          </w:p>
          <w:p>
            <w:pPr>
              <w:spacing w:line="360" w:lineRule="auto"/>
              <w:ind w:firstLine="480" w:firstLineChars="200"/>
              <w:rPr>
                <w:bCs/>
                <w:sz w:val="24"/>
              </w:rPr>
            </w:pPr>
            <w:r>
              <w:rPr>
                <w:rFonts w:hint="eastAsia"/>
                <w:bCs/>
                <w:sz w:val="24"/>
              </w:rPr>
              <w:t>原煤由汽车运输进厂，卸至堆棚。由装载机运至卸车坑，经卸料坑下的板喂机输送至带式输送机，带式输送机输送至原煤预均化堆场。</w:t>
            </w:r>
          </w:p>
          <w:p>
            <w:pPr>
              <w:spacing w:line="360" w:lineRule="auto"/>
              <w:ind w:firstLine="480" w:firstLineChars="200"/>
              <w:rPr>
                <w:bCs/>
                <w:sz w:val="24"/>
              </w:rPr>
            </w:pPr>
            <w:r>
              <w:rPr>
                <w:rFonts w:hint="eastAsia"/>
                <w:bCs/>
                <w:sz w:val="24"/>
              </w:rPr>
              <w:t>自带式输送机送来预均化堆场的原煤，由悬臂堆料机进行连续人字形堆料，由刮板取料机横切取料。预均化后的原煤从堆场中心漏斗卸出，经带式输送机转运至煤粉制备原煤仓。堆场内下部设有备用卸料坑，由棒闸控制。当堆棚检修或取料机发生故障时，可由此旁路暂时卸料。</w:t>
            </w:r>
          </w:p>
          <w:p>
            <w:pPr>
              <w:spacing w:line="360" w:lineRule="auto"/>
              <w:ind w:firstLine="482" w:firstLineChars="200"/>
              <w:rPr>
                <w:b/>
                <w:sz w:val="24"/>
              </w:rPr>
            </w:pPr>
            <w:r>
              <w:rPr>
                <w:rFonts w:hint="eastAsia"/>
                <w:b/>
                <w:sz w:val="24"/>
              </w:rPr>
              <w:t>6）生料粉磨</w:t>
            </w:r>
          </w:p>
          <w:p>
            <w:pPr>
              <w:spacing w:line="360" w:lineRule="auto"/>
              <w:ind w:firstLine="480" w:firstLineChars="200"/>
              <w:rPr>
                <w:bCs/>
                <w:sz w:val="24"/>
              </w:rPr>
            </w:pPr>
            <w:r>
              <w:rPr>
                <w:rFonts w:hint="eastAsia"/>
                <w:bCs/>
                <w:sz w:val="24"/>
              </w:rPr>
              <w:t>按比例配合后的混合料经带式输送机送至生料磨入口的回转锁风阀进入生料磨系统，生料磨采用集烘干和粉磨、选粉于一体的辊式磨系统，利用窑尾废气作为烘干热源。原料在磨机内的磨盘上，被磨辊碾压粉碎成细粉，并被通入磨内的热风烘干。</w:t>
            </w:r>
          </w:p>
          <w:p>
            <w:pPr>
              <w:spacing w:line="360" w:lineRule="auto"/>
              <w:ind w:firstLine="480" w:firstLineChars="200"/>
              <w:rPr>
                <w:bCs/>
                <w:sz w:val="24"/>
              </w:rPr>
            </w:pPr>
            <w:r>
              <w:rPr>
                <w:rFonts w:hint="eastAsia"/>
                <w:bCs/>
                <w:sz w:val="24"/>
              </w:rPr>
              <w:t>磨内粉磨后的物料被上升的热气流带起，经磨内上部的选粉机分选后，合格的生料粉随气流逸出立磨。通过调节选粉机转子的速度可控制生料粉成品的细度。出磨的高浓度含尘气体随后进入旋风分离器分离。收下的成品经空气输送斜槽、提升机送入生料库均化储存。出旋风分离器的气体经过循环风机后，一部分废气作为循环风重新回磨，剩余的含尘气体进入窑、磨废气处理系统。</w:t>
            </w:r>
          </w:p>
          <w:p>
            <w:pPr>
              <w:spacing w:line="360" w:lineRule="auto"/>
              <w:ind w:firstLine="482" w:firstLineChars="200"/>
              <w:rPr>
                <w:b/>
                <w:sz w:val="24"/>
              </w:rPr>
            </w:pPr>
            <w:r>
              <w:rPr>
                <w:rFonts w:hint="eastAsia"/>
                <w:b/>
                <w:sz w:val="24"/>
              </w:rPr>
              <w:t>7）窑磨废气处理</w:t>
            </w:r>
          </w:p>
          <w:p>
            <w:pPr>
              <w:spacing w:line="360" w:lineRule="auto"/>
              <w:ind w:firstLine="480" w:firstLineChars="200"/>
              <w:rPr>
                <w:bCs/>
                <w:sz w:val="24"/>
              </w:rPr>
            </w:pPr>
            <w:r>
              <w:rPr>
                <w:rFonts w:hint="eastAsia"/>
                <w:bCs/>
                <w:sz w:val="24"/>
              </w:rPr>
              <w:t>为了最大限度利用废气预热，项目设有低温余热发电系统。出预热器的高温废气，在余热锅炉开启时，通过余热锅炉后进入窑尾高温风机；在余热锅炉关闭时，从窑尾预热器出来的高温废气经高温风机进入增湿塔做增湿降温处理。根据原料水分的大小，增湿塔喷入适当水量，将出窑废气降至适宜温度以满足生料烘干和磨内通风的要求；磨停窑开时增湿塔降温调质处理后进入窑尾收尘器净化处理，最后经烟囱排入大气。由收尘器收下的粉尘经链运机、斗式提升机、空气输送斜槽随同合格生料一起由提升机喂进生料库内，同时也可以由提升机喂入窑内。增湿塔收下的粉尘经链运机、提升机喂进生料库内，同时可以由提升机喂入窑内。</w:t>
            </w:r>
          </w:p>
          <w:p>
            <w:pPr>
              <w:spacing w:line="360" w:lineRule="auto"/>
              <w:ind w:firstLine="482" w:firstLineChars="200"/>
              <w:rPr>
                <w:b/>
                <w:sz w:val="24"/>
              </w:rPr>
            </w:pPr>
            <w:r>
              <w:rPr>
                <w:rFonts w:hint="eastAsia"/>
                <w:b/>
                <w:sz w:val="24"/>
              </w:rPr>
              <w:t>8）生料均化和窑尾喂料</w:t>
            </w:r>
          </w:p>
          <w:p>
            <w:pPr>
              <w:spacing w:line="360" w:lineRule="auto"/>
              <w:ind w:firstLine="480" w:firstLineChars="200"/>
              <w:rPr>
                <w:bCs/>
                <w:sz w:val="24"/>
              </w:rPr>
            </w:pPr>
            <w:r>
              <w:rPr>
                <w:rFonts w:hint="eastAsia"/>
                <w:bCs/>
                <w:sz w:val="24"/>
              </w:rPr>
              <w:t>从生料磨来的合格生料由提升机送至均化库顶，经库顶生料分配器分流后呈放射状从库顶多点下料，使库内料层几乎呈水平状分层堆放，库内分八个卸料区，出料则由库底充气系统分区供给松动空气，竖向取料后进入库底混合室。均化生料所用高压空气由库底罗茨风机提供。卸料时，向两个相对的料区充气，生料受气力松动并在重力作用下在各卸料点上方形成小漏斗流，生料在自上而下的流动过程中进行重力混合的同时，分别由各个卸料区卸出进入计量仓，在流动过程中进行着径向混合，进入计量仓的生料在充气的作用下再获得一次流态化混合，均化后的合格生料经仓下冲板流量计计量后用斜槽和钢芯胶带斗式提升机直接喂入预热器系统。</w:t>
            </w:r>
          </w:p>
          <w:p>
            <w:pPr>
              <w:spacing w:line="360" w:lineRule="auto"/>
              <w:ind w:firstLine="480" w:firstLineChars="200"/>
              <w:rPr>
                <w:bCs/>
                <w:sz w:val="24"/>
              </w:rPr>
            </w:pPr>
            <w:r>
              <w:rPr>
                <w:rFonts w:hint="eastAsia"/>
                <w:bCs/>
                <w:sz w:val="24"/>
              </w:rPr>
              <w:t>库底计量仓上带有荷重传感器、充气装置。计量仓内料面的波动将直接影响出仓生料流量的稳定，因此，根据计量仓的荷重传感器的仓重信号来调节库底的流量阀开度，使仓内维持一个稳定的料面；通过冲板流量计测量出的生料流量，调节计量仓流量阀开度大小来实现喂料量的调节。称重仓设有两个出料口：一个是正常的生料入窑计量出料口；第二个是备用生料入窑计量出料口。</w:t>
            </w:r>
          </w:p>
          <w:p>
            <w:pPr>
              <w:spacing w:line="360" w:lineRule="auto"/>
              <w:ind w:firstLine="480" w:firstLineChars="200"/>
              <w:rPr>
                <w:bCs/>
                <w:sz w:val="24"/>
              </w:rPr>
            </w:pPr>
            <w:r>
              <w:rPr>
                <w:rFonts w:hint="eastAsia"/>
                <w:bCs/>
                <w:sz w:val="24"/>
              </w:rPr>
              <w:t>入窑尾生料提升机前设有取样器，通过对出库生料的取样分析，来指导烧成系统的操作。</w:t>
            </w:r>
          </w:p>
          <w:p>
            <w:pPr>
              <w:spacing w:line="360" w:lineRule="auto"/>
              <w:ind w:firstLine="482" w:firstLineChars="200"/>
              <w:rPr>
                <w:b/>
                <w:sz w:val="24"/>
              </w:rPr>
            </w:pPr>
            <w:r>
              <w:rPr>
                <w:rFonts w:hint="eastAsia"/>
                <w:b/>
                <w:sz w:val="24"/>
              </w:rPr>
              <w:t>9）熟料烧成</w:t>
            </w:r>
          </w:p>
          <w:p>
            <w:pPr>
              <w:spacing w:line="360" w:lineRule="auto"/>
              <w:ind w:firstLine="480" w:firstLineChars="200"/>
              <w:rPr>
                <w:bCs/>
                <w:sz w:val="24"/>
              </w:rPr>
            </w:pPr>
            <w:r>
              <w:rPr>
                <w:rFonts w:hint="eastAsia"/>
                <w:bCs/>
                <w:sz w:val="24"/>
              </w:rPr>
              <w:t>来自均化库的合格生料计量后进入预热器，逐级预热进入分解炉，预分解后的生料进入回转窑内煅烧。分解炉所用的三次风来自窑头罩。为了达到良好的煅烧操作和保证熟料质量的稳定，窑头煤粉燃烧器采用多通道喷煤管，具有一次风用量少、风煤混合充分、火焰易调整、对劣质煤适应性强等优点，有利于提高熟料质量，降低烧成热耗。</w:t>
            </w:r>
          </w:p>
          <w:p>
            <w:pPr>
              <w:spacing w:line="360" w:lineRule="auto"/>
              <w:ind w:firstLine="480" w:firstLineChars="200"/>
              <w:rPr>
                <w:bCs/>
                <w:sz w:val="24"/>
              </w:rPr>
            </w:pPr>
            <w:r>
              <w:rPr>
                <w:rFonts w:hint="eastAsia"/>
                <w:bCs/>
                <w:sz w:val="24"/>
              </w:rPr>
              <w:t>出预热器气体经SP余热锅炉、窑尾高温风机、增湿塔后进入生料磨、作为烘干热源。</w:t>
            </w:r>
          </w:p>
          <w:p>
            <w:pPr>
              <w:spacing w:line="360" w:lineRule="auto"/>
              <w:ind w:firstLine="480" w:firstLineChars="200"/>
              <w:rPr>
                <w:bCs/>
                <w:sz w:val="24"/>
              </w:rPr>
            </w:pPr>
            <w:r>
              <w:rPr>
                <w:rFonts w:hint="eastAsia"/>
                <w:bCs/>
                <w:sz w:val="24"/>
              </w:rPr>
              <w:t>从回转窑进入篦冷机的高温熟料，由篦板下鼓入的冷空气急速冷却，出篦冷机的熟料温度为环境温度65℃，冷却、破碎后的熟料由槽式输送机送入熟料库。出篦冷机高温废气一部分作为窑用二次空气；另一部分由三次风管送到分解炉作为助燃空气；还有一部分进入煤粉制备系统作为烘干热源；再有一部分废气在余热锅炉开启时，通过旋风收尘器、AQC余热锅炉后进入窑头袋电尘器；在余热锅炉关闭时，废气直接进入窑头电收尘器净化，最后排入大气。旋风收尘器、余热锅炉、电收尘器收下的粉尘经链运机送到熟料槽式输送机内，经槽式输送机入熟料库。</w:t>
            </w:r>
          </w:p>
          <w:p>
            <w:pPr>
              <w:spacing w:line="360" w:lineRule="auto"/>
              <w:ind w:firstLine="482" w:firstLineChars="200"/>
              <w:rPr>
                <w:b/>
                <w:sz w:val="24"/>
              </w:rPr>
            </w:pPr>
            <w:r>
              <w:rPr>
                <w:rFonts w:hint="eastAsia"/>
                <w:b/>
                <w:sz w:val="24"/>
              </w:rPr>
              <w:t>10）熟料储存及散装</w:t>
            </w:r>
          </w:p>
          <w:p>
            <w:pPr>
              <w:spacing w:line="360" w:lineRule="auto"/>
              <w:ind w:firstLine="480" w:firstLineChars="200"/>
              <w:rPr>
                <w:bCs/>
                <w:sz w:val="24"/>
              </w:rPr>
            </w:pPr>
            <w:r>
              <w:rPr>
                <w:rFonts w:hint="eastAsia"/>
                <w:bCs/>
                <w:sz w:val="24"/>
              </w:rPr>
              <w:t>经篦冷机冷却、破碎后的熟料由槽式输送机输送至熟料库储存。大量熟料经熟料库库底卸料口通过电液动扇形闸门卸出，由带式输送机输送至水泥配料库。熟料库顶、带式输送机转运处均设有气箱脉冲袋收尘器，对所产生的含尘气体进行净化处理。</w:t>
            </w:r>
          </w:p>
          <w:p>
            <w:pPr>
              <w:spacing w:line="360" w:lineRule="auto"/>
              <w:ind w:firstLine="482" w:firstLineChars="200"/>
              <w:rPr>
                <w:b/>
                <w:sz w:val="24"/>
              </w:rPr>
            </w:pPr>
            <w:r>
              <w:rPr>
                <w:rFonts w:hint="eastAsia"/>
                <w:b/>
                <w:sz w:val="24"/>
              </w:rPr>
              <w:t>11）煤粉制备</w:t>
            </w:r>
          </w:p>
          <w:p>
            <w:pPr>
              <w:spacing w:line="360" w:lineRule="auto"/>
              <w:ind w:firstLine="480" w:firstLineChars="200"/>
              <w:rPr>
                <w:bCs/>
                <w:sz w:val="24"/>
              </w:rPr>
            </w:pPr>
            <w:r>
              <w:rPr>
                <w:rFonts w:hint="eastAsia"/>
                <w:bCs/>
                <w:sz w:val="24"/>
              </w:rPr>
              <w:t>煤磨设置在窑头附近，利用篦冷机废气作为烘干热源，并设有备用燃油热风炉。原煤由原煤仓下的定量给料机喂入风扫式钢球磨内烘干与粉磨，粗粉经组合式选粉机分离后返回磨内继续粉磨，成品煤粉随气流进入防爆型袋收尘器，收下的煤粉经螺旋输送机分别送入窑和分解炉的煤粉仓中。</w:t>
            </w:r>
          </w:p>
          <w:p>
            <w:pPr>
              <w:spacing w:line="360" w:lineRule="auto"/>
              <w:ind w:firstLine="480" w:firstLineChars="200"/>
              <w:rPr>
                <w:bCs/>
                <w:sz w:val="24"/>
              </w:rPr>
            </w:pPr>
            <w:r>
              <w:rPr>
                <w:rFonts w:hint="eastAsia"/>
                <w:bCs/>
                <w:sz w:val="24"/>
              </w:rPr>
              <w:t>煤粉制备系统设有两个煤粉仓，每个煤粉仓下设有1套煤粉计量输送装置，计量后的煤粉由罗茨风机分别送入窑头和窑尾燃烧器中燃烧。煤粉制备系统设置有严格的安全措施，如防爆阀、CO浓度监测仪、N</w:t>
            </w:r>
            <w:r>
              <w:rPr>
                <w:rFonts w:hint="eastAsia"/>
                <w:bCs/>
                <w:sz w:val="24"/>
                <w:vertAlign w:val="subscript"/>
              </w:rPr>
              <w:t>2</w:t>
            </w:r>
            <w:r>
              <w:rPr>
                <w:rFonts w:hint="eastAsia"/>
                <w:bCs/>
                <w:sz w:val="24"/>
              </w:rPr>
              <w:t>灭火系统等。</w:t>
            </w:r>
          </w:p>
          <w:p>
            <w:pPr>
              <w:spacing w:line="360" w:lineRule="auto"/>
              <w:ind w:firstLine="482" w:firstLineChars="200"/>
              <w:rPr>
                <w:b/>
                <w:sz w:val="24"/>
              </w:rPr>
            </w:pPr>
            <w:r>
              <w:rPr>
                <w:rFonts w:hint="eastAsia"/>
                <w:b/>
                <w:sz w:val="24"/>
              </w:rPr>
              <w:t>12）石膏混合材破碎及输送</w:t>
            </w:r>
          </w:p>
          <w:p>
            <w:pPr>
              <w:spacing w:line="360" w:lineRule="auto"/>
              <w:ind w:firstLine="480" w:firstLineChars="200"/>
              <w:rPr>
                <w:bCs/>
                <w:sz w:val="24"/>
              </w:rPr>
            </w:pPr>
            <w:r>
              <w:rPr>
                <w:rFonts w:hint="eastAsia"/>
                <w:bCs/>
                <w:sz w:val="24"/>
              </w:rPr>
              <w:t>石膏和石灰石由汽车运输进场，然后由铲车送至喂料斗经板式喂料机进入破碎机，破碎后的石膏或者石灰石由带式输送机送至水泥磨磨头仓。碎石膏不经过破碎机直接由铲车送至备用喂料仓经带式输送机送至水泥磨磨头仓。</w:t>
            </w:r>
          </w:p>
          <w:p>
            <w:pPr>
              <w:spacing w:line="360" w:lineRule="auto"/>
              <w:ind w:firstLine="482" w:firstLineChars="200"/>
              <w:rPr>
                <w:b/>
                <w:sz w:val="24"/>
              </w:rPr>
            </w:pPr>
            <w:r>
              <w:rPr>
                <w:rFonts w:hint="eastAsia"/>
                <w:b/>
                <w:sz w:val="24"/>
              </w:rPr>
              <w:t>13）水泥配料及粉磨</w:t>
            </w:r>
          </w:p>
          <w:p>
            <w:pPr>
              <w:spacing w:line="360" w:lineRule="auto"/>
              <w:ind w:firstLine="480" w:firstLineChars="200"/>
              <w:rPr>
                <w:bCs/>
                <w:sz w:val="24"/>
              </w:rPr>
            </w:pPr>
            <w:r>
              <w:rPr>
                <w:rFonts w:hint="eastAsia"/>
                <w:bCs/>
                <w:sz w:val="24"/>
              </w:rPr>
              <w:t>根据不同水泥品种，设定相应物料配比，经定量给料机配好的各种物料混合料由带式输送机输送至水泥磨。生产粉煤灰水泥所用粉煤灰，经汽车运输进厂后直接送入粉煤灰库内储存。出库粉煤灰由库底两套冲板流量计计量后，经斜槽分别送至各台水泥磨头，与出辊压机的粗颗粒物料一同进入水泥磨粉磨。</w:t>
            </w:r>
          </w:p>
          <w:p>
            <w:pPr>
              <w:spacing w:line="360" w:lineRule="auto"/>
              <w:ind w:firstLine="480" w:firstLineChars="200"/>
              <w:rPr>
                <w:bCs/>
                <w:sz w:val="24"/>
              </w:rPr>
            </w:pPr>
            <w:r>
              <w:rPr>
                <w:rFonts w:hint="eastAsia"/>
                <w:bCs/>
                <w:sz w:val="24"/>
              </w:rPr>
              <w:t>熟料、石膏和混合材经计量设备计量后，由带式输送机送入斗式提升机，与出辊压机的料饼一道经提升机、带式输送机及气动三通溜子输送入V型选粉机分选后，粗料进入带有荷重传感器的稳料仓；细料随气体进入旋风收尘器，旋风收尘器收下的粉料与出粉煤灰库经转子秤计量后的粉煤灰混合后，由空气输送斜槽喂入水泥磨进行粉磨；出稳料仓物料通过气动闸门后入辊压机进行碾压粉碎，经过碾压后物料再由提升机、带式输送机送入V型选粉机进行循环分选。进入V型选粉机的气体主要来自系统循环风，部分来自辊压机、提升机和稳料仓的废气。出V型选粉机的气体经循环风机后部分循环回V型选粉机，另一部分作为一次风入高效选粉机。球磨机内粉磨后的物料经出磨斜槽、提升机喂入高效选粉机，选出的粗粉经斜槽返回到磨机中再次粉磨。成品随气流进入气箱脉冲袋收尘器后被收集下来，由空气输送斜槽和斗式提升机送入水泥库中储存。出磨气体经独立的气箱脉冲袋收尘器净化后，经排风机排入大气。</w:t>
            </w:r>
          </w:p>
          <w:p>
            <w:pPr>
              <w:spacing w:line="360" w:lineRule="auto"/>
              <w:ind w:firstLine="482" w:firstLineChars="200"/>
              <w:rPr>
                <w:b/>
                <w:sz w:val="24"/>
              </w:rPr>
            </w:pPr>
            <w:r>
              <w:rPr>
                <w:rFonts w:hint="eastAsia"/>
                <w:b/>
                <w:sz w:val="24"/>
              </w:rPr>
              <w:t>14）水泥储存及散装</w:t>
            </w:r>
          </w:p>
          <w:p>
            <w:pPr>
              <w:spacing w:line="360" w:lineRule="auto"/>
              <w:ind w:firstLine="480" w:firstLineChars="200"/>
              <w:rPr>
                <w:bCs/>
                <w:sz w:val="24"/>
              </w:rPr>
            </w:pPr>
            <w:r>
              <w:rPr>
                <w:rFonts w:hint="eastAsia"/>
                <w:bCs/>
                <w:sz w:val="24"/>
              </w:rPr>
              <w:t>水泥储存及散装均化用气由库底罗茨风机供给。出库水泥经空气输送斜槽、斗式提升机分别送至水泥散装库和水泥包装车间。</w:t>
            </w:r>
          </w:p>
          <w:p>
            <w:pPr>
              <w:spacing w:line="360" w:lineRule="auto"/>
              <w:ind w:firstLine="482" w:firstLineChars="200"/>
              <w:rPr>
                <w:b/>
                <w:sz w:val="24"/>
              </w:rPr>
            </w:pPr>
            <w:r>
              <w:rPr>
                <w:rFonts w:hint="eastAsia"/>
                <w:b/>
                <w:sz w:val="24"/>
              </w:rPr>
              <w:t>15）水泥包装及成品库</w:t>
            </w:r>
          </w:p>
          <w:p>
            <w:pPr>
              <w:spacing w:line="360" w:lineRule="auto"/>
              <w:ind w:firstLine="480" w:firstLineChars="200"/>
              <w:rPr>
                <w:bCs/>
                <w:sz w:val="24"/>
              </w:rPr>
            </w:pPr>
            <w:r>
              <w:rPr>
                <w:rFonts w:hint="eastAsia"/>
                <w:bCs/>
                <w:sz w:val="24"/>
              </w:rPr>
              <w:t>出水泥库的水泥由包装系统的提升机送至振动筛，筛去杂物后进入中间仓，出仓水泥经螺旋闸门、双格轮喂料机进入八咀回转式包装机进行包装，由电子秤计量，包装后的袋装水泥经接包机、顺包机、清包机、带式输送机输送入成品库堆存，同时也可以由中间卸袋机构卸入袋装水泥装车机，由汽车直接发运出厂。采用脉冲袋式收尘器对各扬尘点进行收尘。</w:t>
            </w:r>
          </w:p>
          <w:p>
            <w:pPr>
              <w:spacing w:line="360" w:lineRule="auto"/>
              <w:ind w:firstLine="482" w:firstLineChars="200"/>
              <w:rPr>
                <w:b/>
                <w:sz w:val="24"/>
              </w:rPr>
            </w:pPr>
            <w:r>
              <w:rPr>
                <w:rFonts w:hint="eastAsia"/>
                <w:b/>
                <w:sz w:val="24"/>
              </w:rPr>
              <w:t>②余热发电系统</w:t>
            </w:r>
          </w:p>
          <w:p>
            <w:pPr>
              <w:spacing w:line="360" w:lineRule="auto"/>
              <w:ind w:firstLine="480" w:firstLineChars="200"/>
              <w:rPr>
                <w:bCs/>
                <w:sz w:val="24"/>
              </w:rPr>
            </w:pPr>
            <w:r>
              <w:rPr>
                <w:rFonts w:hint="eastAsia"/>
                <w:bCs/>
                <w:sz w:val="24"/>
              </w:rPr>
              <w:t>现有工程配套建设有两</w:t>
            </w:r>
            <w:r>
              <w:rPr>
                <w:rFonts w:cs="Times New Roman"/>
                <w:bCs/>
                <w:sz w:val="24"/>
              </w:rPr>
              <w:t>套9MW纯低温余热发电机组（两条生产线共用），年发电量为5415×10</w:t>
            </w:r>
            <w:r>
              <w:rPr>
                <w:rFonts w:cs="Times New Roman"/>
                <w:bCs/>
                <w:sz w:val="24"/>
                <w:vertAlign w:val="superscript"/>
              </w:rPr>
              <w:t>4</w:t>
            </w:r>
            <w:r>
              <w:rPr>
                <w:rFonts w:cs="Times New Roman"/>
                <w:bCs/>
                <w:sz w:val="24"/>
              </w:rPr>
              <w:t>kWh，年供电量5036×10</w:t>
            </w:r>
            <w:r>
              <w:rPr>
                <w:rFonts w:cs="Times New Roman"/>
                <w:bCs/>
                <w:sz w:val="24"/>
                <w:vertAlign w:val="superscript"/>
              </w:rPr>
              <w:t>4</w:t>
            </w:r>
            <w:r>
              <w:rPr>
                <w:rFonts w:cs="Times New Roman"/>
                <w:bCs/>
                <w:sz w:val="24"/>
              </w:rPr>
              <w:t>kWh（不向外部电网供电）。采用闪蒸补汽式纯低温余热发电技术，各系统主机包括一台AQC余热锅炉、一台SP余热锅炉和一套混汽凝汽式汽轮发电机组</w:t>
            </w:r>
            <w:r>
              <w:rPr>
                <w:rFonts w:hint="eastAsia"/>
                <w:bCs/>
                <w:sz w:val="24"/>
              </w:rPr>
              <w:t>。余热发电系统工艺流程见下图。</w:t>
            </w:r>
          </w:p>
          <w:p>
            <w:pPr>
              <w:spacing w:line="360" w:lineRule="auto"/>
              <w:jc w:val="center"/>
              <w:rPr>
                <w:bCs/>
                <w:sz w:val="24"/>
              </w:rPr>
            </w:pPr>
            <w:r>
              <w:drawing>
                <wp:inline distT="0" distB="0" distL="0" distR="0">
                  <wp:extent cx="4622165" cy="215265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4664194" cy="2172038"/>
                          </a:xfrm>
                          <a:prstGeom prst="rect">
                            <a:avLst/>
                          </a:prstGeom>
                        </pic:spPr>
                      </pic:pic>
                    </a:graphicData>
                  </a:graphic>
                </wp:inline>
              </w:drawing>
            </w:r>
          </w:p>
          <w:p>
            <w:pPr>
              <w:spacing w:line="360" w:lineRule="auto"/>
              <w:jc w:val="center"/>
              <w:rPr>
                <w:rFonts w:eastAsia="黑体" w:cs="Times New Roman"/>
                <w:sz w:val="24"/>
              </w:rPr>
            </w:pPr>
            <w:r>
              <w:rPr>
                <w:rFonts w:eastAsia="黑体" w:cs="Times New Roman"/>
              </w:rPr>
              <w:t>图2</w:t>
            </w:r>
            <w:r>
              <w:rPr>
                <w:rFonts w:hint="eastAsia" w:eastAsia="黑体" w:cs="Times New Roman"/>
              </w:rPr>
              <w:t>-7</w:t>
            </w:r>
            <w:r>
              <w:rPr>
                <w:rFonts w:eastAsia="黑体" w:cs="Times New Roman"/>
              </w:rPr>
              <w:t xml:space="preserve">  </w:t>
            </w:r>
            <w:r>
              <w:rPr>
                <w:rFonts w:hint="eastAsia" w:eastAsia="黑体" w:cs="Times New Roman"/>
              </w:rPr>
              <w:t>现有余热发电系统工艺流程及产污环节</w:t>
            </w:r>
            <w:r>
              <w:rPr>
                <w:rFonts w:eastAsia="黑体" w:cs="Times New Roman"/>
              </w:rPr>
              <w:t>图</w:t>
            </w:r>
          </w:p>
          <w:p>
            <w:pPr>
              <w:spacing w:line="360" w:lineRule="auto"/>
              <w:ind w:firstLine="482" w:firstLineChars="200"/>
              <w:rPr>
                <w:b/>
                <w:sz w:val="24"/>
              </w:rPr>
            </w:pPr>
            <w:r>
              <w:rPr>
                <w:rFonts w:hint="eastAsia"/>
                <w:b/>
                <w:sz w:val="24"/>
              </w:rPr>
              <w:t>主要工艺简述：</w:t>
            </w:r>
          </w:p>
          <w:p>
            <w:pPr>
              <w:spacing w:line="360" w:lineRule="auto"/>
              <w:ind w:firstLine="480" w:firstLineChars="200"/>
              <w:rPr>
                <w:bCs/>
                <w:sz w:val="24"/>
              </w:rPr>
            </w:pPr>
            <w:r>
              <w:rPr>
                <w:rFonts w:hint="eastAsia"/>
                <w:bCs/>
                <w:sz w:val="24"/>
              </w:rPr>
              <w:t>出窑尾一级筒的废气经SP炉换热后温度降至220℃左右，经窑尾高温风机送至原料磨烘干原料后，经除尘器净化后达标排放。取自窑头篦冷机中部的废气经沉降室沉降（预收尘装置）后进入AQC炉，热交换后进入收尘器净化达标后排入大气。水、汽流程：原水经预处理、离子交换处理及化学除氧后，由锅炉给水泵送至AQC炉省煤器，经过加热至约140℃的热水，分成两部分，一部分进入AQC炉，另一部分进入SP炉（仅设置蒸汽段）；然后依次经过各自锅炉的蒸发器、过热器，AQC炉高压蒸汽段产过热蒸汽，SP炉产的过热蒸汽在蒸汽母管汇合后进入汽轮发电机组做功，AQC炉低压蒸汽段产生的过热蒸汽，作为补汽进入汽轮机，做功后的乏汽通过冷凝器冷凝成水，由凝结水泵送至化学除氧器除氧，再由锅炉给水泵将除氧后的冷凝水和补充水直接送至AQC炉，完成一个汽水循环。</w:t>
            </w:r>
          </w:p>
          <w:p>
            <w:pPr>
              <w:spacing w:line="360" w:lineRule="auto"/>
              <w:ind w:firstLine="482" w:firstLineChars="200"/>
              <w:rPr>
                <w:b/>
                <w:sz w:val="24"/>
              </w:rPr>
            </w:pPr>
            <w:r>
              <w:rPr>
                <w:rFonts w:hint="eastAsia"/>
                <w:b/>
                <w:sz w:val="24"/>
              </w:rPr>
              <w:t>③骨料生产线</w:t>
            </w:r>
          </w:p>
          <w:p>
            <w:pPr>
              <w:spacing w:line="360" w:lineRule="auto"/>
              <w:ind w:firstLine="480" w:firstLineChars="200"/>
              <w:rPr>
                <w:bCs/>
                <w:sz w:val="24"/>
              </w:rPr>
            </w:pPr>
            <w:r>
              <w:rPr>
                <w:rFonts w:hint="eastAsia"/>
                <w:bCs/>
                <w:sz w:val="24"/>
              </w:rPr>
              <w:t>现有工程骨料生产线工艺流程见下图。</w:t>
            </w:r>
          </w:p>
          <w:p>
            <w:pPr>
              <w:spacing w:line="360" w:lineRule="auto"/>
              <w:jc w:val="center"/>
              <w:rPr>
                <w:rFonts w:eastAsia="黑体" w:cs="Times New Roman"/>
              </w:rPr>
            </w:pPr>
            <w:r>
              <w:object>
                <v:shape id="_x0000_i1029" o:spt="75" type="#_x0000_t75" style="height:384.75pt;width:329.25pt;" o:ole="t" filled="f" o:preferrelative="t" stroked="f" coordsize="21600,21600">
                  <v:path/>
                  <v:fill on="f" focussize="0,0"/>
                  <v:stroke on="f" joinstyle="miter"/>
                  <v:imagedata r:id="rId20" o:title=""/>
                  <o:lock v:ext="edit" aspectratio="t"/>
                  <w10:wrap type="none"/>
                  <w10:anchorlock/>
                </v:shape>
                <o:OLEObject Type="Embed" ProgID="Visio.Drawing.15" ShapeID="_x0000_i1029" DrawAspect="Content" ObjectID="_1468075729" r:id="rId19">
                  <o:LockedField>false</o:LockedField>
                </o:OLEObject>
              </w:object>
            </w:r>
          </w:p>
          <w:p>
            <w:pPr>
              <w:spacing w:line="360" w:lineRule="auto"/>
              <w:jc w:val="center"/>
              <w:rPr>
                <w:rFonts w:eastAsia="黑体" w:cs="Times New Roman"/>
                <w:sz w:val="24"/>
              </w:rPr>
            </w:pPr>
            <w:r>
              <w:rPr>
                <w:rFonts w:eastAsia="黑体" w:cs="Times New Roman"/>
              </w:rPr>
              <w:t>图2</w:t>
            </w:r>
            <w:r>
              <w:rPr>
                <w:rFonts w:hint="eastAsia" w:eastAsia="黑体" w:cs="Times New Roman"/>
              </w:rPr>
              <w:t>-8</w:t>
            </w:r>
            <w:r>
              <w:rPr>
                <w:rFonts w:eastAsia="黑体" w:cs="Times New Roman"/>
              </w:rPr>
              <w:t xml:space="preserve">  </w:t>
            </w:r>
            <w:r>
              <w:rPr>
                <w:rFonts w:hint="eastAsia" w:eastAsia="黑体" w:cs="Times New Roman"/>
              </w:rPr>
              <w:t>现有骨料生产线工艺流程及产污环节</w:t>
            </w:r>
            <w:r>
              <w:rPr>
                <w:rFonts w:eastAsia="黑体" w:cs="Times New Roman"/>
              </w:rPr>
              <w:t>图</w:t>
            </w:r>
          </w:p>
          <w:p>
            <w:pPr>
              <w:spacing w:line="360" w:lineRule="auto"/>
              <w:ind w:firstLine="482" w:firstLineChars="200"/>
              <w:rPr>
                <w:b/>
                <w:sz w:val="24"/>
              </w:rPr>
            </w:pPr>
            <w:r>
              <w:rPr>
                <w:rFonts w:hint="eastAsia"/>
                <w:b/>
                <w:sz w:val="24"/>
              </w:rPr>
              <w:t>主要工艺简述：</w:t>
            </w:r>
          </w:p>
          <w:p>
            <w:pPr>
              <w:spacing w:line="360" w:lineRule="auto"/>
              <w:ind w:firstLine="480" w:firstLineChars="200"/>
              <w:rPr>
                <w:sz w:val="24"/>
              </w:rPr>
            </w:pPr>
            <w:r>
              <w:rPr>
                <w:rFonts w:hint="eastAsia"/>
                <w:sz w:val="24"/>
              </w:rPr>
              <w:t>来自达州海螺水泥配套矿山初破后0-</w:t>
            </w:r>
            <w:r>
              <w:rPr>
                <w:sz w:val="24"/>
              </w:rPr>
              <w:t>80</w:t>
            </w:r>
            <w:r>
              <w:rPr>
                <w:rFonts w:hint="eastAsia"/>
                <w:sz w:val="24"/>
              </w:rPr>
              <w:t>mm粒径的石灰石，通过密闭输送廊道送至海螺水泥厂区内，一部分进入石灰石预均化堆场，一部分则送入骨料原料库。石灰石经破碎机进行再次破碎，随后进入筛分机，将0-</w:t>
            </w:r>
            <w:r>
              <w:rPr>
                <w:sz w:val="24"/>
              </w:rPr>
              <w:t>5</w:t>
            </w:r>
            <w:r>
              <w:rPr>
                <w:rFonts w:hint="eastAsia"/>
                <w:sz w:val="24"/>
              </w:rPr>
              <w:t>mm、</w:t>
            </w:r>
            <w:r>
              <w:rPr>
                <w:sz w:val="24"/>
              </w:rPr>
              <w:t>5-25</w:t>
            </w:r>
            <w:r>
              <w:rPr>
                <w:rFonts w:hint="eastAsia"/>
                <w:sz w:val="24"/>
              </w:rPr>
              <w:t>mm、2</w:t>
            </w:r>
            <w:r>
              <w:rPr>
                <w:sz w:val="24"/>
              </w:rPr>
              <w:t>5-40</w:t>
            </w:r>
            <w:r>
              <w:rPr>
                <w:rFonts w:hint="eastAsia"/>
                <w:sz w:val="24"/>
              </w:rPr>
              <w:t>mm和&gt;</w:t>
            </w:r>
            <w:r>
              <w:rPr>
                <w:sz w:val="24"/>
              </w:rPr>
              <w:t>40</w:t>
            </w:r>
            <w:r>
              <w:rPr>
                <w:rFonts w:hint="eastAsia"/>
                <w:sz w:val="24"/>
              </w:rPr>
              <w:t>mm骨料分离，分离出的0-</w:t>
            </w:r>
            <w:r>
              <w:rPr>
                <w:sz w:val="24"/>
              </w:rPr>
              <w:t>5</w:t>
            </w:r>
            <w:r>
              <w:rPr>
                <w:rFonts w:hint="eastAsia"/>
                <w:sz w:val="24"/>
              </w:rPr>
              <w:t>mm粉料通过密闭输送廊道送入钢板仓，最终送入水泥生产线作为辅材使用，</w:t>
            </w:r>
            <w:r>
              <w:rPr>
                <w:sz w:val="24"/>
              </w:rPr>
              <w:t>5</w:t>
            </w:r>
            <w:r>
              <w:rPr>
                <w:rFonts w:hint="eastAsia"/>
                <w:sz w:val="24"/>
              </w:rPr>
              <w:t>-2</w:t>
            </w:r>
            <w:r>
              <w:rPr>
                <w:sz w:val="24"/>
              </w:rPr>
              <w:t>5</w:t>
            </w:r>
            <w:r>
              <w:rPr>
                <w:rFonts w:hint="eastAsia"/>
                <w:sz w:val="24"/>
              </w:rPr>
              <w:t>mm、2</w:t>
            </w:r>
            <w:r>
              <w:rPr>
                <w:sz w:val="24"/>
              </w:rPr>
              <w:t>5-40</w:t>
            </w:r>
            <w:r>
              <w:rPr>
                <w:rFonts w:hint="eastAsia"/>
                <w:sz w:val="24"/>
              </w:rPr>
              <w:t>mm骨料通过输送廊道分别送入骨料仓，&gt;</w:t>
            </w:r>
            <w:r>
              <w:rPr>
                <w:sz w:val="24"/>
              </w:rPr>
              <w:t>40</w:t>
            </w:r>
            <w:r>
              <w:rPr>
                <w:rFonts w:hint="eastAsia"/>
                <w:sz w:val="24"/>
              </w:rPr>
              <w:t>mm骨料则返回破碎机再次破碎。</w:t>
            </w:r>
          </w:p>
          <w:p>
            <w:pPr>
              <w:spacing w:line="360" w:lineRule="auto"/>
              <w:ind w:firstLine="482" w:firstLineChars="200"/>
              <w:rPr>
                <w:b/>
                <w:sz w:val="24"/>
              </w:rPr>
            </w:pPr>
            <w:r>
              <w:rPr>
                <w:b/>
                <w:sz w:val="24"/>
              </w:rPr>
              <w:t>3</w:t>
            </w:r>
            <w:r>
              <w:rPr>
                <w:rFonts w:hint="eastAsia"/>
                <w:b/>
                <w:sz w:val="24"/>
              </w:rPr>
              <w:t>、主要环境保护措施及排放情况</w:t>
            </w:r>
          </w:p>
          <w:p>
            <w:pPr>
              <w:spacing w:line="360" w:lineRule="auto"/>
              <w:ind w:firstLine="482" w:firstLineChars="200"/>
              <w:rPr>
                <w:b/>
                <w:sz w:val="24"/>
              </w:rPr>
            </w:pPr>
            <w:r>
              <w:rPr>
                <w:rFonts w:hint="eastAsia"/>
                <w:b/>
                <w:sz w:val="24"/>
              </w:rPr>
              <w:t>（</w:t>
            </w:r>
            <w:r>
              <w:rPr>
                <w:b/>
                <w:sz w:val="24"/>
              </w:rPr>
              <w:t>1</w:t>
            </w:r>
            <w:r>
              <w:rPr>
                <w:rFonts w:hint="eastAsia"/>
                <w:b/>
                <w:sz w:val="24"/>
              </w:rPr>
              <w:t>）废气</w:t>
            </w:r>
          </w:p>
          <w:p>
            <w:pPr>
              <w:spacing w:line="360" w:lineRule="auto"/>
              <w:ind w:firstLine="482" w:firstLineChars="200"/>
              <w:rPr>
                <w:b/>
                <w:sz w:val="24"/>
              </w:rPr>
            </w:pPr>
            <w:r>
              <w:rPr>
                <w:rFonts w:hint="eastAsia"/>
                <w:b/>
                <w:sz w:val="24"/>
              </w:rPr>
              <w:t>1）水泥生产线</w:t>
            </w:r>
          </w:p>
          <w:p>
            <w:pPr>
              <w:spacing w:line="360" w:lineRule="auto"/>
              <w:ind w:firstLine="482" w:firstLineChars="200"/>
              <w:rPr>
                <w:b/>
                <w:sz w:val="24"/>
              </w:rPr>
            </w:pPr>
            <w:r>
              <w:rPr>
                <w:rFonts w:hint="eastAsia"/>
                <w:b/>
                <w:sz w:val="24"/>
              </w:rPr>
              <w:t>①烟粉尘</w:t>
            </w:r>
          </w:p>
          <w:p>
            <w:pPr>
              <w:spacing w:line="360" w:lineRule="auto"/>
              <w:ind w:firstLine="480" w:firstLineChars="200"/>
              <w:rPr>
                <w:rFonts w:cs="Times New Roman"/>
                <w:sz w:val="24"/>
                <w:szCs w:val="24"/>
              </w:rPr>
            </w:pPr>
            <w:r>
              <w:rPr>
                <w:rFonts w:hint="eastAsia" w:cs="Times New Roman"/>
                <w:sz w:val="24"/>
                <w:szCs w:val="24"/>
              </w:rPr>
              <w:t>达州海螺水泥生产线主要污染物是烟尘和粉尘，其产生于各原料处理、输送、烧成工序、水泥工序等。目前，海螺水泥现各产生烟尘或粉尘处均建有布袋除尘器，共计100多台；并且窑头安装有烟尘在线监测仪器，窑尾安装烟尘、二氧化硫和氮氧化物在线监测仪器。</w:t>
            </w:r>
          </w:p>
          <w:p>
            <w:pPr>
              <w:spacing w:line="360" w:lineRule="auto"/>
              <w:ind w:firstLine="482" w:firstLineChars="200"/>
              <w:rPr>
                <w:rFonts w:cs="Times New Roman"/>
                <w:b/>
                <w:sz w:val="24"/>
                <w:szCs w:val="24"/>
              </w:rPr>
            </w:pPr>
            <w:r>
              <w:rPr>
                <w:rFonts w:hint="eastAsia" w:cs="Times New Roman"/>
                <w:b/>
                <w:sz w:val="24"/>
                <w:szCs w:val="24"/>
              </w:rPr>
              <w:t>②二氧化硫和氮氧化物</w:t>
            </w:r>
          </w:p>
          <w:p>
            <w:pPr>
              <w:spacing w:line="360" w:lineRule="auto"/>
              <w:ind w:firstLine="480" w:firstLineChars="200"/>
              <w:rPr>
                <w:rFonts w:cs="Times New Roman"/>
                <w:sz w:val="24"/>
                <w:szCs w:val="24"/>
              </w:rPr>
            </w:pPr>
            <w:r>
              <w:rPr>
                <w:rFonts w:hint="eastAsia" w:cs="Times New Roman"/>
                <w:sz w:val="24"/>
                <w:szCs w:val="24"/>
              </w:rPr>
              <w:t>二氧化硫主要产生于烧成系统的窑尾，由水泥原料和燃料中的单质硫和硫化物氧化或分解产生，二氧化硫经石灰石-石膏湿法烟气脱硫系统处理后由窑尾90m高烟囱排向大气。</w:t>
            </w:r>
          </w:p>
          <w:p>
            <w:pPr>
              <w:spacing w:line="360" w:lineRule="auto"/>
              <w:ind w:firstLine="480" w:firstLineChars="200"/>
              <w:rPr>
                <w:rFonts w:cs="Times New Roman"/>
                <w:sz w:val="24"/>
                <w:szCs w:val="24"/>
              </w:rPr>
            </w:pPr>
            <w:r>
              <w:rPr>
                <w:rFonts w:hint="eastAsia" w:cs="Times New Roman"/>
                <w:sz w:val="24"/>
                <w:szCs w:val="24"/>
              </w:rPr>
              <w:t>氮氧化物主要产生于窑内燃料的高温燃烧。窑外分解50~60%的燃料是在分解炉内低温（&lt;1000℃）燃烧，采用三通道喷煤燃烧器，产生氮氧化物较少。目前，海螺水泥已完成了水泥生产线高温型SCR烟气脱硝系统建设，上述水泥窑炉产生的氮氧化物经SCR烟气脱硝系统处理后，由窑尾90m高烟囱，达标排放。</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31"/>
              <w:gridCol w:w="4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rPr>
                      <w:rFonts w:cs="Times New Roman"/>
                      <w:szCs w:val="21"/>
                    </w:rPr>
                  </w:pPr>
                  <w:r>
                    <w:rPr>
                      <w:rFonts w:cs="Times New Roman"/>
                      <w:szCs w:val="21"/>
                    </w:rPr>
                    <w:drawing>
                      <wp:inline distT="0" distB="0" distL="0" distR="0">
                        <wp:extent cx="2314575" cy="17399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329222" cy="1751537"/>
                                </a:xfrm>
                                <a:prstGeom prst="rect">
                                  <a:avLst/>
                                </a:prstGeom>
                              </pic:spPr>
                            </pic:pic>
                          </a:graphicData>
                        </a:graphic>
                      </wp:inline>
                    </w:drawing>
                  </w:r>
                </w:p>
              </w:tc>
              <w:tc>
                <w:tcPr>
                  <w:tcW w:w="4331" w:type="dxa"/>
                  <w:vAlign w:val="center"/>
                </w:tcPr>
                <w:p>
                  <w:pPr>
                    <w:jc w:val="center"/>
                    <w:rPr>
                      <w:rFonts w:cs="Times New Roman"/>
                      <w:szCs w:val="21"/>
                    </w:rPr>
                  </w:pPr>
                  <w:r>
                    <w:rPr>
                      <w:rFonts w:cs="Times New Roman"/>
                      <w:szCs w:val="21"/>
                    </w:rPr>
                    <w:drawing>
                      <wp:inline distT="0" distB="0" distL="0" distR="0">
                        <wp:extent cx="2324100" cy="17430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326940" cy="17452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rPr>
                      <w:rFonts w:cs="Times New Roman"/>
                      <w:szCs w:val="21"/>
                    </w:rPr>
                  </w:pPr>
                  <w:r>
                    <w:rPr>
                      <w:rFonts w:hint="eastAsia" w:cs="Times New Roman"/>
                      <w:szCs w:val="21"/>
                    </w:rPr>
                    <w:t>现有水泥回转窑</w:t>
                  </w:r>
                </w:p>
                <w:p>
                  <w:pPr>
                    <w:jc w:val="center"/>
                    <w:rPr>
                      <w:rFonts w:cs="Times New Roman"/>
                      <w:szCs w:val="21"/>
                    </w:rPr>
                  </w:pPr>
                </w:p>
                <w:p>
                  <w:pPr>
                    <w:jc w:val="center"/>
                    <w:rPr>
                      <w:rFonts w:cs="Times New Roman"/>
                      <w:szCs w:val="21"/>
                    </w:rPr>
                  </w:pPr>
                </w:p>
                <w:p>
                  <w:pPr>
                    <w:jc w:val="center"/>
                    <w:rPr>
                      <w:rFonts w:cs="Times New Roman"/>
                      <w:szCs w:val="21"/>
                    </w:rPr>
                  </w:pPr>
                </w:p>
                <w:p>
                  <w:pPr>
                    <w:jc w:val="center"/>
                    <w:rPr>
                      <w:rFonts w:cs="Times New Roman"/>
                      <w:szCs w:val="21"/>
                    </w:rPr>
                  </w:pPr>
                </w:p>
                <w:p>
                  <w:pPr>
                    <w:jc w:val="center"/>
                    <w:rPr>
                      <w:rFonts w:cs="Times New Roman"/>
                      <w:szCs w:val="21"/>
                    </w:rPr>
                  </w:pPr>
                </w:p>
              </w:tc>
              <w:tc>
                <w:tcPr>
                  <w:tcW w:w="4331" w:type="dxa"/>
                  <w:vAlign w:val="center"/>
                </w:tcPr>
                <w:p>
                  <w:pPr>
                    <w:jc w:val="center"/>
                    <w:rPr>
                      <w:rFonts w:cs="Times New Roman"/>
                      <w:szCs w:val="21"/>
                    </w:rPr>
                  </w:pPr>
                  <w:r>
                    <w:rPr>
                      <w:rFonts w:hint="eastAsia" w:cs="Times New Roman"/>
                      <w:szCs w:val="21"/>
                    </w:rPr>
                    <w:t>布袋除尘器</w:t>
                  </w:r>
                </w:p>
                <w:p>
                  <w:pPr>
                    <w:jc w:val="center"/>
                    <w:rPr>
                      <w:rFonts w:cs="Times New Roman"/>
                      <w:szCs w:val="21"/>
                    </w:rPr>
                  </w:pPr>
                </w:p>
                <w:p>
                  <w:pPr>
                    <w:jc w:val="center"/>
                    <w:rPr>
                      <w:rFonts w:cs="Times New Roman"/>
                      <w:szCs w:val="21"/>
                    </w:rPr>
                  </w:pPr>
                </w:p>
                <w:p>
                  <w:pPr>
                    <w:jc w:val="center"/>
                    <w:rPr>
                      <w:rFonts w:cs="Times New Roman"/>
                      <w:szCs w:val="21"/>
                    </w:rPr>
                  </w:pPr>
                </w:p>
                <w:p>
                  <w:pPr>
                    <w:jc w:val="center"/>
                    <w:rPr>
                      <w:rFonts w:cs="Times New Roman"/>
                      <w:szCs w:val="21"/>
                    </w:rPr>
                  </w:pPr>
                </w:p>
                <w:p>
                  <w:pPr>
                    <w:jc w:val="center"/>
                    <w:rPr>
                      <w:rFonts w:cs="Times New Roman"/>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rPr>
                      <w:rFonts w:cs="Times New Roman"/>
                      <w:szCs w:val="21"/>
                    </w:rPr>
                  </w:pPr>
                  <w:r>
                    <w:rPr>
                      <w:rFonts w:hint="eastAsia" w:cs="Times New Roman"/>
                      <w:szCs w:val="21"/>
                    </w:rPr>
                    <w:drawing>
                      <wp:inline distT="0" distB="0" distL="0" distR="0">
                        <wp:extent cx="2286000" cy="1731010"/>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96484" cy="1738949"/>
                                </a:xfrm>
                                <a:prstGeom prst="rect">
                                  <a:avLst/>
                                </a:prstGeom>
                              </pic:spPr>
                            </pic:pic>
                          </a:graphicData>
                        </a:graphic>
                      </wp:inline>
                    </w:drawing>
                  </w:r>
                </w:p>
              </w:tc>
              <w:tc>
                <w:tcPr>
                  <w:tcW w:w="4331" w:type="dxa"/>
                  <w:vAlign w:val="center"/>
                </w:tcPr>
                <w:p>
                  <w:pPr>
                    <w:jc w:val="center"/>
                    <w:rPr>
                      <w:rFonts w:cs="Times New Roman"/>
                      <w:szCs w:val="21"/>
                    </w:rPr>
                  </w:pPr>
                  <w:r>
                    <w:rPr>
                      <w:rFonts w:hint="eastAsia" w:cs="Times New Roman"/>
                      <w:szCs w:val="21"/>
                    </w:rPr>
                    <w:drawing>
                      <wp:inline distT="0" distB="0" distL="0" distR="0">
                        <wp:extent cx="2314575" cy="173609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31965" cy="174913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rPr>
                      <w:rFonts w:cs="Times New Roman"/>
                      <w:szCs w:val="21"/>
                    </w:rPr>
                  </w:pPr>
                  <w:r>
                    <w:rPr>
                      <w:rFonts w:hint="eastAsia" w:cs="Times New Roman"/>
                      <w:szCs w:val="21"/>
                    </w:rPr>
                    <w:t>现有生料塔</w:t>
                  </w:r>
                </w:p>
              </w:tc>
              <w:tc>
                <w:tcPr>
                  <w:tcW w:w="4331" w:type="dxa"/>
                  <w:vAlign w:val="center"/>
                </w:tcPr>
                <w:p>
                  <w:pPr>
                    <w:jc w:val="center"/>
                    <w:rPr>
                      <w:rFonts w:cs="Times New Roman"/>
                      <w:szCs w:val="21"/>
                    </w:rPr>
                  </w:pPr>
                  <w:r>
                    <w:rPr>
                      <w:rFonts w:hint="eastAsia" w:cs="Times New Roman"/>
                      <w:szCs w:val="21"/>
                    </w:rPr>
                    <w:t>现有窑尾排气筒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62" w:type="dxa"/>
                  <w:gridSpan w:val="2"/>
                  <w:vAlign w:val="center"/>
                </w:tcPr>
                <w:p>
                  <w:pPr>
                    <w:spacing w:line="360" w:lineRule="auto"/>
                    <w:jc w:val="center"/>
                    <w:rPr>
                      <w:rFonts w:cs="Times New Roman"/>
                      <w:szCs w:val="21"/>
                    </w:rPr>
                  </w:pPr>
                  <w:r>
                    <w:rPr>
                      <w:rFonts w:eastAsia="黑体" w:cs="Times New Roman"/>
                    </w:rPr>
                    <w:t>图2</w:t>
                  </w:r>
                  <w:r>
                    <w:rPr>
                      <w:rFonts w:hint="eastAsia" w:eastAsia="黑体" w:cs="Times New Roman"/>
                    </w:rPr>
                    <w:t>-9</w:t>
                  </w:r>
                  <w:r>
                    <w:rPr>
                      <w:rFonts w:eastAsia="黑体" w:cs="Times New Roman"/>
                    </w:rPr>
                    <w:t xml:space="preserve">  </w:t>
                  </w:r>
                  <w:r>
                    <w:rPr>
                      <w:rFonts w:hint="eastAsia" w:eastAsia="黑体" w:cs="Times New Roman"/>
                    </w:rPr>
                    <w:t>现有水泥生产线现场照片</w:t>
                  </w:r>
                </w:p>
              </w:tc>
            </w:tr>
          </w:tbl>
          <w:p>
            <w:pPr>
              <w:spacing w:line="360" w:lineRule="auto"/>
              <w:ind w:firstLine="482" w:firstLineChars="200"/>
              <w:rPr>
                <w:b/>
                <w:sz w:val="24"/>
              </w:rPr>
            </w:pPr>
            <w:r>
              <w:rPr>
                <w:b/>
                <w:sz w:val="24"/>
              </w:rPr>
              <w:t>2</w:t>
            </w:r>
            <w:r>
              <w:rPr>
                <w:rFonts w:hint="eastAsia"/>
                <w:b/>
                <w:sz w:val="24"/>
              </w:rPr>
              <w:t>）骨料生产线</w:t>
            </w:r>
          </w:p>
          <w:p>
            <w:pPr>
              <w:spacing w:line="360" w:lineRule="auto"/>
              <w:ind w:firstLine="480" w:firstLineChars="200"/>
              <w:rPr>
                <w:rFonts w:cs="Times New Roman"/>
                <w:bCs/>
                <w:sz w:val="24"/>
                <w:szCs w:val="24"/>
              </w:rPr>
            </w:pPr>
            <w:r>
              <w:rPr>
                <w:rFonts w:hint="eastAsia" w:cs="Times New Roman"/>
                <w:sz w:val="24"/>
                <w:szCs w:val="24"/>
              </w:rPr>
              <w:t>达州海螺水泥</w:t>
            </w:r>
            <w:r>
              <w:rPr>
                <w:rFonts w:hint="eastAsia" w:cs="Times New Roman"/>
                <w:bCs/>
                <w:sz w:val="24"/>
                <w:szCs w:val="24"/>
              </w:rPr>
              <w:t>骨料生产线主要污染物为粉尘，其产生于物料输送、贮仓、破碎、筛分、装车等工序。根据现场调查，现有骨料生产线主要采取的废气处理措施如下：</w:t>
            </w:r>
          </w:p>
          <w:p>
            <w:pPr>
              <w:spacing w:line="360" w:lineRule="auto"/>
              <w:ind w:firstLine="480" w:firstLineChars="200"/>
              <w:rPr>
                <w:rFonts w:cs="Times New Roman"/>
                <w:bCs/>
                <w:sz w:val="24"/>
                <w:szCs w:val="24"/>
              </w:rPr>
            </w:pPr>
            <w:r>
              <w:rPr>
                <w:rFonts w:hint="eastAsia" w:cs="Times New Roman"/>
                <w:bCs/>
                <w:sz w:val="24"/>
                <w:szCs w:val="24"/>
              </w:rPr>
              <w:t xml:space="preserve">①现有骨料生产线物料输送带均设置于封闭式输送廊道内，输送带转换点处设置收尘装置和袋式除尘器，粉尘经处理后经排气筒有组织排放。 </w:t>
            </w:r>
          </w:p>
          <w:p>
            <w:pPr>
              <w:spacing w:line="360" w:lineRule="auto"/>
              <w:ind w:firstLine="480" w:firstLineChars="200"/>
              <w:rPr>
                <w:rFonts w:cs="Times New Roman"/>
                <w:bCs/>
                <w:sz w:val="24"/>
                <w:szCs w:val="24"/>
              </w:rPr>
            </w:pPr>
            <w:r>
              <w:rPr>
                <w:rFonts w:hint="eastAsia" w:cs="Times New Roman"/>
                <w:bCs/>
                <w:sz w:val="24"/>
                <w:szCs w:val="24"/>
              </w:rPr>
              <w:t xml:space="preserve">②现有钢板仓、骨料仓已建设密闭管道收尘和袋式除尘器，粉尘经处理后经排气筒有组织排放。 </w:t>
            </w:r>
          </w:p>
          <w:p>
            <w:pPr>
              <w:spacing w:line="360" w:lineRule="auto"/>
              <w:ind w:firstLine="480" w:firstLineChars="200"/>
              <w:rPr>
                <w:rFonts w:cs="Times New Roman"/>
                <w:bCs/>
                <w:sz w:val="24"/>
                <w:szCs w:val="24"/>
              </w:rPr>
            </w:pPr>
            <w:r>
              <w:rPr>
                <w:rFonts w:hint="eastAsia" w:cs="Times New Roman"/>
                <w:bCs/>
                <w:sz w:val="24"/>
                <w:szCs w:val="24"/>
              </w:rPr>
              <w:t xml:space="preserve">③现有破碎机、筛分机设于密闭房间，进出料口分别设集气罩收尘，各设有 1 台袋式除尘器，粉尘经处理后经排气筒有组织排放。 </w:t>
            </w:r>
          </w:p>
          <w:p>
            <w:pPr>
              <w:spacing w:line="360" w:lineRule="auto"/>
              <w:ind w:firstLine="480" w:firstLineChars="200"/>
              <w:rPr>
                <w:rFonts w:cs="Times New Roman"/>
                <w:bCs/>
                <w:sz w:val="24"/>
                <w:szCs w:val="24"/>
              </w:rPr>
            </w:pPr>
            <w:r>
              <w:rPr>
                <w:rFonts w:hint="eastAsia" w:cs="Times New Roman"/>
                <w:bCs/>
                <w:sz w:val="24"/>
                <w:szCs w:val="24"/>
              </w:rPr>
              <w:t>④现有骨料仓配套装车区封闭，设置自动卷帘门，装卸口设集气罩接入现有骨料仓袋式除尘器，粉尘经处理后经排气筒有组织排放。</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31"/>
              <w:gridCol w:w="4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pPr>
                  <w:r>
                    <w:drawing>
                      <wp:inline distT="0" distB="0" distL="0" distR="0">
                        <wp:extent cx="2312670" cy="1733550"/>
                        <wp:effectExtent l="0" t="0" r="0" b="0"/>
                        <wp:docPr id="1238940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40263" name="图片 1"/>
                                <pic:cNvPicPr>
                                  <a:picLocks noChangeAspect="1"/>
                                </pic:cNvPicPr>
                              </pic:nvPicPr>
                              <pic:blipFill>
                                <a:blip r:embed="rId25"/>
                                <a:stretch>
                                  <a:fillRect/>
                                </a:stretch>
                              </pic:blipFill>
                              <pic:spPr>
                                <a:xfrm>
                                  <a:off x="0" y="0"/>
                                  <a:ext cx="2322715" cy="1740711"/>
                                </a:xfrm>
                                <a:prstGeom prst="rect">
                                  <a:avLst/>
                                </a:prstGeom>
                              </pic:spPr>
                            </pic:pic>
                          </a:graphicData>
                        </a:graphic>
                      </wp:inline>
                    </w:drawing>
                  </w:r>
                </w:p>
              </w:tc>
              <w:tc>
                <w:tcPr>
                  <w:tcW w:w="4331" w:type="dxa"/>
                  <w:vAlign w:val="center"/>
                </w:tcPr>
                <w:p>
                  <w:pPr>
                    <w:jc w:val="center"/>
                  </w:pPr>
                  <w:r>
                    <w:rPr>
                      <w:rFonts w:hint="eastAsia"/>
                    </w:rPr>
                    <w:drawing>
                      <wp:inline distT="0" distB="0" distL="114300" distR="114300">
                        <wp:extent cx="2288540" cy="1714500"/>
                        <wp:effectExtent l="0" t="0" r="0" b="0"/>
                        <wp:docPr id="1612248420" name="图片 1612248420" descr="3f1ee2d36eff61b0ec4aae3b3778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48420" name="图片 1612248420" descr="3f1ee2d36eff61b0ec4aae3b3778a12"/>
                                <pic:cNvPicPr>
                                  <a:picLocks noChangeAspect="1"/>
                                </pic:cNvPicPr>
                              </pic:nvPicPr>
                              <pic:blipFill>
                                <a:blip r:embed="rId26"/>
                                <a:stretch>
                                  <a:fillRect/>
                                </a:stretch>
                              </pic:blipFill>
                              <pic:spPr>
                                <a:xfrm>
                                  <a:off x="0" y="0"/>
                                  <a:ext cx="2338451" cy="17515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pPr>
                  <w:r>
                    <w:rPr>
                      <w:rFonts w:hint="eastAsia"/>
                    </w:rPr>
                    <w:t>密闭输送廊道和转换点除尘器</w:t>
                  </w:r>
                </w:p>
                <w:p>
                  <w:pPr>
                    <w:jc w:val="center"/>
                  </w:pPr>
                </w:p>
                <w:p>
                  <w:pPr>
                    <w:jc w:val="center"/>
                  </w:pPr>
                </w:p>
                <w:p>
                  <w:pPr>
                    <w:jc w:val="center"/>
                  </w:pPr>
                </w:p>
                <w:p>
                  <w:pPr>
                    <w:jc w:val="center"/>
                  </w:pPr>
                </w:p>
                <w:p>
                  <w:pPr>
                    <w:jc w:val="center"/>
                  </w:pPr>
                </w:p>
                <w:p>
                  <w:pPr>
                    <w:jc w:val="center"/>
                  </w:pPr>
                </w:p>
                <w:p>
                  <w:pPr>
                    <w:jc w:val="center"/>
                  </w:pPr>
                </w:p>
              </w:tc>
              <w:tc>
                <w:tcPr>
                  <w:tcW w:w="4331" w:type="dxa"/>
                  <w:vAlign w:val="center"/>
                </w:tcPr>
                <w:p>
                  <w:pPr>
                    <w:jc w:val="center"/>
                    <w:rPr>
                      <w:rFonts w:cs="Times New Roman"/>
                      <w:szCs w:val="21"/>
                    </w:rPr>
                  </w:pPr>
                  <w:r>
                    <w:rPr>
                      <w:rFonts w:hint="eastAsia" w:cs="Times New Roman"/>
                      <w:szCs w:val="21"/>
                    </w:rPr>
                    <w:t>破碎机除尘器</w:t>
                  </w:r>
                </w:p>
                <w:p>
                  <w:pPr>
                    <w:jc w:val="center"/>
                    <w:rPr>
                      <w:rFonts w:cs="Times New Roman"/>
                      <w:szCs w:val="21"/>
                    </w:rPr>
                  </w:pPr>
                </w:p>
                <w:p>
                  <w:pPr>
                    <w:jc w:val="center"/>
                    <w:rPr>
                      <w:rFonts w:cs="Times New Roman"/>
                      <w:szCs w:val="21"/>
                    </w:rPr>
                  </w:pPr>
                </w:p>
                <w:p>
                  <w:pPr>
                    <w:jc w:val="center"/>
                    <w:rPr>
                      <w:rFonts w:cs="Times New Roman"/>
                      <w:szCs w:val="21"/>
                    </w:rPr>
                  </w:pPr>
                </w:p>
                <w:p>
                  <w:pPr>
                    <w:jc w:val="center"/>
                    <w:rPr>
                      <w:rFonts w:cs="Times New Roman"/>
                      <w:szCs w:val="21"/>
                    </w:rPr>
                  </w:pPr>
                </w:p>
                <w:p>
                  <w:pPr>
                    <w:jc w:val="center"/>
                    <w:rPr>
                      <w:rFonts w:cs="Times New Roman"/>
                      <w:szCs w:val="21"/>
                    </w:rPr>
                  </w:pPr>
                </w:p>
                <w:p>
                  <w:pPr>
                    <w:jc w:val="center"/>
                    <w:rPr>
                      <w:rFonts w:cs="Times New Roman"/>
                      <w:szCs w:val="21"/>
                    </w:rPr>
                  </w:pPr>
                </w:p>
                <w:p>
                  <w:pPr>
                    <w:jc w:val="center"/>
                    <w:rPr>
                      <w:rFonts w:cs="Times New Roman"/>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4" w:hRule="atLeast"/>
              </w:trPr>
              <w:tc>
                <w:tcPr>
                  <w:tcW w:w="4331" w:type="dxa"/>
                  <w:vAlign w:val="center"/>
                </w:tcPr>
                <w:p>
                  <w:pPr>
                    <w:jc w:val="center"/>
                  </w:pPr>
                  <w:r>
                    <w:rPr>
                      <w:rFonts w:hint="eastAsia"/>
                    </w:rPr>
                    <w:drawing>
                      <wp:inline distT="0" distB="0" distL="114300" distR="114300">
                        <wp:extent cx="2276475" cy="1744980"/>
                        <wp:effectExtent l="0" t="0" r="0" b="7620"/>
                        <wp:docPr id="2142898057" name="图片 2142898057" descr="92aff2615ae37bd753e1d773e9f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98057" name="图片 2142898057" descr="92aff2615ae37bd753e1d773e9fceda"/>
                                <pic:cNvPicPr>
                                  <a:picLocks noChangeAspect="1"/>
                                </pic:cNvPicPr>
                              </pic:nvPicPr>
                              <pic:blipFill>
                                <a:blip r:embed="rId27"/>
                                <a:stretch>
                                  <a:fillRect/>
                                </a:stretch>
                              </pic:blipFill>
                              <pic:spPr>
                                <a:xfrm>
                                  <a:off x="0" y="0"/>
                                  <a:ext cx="2298795" cy="1762289"/>
                                </a:xfrm>
                                <a:prstGeom prst="rect">
                                  <a:avLst/>
                                </a:prstGeom>
                              </pic:spPr>
                            </pic:pic>
                          </a:graphicData>
                        </a:graphic>
                      </wp:inline>
                    </w:drawing>
                  </w:r>
                </w:p>
              </w:tc>
              <w:tc>
                <w:tcPr>
                  <w:tcW w:w="4331" w:type="dxa"/>
                  <w:vAlign w:val="center"/>
                </w:tcPr>
                <w:p>
                  <w:pPr>
                    <w:jc w:val="center"/>
                    <w:rPr>
                      <w:rFonts w:cs="Times New Roman"/>
                      <w:szCs w:val="21"/>
                    </w:rPr>
                  </w:pPr>
                  <w:r>
                    <w:rPr>
                      <w:rFonts w:hint="eastAsia"/>
                    </w:rPr>
                    <w:drawing>
                      <wp:inline distT="0" distB="0" distL="114300" distR="114300">
                        <wp:extent cx="2247900" cy="1734820"/>
                        <wp:effectExtent l="0" t="0" r="0" b="0"/>
                        <wp:docPr id="1240708455" name="图片 1240708455" descr="dd6fb599903e7f349be4bafa1060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08455" name="图片 1240708455" descr="dd6fb599903e7f349be4bafa10603cf"/>
                                <pic:cNvPicPr>
                                  <a:picLocks noChangeAspect="1"/>
                                </pic:cNvPicPr>
                              </pic:nvPicPr>
                              <pic:blipFill>
                                <a:blip r:embed="rId28"/>
                                <a:stretch>
                                  <a:fillRect/>
                                </a:stretch>
                              </pic:blipFill>
                              <pic:spPr>
                                <a:xfrm>
                                  <a:off x="0" y="0"/>
                                  <a:ext cx="2267520" cy="1749962"/>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pPr>
                  <w:r>
                    <w:rPr>
                      <w:rFonts w:hint="eastAsia" w:cs="Times New Roman"/>
                      <w:szCs w:val="21"/>
                    </w:rPr>
                    <w:t>筛分机除尘器</w:t>
                  </w:r>
                </w:p>
              </w:tc>
              <w:tc>
                <w:tcPr>
                  <w:tcW w:w="4331" w:type="dxa"/>
                  <w:vAlign w:val="center"/>
                </w:tcPr>
                <w:p>
                  <w:pPr>
                    <w:jc w:val="center"/>
                    <w:rPr>
                      <w:rFonts w:cs="Times New Roman"/>
                      <w:szCs w:val="21"/>
                    </w:rPr>
                  </w:pPr>
                  <w:r>
                    <w:rPr>
                      <w:rFonts w:hint="eastAsia" w:cs="Times New Roman"/>
                      <w:szCs w:val="21"/>
                    </w:rPr>
                    <w:t>骨料仓除尘器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rPr>
                      <w:rFonts w:cs="Times New Roman"/>
                      <w:szCs w:val="21"/>
                    </w:rPr>
                  </w:pPr>
                  <w:r>
                    <w:rPr>
                      <w:rFonts w:hint="eastAsia"/>
                    </w:rPr>
                    <w:drawing>
                      <wp:inline distT="0" distB="0" distL="114300" distR="114300">
                        <wp:extent cx="2257425" cy="1744980"/>
                        <wp:effectExtent l="0" t="0" r="0" b="7620"/>
                        <wp:docPr id="1424427304" name="图片 1424427304" descr="6c8f396422d89fd819326e091fc5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27304" name="图片 1424427304" descr="6c8f396422d89fd819326e091fc5c84"/>
                                <pic:cNvPicPr>
                                  <a:picLocks noChangeAspect="1"/>
                                </pic:cNvPicPr>
                              </pic:nvPicPr>
                              <pic:blipFill>
                                <a:blip r:embed="rId29"/>
                                <a:stretch>
                                  <a:fillRect/>
                                </a:stretch>
                              </pic:blipFill>
                              <pic:spPr>
                                <a:xfrm>
                                  <a:off x="0" y="0"/>
                                  <a:ext cx="2284835" cy="1766368"/>
                                </a:xfrm>
                                <a:prstGeom prst="rect">
                                  <a:avLst/>
                                </a:prstGeom>
                              </pic:spPr>
                            </pic:pic>
                          </a:graphicData>
                        </a:graphic>
                      </wp:inline>
                    </w:drawing>
                  </w:r>
                </w:p>
              </w:tc>
              <w:tc>
                <w:tcPr>
                  <w:tcW w:w="4331" w:type="dxa"/>
                  <w:vAlign w:val="center"/>
                </w:tcPr>
                <w:p>
                  <w:pPr>
                    <w:jc w:val="center"/>
                    <w:rPr>
                      <w:rFonts w:cs="Times New Roman"/>
                      <w:szCs w:val="21"/>
                    </w:rPr>
                  </w:pPr>
                  <w:r>
                    <w:rPr>
                      <w:rFonts w:hint="eastAsia"/>
                    </w:rPr>
                    <w:drawing>
                      <wp:inline distT="0" distB="0" distL="114300" distR="114300">
                        <wp:extent cx="2257425" cy="1735455"/>
                        <wp:effectExtent l="0" t="0" r="0" b="0"/>
                        <wp:docPr id="727252572" name="图片 727252572" descr="838c1b38ec22440dab918e9918e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52572" name="图片 727252572" descr="838c1b38ec22440dab918e9918e1795"/>
                                <pic:cNvPicPr>
                                  <a:picLocks noChangeAspect="1"/>
                                </pic:cNvPicPr>
                              </pic:nvPicPr>
                              <pic:blipFill>
                                <a:blip r:embed="rId30"/>
                                <a:stretch>
                                  <a:fillRect/>
                                </a:stretch>
                              </pic:blipFill>
                              <pic:spPr>
                                <a:xfrm>
                                  <a:off x="0" y="0"/>
                                  <a:ext cx="2291873" cy="176235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rPr>
                      <w:rFonts w:cs="Times New Roman"/>
                      <w:szCs w:val="21"/>
                    </w:rPr>
                  </w:pPr>
                  <w:r>
                    <w:rPr>
                      <w:rFonts w:hint="eastAsia" w:cs="Times New Roman"/>
                      <w:szCs w:val="21"/>
                    </w:rPr>
                    <w:t>钢板仓除尘器</w:t>
                  </w:r>
                </w:p>
              </w:tc>
              <w:tc>
                <w:tcPr>
                  <w:tcW w:w="4331" w:type="dxa"/>
                  <w:vAlign w:val="center"/>
                </w:tcPr>
                <w:p>
                  <w:pPr>
                    <w:jc w:val="center"/>
                    <w:rPr>
                      <w:rFonts w:cs="Times New Roman"/>
                      <w:szCs w:val="21"/>
                    </w:rPr>
                  </w:pPr>
                  <w:r>
                    <w:rPr>
                      <w:rFonts w:hint="eastAsia" w:cs="Times New Roman"/>
                      <w:szCs w:val="21"/>
                    </w:rPr>
                    <w:t>皮带机中部除尘器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rPr>
                      <w:rFonts w:cs="Times New Roman"/>
                      <w:szCs w:val="21"/>
                    </w:rPr>
                  </w:pPr>
                  <w:r>
                    <w:drawing>
                      <wp:inline distT="0" distB="0" distL="0" distR="0">
                        <wp:extent cx="2346960" cy="1762760"/>
                        <wp:effectExtent l="0" t="0" r="0" b="8890"/>
                        <wp:docPr id="1942932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32933" name="图片 1"/>
                                <pic:cNvPicPr>
                                  <a:picLocks noChangeAspect="1"/>
                                </pic:cNvPicPr>
                              </pic:nvPicPr>
                              <pic:blipFill>
                                <a:blip r:embed="rId31"/>
                                <a:stretch>
                                  <a:fillRect/>
                                </a:stretch>
                              </pic:blipFill>
                              <pic:spPr>
                                <a:xfrm>
                                  <a:off x="0" y="0"/>
                                  <a:ext cx="2371893" cy="1781012"/>
                                </a:xfrm>
                                <a:prstGeom prst="rect">
                                  <a:avLst/>
                                </a:prstGeom>
                              </pic:spPr>
                            </pic:pic>
                          </a:graphicData>
                        </a:graphic>
                      </wp:inline>
                    </w:drawing>
                  </w:r>
                </w:p>
              </w:tc>
              <w:tc>
                <w:tcPr>
                  <w:tcW w:w="4331" w:type="dxa"/>
                  <w:vAlign w:val="center"/>
                </w:tcPr>
                <w:p>
                  <w:pPr>
                    <w:jc w:val="center"/>
                    <w:rPr>
                      <w:rFonts w:cs="Times New Roman"/>
                      <w:szCs w:val="21"/>
                    </w:rPr>
                  </w:pPr>
                  <w:r>
                    <w:drawing>
                      <wp:inline distT="0" distB="0" distL="0" distR="0">
                        <wp:extent cx="2271395" cy="1705610"/>
                        <wp:effectExtent l="0" t="0" r="0" b="8890"/>
                        <wp:docPr id="884716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16197" name="图片 1"/>
                                <pic:cNvPicPr>
                                  <a:picLocks noChangeAspect="1"/>
                                </pic:cNvPicPr>
                              </pic:nvPicPr>
                              <pic:blipFill>
                                <a:blip r:embed="rId32"/>
                                <a:stretch>
                                  <a:fillRect/>
                                </a:stretch>
                              </pic:blipFill>
                              <pic:spPr>
                                <a:xfrm>
                                  <a:off x="0" y="0"/>
                                  <a:ext cx="2282833" cy="171413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rPr>
                      <w:rFonts w:cs="Times New Roman"/>
                      <w:szCs w:val="21"/>
                    </w:rPr>
                  </w:pPr>
                  <w:r>
                    <w:rPr>
                      <w:rFonts w:hint="eastAsia" w:cs="Times New Roman"/>
                      <w:szCs w:val="21"/>
                    </w:rPr>
                    <w:t>装卸口收尘装置</w:t>
                  </w:r>
                </w:p>
              </w:tc>
              <w:tc>
                <w:tcPr>
                  <w:tcW w:w="4331" w:type="dxa"/>
                  <w:vAlign w:val="center"/>
                </w:tcPr>
                <w:p>
                  <w:pPr>
                    <w:jc w:val="center"/>
                    <w:rPr>
                      <w:rFonts w:cs="Times New Roman"/>
                      <w:szCs w:val="21"/>
                    </w:rPr>
                  </w:pPr>
                  <w:r>
                    <w:rPr>
                      <w:rFonts w:hint="eastAsia" w:cs="Times New Roman"/>
                      <w:szCs w:val="21"/>
                    </w:rPr>
                    <w:t>封闭式装车区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62" w:type="dxa"/>
                  <w:gridSpan w:val="2"/>
                  <w:vAlign w:val="center"/>
                </w:tcPr>
                <w:p>
                  <w:pPr>
                    <w:spacing w:line="360" w:lineRule="auto"/>
                    <w:jc w:val="center"/>
                    <w:rPr>
                      <w:rFonts w:cs="Times New Roman"/>
                      <w:szCs w:val="21"/>
                    </w:rPr>
                  </w:pPr>
                  <w:r>
                    <w:rPr>
                      <w:rFonts w:eastAsia="黑体" w:cs="Times New Roman"/>
                    </w:rPr>
                    <w:t>图2</w:t>
                  </w:r>
                  <w:r>
                    <w:rPr>
                      <w:rFonts w:hint="eastAsia" w:eastAsia="黑体" w:cs="Times New Roman"/>
                    </w:rPr>
                    <w:t>-10</w:t>
                  </w:r>
                  <w:r>
                    <w:rPr>
                      <w:rFonts w:eastAsia="黑体" w:cs="Times New Roman"/>
                    </w:rPr>
                    <w:t xml:space="preserve">  </w:t>
                  </w:r>
                  <w:r>
                    <w:rPr>
                      <w:rFonts w:hint="eastAsia" w:eastAsia="黑体" w:cs="Times New Roman"/>
                    </w:rPr>
                    <w:t>现有骨料生产线环保设施照片</w:t>
                  </w:r>
                </w:p>
              </w:tc>
            </w:tr>
          </w:tbl>
          <w:p>
            <w:pPr>
              <w:spacing w:line="360" w:lineRule="auto"/>
              <w:ind w:firstLine="482" w:firstLineChars="200"/>
              <w:rPr>
                <w:rFonts w:cs="Times New Roman"/>
                <w:b/>
                <w:sz w:val="24"/>
                <w:szCs w:val="24"/>
              </w:rPr>
            </w:pPr>
            <w:r>
              <w:rPr>
                <w:rFonts w:hint="eastAsia" w:cs="Times New Roman"/>
                <w:b/>
                <w:sz w:val="24"/>
                <w:szCs w:val="24"/>
              </w:rPr>
              <w:t>3）矿山</w:t>
            </w:r>
          </w:p>
          <w:p>
            <w:pPr>
              <w:spacing w:line="360" w:lineRule="auto"/>
              <w:ind w:firstLine="480" w:firstLineChars="200"/>
              <w:rPr>
                <w:rFonts w:cs="Times New Roman"/>
                <w:bCs/>
                <w:sz w:val="24"/>
                <w:szCs w:val="24"/>
              </w:rPr>
            </w:pPr>
            <w:r>
              <w:rPr>
                <w:rFonts w:hint="eastAsia" w:cs="Times New Roman"/>
                <w:bCs/>
                <w:sz w:val="24"/>
                <w:szCs w:val="24"/>
              </w:rPr>
              <w:t>项目矿山开采钻机选用带有捕尘装置的潜孔钻，钻孔时加强喷水，运输道路采取洒水降尘，破碎系统设置布袋除尘器处理后有组织排放。</w:t>
            </w:r>
          </w:p>
          <w:p>
            <w:pPr>
              <w:spacing w:line="360" w:lineRule="auto"/>
              <w:ind w:firstLine="482" w:firstLineChars="200"/>
              <w:rPr>
                <w:rFonts w:cs="Times New Roman"/>
                <w:b/>
                <w:sz w:val="24"/>
                <w:szCs w:val="24"/>
              </w:rPr>
            </w:pPr>
            <w:r>
              <w:rPr>
                <w:rFonts w:cs="Times New Roman"/>
                <w:b/>
                <w:sz w:val="24"/>
                <w:szCs w:val="24"/>
              </w:rPr>
              <w:t>4</w:t>
            </w:r>
            <w:r>
              <w:rPr>
                <w:rFonts w:hint="eastAsia" w:cs="Times New Roman"/>
                <w:b/>
                <w:sz w:val="24"/>
                <w:szCs w:val="24"/>
              </w:rPr>
              <w:t>）厂区无组织废气</w:t>
            </w:r>
          </w:p>
          <w:p>
            <w:pPr>
              <w:spacing w:line="360" w:lineRule="auto"/>
              <w:ind w:firstLine="480" w:firstLineChars="200"/>
              <w:rPr>
                <w:rFonts w:cs="Times New Roman"/>
                <w:sz w:val="24"/>
                <w:szCs w:val="24"/>
              </w:rPr>
            </w:pPr>
            <w:r>
              <w:rPr>
                <w:rFonts w:hint="eastAsia" w:cs="Times New Roman"/>
                <w:sz w:val="24"/>
                <w:szCs w:val="24"/>
              </w:rPr>
              <w:t>项目原煤、石膏、混合材等原料在堆棚内卸车、装载机卸料等过程中仍有少量扬尘产生，形成无组织排放。根据现场调查，海螺水泥主要通过将所有原料存放于堆棚；在卸车过程中采取喷水降尘措施，以控制扬尘无组织排放；在堆棚、预均化堆棚的建筑围护结构尽可能减小开敞面积来控制无组织废气排放。</w:t>
            </w:r>
          </w:p>
          <w:p>
            <w:pPr>
              <w:spacing w:line="360" w:lineRule="auto"/>
              <w:ind w:firstLine="480" w:firstLineChars="200"/>
              <w:rPr>
                <w:rFonts w:cs="Times New Roman"/>
                <w:sz w:val="24"/>
                <w:szCs w:val="24"/>
              </w:rPr>
            </w:pPr>
            <w:r>
              <w:rPr>
                <w:rFonts w:hint="eastAsia" w:cs="Times New Roman"/>
                <w:sz w:val="24"/>
                <w:szCs w:val="24"/>
              </w:rPr>
              <w:t>同时，根据达州海螺水泥有限责任公司现有项目环评批复，厂区以原煤、辅助原料、石灰石堆棚边界外200m的卫生防护距离，以破碎系统边界外1</w:t>
            </w:r>
            <w:r>
              <w:rPr>
                <w:rFonts w:cs="Times New Roman"/>
                <w:sz w:val="24"/>
                <w:szCs w:val="24"/>
              </w:rPr>
              <w:t>50</w:t>
            </w:r>
            <w:r>
              <w:rPr>
                <w:rFonts w:hint="eastAsia" w:cs="Times New Roman"/>
                <w:sz w:val="24"/>
                <w:szCs w:val="24"/>
              </w:rPr>
              <w:t>m、筛分系统边界外2</w:t>
            </w:r>
            <w:r>
              <w:rPr>
                <w:rFonts w:cs="Times New Roman"/>
                <w:sz w:val="24"/>
                <w:szCs w:val="24"/>
              </w:rPr>
              <w:t>00</w:t>
            </w:r>
            <w:r>
              <w:rPr>
                <w:rFonts w:hint="eastAsia" w:cs="Times New Roman"/>
                <w:sz w:val="24"/>
                <w:szCs w:val="24"/>
              </w:rPr>
              <w:t>m的卫生防护距离。经现场踏勘，现有卫生防护距离内无环境敏感目标分布。</w:t>
            </w:r>
          </w:p>
          <w:p>
            <w:pPr>
              <w:spacing w:line="360" w:lineRule="auto"/>
              <w:ind w:firstLine="482" w:firstLineChars="200"/>
              <w:rPr>
                <w:rFonts w:cs="Times New Roman"/>
                <w:b/>
                <w:sz w:val="24"/>
                <w:szCs w:val="24"/>
              </w:rPr>
            </w:pPr>
            <w:r>
              <w:rPr>
                <w:rFonts w:hint="eastAsia" w:cs="Times New Roman"/>
                <w:b/>
                <w:sz w:val="24"/>
                <w:szCs w:val="24"/>
              </w:rPr>
              <w:t>5）达标情况</w:t>
            </w:r>
          </w:p>
          <w:p>
            <w:pPr>
              <w:spacing w:line="360" w:lineRule="auto"/>
              <w:ind w:firstLine="480" w:firstLineChars="200"/>
              <w:rPr>
                <w:rFonts w:cs="Times New Roman"/>
                <w:sz w:val="24"/>
                <w:szCs w:val="24"/>
              </w:rPr>
            </w:pPr>
            <w:r>
              <w:rPr>
                <w:rFonts w:hint="eastAsia" w:cs="Times New Roman"/>
                <w:sz w:val="24"/>
                <w:szCs w:val="24"/>
              </w:rPr>
              <w:t>根据达州海螺水泥有限责任公司2023年度例行监测报告（见附件，国检成字（2023）第012号、国检成字（2023）第019号、国检成字（2023）第046号、国检成字（2023）第056号）：现有项目有组织废气所测颗粒物、二氧化硫、氮氧化物、氨、汞及其化合物、氟化物排放浓度均满足《四川省水泥工业大气污染物排放标准》（DB51/2864-2021）表1中排放限值；厂界无组织废气颗粒物、氨排放浓度满足《四川省水泥工业大气污染物排放标准》（DB51/2864-2021）表2中排放限值；厂区内无组织废气颗粒物排放浓度满足《四川省水泥工业大气污染物排放标准》（DB51/2864-2021）附录A中排放限值。</w:t>
            </w:r>
          </w:p>
          <w:p>
            <w:pPr>
              <w:spacing w:line="360" w:lineRule="auto"/>
              <w:ind w:firstLine="482" w:firstLineChars="200"/>
              <w:rPr>
                <w:b/>
                <w:sz w:val="24"/>
              </w:rPr>
            </w:pPr>
            <w:r>
              <w:rPr>
                <w:rFonts w:hint="eastAsia"/>
                <w:b/>
                <w:sz w:val="24"/>
              </w:rPr>
              <w:t>（</w:t>
            </w:r>
            <w:r>
              <w:rPr>
                <w:b/>
                <w:sz w:val="24"/>
              </w:rPr>
              <w:t>2</w:t>
            </w:r>
            <w:r>
              <w:rPr>
                <w:rFonts w:hint="eastAsia"/>
                <w:b/>
                <w:sz w:val="24"/>
              </w:rPr>
              <w:t>）废水</w:t>
            </w:r>
          </w:p>
          <w:p>
            <w:pPr>
              <w:spacing w:line="360" w:lineRule="auto"/>
              <w:ind w:firstLine="482" w:firstLineChars="200"/>
              <w:rPr>
                <w:b/>
                <w:sz w:val="24"/>
              </w:rPr>
            </w:pPr>
            <w:r>
              <w:rPr>
                <w:rFonts w:hint="eastAsia"/>
                <w:b/>
                <w:sz w:val="24"/>
              </w:rPr>
              <w:t>1）废水治理措施</w:t>
            </w:r>
          </w:p>
          <w:p>
            <w:pPr>
              <w:spacing w:line="360" w:lineRule="auto"/>
              <w:ind w:firstLine="480" w:firstLineChars="200"/>
              <w:rPr>
                <w:sz w:val="24"/>
                <w:szCs w:val="24"/>
              </w:rPr>
            </w:pPr>
            <w:r>
              <w:rPr>
                <w:rFonts w:hint="eastAsia"/>
                <w:sz w:val="24"/>
              </w:rPr>
              <w:t>海螺水泥厂区生产废水主要是设备冷却水循环系统的排污水，废水主要污染物为SS，该生产废水经沉淀处理后回用；生活污水主要是食堂、办公楼等职工生活废水，产生量为54m</w:t>
            </w:r>
            <w:r>
              <w:rPr>
                <w:rFonts w:hint="eastAsia"/>
                <w:sz w:val="24"/>
                <w:vertAlign w:val="superscript"/>
              </w:rPr>
              <w:t>3</w:t>
            </w:r>
            <w:r>
              <w:rPr>
                <w:rFonts w:hint="eastAsia"/>
                <w:sz w:val="24"/>
              </w:rPr>
              <w:t>/d，主要污染物为pH、SS、COD和氨氮等，均送入二级生化处理装置处理（污水处理设备日处理能力为100t/d），经生化处理、沉淀后回用于绿化灌溉及道路洒水，不排放；矿山生活污水经旱厕处理后用作农肥。</w:t>
            </w:r>
          </w:p>
          <w:p>
            <w:pPr>
              <w:spacing w:line="360" w:lineRule="auto"/>
              <w:jc w:val="center"/>
              <w:rPr>
                <w:sz w:val="24"/>
              </w:rPr>
            </w:pPr>
            <w:r>
              <w:rPr>
                <w:rFonts w:hint="eastAsia"/>
                <w:sz w:val="24"/>
              </w:rPr>
              <w:drawing>
                <wp:inline distT="0" distB="0" distL="0" distR="0">
                  <wp:extent cx="4615815" cy="2562225"/>
                  <wp:effectExtent l="0" t="0" r="0" b="0"/>
                  <wp:docPr id="43830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0942" name="图片 1"/>
                          <pic:cNvPicPr>
                            <a:picLocks noChangeAspect="1"/>
                          </pic:cNvPicPr>
                        </pic:nvPicPr>
                        <pic:blipFill>
                          <a:blip r:embed="rId33" cstate="print">
                            <a:biLevel thresh="75000"/>
                            <a:extLst>
                              <a:ext uri="{28A0092B-C50C-407E-A947-70E740481C1C}">
                                <a14:useLocalDpi xmlns:a14="http://schemas.microsoft.com/office/drawing/2010/main" val="0"/>
                              </a:ext>
                            </a:extLst>
                          </a:blip>
                          <a:srcRect l="1907" t="16819" r="1857" b="6097"/>
                          <a:stretch>
                            <a:fillRect/>
                          </a:stretch>
                        </pic:blipFill>
                        <pic:spPr>
                          <a:xfrm>
                            <a:off x="0" y="0"/>
                            <a:ext cx="4621067" cy="2564998"/>
                          </a:xfrm>
                          <a:prstGeom prst="rect">
                            <a:avLst/>
                          </a:prstGeom>
                          <a:ln>
                            <a:noFill/>
                          </a:ln>
                        </pic:spPr>
                      </pic:pic>
                    </a:graphicData>
                  </a:graphic>
                </wp:inline>
              </w:drawing>
            </w:r>
          </w:p>
          <w:p>
            <w:pPr>
              <w:spacing w:line="360" w:lineRule="auto"/>
              <w:jc w:val="center"/>
              <w:rPr>
                <w:sz w:val="24"/>
              </w:rPr>
            </w:pPr>
            <w:r>
              <w:rPr>
                <w:rFonts w:eastAsia="黑体" w:cs="Times New Roman"/>
              </w:rPr>
              <w:t>图2</w:t>
            </w:r>
            <w:r>
              <w:rPr>
                <w:rFonts w:hint="eastAsia" w:eastAsia="黑体" w:cs="Times New Roman"/>
              </w:rPr>
              <w:t>-</w:t>
            </w:r>
            <w:r>
              <w:rPr>
                <w:rFonts w:eastAsia="黑体" w:cs="Times New Roman"/>
              </w:rPr>
              <w:t>1</w:t>
            </w:r>
            <w:r>
              <w:rPr>
                <w:rFonts w:hint="eastAsia" w:eastAsia="黑体" w:cs="Times New Roman"/>
              </w:rPr>
              <w:t>1</w:t>
            </w:r>
            <w:r>
              <w:rPr>
                <w:rFonts w:eastAsia="黑体" w:cs="Times New Roman"/>
              </w:rPr>
              <w:t xml:space="preserve">  </w:t>
            </w:r>
            <w:r>
              <w:rPr>
                <w:rFonts w:hint="eastAsia" w:eastAsia="黑体" w:cs="Times New Roman"/>
              </w:rPr>
              <w:t>现有污水处理设施工艺流程图</w:t>
            </w:r>
          </w:p>
          <w:p>
            <w:pPr>
              <w:spacing w:line="360" w:lineRule="auto"/>
              <w:ind w:firstLine="482" w:firstLineChars="200"/>
              <w:rPr>
                <w:rFonts w:cs="Times New Roman"/>
                <w:b/>
                <w:sz w:val="24"/>
                <w:szCs w:val="24"/>
              </w:rPr>
            </w:pPr>
            <w:r>
              <w:rPr>
                <w:rFonts w:hint="eastAsia" w:cs="Times New Roman"/>
                <w:b/>
                <w:sz w:val="24"/>
                <w:szCs w:val="24"/>
              </w:rPr>
              <w:t>2）达标情况</w:t>
            </w:r>
          </w:p>
          <w:p>
            <w:pPr>
              <w:spacing w:line="360" w:lineRule="auto"/>
              <w:ind w:firstLine="480" w:firstLineChars="200"/>
              <w:rPr>
                <w:rFonts w:cs="Times New Roman"/>
                <w:sz w:val="24"/>
                <w:szCs w:val="24"/>
              </w:rPr>
            </w:pPr>
            <w:r>
              <w:rPr>
                <w:rFonts w:hint="eastAsia" w:cs="Times New Roman"/>
                <w:sz w:val="24"/>
                <w:szCs w:val="24"/>
              </w:rPr>
              <w:t>根据达州海螺水泥有限责任公司2023年度例行监测报告（见附件，国检成字（2023）第012号、国检成字（2023）第019号、国检成字（2023）第046号、国检成字（2023）第056号）：厂区工业废水所测pH、悬浮物、COD、BOD</w:t>
            </w:r>
            <w:r>
              <w:rPr>
                <w:rFonts w:cs="Times New Roman"/>
                <w:sz w:val="24"/>
                <w:szCs w:val="24"/>
                <w:vertAlign w:val="subscript"/>
              </w:rPr>
              <w:t>5</w:t>
            </w:r>
            <w:r>
              <w:rPr>
                <w:rFonts w:hint="eastAsia" w:cs="Times New Roman"/>
                <w:sz w:val="24"/>
                <w:szCs w:val="24"/>
              </w:rPr>
              <w:t>、石油类、氟化物、氨氮、总磷，生活污水所测pH、悬浮物、COD、BOD</w:t>
            </w:r>
            <w:r>
              <w:rPr>
                <w:rFonts w:cs="Times New Roman"/>
                <w:sz w:val="24"/>
                <w:szCs w:val="24"/>
                <w:vertAlign w:val="subscript"/>
              </w:rPr>
              <w:t>5</w:t>
            </w:r>
            <w:r>
              <w:rPr>
                <w:rFonts w:hint="eastAsia" w:cs="Times New Roman"/>
                <w:sz w:val="24"/>
                <w:szCs w:val="24"/>
              </w:rPr>
              <w:t>、氨氮排放浓度均符合</w:t>
            </w:r>
            <w:r>
              <w:rPr>
                <w:rFonts w:hint="eastAsia"/>
                <w:sz w:val="24"/>
              </w:rPr>
              <w:t>《污水综合排放标准》（GB8978-1996）一级标准，同时也满足《城市污水再生利用 绿地灌溉水质标准》（GB/T25499-2010）中限值要求。</w:t>
            </w:r>
          </w:p>
          <w:p>
            <w:pPr>
              <w:spacing w:line="360" w:lineRule="auto"/>
              <w:ind w:firstLine="482" w:firstLineChars="200"/>
              <w:rPr>
                <w:b/>
                <w:sz w:val="24"/>
              </w:rPr>
            </w:pPr>
            <w:r>
              <w:rPr>
                <w:rFonts w:hint="eastAsia"/>
                <w:b/>
                <w:sz w:val="24"/>
              </w:rPr>
              <w:t>（</w:t>
            </w:r>
            <w:r>
              <w:rPr>
                <w:b/>
                <w:sz w:val="24"/>
              </w:rPr>
              <w:t>3</w:t>
            </w:r>
            <w:r>
              <w:rPr>
                <w:rFonts w:hint="eastAsia"/>
                <w:b/>
                <w:sz w:val="24"/>
              </w:rPr>
              <w:t>）噪声</w:t>
            </w:r>
          </w:p>
          <w:p>
            <w:pPr>
              <w:spacing w:line="360" w:lineRule="auto"/>
              <w:ind w:firstLine="480" w:firstLineChars="200"/>
              <w:rPr>
                <w:rFonts w:cs="Times New Roman"/>
                <w:sz w:val="24"/>
                <w:szCs w:val="24"/>
              </w:rPr>
            </w:pPr>
            <w:r>
              <w:rPr>
                <w:rFonts w:hint="eastAsia"/>
                <w:sz w:val="24"/>
              </w:rPr>
              <w:t>海螺水泥</w:t>
            </w:r>
            <w:r>
              <w:rPr>
                <w:rFonts w:hint="eastAsia" w:cs="Times New Roman"/>
                <w:sz w:val="24"/>
                <w:szCs w:val="24"/>
              </w:rPr>
              <w:t>噪声主要来源于水泥生产线、骨料生产线等设施设备产生的噪声，根据现场调查，主要采取以下噪声治理措施：①选用符合国家标准的低噪声设备；②针对振动设备设减振器或减振装置；③针对管道采取了防振、防冲击措施；④保证风管及流体输送流畅工况，减少空气动力噪声；⑤加强设备的日常维护与管理，减少设备摩擦产生的噪声；⑥将高噪声源设置在远离厂界的位置，以保证足够的噪声衰减距离；⑦噪声源合理布局，防止噪声叠加影响。</w:t>
            </w:r>
          </w:p>
          <w:p>
            <w:pPr>
              <w:spacing w:line="360" w:lineRule="auto"/>
              <w:ind w:firstLine="480" w:firstLineChars="200"/>
              <w:rPr>
                <w:sz w:val="24"/>
              </w:rPr>
            </w:pPr>
            <w:r>
              <w:rPr>
                <w:rFonts w:hint="eastAsia" w:cs="Times New Roman"/>
                <w:sz w:val="24"/>
                <w:szCs w:val="24"/>
              </w:rPr>
              <w:t>根据达州海螺水泥有限责任公司2023年度例行监测报告（见附件，国检成字（2023）第012号、国检成字（2023）第019号、国检成字（2023）第046号、国检成字（2023）第056号）：</w:t>
            </w:r>
            <w:r>
              <w:rPr>
                <w:rFonts w:hint="eastAsia"/>
                <w:sz w:val="24"/>
              </w:rPr>
              <w:t>现有工程厂界噪声均满足《工业企业厂界环境噪声排放标准》（GB12348-2008）</w:t>
            </w:r>
            <w:r>
              <w:rPr>
                <w:sz w:val="24"/>
              </w:rPr>
              <w:t>2</w:t>
            </w:r>
            <w:r>
              <w:rPr>
                <w:rFonts w:hint="eastAsia"/>
                <w:sz w:val="24"/>
              </w:rPr>
              <w:t>类标准，实现达标排放。</w:t>
            </w:r>
          </w:p>
          <w:p>
            <w:pPr>
              <w:spacing w:line="360" w:lineRule="auto"/>
              <w:ind w:firstLine="482" w:firstLineChars="200"/>
              <w:rPr>
                <w:rFonts w:cs="Times New Roman"/>
                <w:b/>
                <w:sz w:val="24"/>
                <w:szCs w:val="24"/>
              </w:rPr>
            </w:pPr>
            <w:r>
              <w:rPr>
                <w:rFonts w:hint="eastAsia" w:cs="Times New Roman"/>
                <w:b/>
                <w:sz w:val="24"/>
                <w:szCs w:val="24"/>
              </w:rPr>
              <w:t>（4）固体废物</w:t>
            </w:r>
          </w:p>
          <w:p>
            <w:pPr>
              <w:spacing w:line="360" w:lineRule="auto"/>
              <w:ind w:firstLine="480" w:firstLineChars="200"/>
              <w:rPr>
                <w:rFonts w:cs="Times New Roman"/>
                <w:sz w:val="24"/>
                <w:szCs w:val="24"/>
              </w:rPr>
            </w:pPr>
            <w:r>
              <w:rPr>
                <w:rFonts w:hint="eastAsia"/>
                <w:sz w:val="24"/>
              </w:rPr>
              <w:t>海螺水泥</w:t>
            </w:r>
            <w:r>
              <w:rPr>
                <w:rFonts w:hint="eastAsia" w:cs="Times New Roman"/>
                <w:sz w:val="24"/>
                <w:szCs w:val="24"/>
              </w:rPr>
              <w:t>主要固体废弃物为除尘灰、生活垃圾、污泥、废油等。其中，除尘灰收集后回用于生产，生活垃圾及污泥送回转窑焚烧；废油等危险废物经分类收集后暂存于危废暂存间，定期交由有资质单位清运处理。</w:t>
            </w:r>
          </w:p>
          <w:p>
            <w:pPr>
              <w:spacing w:line="360" w:lineRule="auto"/>
              <w:ind w:firstLine="480" w:firstLineChars="200"/>
              <w:rPr>
                <w:rFonts w:cs="Times New Roman"/>
                <w:sz w:val="24"/>
                <w:szCs w:val="24"/>
              </w:rPr>
            </w:pPr>
            <w:r>
              <w:rPr>
                <w:rFonts w:hint="eastAsia" w:cs="Times New Roman"/>
                <w:sz w:val="24"/>
                <w:szCs w:val="24"/>
              </w:rPr>
              <w:t>目前，海螺水泥已建有80m</w:t>
            </w:r>
            <w:r>
              <w:rPr>
                <w:rFonts w:cs="Times New Roman"/>
                <w:sz w:val="24"/>
                <w:szCs w:val="24"/>
                <w:vertAlign w:val="superscript"/>
              </w:rPr>
              <w:t>2</w:t>
            </w:r>
            <w:r>
              <w:rPr>
                <w:rFonts w:hint="eastAsia" w:cs="Times New Roman"/>
                <w:sz w:val="24"/>
                <w:szCs w:val="24"/>
              </w:rPr>
              <w:t>的危废暂存间，已按照《危险废物贮存污染控制标准》（GB18597-2023）的要求规范建设和管理，采取防风、防晒、防雨、防漏、防渗、防腐等环境污染防治措施；按照《危险废物识别标志设置技术规范》（HJ1276-2022）的要求，设立了标识标牌。目前，达州海螺水泥有限责任公司已与达州市新创环保科技有限公司、达州市绿环再生资源回收服务有限公司和内江市天捷能源科技有限公司分别签订了处置合同，落实了各类危险废物处置去向。</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31"/>
              <w:gridCol w:w="4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rPr>
                      <w:rFonts w:cs="Times New Roman"/>
                      <w:szCs w:val="21"/>
                    </w:rPr>
                  </w:pPr>
                  <w:r>
                    <w:rPr>
                      <w:rFonts w:cs="Times New Roman"/>
                      <w:szCs w:val="21"/>
                    </w:rPr>
                    <w:drawing>
                      <wp:inline distT="0" distB="0" distL="0" distR="0">
                        <wp:extent cx="2228850" cy="1733550"/>
                        <wp:effectExtent l="0" t="0" r="0" b="0"/>
                        <wp:docPr id="12358954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95409"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40384" cy="1742521"/>
                                </a:xfrm>
                                <a:prstGeom prst="rect">
                                  <a:avLst/>
                                </a:prstGeom>
                                <a:noFill/>
                                <a:ln>
                                  <a:noFill/>
                                </a:ln>
                              </pic:spPr>
                            </pic:pic>
                          </a:graphicData>
                        </a:graphic>
                      </wp:inline>
                    </w:drawing>
                  </w:r>
                </w:p>
              </w:tc>
              <w:tc>
                <w:tcPr>
                  <w:tcW w:w="4331" w:type="dxa"/>
                  <w:vAlign w:val="center"/>
                </w:tcPr>
                <w:p>
                  <w:pPr>
                    <w:jc w:val="center"/>
                    <w:rPr>
                      <w:rFonts w:cs="Times New Roman"/>
                      <w:szCs w:val="21"/>
                    </w:rPr>
                  </w:pPr>
                  <w:r>
                    <w:rPr>
                      <w:rFonts w:cs="Times New Roman"/>
                      <w:szCs w:val="21"/>
                    </w:rPr>
                    <w:drawing>
                      <wp:inline distT="0" distB="0" distL="0" distR="0">
                        <wp:extent cx="2287905" cy="1714500"/>
                        <wp:effectExtent l="0" t="0" r="0" b="0"/>
                        <wp:docPr id="9894510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1098" name="图片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301634" cy="172478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 w:hRule="atLeast"/>
              </w:trPr>
              <w:tc>
                <w:tcPr>
                  <w:tcW w:w="8662" w:type="dxa"/>
                  <w:gridSpan w:val="2"/>
                  <w:vAlign w:val="center"/>
                </w:tcPr>
                <w:p>
                  <w:pPr>
                    <w:spacing w:line="360" w:lineRule="auto"/>
                    <w:jc w:val="center"/>
                    <w:rPr>
                      <w:rFonts w:cs="Times New Roman"/>
                      <w:szCs w:val="21"/>
                    </w:rPr>
                  </w:pPr>
                  <w:r>
                    <w:rPr>
                      <w:rFonts w:eastAsia="黑体" w:cs="Times New Roman"/>
                    </w:rPr>
                    <w:t>图2</w:t>
                  </w:r>
                  <w:r>
                    <w:rPr>
                      <w:rFonts w:hint="eastAsia" w:eastAsia="黑体" w:cs="Times New Roman"/>
                    </w:rPr>
                    <w:t>-12</w:t>
                  </w:r>
                  <w:r>
                    <w:rPr>
                      <w:rFonts w:eastAsia="黑体" w:cs="Times New Roman"/>
                    </w:rPr>
                    <w:t xml:space="preserve">  </w:t>
                  </w:r>
                  <w:r>
                    <w:rPr>
                      <w:rFonts w:hint="eastAsia" w:eastAsia="黑体" w:cs="Times New Roman"/>
                    </w:rPr>
                    <w:t>现有危废暂存间照片</w:t>
                  </w:r>
                </w:p>
              </w:tc>
            </w:tr>
          </w:tbl>
          <w:p>
            <w:pPr>
              <w:spacing w:line="360" w:lineRule="auto"/>
              <w:ind w:firstLine="482" w:firstLineChars="200"/>
              <w:rPr>
                <w:rFonts w:cs="Times New Roman"/>
                <w:b/>
                <w:sz w:val="24"/>
                <w:szCs w:val="24"/>
              </w:rPr>
            </w:pPr>
            <w:r>
              <w:rPr>
                <w:rFonts w:hint="eastAsia" w:cs="Times New Roman"/>
                <w:b/>
                <w:sz w:val="24"/>
                <w:szCs w:val="24"/>
              </w:rPr>
              <w:t>（6）环境风险防范措施</w:t>
            </w:r>
          </w:p>
          <w:p>
            <w:pPr>
              <w:spacing w:line="360" w:lineRule="auto"/>
              <w:ind w:firstLine="480" w:firstLineChars="200"/>
              <w:rPr>
                <w:sz w:val="24"/>
                <w:szCs w:val="24"/>
              </w:rPr>
            </w:pPr>
            <w:r>
              <w:rPr>
                <w:rFonts w:hint="eastAsia"/>
                <w:sz w:val="24"/>
                <w:szCs w:val="24"/>
              </w:rPr>
              <w:t>现有</w:t>
            </w:r>
            <w:r>
              <w:rPr>
                <w:sz w:val="24"/>
                <w:szCs w:val="24"/>
              </w:rPr>
              <w:t>工程采取环境风险防范措施包括</w:t>
            </w:r>
            <w:r>
              <w:rPr>
                <w:rFonts w:hint="eastAsia"/>
                <w:sz w:val="24"/>
                <w:szCs w:val="24"/>
              </w:rPr>
              <w:t>：①严格按照消防设计规范进行建设，设置消防警示标识，配备灭火器材；②危废暂存间地面及墙裙采取防渗措施，设置备用收容设施；③编制了《环境保护管理总则》《环境保护管理暂行规定》《固体废弃物控制管理制度》《环境保护突发事件应急响应方案》等管理制度，明确了环境管理标准、指标、机构及职责，并落实到各个部门；④制定了环境风险应急预案等。</w:t>
            </w:r>
          </w:p>
          <w:p>
            <w:pPr>
              <w:spacing w:line="360" w:lineRule="auto"/>
              <w:ind w:firstLine="482" w:firstLineChars="200"/>
              <w:rPr>
                <w:b/>
                <w:sz w:val="24"/>
              </w:rPr>
            </w:pPr>
            <w:r>
              <w:rPr>
                <w:b/>
                <w:sz w:val="24"/>
              </w:rPr>
              <w:t>4</w:t>
            </w:r>
            <w:r>
              <w:rPr>
                <w:rFonts w:hint="eastAsia"/>
                <w:b/>
                <w:sz w:val="24"/>
              </w:rPr>
              <w:t>、现有项目污染物实际排放量</w:t>
            </w:r>
          </w:p>
          <w:p>
            <w:pPr>
              <w:spacing w:line="360" w:lineRule="auto"/>
              <w:ind w:firstLine="480" w:firstLineChars="200"/>
              <w:rPr>
                <w:sz w:val="24"/>
                <w:szCs w:val="24"/>
              </w:rPr>
            </w:pPr>
            <w:r>
              <w:rPr>
                <w:rFonts w:hint="eastAsia"/>
                <w:sz w:val="24"/>
                <w:szCs w:val="24"/>
              </w:rPr>
              <w:t>根据《建设项目环境影响报告表编制技术指南（污染影响类）（试行）》中“</w:t>
            </w:r>
            <w:r>
              <w:rPr>
                <w:rFonts w:hint="eastAsia"/>
                <w:i/>
                <w:iCs/>
                <w:sz w:val="24"/>
                <w:szCs w:val="24"/>
              </w:rPr>
              <w:t>现有工程污染物排放情况根据排污许可证执行报告填写，无排污许可证执行报告或执行报告中无相关内容的，通过监测数据核算现有工程污染物排放情况</w:t>
            </w:r>
            <w:r>
              <w:rPr>
                <w:rFonts w:hint="eastAsia"/>
                <w:sz w:val="24"/>
                <w:szCs w:val="24"/>
              </w:rPr>
              <w:t>”的规定，本次环评现有项目污染物排放量根据企业《排污许可证执行报告（2023年度）》和例行监测数据进行核算，主要污染物实际排放量见下表：</w:t>
            </w:r>
          </w:p>
          <w:p>
            <w:pPr>
              <w:spacing w:line="360" w:lineRule="auto"/>
              <w:jc w:val="center"/>
              <w:rPr>
                <w:rFonts w:eastAsia="黑体" w:cstheme="minorHAnsi"/>
                <w:szCs w:val="21"/>
              </w:rPr>
            </w:pPr>
            <w:r>
              <w:rPr>
                <w:rFonts w:hint="eastAsia" w:ascii="黑体" w:hAnsi="黑体" w:eastAsia="黑体"/>
                <w:szCs w:val="21"/>
              </w:rPr>
              <w:t>表</w:t>
            </w:r>
            <w:r>
              <w:rPr>
                <w:rFonts w:eastAsia="黑体" w:cstheme="minorHAnsi"/>
                <w:szCs w:val="21"/>
              </w:rPr>
              <w:t>2</w:t>
            </w:r>
            <w:r>
              <w:rPr>
                <w:rFonts w:hint="eastAsia" w:eastAsia="黑体" w:cstheme="minorHAnsi"/>
                <w:szCs w:val="21"/>
              </w:rPr>
              <w:t>-11</w:t>
            </w:r>
            <w:r>
              <w:rPr>
                <w:rFonts w:eastAsia="黑体" w:cstheme="minorHAnsi"/>
                <w:szCs w:val="21"/>
              </w:rPr>
              <w:t xml:space="preserve">  </w:t>
            </w:r>
            <w:r>
              <w:rPr>
                <w:rFonts w:hint="eastAsia" w:eastAsia="黑体" w:cstheme="minorHAnsi"/>
                <w:szCs w:val="21"/>
              </w:rPr>
              <w:t>现有骨料生产线</w:t>
            </w:r>
            <w:r>
              <w:rPr>
                <w:rFonts w:hint="eastAsia" w:eastAsia="黑体"/>
                <w:szCs w:val="21"/>
              </w:rPr>
              <w:t>主要污染物实际</w:t>
            </w:r>
            <w:r>
              <w:rPr>
                <w:rFonts w:eastAsia="黑体"/>
                <w:szCs w:val="21"/>
              </w:rPr>
              <w:t>排放量</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2984"/>
              <w:gridCol w:w="2618"/>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vAlign w:val="center"/>
                </w:tcPr>
                <w:p>
                  <w:pPr>
                    <w:jc w:val="center"/>
                    <w:rPr>
                      <w:szCs w:val="21"/>
                    </w:rPr>
                  </w:pPr>
                  <w:r>
                    <w:rPr>
                      <w:rFonts w:hint="eastAsia"/>
                      <w:szCs w:val="21"/>
                    </w:rPr>
                    <w:t>类型</w:t>
                  </w:r>
                </w:p>
              </w:tc>
              <w:tc>
                <w:tcPr>
                  <w:tcW w:w="1631" w:type="pct"/>
                  <w:vAlign w:val="center"/>
                </w:tcPr>
                <w:p>
                  <w:pPr>
                    <w:jc w:val="center"/>
                    <w:rPr>
                      <w:szCs w:val="21"/>
                    </w:rPr>
                  </w:pPr>
                  <w:r>
                    <w:rPr>
                      <w:rFonts w:hint="eastAsia"/>
                      <w:szCs w:val="21"/>
                    </w:rPr>
                    <w:t>污染物</w:t>
                  </w:r>
                </w:p>
              </w:tc>
              <w:tc>
                <w:tcPr>
                  <w:tcW w:w="1431" w:type="pct"/>
                  <w:vAlign w:val="center"/>
                </w:tcPr>
                <w:p>
                  <w:pPr>
                    <w:jc w:val="center"/>
                    <w:rPr>
                      <w:szCs w:val="21"/>
                    </w:rPr>
                  </w:pPr>
                  <w:r>
                    <w:rPr>
                      <w:rFonts w:hint="eastAsia"/>
                      <w:szCs w:val="21"/>
                    </w:rPr>
                    <w:t>实际排放量（t/a）</w:t>
                  </w:r>
                </w:p>
              </w:tc>
              <w:tc>
                <w:tcPr>
                  <w:tcW w:w="1139" w:type="pct"/>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vAlign w:val="center"/>
                </w:tcPr>
                <w:p>
                  <w:pPr>
                    <w:jc w:val="center"/>
                    <w:rPr>
                      <w:szCs w:val="21"/>
                    </w:rPr>
                  </w:pPr>
                  <w:r>
                    <w:rPr>
                      <w:rFonts w:hint="eastAsia"/>
                      <w:szCs w:val="21"/>
                    </w:rPr>
                    <w:t>废气</w:t>
                  </w:r>
                </w:p>
              </w:tc>
              <w:tc>
                <w:tcPr>
                  <w:tcW w:w="1631" w:type="pct"/>
                  <w:vAlign w:val="center"/>
                </w:tcPr>
                <w:p>
                  <w:pPr>
                    <w:jc w:val="center"/>
                    <w:rPr>
                      <w:szCs w:val="21"/>
                    </w:rPr>
                  </w:pPr>
                  <w:r>
                    <w:rPr>
                      <w:rFonts w:hint="eastAsia"/>
                      <w:szCs w:val="21"/>
                    </w:rPr>
                    <w:t>颗粒物</w:t>
                  </w:r>
                </w:p>
              </w:tc>
              <w:tc>
                <w:tcPr>
                  <w:tcW w:w="1431" w:type="pct"/>
                  <w:vAlign w:val="center"/>
                </w:tcPr>
                <w:p>
                  <w:pPr>
                    <w:jc w:val="center"/>
                    <w:rPr>
                      <w:szCs w:val="21"/>
                    </w:rPr>
                  </w:pPr>
                  <w:r>
                    <w:rPr>
                      <w:rFonts w:hint="eastAsia"/>
                      <w:szCs w:val="21"/>
                    </w:rPr>
                    <w:t>0.3756</w:t>
                  </w:r>
                </w:p>
              </w:tc>
              <w:tc>
                <w:tcPr>
                  <w:tcW w:w="1139" w:type="pct"/>
                  <w:vAlign w:val="center"/>
                </w:tcPr>
                <w:p>
                  <w:pPr>
                    <w:jc w:val="center"/>
                    <w:rPr>
                      <w:szCs w:val="21"/>
                    </w:rPr>
                  </w:pPr>
                  <w:r>
                    <w:rPr>
                      <w:rFonts w:hint="eastAsia"/>
                      <w:szCs w:val="21"/>
                    </w:rPr>
                    <w:t>排入大气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vMerge w:val="restart"/>
                  <w:vAlign w:val="center"/>
                </w:tcPr>
                <w:p>
                  <w:pPr>
                    <w:jc w:val="center"/>
                    <w:rPr>
                      <w:szCs w:val="21"/>
                    </w:rPr>
                  </w:pPr>
                  <w:r>
                    <w:rPr>
                      <w:rFonts w:hint="eastAsia"/>
                      <w:szCs w:val="21"/>
                    </w:rPr>
                    <w:t>废水</w:t>
                  </w:r>
                </w:p>
              </w:tc>
              <w:tc>
                <w:tcPr>
                  <w:tcW w:w="1631" w:type="pct"/>
                  <w:vAlign w:val="center"/>
                </w:tcPr>
                <w:p>
                  <w:pPr>
                    <w:jc w:val="center"/>
                    <w:rPr>
                      <w:szCs w:val="21"/>
                    </w:rPr>
                  </w:pPr>
                  <w:r>
                    <w:rPr>
                      <w:rFonts w:hint="eastAsia"/>
                      <w:szCs w:val="21"/>
                    </w:rPr>
                    <w:t>废水量</w:t>
                  </w:r>
                </w:p>
              </w:tc>
              <w:tc>
                <w:tcPr>
                  <w:tcW w:w="1431" w:type="pct"/>
                  <w:vAlign w:val="center"/>
                </w:tcPr>
                <w:p>
                  <w:pPr>
                    <w:jc w:val="center"/>
                    <w:rPr>
                      <w:szCs w:val="21"/>
                    </w:rPr>
                  </w:pPr>
                  <w:r>
                    <w:rPr>
                      <w:rFonts w:hint="eastAsia"/>
                      <w:szCs w:val="21"/>
                    </w:rPr>
                    <w:t>0</w:t>
                  </w:r>
                </w:p>
              </w:tc>
              <w:tc>
                <w:tcPr>
                  <w:tcW w:w="1139" w:type="pct"/>
                  <w:vMerge w:val="restart"/>
                  <w:vAlign w:val="center"/>
                </w:tcPr>
                <w:p>
                  <w:pPr>
                    <w:jc w:val="center"/>
                    <w:rPr>
                      <w:szCs w:val="21"/>
                    </w:rPr>
                  </w:pPr>
                  <w:r>
                    <w:rPr>
                      <w:rFonts w:hint="eastAsia"/>
                      <w:szCs w:val="21"/>
                    </w:rPr>
                    <w:t>全部回用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vMerge w:val="continue"/>
                  <w:vAlign w:val="center"/>
                </w:tcPr>
                <w:p>
                  <w:pPr>
                    <w:jc w:val="center"/>
                    <w:rPr>
                      <w:szCs w:val="21"/>
                    </w:rPr>
                  </w:pPr>
                </w:p>
              </w:tc>
              <w:tc>
                <w:tcPr>
                  <w:tcW w:w="1631" w:type="pct"/>
                  <w:vAlign w:val="center"/>
                </w:tcPr>
                <w:p>
                  <w:pPr>
                    <w:jc w:val="center"/>
                    <w:rPr>
                      <w:szCs w:val="21"/>
                    </w:rPr>
                  </w:pPr>
                  <w:r>
                    <w:rPr>
                      <w:rFonts w:hint="eastAsia" w:cs="Times New Roman"/>
                      <w:szCs w:val="21"/>
                    </w:rPr>
                    <w:t>COD</w:t>
                  </w:r>
                </w:p>
              </w:tc>
              <w:tc>
                <w:tcPr>
                  <w:tcW w:w="1431" w:type="pct"/>
                  <w:vAlign w:val="center"/>
                </w:tcPr>
                <w:p>
                  <w:pPr>
                    <w:jc w:val="center"/>
                    <w:rPr>
                      <w:szCs w:val="21"/>
                    </w:rPr>
                  </w:pPr>
                  <w:r>
                    <w:rPr>
                      <w:rFonts w:hint="eastAsia"/>
                      <w:szCs w:val="21"/>
                    </w:rPr>
                    <w:t>0</w:t>
                  </w:r>
                </w:p>
              </w:tc>
              <w:tc>
                <w:tcPr>
                  <w:tcW w:w="113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799" w:type="pct"/>
                  <w:vMerge w:val="continue"/>
                  <w:vAlign w:val="center"/>
                </w:tcPr>
                <w:p>
                  <w:pPr>
                    <w:jc w:val="center"/>
                    <w:rPr>
                      <w:szCs w:val="21"/>
                    </w:rPr>
                  </w:pPr>
                </w:p>
              </w:tc>
              <w:tc>
                <w:tcPr>
                  <w:tcW w:w="1631" w:type="pct"/>
                  <w:vAlign w:val="center"/>
                </w:tcPr>
                <w:p>
                  <w:pPr>
                    <w:jc w:val="center"/>
                    <w:rPr>
                      <w:szCs w:val="21"/>
                    </w:rPr>
                  </w:pPr>
                  <w:r>
                    <w:rPr>
                      <w:rFonts w:hint="eastAsia" w:cs="Times New Roman"/>
                      <w:szCs w:val="21"/>
                    </w:rPr>
                    <w:t>NH</w:t>
                  </w:r>
                  <w:r>
                    <w:rPr>
                      <w:rFonts w:cs="Times New Roman"/>
                      <w:szCs w:val="21"/>
                      <w:vertAlign w:val="subscript"/>
                    </w:rPr>
                    <w:t>3</w:t>
                  </w:r>
                  <w:r>
                    <w:rPr>
                      <w:rFonts w:cs="Times New Roman"/>
                      <w:szCs w:val="21"/>
                    </w:rPr>
                    <w:t>-</w:t>
                  </w:r>
                  <w:r>
                    <w:rPr>
                      <w:rFonts w:hint="eastAsia" w:cs="Times New Roman"/>
                      <w:szCs w:val="21"/>
                    </w:rPr>
                    <w:t>N</w:t>
                  </w:r>
                </w:p>
              </w:tc>
              <w:tc>
                <w:tcPr>
                  <w:tcW w:w="1431" w:type="pct"/>
                  <w:vAlign w:val="center"/>
                </w:tcPr>
                <w:p>
                  <w:pPr>
                    <w:jc w:val="center"/>
                    <w:rPr>
                      <w:szCs w:val="21"/>
                    </w:rPr>
                  </w:pPr>
                  <w:r>
                    <w:rPr>
                      <w:rFonts w:hint="eastAsia"/>
                      <w:szCs w:val="21"/>
                    </w:rPr>
                    <w:t>0</w:t>
                  </w:r>
                </w:p>
              </w:tc>
              <w:tc>
                <w:tcPr>
                  <w:tcW w:w="113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799" w:type="pct"/>
                  <w:vMerge w:val="restart"/>
                  <w:vAlign w:val="center"/>
                </w:tcPr>
                <w:p>
                  <w:pPr>
                    <w:jc w:val="center"/>
                    <w:rPr>
                      <w:szCs w:val="21"/>
                    </w:rPr>
                  </w:pPr>
                  <w:r>
                    <w:rPr>
                      <w:rFonts w:hint="eastAsia"/>
                      <w:szCs w:val="21"/>
                    </w:rPr>
                    <w:t>固体废物</w:t>
                  </w:r>
                </w:p>
              </w:tc>
              <w:tc>
                <w:tcPr>
                  <w:tcW w:w="1631" w:type="pct"/>
                  <w:vAlign w:val="center"/>
                </w:tcPr>
                <w:p>
                  <w:pPr>
                    <w:jc w:val="center"/>
                    <w:rPr>
                      <w:szCs w:val="21"/>
                    </w:rPr>
                  </w:pPr>
                  <w:r>
                    <w:rPr>
                      <w:rFonts w:hint="eastAsia"/>
                      <w:szCs w:val="21"/>
                    </w:rPr>
                    <w:t>一般固体废物</w:t>
                  </w:r>
                </w:p>
              </w:tc>
              <w:tc>
                <w:tcPr>
                  <w:tcW w:w="1431" w:type="pct"/>
                  <w:vAlign w:val="center"/>
                </w:tcPr>
                <w:p>
                  <w:pPr>
                    <w:jc w:val="center"/>
                    <w:rPr>
                      <w:szCs w:val="21"/>
                    </w:rPr>
                  </w:pPr>
                  <w:r>
                    <w:rPr>
                      <w:rFonts w:hint="eastAsia"/>
                      <w:szCs w:val="21"/>
                    </w:rPr>
                    <w:t>0</w:t>
                  </w:r>
                </w:p>
              </w:tc>
              <w:tc>
                <w:tcPr>
                  <w:tcW w:w="1139" w:type="pct"/>
                  <w:vMerge w:val="restart"/>
                  <w:vAlign w:val="center"/>
                </w:tcPr>
                <w:p>
                  <w:pPr>
                    <w:jc w:val="center"/>
                    <w:rPr>
                      <w:szCs w:val="21"/>
                    </w:rPr>
                  </w:pPr>
                  <w:r>
                    <w:rPr>
                      <w:rFonts w:hint="eastAsia"/>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799" w:type="pct"/>
                  <w:vMerge w:val="continue"/>
                  <w:vAlign w:val="center"/>
                </w:tcPr>
                <w:p>
                  <w:pPr>
                    <w:jc w:val="center"/>
                    <w:rPr>
                      <w:szCs w:val="21"/>
                    </w:rPr>
                  </w:pPr>
                </w:p>
              </w:tc>
              <w:tc>
                <w:tcPr>
                  <w:tcW w:w="1631" w:type="pct"/>
                  <w:vAlign w:val="center"/>
                </w:tcPr>
                <w:p>
                  <w:pPr>
                    <w:jc w:val="center"/>
                    <w:rPr>
                      <w:szCs w:val="21"/>
                    </w:rPr>
                  </w:pPr>
                  <w:r>
                    <w:rPr>
                      <w:rFonts w:hint="eastAsia"/>
                      <w:szCs w:val="21"/>
                    </w:rPr>
                    <w:t>危险废物</w:t>
                  </w:r>
                </w:p>
              </w:tc>
              <w:tc>
                <w:tcPr>
                  <w:tcW w:w="1431" w:type="pct"/>
                  <w:vAlign w:val="center"/>
                </w:tcPr>
                <w:p>
                  <w:pPr>
                    <w:jc w:val="center"/>
                    <w:rPr>
                      <w:szCs w:val="21"/>
                    </w:rPr>
                  </w:pPr>
                  <w:r>
                    <w:rPr>
                      <w:rFonts w:hint="eastAsia"/>
                      <w:szCs w:val="21"/>
                    </w:rPr>
                    <w:t>0</w:t>
                  </w:r>
                </w:p>
              </w:tc>
              <w:tc>
                <w:tcPr>
                  <w:tcW w:w="113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5000" w:type="pct"/>
                  <w:gridSpan w:val="4"/>
                  <w:vAlign w:val="center"/>
                </w:tcPr>
                <w:p>
                  <w:pPr>
                    <w:rPr>
                      <w:szCs w:val="21"/>
                    </w:rPr>
                  </w:pPr>
                  <w:r>
                    <w:rPr>
                      <w:rFonts w:hint="eastAsia"/>
                      <w:szCs w:val="21"/>
                    </w:rPr>
                    <w:t>注：因《排污许可证执行报告（2023年度）》未核算骨料生产线排放量，本次环评根据例行监测数据进行计算。</w:t>
                  </w:r>
                </w:p>
              </w:tc>
            </w:tr>
          </w:tbl>
          <w:p>
            <w:pPr>
              <w:spacing w:line="360" w:lineRule="auto"/>
              <w:jc w:val="center"/>
              <w:rPr>
                <w:rFonts w:eastAsia="黑体" w:cstheme="minorHAnsi"/>
                <w:szCs w:val="21"/>
              </w:rPr>
            </w:pPr>
            <w:r>
              <w:rPr>
                <w:rFonts w:hint="eastAsia" w:ascii="黑体" w:hAnsi="黑体" w:eastAsia="黑体"/>
                <w:szCs w:val="21"/>
              </w:rPr>
              <w:t>表</w:t>
            </w:r>
            <w:r>
              <w:rPr>
                <w:rFonts w:eastAsia="黑体" w:cstheme="minorHAnsi"/>
                <w:szCs w:val="21"/>
              </w:rPr>
              <w:t>2</w:t>
            </w:r>
            <w:r>
              <w:rPr>
                <w:rFonts w:hint="eastAsia" w:eastAsia="黑体" w:cstheme="minorHAnsi"/>
                <w:szCs w:val="21"/>
              </w:rPr>
              <w:t>-12</w:t>
            </w:r>
            <w:r>
              <w:rPr>
                <w:rFonts w:eastAsia="黑体" w:cstheme="minorHAnsi"/>
                <w:szCs w:val="21"/>
              </w:rPr>
              <w:t xml:space="preserve">  </w:t>
            </w:r>
            <w:r>
              <w:rPr>
                <w:rFonts w:hint="eastAsia" w:eastAsia="黑体" w:cstheme="minorHAnsi"/>
                <w:szCs w:val="21"/>
              </w:rPr>
              <w:t>现有厂区</w:t>
            </w:r>
            <w:r>
              <w:rPr>
                <w:rFonts w:hint="eastAsia" w:eastAsia="黑体"/>
                <w:szCs w:val="21"/>
              </w:rPr>
              <w:t>主要污染物实际</w:t>
            </w:r>
            <w:r>
              <w:rPr>
                <w:rFonts w:eastAsia="黑体"/>
                <w:szCs w:val="21"/>
              </w:rPr>
              <w:t>排放量</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2268"/>
              <w:gridCol w:w="1979"/>
              <w:gridCol w:w="1990"/>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Align w:val="center"/>
                </w:tcPr>
                <w:p>
                  <w:pPr>
                    <w:jc w:val="center"/>
                    <w:rPr>
                      <w:szCs w:val="21"/>
                    </w:rPr>
                  </w:pPr>
                  <w:r>
                    <w:rPr>
                      <w:rFonts w:hint="eastAsia"/>
                      <w:szCs w:val="21"/>
                    </w:rPr>
                    <w:t>类型</w:t>
                  </w:r>
                </w:p>
              </w:tc>
              <w:tc>
                <w:tcPr>
                  <w:tcW w:w="2268" w:type="dxa"/>
                  <w:vAlign w:val="center"/>
                </w:tcPr>
                <w:p>
                  <w:pPr>
                    <w:jc w:val="center"/>
                    <w:rPr>
                      <w:szCs w:val="21"/>
                    </w:rPr>
                  </w:pPr>
                  <w:r>
                    <w:rPr>
                      <w:rFonts w:hint="eastAsia"/>
                      <w:szCs w:val="21"/>
                    </w:rPr>
                    <w:t>污染物</w:t>
                  </w:r>
                </w:p>
              </w:tc>
              <w:tc>
                <w:tcPr>
                  <w:tcW w:w="1979" w:type="dxa"/>
                  <w:vAlign w:val="center"/>
                </w:tcPr>
                <w:p>
                  <w:pPr>
                    <w:jc w:val="center"/>
                    <w:rPr>
                      <w:szCs w:val="21"/>
                    </w:rPr>
                  </w:pPr>
                  <w:r>
                    <w:rPr>
                      <w:rFonts w:hint="eastAsia"/>
                      <w:szCs w:val="21"/>
                    </w:rPr>
                    <w:t>许可排放量（t/a）</w:t>
                  </w:r>
                </w:p>
              </w:tc>
              <w:tc>
                <w:tcPr>
                  <w:tcW w:w="1990" w:type="dxa"/>
                  <w:vAlign w:val="center"/>
                </w:tcPr>
                <w:p>
                  <w:pPr>
                    <w:jc w:val="center"/>
                    <w:rPr>
                      <w:szCs w:val="21"/>
                    </w:rPr>
                  </w:pPr>
                  <w:r>
                    <w:rPr>
                      <w:rFonts w:hint="eastAsia"/>
                      <w:szCs w:val="21"/>
                    </w:rPr>
                    <w:t>实际排放量（t/a）</w:t>
                  </w:r>
                </w:p>
              </w:tc>
              <w:tc>
                <w:tcPr>
                  <w:tcW w:w="1584" w:type="dxa"/>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restart"/>
                  <w:vAlign w:val="center"/>
                </w:tcPr>
                <w:p>
                  <w:pPr>
                    <w:jc w:val="center"/>
                    <w:rPr>
                      <w:szCs w:val="21"/>
                    </w:rPr>
                  </w:pPr>
                  <w:r>
                    <w:rPr>
                      <w:rFonts w:hint="eastAsia"/>
                      <w:szCs w:val="21"/>
                    </w:rPr>
                    <w:t>废气</w:t>
                  </w:r>
                </w:p>
              </w:tc>
              <w:tc>
                <w:tcPr>
                  <w:tcW w:w="2268" w:type="dxa"/>
                  <w:vAlign w:val="center"/>
                </w:tcPr>
                <w:p>
                  <w:pPr>
                    <w:jc w:val="center"/>
                    <w:rPr>
                      <w:szCs w:val="21"/>
                    </w:rPr>
                  </w:pPr>
                  <w:r>
                    <w:rPr>
                      <w:rFonts w:hint="eastAsia"/>
                      <w:szCs w:val="21"/>
                    </w:rPr>
                    <w:t>颗粒物</w:t>
                  </w:r>
                </w:p>
              </w:tc>
              <w:tc>
                <w:tcPr>
                  <w:tcW w:w="1979" w:type="dxa"/>
                  <w:vAlign w:val="center"/>
                </w:tcPr>
                <w:p>
                  <w:pPr>
                    <w:jc w:val="center"/>
                    <w:rPr>
                      <w:szCs w:val="21"/>
                    </w:rPr>
                  </w:pPr>
                  <w:r>
                    <w:rPr>
                      <w:rFonts w:hint="eastAsia"/>
                      <w:szCs w:val="21"/>
                    </w:rPr>
                    <w:t>253.792</w:t>
                  </w:r>
                </w:p>
              </w:tc>
              <w:tc>
                <w:tcPr>
                  <w:tcW w:w="1990" w:type="dxa"/>
                  <w:vAlign w:val="center"/>
                </w:tcPr>
                <w:p>
                  <w:pPr>
                    <w:jc w:val="center"/>
                    <w:rPr>
                      <w:szCs w:val="21"/>
                    </w:rPr>
                  </w:pPr>
                  <w:r>
                    <w:rPr>
                      <w:rFonts w:hint="eastAsia"/>
                      <w:szCs w:val="21"/>
                    </w:rPr>
                    <w:t>23.9614</w:t>
                  </w:r>
                </w:p>
              </w:tc>
              <w:tc>
                <w:tcPr>
                  <w:tcW w:w="1584" w:type="dxa"/>
                  <w:vMerge w:val="restart"/>
                  <w:vAlign w:val="center"/>
                </w:tcPr>
                <w:p>
                  <w:pPr>
                    <w:jc w:val="center"/>
                    <w:rPr>
                      <w:szCs w:val="21"/>
                    </w:rPr>
                  </w:pPr>
                  <w:r>
                    <w:rPr>
                      <w:rFonts w:hint="eastAsia"/>
                      <w:szCs w:val="21"/>
                    </w:rPr>
                    <w:t>排入大气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continue"/>
                  <w:vAlign w:val="center"/>
                </w:tcPr>
                <w:p>
                  <w:pPr>
                    <w:jc w:val="center"/>
                    <w:rPr>
                      <w:szCs w:val="21"/>
                    </w:rPr>
                  </w:pPr>
                </w:p>
              </w:tc>
              <w:tc>
                <w:tcPr>
                  <w:tcW w:w="2268" w:type="dxa"/>
                  <w:vAlign w:val="center"/>
                </w:tcPr>
                <w:p>
                  <w:pPr>
                    <w:jc w:val="center"/>
                    <w:rPr>
                      <w:szCs w:val="21"/>
                    </w:rPr>
                  </w:pPr>
                  <w:r>
                    <w:rPr>
                      <w:rFonts w:hint="eastAsia"/>
                      <w:szCs w:val="21"/>
                    </w:rPr>
                    <w:t>二氧化硫</w:t>
                  </w:r>
                </w:p>
              </w:tc>
              <w:tc>
                <w:tcPr>
                  <w:tcW w:w="1979" w:type="dxa"/>
                  <w:vAlign w:val="center"/>
                </w:tcPr>
                <w:p>
                  <w:pPr>
                    <w:jc w:val="center"/>
                    <w:rPr>
                      <w:szCs w:val="21"/>
                    </w:rPr>
                  </w:pPr>
                  <w:r>
                    <w:rPr>
                      <w:rFonts w:hint="eastAsia"/>
                      <w:szCs w:val="21"/>
                    </w:rPr>
                    <w:t>259.875</w:t>
                  </w:r>
                </w:p>
              </w:tc>
              <w:tc>
                <w:tcPr>
                  <w:tcW w:w="1990" w:type="dxa"/>
                  <w:vAlign w:val="center"/>
                </w:tcPr>
                <w:p>
                  <w:pPr>
                    <w:jc w:val="center"/>
                    <w:rPr>
                      <w:szCs w:val="21"/>
                    </w:rPr>
                  </w:pPr>
                  <w:r>
                    <w:rPr>
                      <w:rFonts w:hint="eastAsia"/>
                      <w:szCs w:val="21"/>
                    </w:rPr>
                    <w:t>51.7707</w:t>
                  </w:r>
                </w:p>
              </w:tc>
              <w:tc>
                <w:tcPr>
                  <w:tcW w:w="158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continue"/>
                  <w:vAlign w:val="center"/>
                </w:tcPr>
                <w:p>
                  <w:pPr>
                    <w:jc w:val="center"/>
                    <w:rPr>
                      <w:szCs w:val="21"/>
                    </w:rPr>
                  </w:pPr>
                </w:p>
              </w:tc>
              <w:tc>
                <w:tcPr>
                  <w:tcW w:w="2268" w:type="dxa"/>
                  <w:vAlign w:val="center"/>
                </w:tcPr>
                <w:p>
                  <w:pPr>
                    <w:jc w:val="center"/>
                    <w:rPr>
                      <w:szCs w:val="21"/>
                    </w:rPr>
                  </w:pPr>
                  <w:r>
                    <w:rPr>
                      <w:rFonts w:hint="eastAsia"/>
                      <w:szCs w:val="21"/>
                    </w:rPr>
                    <w:t>氮氧化物</w:t>
                  </w:r>
                </w:p>
              </w:tc>
              <w:tc>
                <w:tcPr>
                  <w:tcW w:w="1979" w:type="dxa"/>
                  <w:vAlign w:val="center"/>
                </w:tcPr>
                <w:p>
                  <w:pPr>
                    <w:jc w:val="center"/>
                    <w:rPr>
                      <w:szCs w:val="21"/>
                    </w:rPr>
                  </w:pPr>
                  <w:r>
                    <w:rPr>
                      <w:rFonts w:hint="eastAsia"/>
                      <w:szCs w:val="21"/>
                    </w:rPr>
                    <w:t>742.5</w:t>
                  </w:r>
                </w:p>
              </w:tc>
              <w:tc>
                <w:tcPr>
                  <w:tcW w:w="1990" w:type="dxa"/>
                  <w:vAlign w:val="center"/>
                </w:tcPr>
                <w:p>
                  <w:pPr>
                    <w:jc w:val="center"/>
                    <w:rPr>
                      <w:szCs w:val="21"/>
                    </w:rPr>
                  </w:pPr>
                  <w:r>
                    <w:rPr>
                      <w:rFonts w:hint="eastAsia"/>
                      <w:szCs w:val="21"/>
                    </w:rPr>
                    <w:t>381.4060</w:t>
                  </w:r>
                </w:p>
              </w:tc>
              <w:tc>
                <w:tcPr>
                  <w:tcW w:w="158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continue"/>
                  <w:vAlign w:val="center"/>
                </w:tcPr>
                <w:p>
                  <w:pPr>
                    <w:jc w:val="center"/>
                    <w:rPr>
                      <w:szCs w:val="21"/>
                    </w:rPr>
                  </w:pPr>
                </w:p>
              </w:tc>
              <w:tc>
                <w:tcPr>
                  <w:tcW w:w="2268" w:type="dxa"/>
                  <w:vAlign w:val="center"/>
                </w:tcPr>
                <w:p>
                  <w:pPr>
                    <w:jc w:val="center"/>
                    <w:rPr>
                      <w:szCs w:val="21"/>
                    </w:rPr>
                  </w:pPr>
                  <w:r>
                    <w:rPr>
                      <w:rFonts w:hint="eastAsia"/>
                      <w:szCs w:val="21"/>
                    </w:rPr>
                    <w:t>氟化物</w:t>
                  </w:r>
                </w:p>
              </w:tc>
              <w:tc>
                <w:tcPr>
                  <w:tcW w:w="1979" w:type="dxa"/>
                  <w:vAlign w:val="center"/>
                </w:tcPr>
                <w:p>
                  <w:pPr>
                    <w:jc w:val="center"/>
                    <w:rPr>
                      <w:szCs w:val="21"/>
                    </w:rPr>
                  </w:pPr>
                  <w:r>
                    <w:rPr>
                      <w:rFonts w:hint="eastAsia"/>
                      <w:szCs w:val="21"/>
                    </w:rPr>
                    <w:t>/</w:t>
                  </w:r>
                </w:p>
              </w:tc>
              <w:tc>
                <w:tcPr>
                  <w:tcW w:w="1990" w:type="dxa"/>
                  <w:vAlign w:val="center"/>
                </w:tcPr>
                <w:p>
                  <w:pPr>
                    <w:jc w:val="center"/>
                    <w:rPr>
                      <w:szCs w:val="21"/>
                    </w:rPr>
                  </w:pPr>
                  <w:r>
                    <w:rPr>
                      <w:rFonts w:hint="eastAsia"/>
                      <w:szCs w:val="21"/>
                    </w:rPr>
                    <w:t>2.2790</w:t>
                  </w:r>
                </w:p>
              </w:tc>
              <w:tc>
                <w:tcPr>
                  <w:tcW w:w="158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continue"/>
                  <w:vAlign w:val="center"/>
                </w:tcPr>
                <w:p>
                  <w:pPr>
                    <w:jc w:val="center"/>
                    <w:rPr>
                      <w:szCs w:val="21"/>
                    </w:rPr>
                  </w:pPr>
                </w:p>
              </w:tc>
              <w:tc>
                <w:tcPr>
                  <w:tcW w:w="2268" w:type="dxa"/>
                  <w:vAlign w:val="center"/>
                </w:tcPr>
                <w:p>
                  <w:pPr>
                    <w:jc w:val="center"/>
                    <w:rPr>
                      <w:szCs w:val="21"/>
                    </w:rPr>
                  </w:pPr>
                  <w:r>
                    <w:rPr>
                      <w:rFonts w:hint="eastAsia"/>
                      <w:szCs w:val="21"/>
                    </w:rPr>
                    <w:t>汞及其化合物</w:t>
                  </w:r>
                </w:p>
              </w:tc>
              <w:tc>
                <w:tcPr>
                  <w:tcW w:w="1979" w:type="dxa"/>
                  <w:vAlign w:val="center"/>
                </w:tcPr>
                <w:p>
                  <w:pPr>
                    <w:jc w:val="center"/>
                    <w:rPr>
                      <w:szCs w:val="21"/>
                    </w:rPr>
                  </w:pPr>
                  <w:r>
                    <w:rPr>
                      <w:rFonts w:hint="eastAsia"/>
                      <w:szCs w:val="21"/>
                    </w:rPr>
                    <w:t>/</w:t>
                  </w:r>
                </w:p>
              </w:tc>
              <w:tc>
                <w:tcPr>
                  <w:tcW w:w="1990" w:type="dxa"/>
                  <w:vAlign w:val="center"/>
                </w:tcPr>
                <w:p>
                  <w:pPr>
                    <w:jc w:val="center"/>
                    <w:rPr>
                      <w:szCs w:val="21"/>
                    </w:rPr>
                  </w:pPr>
                  <w:r>
                    <w:rPr>
                      <w:rFonts w:hint="eastAsia"/>
                      <w:szCs w:val="21"/>
                    </w:rPr>
                    <w:t>0.4539</w:t>
                  </w:r>
                </w:p>
              </w:tc>
              <w:tc>
                <w:tcPr>
                  <w:tcW w:w="158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continue"/>
                  <w:vAlign w:val="center"/>
                </w:tcPr>
                <w:p>
                  <w:pPr>
                    <w:jc w:val="center"/>
                    <w:rPr>
                      <w:szCs w:val="21"/>
                    </w:rPr>
                  </w:pPr>
                </w:p>
              </w:tc>
              <w:tc>
                <w:tcPr>
                  <w:tcW w:w="2268" w:type="dxa"/>
                  <w:vAlign w:val="center"/>
                </w:tcPr>
                <w:p>
                  <w:pPr>
                    <w:jc w:val="center"/>
                    <w:rPr>
                      <w:szCs w:val="21"/>
                    </w:rPr>
                  </w:pPr>
                  <w:r>
                    <w:rPr>
                      <w:rFonts w:hint="eastAsia"/>
                      <w:szCs w:val="21"/>
                    </w:rPr>
                    <w:t>氨</w:t>
                  </w:r>
                </w:p>
              </w:tc>
              <w:tc>
                <w:tcPr>
                  <w:tcW w:w="1979" w:type="dxa"/>
                  <w:vAlign w:val="center"/>
                </w:tcPr>
                <w:p>
                  <w:pPr>
                    <w:jc w:val="center"/>
                    <w:rPr>
                      <w:szCs w:val="21"/>
                    </w:rPr>
                  </w:pPr>
                  <w:r>
                    <w:rPr>
                      <w:rFonts w:hint="eastAsia"/>
                      <w:szCs w:val="21"/>
                    </w:rPr>
                    <w:t>/</w:t>
                  </w:r>
                </w:p>
              </w:tc>
              <w:tc>
                <w:tcPr>
                  <w:tcW w:w="1990" w:type="dxa"/>
                  <w:vAlign w:val="center"/>
                </w:tcPr>
                <w:p>
                  <w:pPr>
                    <w:jc w:val="center"/>
                    <w:rPr>
                      <w:szCs w:val="21"/>
                    </w:rPr>
                  </w:pPr>
                  <w:r>
                    <w:rPr>
                      <w:rFonts w:hint="eastAsia"/>
                      <w:szCs w:val="21"/>
                    </w:rPr>
                    <w:t>35.7673</w:t>
                  </w:r>
                </w:p>
              </w:tc>
              <w:tc>
                <w:tcPr>
                  <w:tcW w:w="158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restart"/>
                  <w:vAlign w:val="center"/>
                </w:tcPr>
                <w:p>
                  <w:pPr>
                    <w:jc w:val="center"/>
                    <w:rPr>
                      <w:szCs w:val="21"/>
                    </w:rPr>
                  </w:pPr>
                  <w:r>
                    <w:rPr>
                      <w:rFonts w:hint="eastAsia"/>
                      <w:szCs w:val="21"/>
                    </w:rPr>
                    <w:t>废水</w:t>
                  </w:r>
                </w:p>
              </w:tc>
              <w:tc>
                <w:tcPr>
                  <w:tcW w:w="2268" w:type="dxa"/>
                  <w:vAlign w:val="center"/>
                </w:tcPr>
                <w:p>
                  <w:pPr>
                    <w:jc w:val="center"/>
                    <w:rPr>
                      <w:szCs w:val="21"/>
                    </w:rPr>
                  </w:pPr>
                  <w:r>
                    <w:rPr>
                      <w:rFonts w:hint="eastAsia"/>
                      <w:szCs w:val="21"/>
                    </w:rPr>
                    <w:t>废水量</w:t>
                  </w:r>
                </w:p>
              </w:tc>
              <w:tc>
                <w:tcPr>
                  <w:tcW w:w="1979" w:type="dxa"/>
                  <w:vAlign w:val="center"/>
                </w:tcPr>
                <w:p>
                  <w:pPr>
                    <w:jc w:val="center"/>
                    <w:rPr>
                      <w:szCs w:val="21"/>
                    </w:rPr>
                  </w:pPr>
                  <w:r>
                    <w:rPr>
                      <w:rFonts w:hint="eastAsia"/>
                      <w:szCs w:val="21"/>
                    </w:rPr>
                    <w:t>0</w:t>
                  </w:r>
                </w:p>
              </w:tc>
              <w:tc>
                <w:tcPr>
                  <w:tcW w:w="1990" w:type="dxa"/>
                  <w:vAlign w:val="center"/>
                </w:tcPr>
                <w:p>
                  <w:pPr>
                    <w:jc w:val="center"/>
                    <w:rPr>
                      <w:szCs w:val="21"/>
                    </w:rPr>
                  </w:pPr>
                  <w:r>
                    <w:rPr>
                      <w:rFonts w:hint="eastAsia"/>
                      <w:szCs w:val="21"/>
                    </w:rPr>
                    <w:t>0</w:t>
                  </w:r>
                </w:p>
              </w:tc>
              <w:tc>
                <w:tcPr>
                  <w:tcW w:w="1584" w:type="dxa"/>
                  <w:vMerge w:val="restart"/>
                  <w:vAlign w:val="center"/>
                </w:tcPr>
                <w:p>
                  <w:pPr>
                    <w:jc w:val="center"/>
                    <w:rPr>
                      <w:szCs w:val="21"/>
                    </w:rPr>
                  </w:pPr>
                  <w:r>
                    <w:rPr>
                      <w:rFonts w:hint="eastAsia"/>
                      <w:szCs w:val="21"/>
                    </w:rPr>
                    <w:t>全部回用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continue"/>
                  <w:vAlign w:val="center"/>
                </w:tcPr>
                <w:p>
                  <w:pPr>
                    <w:jc w:val="center"/>
                    <w:rPr>
                      <w:szCs w:val="21"/>
                    </w:rPr>
                  </w:pPr>
                </w:p>
              </w:tc>
              <w:tc>
                <w:tcPr>
                  <w:tcW w:w="2268" w:type="dxa"/>
                  <w:vAlign w:val="center"/>
                </w:tcPr>
                <w:p>
                  <w:pPr>
                    <w:jc w:val="center"/>
                    <w:rPr>
                      <w:szCs w:val="21"/>
                    </w:rPr>
                  </w:pPr>
                  <w:r>
                    <w:rPr>
                      <w:rFonts w:hint="eastAsia" w:cs="Times New Roman"/>
                      <w:szCs w:val="21"/>
                    </w:rPr>
                    <w:t>COD</w:t>
                  </w:r>
                </w:p>
              </w:tc>
              <w:tc>
                <w:tcPr>
                  <w:tcW w:w="1979" w:type="dxa"/>
                  <w:vAlign w:val="center"/>
                </w:tcPr>
                <w:p>
                  <w:pPr>
                    <w:jc w:val="center"/>
                    <w:rPr>
                      <w:szCs w:val="21"/>
                    </w:rPr>
                  </w:pPr>
                  <w:r>
                    <w:rPr>
                      <w:rFonts w:hint="eastAsia"/>
                      <w:szCs w:val="21"/>
                    </w:rPr>
                    <w:t>0</w:t>
                  </w:r>
                </w:p>
              </w:tc>
              <w:tc>
                <w:tcPr>
                  <w:tcW w:w="1990" w:type="dxa"/>
                  <w:vAlign w:val="center"/>
                </w:tcPr>
                <w:p>
                  <w:pPr>
                    <w:jc w:val="center"/>
                    <w:rPr>
                      <w:szCs w:val="21"/>
                    </w:rPr>
                  </w:pPr>
                  <w:r>
                    <w:rPr>
                      <w:rFonts w:hint="eastAsia"/>
                      <w:szCs w:val="21"/>
                    </w:rPr>
                    <w:t>0</w:t>
                  </w:r>
                </w:p>
              </w:tc>
              <w:tc>
                <w:tcPr>
                  <w:tcW w:w="158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continue"/>
                  <w:vAlign w:val="center"/>
                </w:tcPr>
                <w:p>
                  <w:pPr>
                    <w:jc w:val="center"/>
                    <w:rPr>
                      <w:szCs w:val="21"/>
                    </w:rPr>
                  </w:pPr>
                </w:p>
              </w:tc>
              <w:tc>
                <w:tcPr>
                  <w:tcW w:w="2268" w:type="dxa"/>
                  <w:vAlign w:val="center"/>
                </w:tcPr>
                <w:p>
                  <w:pPr>
                    <w:jc w:val="center"/>
                    <w:rPr>
                      <w:szCs w:val="21"/>
                    </w:rPr>
                  </w:pPr>
                  <w:r>
                    <w:rPr>
                      <w:rFonts w:hint="eastAsia" w:cs="Times New Roman"/>
                      <w:szCs w:val="21"/>
                    </w:rPr>
                    <w:t>NH</w:t>
                  </w:r>
                  <w:r>
                    <w:rPr>
                      <w:rFonts w:cs="Times New Roman"/>
                      <w:szCs w:val="21"/>
                      <w:vertAlign w:val="subscript"/>
                    </w:rPr>
                    <w:t>3</w:t>
                  </w:r>
                  <w:r>
                    <w:rPr>
                      <w:rFonts w:cs="Times New Roman"/>
                      <w:szCs w:val="21"/>
                    </w:rPr>
                    <w:t>-</w:t>
                  </w:r>
                  <w:r>
                    <w:rPr>
                      <w:rFonts w:hint="eastAsia" w:cs="Times New Roman"/>
                      <w:szCs w:val="21"/>
                    </w:rPr>
                    <w:t>N</w:t>
                  </w:r>
                </w:p>
              </w:tc>
              <w:tc>
                <w:tcPr>
                  <w:tcW w:w="1979" w:type="dxa"/>
                  <w:vAlign w:val="center"/>
                </w:tcPr>
                <w:p>
                  <w:pPr>
                    <w:jc w:val="center"/>
                    <w:rPr>
                      <w:szCs w:val="21"/>
                    </w:rPr>
                  </w:pPr>
                  <w:r>
                    <w:rPr>
                      <w:rFonts w:hint="eastAsia"/>
                      <w:szCs w:val="21"/>
                    </w:rPr>
                    <w:t>0</w:t>
                  </w:r>
                </w:p>
              </w:tc>
              <w:tc>
                <w:tcPr>
                  <w:tcW w:w="1990" w:type="dxa"/>
                  <w:vAlign w:val="center"/>
                </w:tcPr>
                <w:p>
                  <w:pPr>
                    <w:jc w:val="center"/>
                    <w:rPr>
                      <w:szCs w:val="21"/>
                    </w:rPr>
                  </w:pPr>
                  <w:r>
                    <w:rPr>
                      <w:rFonts w:hint="eastAsia"/>
                      <w:szCs w:val="21"/>
                    </w:rPr>
                    <w:t>0</w:t>
                  </w:r>
                </w:p>
              </w:tc>
              <w:tc>
                <w:tcPr>
                  <w:tcW w:w="158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restart"/>
                  <w:vAlign w:val="center"/>
                </w:tcPr>
                <w:p>
                  <w:pPr>
                    <w:jc w:val="center"/>
                    <w:rPr>
                      <w:szCs w:val="21"/>
                    </w:rPr>
                  </w:pPr>
                  <w:r>
                    <w:rPr>
                      <w:rFonts w:hint="eastAsia"/>
                      <w:szCs w:val="21"/>
                    </w:rPr>
                    <w:t>固体废物</w:t>
                  </w:r>
                </w:p>
              </w:tc>
              <w:tc>
                <w:tcPr>
                  <w:tcW w:w="2268" w:type="dxa"/>
                  <w:vAlign w:val="center"/>
                </w:tcPr>
                <w:p>
                  <w:pPr>
                    <w:jc w:val="center"/>
                    <w:rPr>
                      <w:szCs w:val="21"/>
                    </w:rPr>
                  </w:pPr>
                  <w:r>
                    <w:rPr>
                      <w:rFonts w:hint="eastAsia"/>
                      <w:szCs w:val="21"/>
                    </w:rPr>
                    <w:t>一般固体废物</w:t>
                  </w:r>
                </w:p>
              </w:tc>
              <w:tc>
                <w:tcPr>
                  <w:tcW w:w="1979" w:type="dxa"/>
                  <w:vAlign w:val="center"/>
                </w:tcPr>
                <w:p>
                  <w:pPr>
                    <w:jc w:val="center"/>
                    <w:rPr>
                      <w:szCs w:val="21"/>
                    </w:rPr>
                  </w:pPr>
                  <w:r>
                    <w:rPr>
                      <w:rFonts w:hint="eastAsia"/>
                      <w:szCs w:val="21"/>
                    </w:rPr>
                    <w:t>0</w:t>
                  </w:r>
                </w:p>
              </w:tc>
              <w:tc>
                <w:tcPr>
                  <w:tcW w:w="1990" w:type="dxa"/>
                  <w:vAlign w:val="center"/>
                </w:tcPr>
                <w:p>
                  <w:pPr>
                    <w:jc w:val="center"/>
                    <w:rPr>
                      <w:szCs w:val="21"/>
                    </w:rPr>
                  </w:pPr>
                  <w:r>
                    <w:rPr>
                      <w:rFonts w:hint="eastAsia"/>
                      <w:szCs w:val="21"/>
                    </w:rPr>
                    <w:t>0</w:t>
                  </w:r>
                </w:p>
              </w:tc>
              <w:tc>
                <w:tcPr>
                  <w:tcW w:w="1584" w:type="dxa"/>
                  <w:vMerge w:val="restart"/>
                  <w:vAlign w:val="center"/>
                </w:tcPr>
                <w:p>
                  <w:pPr>
                    <w:jc w:val="center"/>
                    <w:rPr>
                      <w:szCs w:val="21"/>
                    </w:rPr>
                  </w:pPr>
                  <w:r>
                    <w:rPr>
                      <w:rFonts w:hint="eastAsia"/>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continue"/>
                  <w:vAlign w:val="center"/>
                </w:tcPr>
                <w:p>
                  <w:pPr>
                    <w:jc w:val="center"/>
                    <w:rPr>
                      <w:szCs w:val="21"/>
                    </w:rPr>
                  </w:pPr>
                </w:p>
              </w:tc>
              <w:tc>
                <w:tcPr>
                  <w:tcW w:w="2268" w:type="dxa"/>
                  <w:vAlign w:val="center"/>
                </w:tcPr>
                <w:p>
                  <w:pPr>
                    <w:jc w:val="center"/>
                    <w:rPr>
                      <w:szCs w:val="21"/>
                    </w:rPr>
                  </w:pPr>
                  <w:r>
                    <w:rPr>
                      <w:rFonts w:hint="eastAsia"/>
                      <w:szCs w:val="21"/>
                    </w:rPr>
                    <w:t>危险废物</w:t>
                  </w:r>
                </w:p>
              </w:tc>
              <w:tc>
                <w:tcPr>
                  <w:tcW w:w="1979" w:type="dxa"/>
                  <w:vAlign w:val="center"/>
                </w:tcPr>
                <w:p>
                  <w:pPr>
                    <w:jc w:val="center"/>
                    <w:rPr>
                      <w:szCs w:val="21"/>
                    </w:rPr>
                  </w:pPr>
                  <w:r>
                    <w:rPr>
                      <w:rFonts w:hint="eastAsia"/>
                      <w:szCs w:val="21"/>
                    </w:rPr>
                    <w:t>0</w:t>
                  </w:r>
                </w:p>
              </w:tc>
              <w:tc>
                <w:tcPr>
                  <w:tcW w:w="1990" w:type="dxa"/>
                  <w:vAlign w:val="center"/>
                </w:tcPr>
                <w:p>
                  <w:pPr>
                    <w:jc w:val="center"/>
                    <w:rPr>
                      <w:szCs w:val="21"/>
                    </w:rPr>
                  </w:pPr>
                  <w:r>
                    <w:rPr>
                      <w:rFonts w:hint="eastAsia"/>
                      <w:szCs w:val="21"/>
                    </w:rPr>
                    <w:t>0</w:t>
                  </w:r>
                </w:p>
              </w:tc>
              <w:tc>
                <w:tcPr>
                  <w:tcW w:w="1584" w:type="dxa"/>
                  <w:vMerge w:val="continue"/>
                  <w:vAlign w:val="center"/>
                </w:tcPr>
                <w:p>
                  <w:pPr>
                    <w:jc w:val="center"/>
                    <w:rPr>
                      <w:szCs w:val="21"/>
                    </w:rPr>
                  </w:pPr>
                </w:p>
              </w:tc>
            </w:tr>
          </w:tbl>
          <w:p>
            <w:pPr>
              <w:spacing w:line="360" w:lineRule="auto"/>
              <w:ind w:firstLine="482" w:firstLineChars="200"/>
              <w:rPr>
                <w:b/>
                <w:sz w:val="24"/>
              </w:rPr>
            </w:pPr>
            <w:r>
              <w:rPr>
                <w:rFonts w:hint="eastAsia"/>
                <w:b/>
                <w:sz w:val="24"/>
              </w:rPr>
              <w:t>5、主要环境问题及“以新带老”措施</w:t>
            </w:r>
          </w:p>
          <w:p>
            <w:pPr>
              <w:spacing w:line="360" w:lineRule="auto"/>
              <w:ind w:firstLine="480" w:firstLineChars="200"/>
              <w:rPr>
                <w:rFonts w:cs="Times New Roman"/>
                <w:sz w:val="24"/>
                <w:szCs w:val="24"/>
              </w:rPr>
            </w:pPr>
            <w:r>
              <w:rPr>
                <w:rFonts w:hint="eastAsia" w:cs="Times New Roman"/>
                <w:sz w:val="24"/>
                <w:szCs w:val="24"/>
              </w:rPr>
              <w:t>近年来达州海螺水泥有限责任公司已多次实施废气升级改造治理，取得了较好的效果，并在2023年重污染天气重点行业企业绩效评级中获评A级企业。经现场调查和查阅现有环保资料，达州海螺水泥有限责任公司各项环保措施已落实到位，目前尚不存在明显环境问题。</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tc>
      </w:tr>
    </w:tbl>
    <w:p>
      <w:pPr>
        <w:pStyle w:val="39"/>
        <w:jc w:val="center"/>
        <w:rPr>
          <w:rFonts w:hint="eastAsia" w:ascii="黑体" w:hAnsi="黑体" w:eastAsia="黑体"/>
          <w:b w:val="0"/>
          <w:sz w:val="30"/>
          <w:szCs w:val="30"/>
        </w:rPr>
        <w:sectPr>
          <w:pgSz w:w="11906" w:h="16838"/>
          <w:pgMar w:top="1134" w:right="1134" w:bottom="1134" w:left="1134" w:header="851" w:footer="992" w:gutter="0"/>
          <w:cols w:space="720" w:num="1"/>
          <w:docGrid w:type="lines" w:linePitch="312" w:charSpace="0"/>
        </w:sectPr>
      </w:pPr>
    </w:p>
    <w:p>
      <w:pPr>
        <w:pStyle w:val="39"/>
        <w:jc w:val="center"/>
        <w:rPr>
          <w:rFonts w:hint="eastAsia" w:ascii="黑体" w:hAnsi="黑体" w:eastAsia="黑体"/>
          <w:b w:val="0"/>
          <w:sz w:val="30"/>
          <w:szCs w:val="30"/>
        </w:rPr>
      </w:pPr>
      <w:bookmarkStart w:id="2" w:name="_Toc126243456"/>
      <w:r>
        <w:rPr>
          <w:rFonts w:hint="eastAsia" w:ascii="黑体" w:hAnsi="黑体" w:eastAsia="黑体"/>
          <w:b w:val="0"/>
          <w:sz w:val="30"/>
          <w:szCs w:val="30"/>
        </w:rPr>
        <w:t>三、区域环境质量现状、环境保护目标及评价标准</w:t>
      </w:r>
      <w:bookmarkEnd w:id="2"/>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9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244" w:type="pct"/>
            <w:vAlign w:val="center"/>
          </w:tcPr>
          <w:p>
            <w:pPr>
              <w:spacing w:line="360" w:lineRule="auto"/>
              <w:jc w:val="center"/>
              <w:rPr>
                <w:rFonts w:cs="Times New Roman"/>
                <w:sz w:val="24"/>
                <w:szCs w:val="24"/>
              </w:rPr>
            </w:pPr>
            <w:r>
              <w:rPr>
                <w:rFonts w:hint="eastAsia" w:cs="Times New Roman"/>
                <w:sz w:val="24"/>
                <w:szCs w:val="24"/>
              </w:rPr>
              <w:t>区域环境质量现状</w:t>
            </w:r>
          </w:p>
        </w:tc>
        <w:tc>
          <w:tcPr>
            <w:tcW w:w="4756" w:type="pct"/>
            <w:vAlign w:val="center"/>
          </w:tcPr>
          <w:p>
            <w:pPr>
              <w:spacing w:line="360" w:lineRule="auto"/>
              <w:ind w:firstLine="482" w:firstLineChars="200"/>
              <w:rPr>
                <w:rFonts w:cs="Times New Roman"/>
                <w:b/>
                <w:sz w:val="24"/>
                <w:szCs w:val="24"/>
              </w:rPr>
            </w:pPr>
            <w:r>
              <w:rPr>
                <w:rFonts w:cs="Times New Roman"/>
                <w:b/>
                <w:sz w:val="24"/>
                <w:szCs w:val="24"/>
              </w:rPr>
              <w:t>1</w:t>
            </w:r>
            <w:r>
              <w:rPr>
                <w:rFonts w:hint="eastAsia" w:cs="Times New Roman"/>
                <w:b/>
                <w:sz w:val="24"/>
                <w:szCs w:val="24"/>
              </w:rPr>
              <w:t>、大气环境质量现状</w:t>
            </w:r>
          </w:p>
          <w:p>
            <w:pPr>
              <w:spacing w:line="360" w:lineRule="auto"/>
              <w:ind w:firstLine="480" w:firstLineChars="200"/>
              <w:rPr>
                <w:rFonts w:cs="Times New Roman"/>
                <w:sz w:val="24"/>
                <w:szCs w:val="24"/>
              </w:rPr>
            </w:pPr>
            <w:r>
              <w:rPr>
                <w:rFonts w:hint="eastAsia" w:cs="Times New Roman"/>
                <w:sz w:val="24"/>
                <w:szCs w:val="24"/>
              </w:rPr>
              <w:t>本项目位于达州市大竹县石河镇（达州海螺水泥厂区内），为了解区域环境空气质量现状，根据</w:t>
            </w:r>
            <w:r>
              <w:rPr>
                <w:rFonts w:cs="Times New Roman"/>
                <w:sz w:val="24"/>
                <w:szCs w:val="24"/>
              </w:rPr>
              <w:t>《建设项目环境影响报告表编制技术指南（污染影响类）（试行）》</w:t>
            </w:r>
            <w:r>
              <w:rPr>
                <w:rFonts w:hint="eastAsia" w:cs="Times New Roman"/>
                <w:sz w:val="24"/>
                <w:szCs w:val="24"/>
              </w:rPr>
              <w:t>中“</w:t>
            </w:r>
            <w:r>
              <w:rPr>
                <w:rFonts w:hint="eastAsia" w:cs="Times New Roman"/>
                <w:i/>
                <w:sz w:val="24"/>
                <w:szCs w:val="24"/>
              </w:rPr>
              <w:t>常规污染物引用与建设项目距离近的有效数据，包括近3年的规划环境影响评价的监测数据，国家、地方空气质量监测网数据或生态环境主管部门公开发布的质量数据等。排放国家、地方环境空气质量标准中有标准限值要求的特征污染物时，引用建设项目周边5千米范围内近3年的现有监测数据</w:t>
            </w:r>
            <w:r>
              <w:rPr>
                <w:rFonts w:hint="eastAsia" w:cs="Times New Roman"/>
                <w:sz w:val="24"/>
                <w:szCs w:val="24"/>
              </w:rPr>
              <w:t>”的规定，本次环评常规污染物引用达州市生态环境局公开发布的《</w:t>
            </w:r>
            <w:r>
              <w:rPr>
                <w:rFonts w:cs="Times New Roman"/>
                <w:sz w:val="24"/>
                <w:szCs w:val="24"/>
              </w:rPr>
              <w:t>达州市2023年环境空气质量状况</w:t>
            </w:r>
            <w:r>
              <w:rPr>
                <w:rFonts w:hint="eastAsia" w:cs="Times New Roman"/>
                <w:sz w:val="24"/>
                <w:szCs w:val="24"/>
              </w:rPr>
              <w:t>》中的数据；同时，本次环评委托四川海德汇环保科技有限公司</w:t>
            </w:r>
            <w:r>
              <w:rPr>
                <w:rFonts w:cs="Times New Roman"/>
                <w:sz w:val="24"/>
                <w:szCs w:val="24"/>
              </w:rPr>
              <w:t>于</w:t>
            </w:r>
            <w:r>
              <w:rPr>
                <w:rFonts w:hint="eastAsia" w:cs="Times New Roman"/>
                <w:sz w:val="24"/>
                <w:szCs w:val="24"/>
              </w:rPr>
              <w:t>202</w:t>
            </w:r>
            <w:r>
              <w:rPr>
                <w:rFonts w:cs="Times New Roman"/>
                <w:sz w:val="24"/>
                <w:szCs w:val="24"/>
              </w:rPr>
              <w:t>3</w:t>
            </w:r>
            <w:r>
              <w:rPr>
                <w:rFonts w:hint="eastAsia" w:cs="Times New Roman"/>
                <w:sz w:val="24"/>
                <w:szCs w:val="24"/>
              </w:rPr>
              <w:t>年</w:t>
            </w:r>
            <w:r>
              <w:rPr>
                <w:rFonts w:cs="Times New Roman"/>
                <w:sz w:val="24"/>
                <w:szCs w:val="24"/>
              </w:rPr>
              <w:t>2</w:t>
            </w:r>
            <w:r>
              <w:rPr>
                <w:rFonts w:hint="eastAsia" w:cs="Times New Roman"/>
                <w:sz w:val="24"/>
                <w:szCs w:val="24"/>
              </w:rPr>
              <w:t>月</w:t>
            </w:r>
            <w:r>
              <w:rPr>
                <w:rFonts w:cs="Times New Roman"/>
                <w:sz w:val="24"/>
                <w:szCs w:val="24"/>
              </w:rPr>
              <w:t>6</w:t>
            </w:r>
            <w:r>
              <w:rPr>
                <w:rFonts w:hint="eastAsia" w:cs="Times New Roman"/>
                <w:sz w:val="24"/>
                <w:szCs w:val="24"/>
              </w:rPr>
              <w:t>日~</w:t>
            </w:r>
            <w:r>
              <w:rPr>
                <w:rFonts w:cs="Times New Roman"/>
                <w:sz w:val="24"/>
                <w:szCs w:val="24"/>
              </w:rPr>
              <w:t>9</w:t>
            </w:r>
            <w:r>
              <w:rPr>
                <w:rFonts w:hint="eastAsia" w:cs="Times New Roman"/>
                <w:sz w:val="24"/>
                <w:szCs w:val="24"/>
              </w:rPr>
              <w:t>日对其他污染物进行补充监测。</w:t>
            </w:r>
          </w:p>
          <w:p>
            <w:pPr>
              <w:spacing w:line="360" w:lineRule="auto"/>
              <w:ind w:firstLine="482" w:firstLineChars="200"/>
              <w:rPr>
                <w:b/>
                <w:kern w:val="24"/>
                <w:sz w:val="24"/>
                <w:szCs w:val="24"/>
              </w:rPr>
            </w:pPr>
            <w:r>
              <w:rPr>
                <w:rFonts w:hint="eastAsia"/>
                <w:b/>
                <w:kern w:val="24"/>
                <w:sz w:val="24"/>
                <w:szCs w:val="24"/>
              </w:rPr>
              <w:t>（</w:t>
            </w:r>
            <w:r>
              <w:rPr>
                <w:b/>
                <w:kern w:val="24"/>
                <w:sz w:val="24"/>
                <w:szCs w:val="24"/>
              </w:rPr>
              <w:t>1</w:t>
            </w:r>
            <w:r>
              <w:rPr>
                <w:rFonts w:hint="eastAsia"/>
                <w:b/>
                <w:kern w:val="24"/>
                <w:sz w:val="24"/>
                <w:szCs w:val="24"/>
              </w:rPr>
              <w:t>）基本污染物现状评价</w:t>
            </w:r>
          </w:p>
          <w:p>
            <w:pPr>
              <w:spacing w:line="360" w:lineRule="auto"/>
              <w:ind w:firstLine="482" w:firstLineChars="200"/>
              <w:rPr>
                <w:rFonts w:cs="Times New Roman"/>
                <w:b/>
                <w:bCs/>
                <w:sz w:val="24"/>
                <w:szCs w:val="24"/>
              </w:rPr>
            </w:pPr>
            <w:r>
              <w:rPr>
                <w:rFonts w:hint="eastAsia" w:cs="Times New Roman"/>
                <w:b/>
                <w:bCs/>
                <w:sz w:val="24"/>
                <w:szCs w:val="24"/>
              </w:rPr>
              <w:t>1）空气质量达标区判断</w:t>
            </w:r>
          </w:p>
          <w:p>
            <w:pPr>
              <w:spacing w:line="360" w:lineRule="auto"/>
              <w:ind w:firstLine="480" w:firstLineChars="200"/>
              <w:rPr>
                <w:rFonts w:cs="Times New Roman"/>
                <w:sz w:val="24"/>
                <w:szCs w:val="24"/>
              </w:rPr>
            </w:pPr>
            <w:r>
              <w:rPr>
                <w:rFonts w:hint="eastAsia" w:cs="Times New Roman"/>
                <w:sz w:val="24"/>
                <w:szCs w:val="24"/>
              </w:rPr>
              <w:t>根据《</w:t>
            </w:r>
            <w:r>
              <w:rPr>
                <w:rFonts w:cs="Times New Roman"/>
                <w:sz w:val="24"/>
                <w:szCs w:val="24"/>
              </w:rPr>
              <w:t>达州市2023年环境空气质量状况</w:t>
            </w:r>
            <w:r>
              <w:rPr>
                <w:rFonts w:hint="eastAsia" w:cs="Times New Roman"/>
                <w:sz w:val="24"/>
                <w:szCs w:val="24"/>
              </w:rPr>
              <w:t>》，2023年大竹县空气质量优良天数</w:t>
            </w:r>
            <w:r>
              <w:rPr>
                <w:rFonts w:cs="Times New Roman"/>
                <w:sz w:val="24"/>
                <w:szCs w:val="24"/>
              </w:rPr>
              <w:t>323</w:t>
            </w:r>
            <w:r>
              <w:rPr>
                <w:rFonts w:hint="eastAsia" w:cs="Times New Roman"/>
                <w:sz w:val="24"/>
                <w:szCs w:val="24"/>
              </w:rPr>
              <w:t>天，</w:t>
            </w:r>
            <w:r>
              <w:rPr>
                <w:rFonts w:cs="Times New Roman"/>
                <w:sz w:val="24"/>
                <w:szCs w:val="24"/>
              </w:rPr>
              <w:t>占全年比例为88.5%。全年空气质量优173天，良150天，轻度污染27天，中度污染9天，重度污染6天，未出现严重污染。</w:t>
            </w:r>
            <w:r>
              <w:rPr>
                <w:rFonts w:hint="eastAsia" w:cs="Times New Roman"/>
                <w:sz w:val="24"/>
                <w:szCs w:val="24"/>
              </w:rPr>
              <w:t>大竹县</w:t>
            </w:r>
            <w:r>
              <w:rPr>
                <w:rFonts w:cs="Times New Roman"/>
                <w:sz w:val="24"/>
                <w:szCs w:val="24"/>
              </w:rPr>
              <w:t>二氧化硫（SO</w:t>
            </w:r>
            <w:r>
              <w:rPr>
                <w:rFonts w:cs="Times New Roman"/>
                <w:sz w:val="24"/>
                <w:szCs w:val="24"/>
                <w:vertAlign w:val="subscript"/>
              </w:rPr>
              <w:t>2</w:t>
            </w:r>
            <w:r>
              <w:rPr>
                <w:rFonts w:cs="Times New Roman"/>
                <w:sz w:val="24"/>
                <w:szCs w:val="24"/>
              </w:rPr>
              <w:t>）年均浓度为7ug/m</w:t>
            </w:r>
            <w:r>
              <w:rPr>
                <w:rFonts w:cs="Times New Roman"/>
                <w:sz w:val="24"/>
                <w:szCs w:val="24"/>
                <w:vertAlign w:val="superscript"/>
              </w:rPr>
              <w:t>3</w:t>
            </w:r>
            <w:r>
              <w:rPr>
                <w:rFonts w:cs="Times New Roman"/>
                <w:sz w:val="24"/>
                <w:szCs w:val="24"/>
              </w:rPr>
              <w:t>，二氧化氮（NO</w:t>
            </w:r>
            <w:r>
              <w:rPr>
                <w:rFonts w:cs="Times New Roman"/>
                <w:sz w:val="24"/>
                <w:szCs w:val="24"/>
                <w:vertAlign w:val="subscript"/>
              </w:rPr>
              <w:t>2</w:t>
            </w:r>
            <w:r>
              <w:rPr>
                <w:rFonts w:cs="Times New Roman"/>
                <w:sz w:val="24"/>
                <w:szCs w:val="24"/>
              </w:rPr>
              <w:t>）年均浓度为25ug/m</w:t>
            </w:r>
            <w:r>
              <w:rPr>
                <w:rFonts w:cs="Times New Roman"/>
                <w:sz w:val="24"/>
                <w:szCs w:val="24"/>
                <w:vertAlign w:val="superscript"/>
              </w:rPr>
              <w:t>3</w:t>
            </w:r>
            <w:r>
              <w:rPr>
                <w:rFonts w:cs="Times New Roman"/>
                <w:sz w:val="24"/>
                <w:szCs w:val="24"/>
              </w:rPr>
              <w:t>，可吸入颗粒物（PM</w:t>
            </w:r>
            <w:r>
              <w:rPr>
                <w:rFonts w:cs="Times New Roman"/>
                <w:sz w:val="24"/>
                <w:szCs w:val="24"/>
                <w:vertAlign w:val="subscript"/>
              </w:rPr>
              <w:t>10</w:t>
            </w:r>
            <w:r>
              <w:rPr>
                <w:rFonts w:cs="Times New Roman"/>
                <w:sz w:val="24"/>
                <w:szCs w:val="24"/>
              </w:rPr>
              <w:t>）年均浓度为57ug/m</w:t>
            </w:r>
            <w:r>
              <w:rPr>
                <w:rFonts w:cs="Times New Roman"/>
                <w:sz w:val="24"/>
                <w:szCs w:val="24"/>
                <w:vertAlign w:val="superscript"/>
              </w:rPr>
              <w:t>3</w:t>
            </w:r>
            <w:r>
              <w:rPr>
                <w:rFonts w:cs="Times New Roman"/>
                <w:sz w:val="24"/>
                <w:szCs w:val="24"/>
              </w:rPr>
              <w:t>，细颗粒物（PM</w:t>
            </w:r>
            <w:r>
              <w:rPr>
                <w:rFonts w:cs="Times New Roman"/>
                <w:sz w:val="24"/>
                <w:szCs w:val="24"/>
                <w:vertAlign w:val="subscript"/>
              </w:rPr>
              <w:t>2.5</w:t>
            </w:r>
            <w:r>
              <w:rPr>
                <w:rFonts w:cs="Times New Roman"/>
                <w:sz w:val="24"/>
                <w:szCs w:val="24"/>
              </w:rPr>
              <w:t>）年均浓度为36ug/m</w:t>
            </w:r>
            <w:r>
              <w:rPr>
                <w:rFonts w:cs="Times New Roman"/>
                <w:sz w:val="24"/>
                <w:szCs w:val="24"/>
                <w:vertAlign w:val="superscript"/>
              </w:rPr>
              <w:t>3</w:t>
            </w:r>
            <w:r>
              <w:rPr>
                <w:rFonts w:cs="Times New Roman"/>
                <w:sz w:val="24"/>
                <w:szCs w:val="24"/>
              </w:rPr>
              <w:t>，一氧化碳（CO）日均值第95百分位浓度为1.3mg/m</w:t>
            </w:r>
            <w:r>
              <w:rPr>
                <w:rFonts w:cs="Times New Roman"/>
                <w:sz w:val="24"/>
                <w:szCs w:val="24"/>
                <w:vertAlign w:val="superscript"/>
              </w:rPr>
              <w:t>3</w:t>
            </w:r>
            <w:r>
              <w:rPr>
                <w:rFonts w:cs="Times New Roman"/>
                <w:sz w:val="24"/>
                <w:szCs w:val="24"/>
              </w:rPr>
              <w:t>，臭氧（O</w:t>
            </w:r>
            <w:r>
              <w:rPr>
                <w:rFonts w:cs="Times New Roman"/>
                <w:sz w:val="24"/>
                <w:szCs w:val="24"/>
                <w:vertAlign w:val="subscript"/>
              </w:rPr>
              <w:t>3</w:t>
            </w:r>
            <w:r>
              <w:rPr>
                <w:rFonts w:cs="Times New Roman"/>
                <w:sz w:val="24"/>
                <w:szCs w:val="24"/>
              </w:rPr>
              <w:t>）日最大8小时第90百分位浓度为112ug/m</w:t>
            </w:r>
            <w:r>
              <w:rPr>
                <w:rFonts w:cs="Times New Roman"/>
                <w:sz w:val="24"/>
                <w:szCs w:val="24"/>
                <w:vertAlign w:val="superscript"/>
              </w:rPr>
              <w:t>3</w:t>
            </w:r>
            <w:r>
              <w:rPr>
                <w:rFonts w:hint="eastAsia" w:cs="Times New Roman"/>
                <w:sz w:val="24"/>
                <w:szCs w:val="24"/>
              </w:rPr>
              <w:t>。</w:t>
            </w:r>
          </w:p>
          <w:p>
            <w:pPr>
              <w:spacing w:line="360" w:lineRule="auto"/>
              <w:ind w:firstLine="480" w:firstLineChars="200"/>
              <w:rPr>
                <w:rFonts w:cs="Times New Roman"/>
                <w:sz w:val="24"/>
                <w:szCs w:val="24"/>
              </w:rPr>
            </w:pPr>
            <w:r>
              <w:rPr>
                <w:rFonts w:hint="eastAsia" w:cs="Times New Roman"/>
                <w:sz w:val="24"/>
                <w:szCs w:val="24"/>
              </w:rPr>
              <w:t>大竹县环境空气各评价因子的浓度、标准及达标判定结果见下表：</w:t>
            </w:r>
          </w:p>
          <w:p>
            <w:pPr>
              <w:spacing w:line="360" w:lineRule="auto"/>
              <w:jc w:val="center"/>
              <w:rPr>
                <w:rFonts w:eastAsia="黑体" w:cs="Times New Roman"/>
                <w:szCs w:val="21"/>
              </w:rPr>
            </w:pPr>
            <w:r>
              <w:rPr>
                <w:rFonts w:eastAsia="黑体" w:cs="Times New Roman"/>
                <w:szCs w:val="21"/>
              </w:rPr>
              <w:t xml:space="preserve">表3-1  </w:t>
            </w:r>
            <w:r>
              <w:rPr>
                <w:rFonts w:hint="eastAsia" w:eastAsia="黑体" w:cs="Times New Roman"/>
                <w:szCs w:val="21"/>
              </w:rPr>
              <w:t>大竹县</w:t>
            </w:r>
            <w:r>
              <w:rPr>
                <w:rFonts w:eastAsia="黑体" w:cs="Times New Roman"/>
                <w:szCs w:val="21"/>
              </w:rPr>
              <w:t>环境空气质量现状评价</w:t>
            </w:r>
            <w:r>
              <w:rPr>
                <w:rFonts w:hint="eastAsia" w:eastAsia="黑体" w:cs="Times New Roman"/>
                <w:szCs w:val="21"/>
              </w:rPr>
              <w:t>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2497"/>
              <w:gridCol w:w="1485"/>
              <w:gridCol w:w="1485"/>
              <w:gridCol w:w="1487"/>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98" w:type="pct"/>
                  <w:vAlign w:val="center"/>
                </w:tcPr>
                <w:p>
                  <w:pPr>
                    <w:jc w:val="center"/>
                    <w:rPr>
                      <w:rFonts w:cstheme="minorHAnsi"/>
                      <w:szCs w:val="21"/>
                    </w:rPr>
                  </w:pPr>
                  <w:r>
                    <w:rPr>
                      <w:rFonts w:cstheme="minorHAnsi"/>
                      <w:szCs w:val="21"/>
                    </w:rPr>
                    <w:t>污染物</w:t>
                  </w:r>
                </w:p>
              </w:tc>
              <w:tc>
                <w:tcPr>
                  <w:tcW w:w="1365" w:type="pct"/>
                  <w:vAlign w:val="center"/>
                </w:tcPr>
                <w:p>
                  <w:pPr>
                    <w:jc w:val="center"/>
                    <w:rPr>
                      <w:rFonts w:cstheme="minorHAnsi"/>
                      <w:szCs w:val="21"/>
                    </w:rPr>
                  </w:pPr>
                  <w:r>
                    <w:rPr>
                      <w:rFonts w:cstheme="minorHAnsi"/>
                      <w:szCs w:val="21"/>
                    </w:rPr>
                    <w:t>年评价指标</w:t>
                  </w:r>
                </w:p>
              </w:tc>
              <w:tc>
                <w:tcPr>
                  <w:tcW w:w="812" w:type="pct"/>
                  <w:vAlign w:val="center"/>
                </w:tcPr>
                <w:p>
                  <w:pPr>
                    <w:jc w:val="center"/>
                    <w:rPr>
                      <w:rFonts w:cstheme="minorHAnsi"/>
                      <w:szCs w:val="21"/>
                    </w:rPr>
                  </w:pPr>
                  <w:r>
                    <w:rPr>
                      <w:rFonts w:cstheme="minorHAnsi"/>
                      <w:szCs w:val="21"/>
                    </w:rPr>
                    <w:t>现状浓度</w:t>
                  </w:r>
                  <w:r>
                    <w:rPr>
                      <w:rFonts w:hint="eastAsia" w:cstheme="minorHAnsi"/>
                      <w:szCs w:val="21"/>
                    </w:rPr>
                    <w:t>（</w:t>
                  </w:r>
                  <w:r>
                    <w:rPr>
                      <w:rFonts w:cstheme="minorHAnsi"/>
                      <w:szCs w:val="21"/>
                    </w:rPr>
                    <w:t>ug/m</w:t>
                  </w:r>
                  <w:r>
                    <w:rPr>
                      <w:rFonts w:cstheme="minorHAnsi"/>
                      <w:szCs w:val="21"/>
                      <w:vertAlign w:val="superscript"/>
                    </w:rPr>
                    <w:t>3</w:t>
                  </w:r>
                  <w:r>
                    <w:rPr>
                      <w:rFonts w:hint="eastAsia" w:cstheme="minorHAnsi"/>
                      <w:szCs w:val="21"/>
                    </w:rPr>
                    <w:t>）</w:t>
                  </w:r>
                </w:p>
              </w:tc>
              <w:tc>
                <w:tcPr>
                  <w:tcW w:w="812" w:type="pct"/>
                  <w:vAlign w:val="center"/>
                </w:tcPr>
                <w:p>
                  <w:pPr>
                    <w:jc w:val="center"/>
                    <w:rPr>
                      <w:rFonts w:cstheme="minorHAnsi"/>
                      <w:szCs w:val="21"/>
                    </w:rPr>
                  </w:pPr>
                  <w:r>
                    <w:rPr>
                      <w:rFonts w:hint="eastAsia" w:cstheme="minorHAnsi"/>
                      <w:szCs w:val="21"/>
                    </w:rPr>
                    <w:t>标准值（</w:t>
                  </w:r>
                  <w:r>
                    <w:rPr>
                      <w:rFonts w:cstheme="minorHAnsi"/>
                      <w:szCs w:val="21"/>
                    </w:rPr>
                    <w:t>ug/m</w:t>
                  </w:r>
                  <w:r>
                    <w:rPr>
                      <w:rFonts w:cstheme="minorHAnsi"/>
                      <w:szCs w:val="21"/>
                      <w:vertAlign w:val="superscript"/>
                    </w:rPr>
                    <w:t>3</w:t>
                  </w:r>
                  <w:r>
                    <w:rPr>
                      <w:rFonts w:hint="eastAsia" w:cstheme="minorHAnsi"/>
                      <w:szCs w:val="21"/>
                    </w:rPr>
                    <w:t>）</w:t>
                  </w:r>
                </w:p>
              </w:tc>
              <w:tc>
                <w:tcPr>
                  <w:tcW w:w="813" w:type="pct"/>
                  <w:vAlign w:val="center"/>
                </w:tcPr>
                <w:p>
                  <w:pPr>
                    <w:jc w:val="center"/>
                    <w:rPr>
                      <w:rFonts w:cstheme="minorHAnsi"/>
                      <w:szCs w:val="21"/>
                    </w:rPr>
                  </w:pPr>
                  <w:r>
                    <w:rPr>
                      <w:rFonts w:cstheme="minorHAnsi"/>
                      <w:szCs w:val="21"/>
                    </w:rPr>
                    <w:t>占标率</w:t>
                  </w:r>
                  <w:r>
                    <w:rPr>
                      <w:rFonts w:hint="eastAsia" w:cstheme="minorHAnsi"/>
                      <w:szCs w:val="21"/>
                    </w:rPr>
                    <w:t>（%）</w:t>
                  </w:r>
                </w:p>
              </w:tc>
              <w:tc>
                <w:tcPr>
                  <w:tcW w:w="600" w:type="pct"/>
                  <w:vAlign w:val="center"/>
                </w:tcPr>
                <w:p>
                  <w:pPr>
                    <w:jc w:val="center"/>
                    <w:rPr>
                      <w:rFonts w:cstheme="minorHAnsi"/>
                      <w:szCs w:val="21"/>
                    </w:rPr>
                  </w:pPr>
                  <w:r>
                    <w:rPr>
                      <w:rFonts w:hint="eastAsia" w:cstheme="minorHAnsi"/>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pct"/>
                  <w:vAlign w:val="center"/>
                </w:tcPr>
                <w:p>
                  <w:pPr>
                    <w:jc w:val="center"/>
                    <w:rPr>
                      <w:rFonts w:cstheme="minorHAnsi"/>
                      <w:szCs w:val="21"/>
                    </w:rPr>
                  </w:pPr>
                  <w:r>
                    <w:rPr>
                      <w:rFonts w:cstheme="minorHAnsi"/>
                      <w:szCs w:val="21"/>
                    </w:rPr>
                    <w:t>SO</w:t>
                  </w:r>
                  <w:r>
                    <w:rPr>
                      <w:rFonts w:cstheme="minorHAnsi"/>
                      <w:szCs w:val="21"/>
                      <w:vertAlign w:val="subscript"/>
                    </w:rPr>
                    <w:t>2</w:t>
                  </w:r>
                </w:p>
              </w:tc>
              <w:tc>
                <w:tcPr>
                  <w:tcW w:w="1365" w:type="pct"/>
                  <w:vAlign w:val="center"/>
                </w:tcPr>
                <w:p>
                  <w:pPr>
                    <w:jc w:val="center"/>
                    <w:rPr>
                      <w:rFonts w:cstheme="minorHAnsi"/>
                      <w:szCs w:val="21"/>
                    </w:rPr>
                  </w:pPr>
                  <w:r>
                    <w:rPr>
                      <w:rFonts w:cstheme="minorHAnsi"/>
                      <w:szCs w:val="21"/>
                    </w:rPr>
                    <w:t>年平均质量浓度</w:t>
                  </w:r>
                </w:p>
              </w:tc>
              <w:tc>
                <w:tcPr>
                  <w:tcW w:w="812" w:type="pct"/>
                  <w:vAlign w:val="center"/>
                </w:tcPr>
                <w:p>
                  <w:pPr>
                    <w:jc w:val="center"/>
                    <w:rPr>
                      <w:rFonts w:cstheme="minorHAnsi"/>
                      <w:szCs w:val="21"/>
                    </w:rPr>
                  </w:pPr>
                  <w:r>
                    <w:rPr>
                      <w:rFonts w:hint="eastAsia" w:cstheme="minorHAnsi"/>
                      <w:szCs w:val="21"/>
                    </w:rPr>
                    <w:t>7</w:t>
                  </w:r>
                </w:p>
              </w:tc>
              <w:tc>
                <w:tcPr>
                  <w:tcW w:w="812" w:type="pct"/>
                  <w:vAlign w:val="center"/>
                </w:tcPr>
                <w:p>
                  <w:pPr>
                    <w:jc w:val="center"/>
                    <w:rPr>
                      <w:rFonts w:cstheme="minorHAnsi"/>
                      <w:szCs w:val="21"/>
                    </w:rPr>
                  </w:pPr>
                  <w:r>
                    <w:rPr>
                      <w:rFonts w:hint="eastAsia" w:cstheme="minorHAnsi"/>
                      <w:szCs w:val="21"/>
                    </w:rPr>
                    <w:t>60</w:t>
                  </w:r>
                </w:p>
              </w:tc>
              <w:tc>
                <w:tcPr>
                  <w:tcW w:w="813" w:type="pct"/>
                  <w:vAlign w:val="center"/>
                </w:tcPr>
                <w:p>
                  <w:pPr>
                    <w:jc w:val="center"/>
                    <w:rPr>
                      <w:szCs w:val="21"/>
                    </w:rPr>
                  </w:pPr>
                  <w:r>
                    <w:rPr>
                      <w:rFonts w:hint="eastAsia"/>
                      <w:szCs w:val="21"/>
                    </w:rPr>
                    <w:t>1</w:t>
                  </w:r>
                  <w:r>
                    <w:rPr>
                      <w:szCs w:val="21"/>
                    </w:rPr>
                    <w:t>1.7</w:t>
                  </w:r>
                </w:p>
              </w:tc>
              <w:tc>
                <w:tcPr>
                  <w:tcW w:w="600" w:type="pct"/>
                  <w:vAlign w:val="center"/>
                </w:tcPr>
                <w:p>
                  <w:pPr>
                    <w:jc w:val="center"/>
                    <w:rPr>
                      <w:rFonts w:cstheme="minorHAnsi"/>
                      <w:szCs w:val="21"/>
                    </w:rPr>
                  </w:pPr>
                  <w:r>
                    <w:rPr>
                      <w:rFonts w:hint="eastAsia" w:cstheme="minorHAnsi"/>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pct"/>
                  <w:vAlign w:val="center"/>
                </w:tcPr>
                <w:p>
                  <w:pPr>
                    <w:jc w:val="center"/>
                    <w:rPr>
                      <w:rFonts w:cstheme="minorHAnsi"/>
                      <w:szCs w:val="21"/>
                    </w:rPr>
                  </w:pPr>
                  <w:r>
                    <w:rPr>
                      <w:rFonts w:cstheme="minorHAnsi"/>
                      <w:szCs w:val="21"/>
                    </w:rPr>
                    <w:t>NO</w:t>
                  </w:r>
                  <w:r>
                    <w:rPr>
                      <w:rFonts w:cstheme="minorHAnsi"/>
                      <w:szCs w:val="21"/>
                      <w:vertAlign w:val="subscript"/>
                    </w:rPr>
                    <w:t>2</w:t>
                  </w:r>
                </w:p>
              </w:tc>
              <w:tc>
                <w:tcPr>
                  <w:tcW w:w="1365" w:type="pct"/>
                  <w:vAlign w:val="center"/>
                </w:tcPr>
                <w:p>
                  <w:pPr>
                    <w:jc w:val="center"/>
                    <w:rPr>
                      <w:rFonts w:cstheme="minorHAnsi"/>
                      <w:szCs w:val="21"/>
                    </w:rPr>
                  </w:pPr>
                  <w:r>
                    <w:rPr>
                      <w:rFonts w:cstheme="minorHAnsi"/>
                      <w:szCs w:val="21"/>
                    </w:rPr>
                    <w:t>年平均质量浓度</w:t>
                  </w:r>
                </w:p>
              </w:tc>
              <w:tc>
                <w:tcPr>
                  <w:tcW w:w="812" w:type="pct"/>
                  <w:vAlign w:val="center"/>
                </w:tcPr>
                <w:p>
                  <w:pPr>
                    <w:jc w:val="center"/>
                    <w:rPr>
                      <w:rFonts w:cstheme="minorHAnsi"/>
                      <w:szCs w:val="21"/>
                    </w:rPr>
                  </w:pPr>
                  <w:r>
                    <w:rPr>
                      <w:rFonts w:hint="eastAsia" w:cstheme="minorHAnsi"/>
                      <w:szCs w:val="21"/>
                    </w:rPr>
                    <w:t>2</w:t>
                  </w:r>
                  <w:r>
                    <w:rPr>
                      <w:rFonts w:cstheme="minorHAnsi"/>
                      <w:szCs w:val="21"/>
                    </w:rPr>
                    <w:t>5</w:t>
                  </w:r>
                </w:p>
              </w:tc>
              <w:tc>
                <w:tcPr>
                  <w:tcW w:w="812" w:type="pct"/>
                  <w:vAlign w:val="center"/>
                </w:tcPr>
                <w:p>
                  <w:pPr>
                    <w:jc w:val="center"/>
                    <w:rPr>
                      <w:rFonts w:cstheme="minorHAnsi"/>
                      <w:szCs w:val="21"/>
                    </w:rPr>
                  </w:pPr>
                  <w:r>
                    <w:rPr>
                      <w:rFonts w:hint="eastAsia" w:cstheme="minorHAnsi"/>
                      <w:szCs w:val="21"/>
                    </w:rPr>
                    <w:t>40</w:t>
                  </w:r>
                </w:p>
              </w:tc>
              <w:tc>
                <w:tcPr>
                  <w:tcW w:w="813" w:type="pct"/>
                  <w:vAlign w:val="center"/>
                </w:tcPr>
                <w:p>
                  <w:pPr>
                    <w:jc w:val="center"/>
                    <w:rPr>
                      <w:szCs w:val="21"/>
                    </w:rPr>
                  </w:pPr>
                  <w:r>
                    <w:rPr>
                      <w:rFonts w:hint="eastAsia"/>
                      <w:szCs w:val="21"/>
                    </w:rPr>
                    <w:t>6</w:t>
                  </w:r>
                  <w:r>
                    <w:rPr>
                      <w:szCs w:val="21"/>
                    </w:rPr>
                    <w:t>2.5</w:t>
                  </w:r>
                </w:p>
              </w:tc>
              <w:tc>
                <w:tcPr>
                  <w:tcW w:w="600" w:type="pct"/>
                  <w:vAlign w:val="center"/>
                </w:tcPr>
                <w:p>
                  <w:pPr>
                    <w:jc w:val="center"/>
                    <w:rPr>
                      <w:rFonts w:cstheme="minorHAnsi"/>
                      <w:szCs w:val="21"/>
                    </w:rPr>
                  </w:pPr>
                  <w:r>
                    <w:rPr>
                      <w:rFonts w:hint="eastAsia" w:cstheme="minorHAnsi"/>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pct"/>
                  <w:vAlign w:val="center"/>
                </w:tcPr>
                <w:p>
                  <w:pPr>
                    <w:jc w:val="center"/>
                    <w:rPr>
                      <w:rFonts w:cstheme="minorHAnsi"/>
                      <w:szCs w:val="21"/>
                    </w:rPr>
                  </w:pPr>
                  <w:r>
                    <w:rPr>
                      <w:rFonts w:cstheme="minorHAnsi"/>
                      <w:szCs w:val="21"/>
                    </w:rPr>
                    <w:t>PM</w:t>
                  </w:r>
                  <w:r>
                    <w:rPr>
                      <w:rFonts w:cstheme="minorHAnsi"/>
                      <w:szCs w:val="21"/>
                      <w:vertAlign w:val="subscript"/>
                    </w:rPr>
                    <w:t>10</w:t>
                  </w:r>
                </w:p>
              </w:tc>
              <w:tc>
                <w:tcPr>
                  <w:tcW w:w="1365" w:type="pct"/>
                  <w:vAlign w:val="center"/>
                </w:tcPr>
                <w:p>
                  <w:pPr>
                    <w:jc w:val="center"/>
                    <w:rPr>
                      <w:rFonts w:cstheme="minorHAnsi"/>
                      <w:szCs w:val="21"/>
                    </w:rPr>
                  </w:pPr>
                  <w:r>
                    <w:rPr>
                      <w:rFonts w:cstheme="minorHAnsi"/>
                      <w:szCs w:val="21"/>
                    </w:rPr>
                    <w:t>年平均质量浓度</w:t>
                  </w:r>
                </w:p>
              </w:tc>
              <w:tc>
                <w:tcPr>
                  <w:tcW w:w="812" w:type="pct"/>
                  <w:vAlign w:val="center"/>
                </w:tcPr>
                <w:p>
                  <w:pPr>
                    <w:jc w:val="center"/>
                    <w:rPr>
                      <w:rFonts w:cstheme="minorHAnsi"/>
                      <w:szCs w:val="21"/>
                    </w:rPr>
                  </w:pPr>
                  <w:r>
                    <w:rPr>
                      <w:rFonts w:hint="eastAsia" w:cstheme="minorHAnsi"/>
                      <w:szCs w:val="21"/>
                    </w:rPr>
                    <w:t>5</w:t>
                  </w:r>
                  <w:r>
                    <w:rPr>
                      <w:rFonts w:cstheme="minorHAnsi"/>
                      <w:szCs w:val="21"/>
                    </w:rPr>
                    <w:t>7</w:t>
                  </w:r>
                </w:p>
              </w:tc>
              <w:tc>
                <w:tcPr>
                  <w:tcW w:w="812" w:type="pct"/>
                  <w:vAlign w:val="center"/>
                </w:tcPr>
                <w:p>
                  <w:pPr>
                    <w:jc w:val="center"/>
                    <w:rPr>
                      <w:rFonts w:cstheme="minorHAnsi"/>
                      <w:szCs w:val="21"/>
                    </w:rPr>
                  </w:pPr>
                  <w:r>
                    <w:rPr>
                      <w:rFonts w:cstheme="minorHAnsi"/>
                      <w:szCs w:val="21"/>
                    </w:rPr>
                    <w:t>70</w:t>
                  </w:r>
                </w:p>
              </w:tc>
              <w:tc>
                <w:tcPr>
                  <w:tcW w:w="813" w:type="pct"/>
                  <w:vAlign w:val="center"/>
                </w:tcPr>
                <w:p>
                  <w:pPr>
                    <w:jc w:val="center"/>
                    <w:rPr>
                      <w:szCs w:val="21"/>
                    </w:rPr>
                  </w:pPr>
                  <w:r>
                    <w:rPr>
                      <w:rFonts w:hint="eastAsia"/>
                      <w:szCs w:val="21"/>
                    </w:rPr>
                    <w:t>8</w:t>
                  </w:r>
                  <w:r>
                    <w:rPr>
                      <w:szCs w:val="21"/>
                    </w:rPr>
                    <w:t>1.4</w:t>
                  </w:r>
                </w:p>
              </w:tc>
              <w:tc>
                <w:tcPr>
                  <w:tcW w:w="600" w:type="pct"/>
                  <w:vAlign w:val="center"/>
                </w:tcPr>
                <w:p>
                  <w:pPr>
                    <w:jc w:val="center"/>
                    <w:rPr>
                      <w:rFonts w:cstheme="minorHAnsi"/>
                      <w:szCs w:val="21"/>
                    </w:rPr>
                  </w:pPr>
                  <w:r>
                    <w:rPr>
                      <w:rFonts w:hint="eastAsia" w:cstheme="minorHAnsi"/>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pct"/>
                  <w:vAlign w:val="center"/>
                </w:tcPr>
                <w:p>
                  <w:pPr>
                    <w:jc w:val="center"/>
                    <w:rPr>
                      <w:rFonts w:cstheme="minorHAnsi"/>
                      <w:szCs w:val="21"/>
                    </w:rPr>
                  </w:pPr>
                  <w:r>
                    <w:rPr>
                      <w:rFonts w:cstheme="minorHAnsi"/>
                      <w:szCs w:val="21"/>
                    </w:rPr>
                    <w:t>PM</w:t>
                  </w:r>
                  <w:r>
                    <w:rPr>
                      <w:rFonts w:cstheme="minorHAnsi"/>
                      <w:szCs w:val="21"/>
                      <w:vertAlign w:val="subscript"/>
                    </w:rPr>
                    <w:t>2.5</w:t>
                  </w:r>
                </w:p>
              </w:tc>
              <w:tc>
                <w:tcPr>
                  <w:tcW w:w="1365" w:type="pct"/>
                  <w:vAlign w:val="center"/>
                </w:tcPr>
                <w:p>
                  <w:pPr>
                    <w:jc w:val="center"/>
                    <w:rPr>
                      <w:rFonts w:cstheme="minorHAnsi"/>
                      <w:szCs w:val="21"/>
                    </w:rPr>
                  </w:pPr>
                  <w:r>
                    <w:rPr>
                      <w:rFonts w:cstheme="minorHAnsi"/>
                      <w:szCs w:val="21"/>
                    </w:rPr>
                    <w:t>年平均质量浓度</w:t>
                  </w:r>
                </w:p>
              </w:tc>
              <w:tc>
                <w:tcPr>
                  <w:tcW w:w="812" w:type="pct"/>
                  <w:vAlign w:val="center"/>
                </w:tcPr>
                <w:p>
                  <w:pPr>
                    <w:jc w:val="center"/>
                    <w:rPr>
                      <w:rFonts w:cstheme="minorHAnsi"/>
                      <w:szCs w:val="21"/>
                    </w:rPr>
                  </w:pPr>
                  <w:r>
                    <w:rPr>
                      <w:rFonts w:hint="eastAsia" w:cstheme="minorHAnsi"/>
                      <w:szCs w:val="21"/>
                    </w:rPr>
                    <w:t>3</w:t>
                  </w:r>
                  <w:r>
                    <w:rPr>
                      <w:rFonts w:cstheme="minorHAnsi"/>
                      <w:szCs w:val="21"/>
                    </w:rPr>
                    <w:t>6</w:t>
                  </w:r>
                </w:p>
              </w:tc>
              <w:tc>
                <w:tcPr>
                  <w:tcW w:w="812" w:type="pct"/>
                  <w:vAlign w:val="center"/>
                </w:tcPr>
                <w:p>
                  <w:pPr>
                    <w:jc w:val="center"/>
                    <w:rPr>
                      <w:rFonts w:cstheme="minorHAnsi"/>
                      <w:szCs w:val="21"/>
                    </w:rPr>
                  </w:pPr>
                  <w:r>
                    <w:rPr>
                      <w:rFonts w:cstheme="minorHAnsi"/>
                      <w:szCs w:val="21"/>
                    </w:rPr>
                    <w:t>35</w:t>
                  </w:r>
                </w:p>
              </w:tc>
              <w:tc>
                <w:tcPr>
                  <w:tcW w:w="813" w:type="pct"/>
                  <w:vAlign w:val="center"/>
                </w:tcPr>
                <w:p>
                  <w:pPr>
                    <w:jc w:val="center"/>
                    <w:rPr>
                      <w:b/>
                      <w:bCs/>
                      <w:szCs w:val="21"/>
                    </w:rPr>
                  </w:pPr>
                  <w:r>
                    <w:rPr>
                      <w:rFonts w:hint="eastAsia"/>
                      <w:b/>
                      <w:bCs/>
                      <w:szCs w:val="21"/>
                    </w:rPr>
                    <w:t>1</w:t>
                  </w:r>
                  <w:r>
                    <w:rPr>
                      <w:b/>
                      <w:bCs/>
                      <w:szCs w:val="21"/>
                    </w:rPr>
                    <w:t>02.9</w:t>
                  </w:r>
                </w:p>
              </w:tc>
              <w:tc>
                <w:tcPr>
                  <w:tcW w:w="600" w:type="pct"/>
                  <w:vAlign w:val="center"/>
                </w:tcPr>
                <w:p>
                  <w:pPr>
                    <w:jc w:val="center"/>
                    <w:rPr>
                      <w:rFonts w:cstheme="minorHAnsi"/>
                      <w:b/>
                      <w:bCs/>
                      <w:szCs w:val="21"/>
                    </w:rPr>
                  </w:pPr>
                  <w:r>
                    <w:rPr>
                      <w:rFonts w:hint="eastAsia" w:cstheme="minorHAnsi"/>
                      <w:b/>
                      <w:bCs/>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pct"/>
                  <w:vAlign w:val="center"/>
                </w:tcPr>
                <w:p>
                  <w:pPr>
                    <w:jc w:val="center"/>
                    <w:rPr>
                      <w:rFonts w:cstheme="minorHAnsi"/>
                      <w:szCs w:val="21"/>
                    </w:rPr>
                  </w:pPr>
                  <w:r>
                    <w:rPr>
                      <w:rFonts w:cstheme="minorHAnsi"/>
                      <w:szCs w:val="21"/>
                    </w:rPr>
                    <w:t>CO</w:t>
                  </w:r>
                </w:p>
              </w:tc>
              <w:tc>
                <w:tcPr>
                  <w:tcW w:w="1365" w:type="pct"/>
                  <w:vAlign w:val="center"/>
                </w:tcPr>
                <w:p>
                  <w:pPr>
                    <w:jc w:val="center"/>
                    <w:rPr>
                      <w:rFonts w:cstheme="minorHAnsi"/>
                      <w:szCs w:val="21"/>
                    </w:rPr>
                  </w:pPr>
                  <w:r>
                    <w:rPr>
                      <w:rFonts w:hint="eastAsia" w:cstheme="minorHAnsi"/>
                      <w:szCs w:val="21"/>
                    </w:rPr>
                    <w:t>日均值第95百分位数</w:t>
                  </w:r>
                </w:p>
              </w:tc>
              <w:tc>
                <w:tcPr>
                  <w:tcW w:w="812" w:type="pct"/>
                  <w:vAlign w:val="center"/>
                </w:tcPr>
                <w:p>
                  <w:pPr>
                    <w:jc w:val="center"/>
                    <w:rPr>
                      <w:rFonts w:cstheme="minorHAnsi"/>
                      <w:szCs w:val="21"/>
                    </w:rPr>
                  </w:pPr>
                  <w:r>
                    <w:rPr>
                      <w:rFonts w:hint="eastAsia" w:cstheme="minorHAnsi"/>
                      <w:szCs w:val="21"/>
                    </w:rPr>
                    <w:t>1</w:t>
                  </w:r>
                  <w:r>
                    <w:rPr>
                      <w:rFonts w:cstheme="minorHAnsi"/>
                      <w:szCs w:val="21"/>
                    </w:rPr>
                    <w:t>300</w:t>
                  </w:r>
                </w:p>
              </w:tc>
              <w:tc>
                <w:tcPr>
                  <w:tcW w:w="812" w:type="pct"/>
                  <w:vAlign w:val="center"/>
                </w:tcPr>
                <w:p>
                  <w:pPr>
                    <w:jc w:val="center"/>
                    <w:rPr>
                      <w:rFonts w:cstheme="minorHAnsi"/>
                      <w:szCs w:val="21"/>
                    </w:rPr>
                  </w:pPr>
                  <w:r>
                    <w:rPr>
                      <w:rFonts w:hint="eastAsia" w:cstheme="minorHAnsi"/>
                      <w:szCs w:val="21"/>
                    </w:rPr>
                    <w:t>4000</w:t>
                  </w:r>
                </w:p>
              </w:tc>
              <w:tc>
                <w:tcPr>
                  <w:tcW w:w="813" w:type="pct"/>
                  <w:vAlign w:val="center"/>
                </w:tcPr>
                <w:p>
                  <w:pPr>
                    <w:jc w:val="center"/>
                    <w:rPr>
                      <w:szCs w:val="21"/>
                    </w:rPr>
                  </w:pPr>
                  <w:r>
                    <w:rPr>
                      <w:rFonts w:hint="eastAsia"/>
                      <w:szCs w:val="21"/>
                    </w:rPr>
                    <w:t>3</w:t>
                  </w:r>
                  <w:r>
                    <w:rPr>
                      <w:szCs w:val="21"/>
                    </w:rPr>
                    <w:t>2.5</w:t>
                  </w:r>
                </w:p>
              </w:tc>
              <w:tc>
                <w:tcPr>
                  <w:tcW w:w="600" w:type="pct"/>
                  <w:vAlign w:val="center"/>
                </w:tcPr>
                <w:p>
                  <w:pPr>
                    <w:jc w:val="center"/>
                    <w:rPr>
                      <w:rFonts w:cstheme="minorHAnsi"/>
                      <w:szCs w:val="21"/>
                    </w:rPr>
                  </w:pPr>
                  <w:r>
                    <w:rPr>
                      <w:rFonts w:hint="eastAsia" w:cstheme="minorHAnsi"/>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pct"/>
                  <w:vAlign w:val="center"/>
                </w:tcPr>
                <w:p>
                  <w:pPr>
                    <w:jc w:val="center"/>
                    <w:rPr>
                      <w:rFonts w:cstheme="minorHAnsi"/>
                      <w:szCs w:val="21"/>
                    </w:rPr>
                  </w:pPr>
                  <w:r>
                    <w:rPr>
                      <w:rFonts w:cstheme="minorHAnsi"/>
                      <w:szCs w:val="21"/>
                    </w:rPr>
                    <w:t>O</w:t>
                  </w:r>
                  <w:r>
                    <w:rPr>
                      <w:rFonts w:cstheme="minorHAnsi"/>
                      <w:szCs w:val="21"/>
                      <w:vertAlign w:val="subscript"/>
                    </w:rPr>
                    <w:t>3</w:t>
                  </w:r>
                </w:p>
              </w:tc>
              <w:tc>
                <w:tcPr>
                  <w:tcW w:w="1365" w:type="pct"/>
                  <w:vAlign w:val="center"/>
                </w:tcPr>
                <w:p>
                  <w:pPr>
                    <w:jc w:val="center"/>
                    <w:rPr>
                      <w:rFonts w:cstheme="minorHAnsi"/>
                      <w:szCs w:val="21"/>
                    </w:rPr>
                  </w:pPr>
                  <w:r>
                    <w:rPr>
                      <w:rFonts w:hint="eastAsia" w:cstheme="minorHAnsi"/>
                      <w:szCs w:val="21"/>
                    </w:rPr>
                    <w:t>日最大8小时平均第90百分位数</w:t>
                  </w:r>
                </w:p>
              </w:tc>
              <w:tc>
                <w:tcPr>
                  <w:tcW w:w="812" w:type="pct"/>
                  <w:vAlign w:val="center"/>
                </w:tcPr>
                <w:p>
                  <w:pPr>
                    <w:jc w:val="center"/>
                    <w:rPr>
                      <w:rFonts w:cstheme="minorHAnsi"/>
                      <w:szCs w:val="21"/>
                    </w:rPr>
                  </w:pPr>
                  <w:r>
                    <w:rPr>
                      <w:rFonts w:hint="eastAsia" w:cstheme="minorHAnsi"/>
                      <w:szCs w:val="21"/>
                    </w:rPr>
                    <w:t>1</w:t>
                  </w:r>
                  <w:r>
                    <w:rPr>
                      <w:rFonts w:cstheme="minorHAnsi"/>
                      <w:szCs w:val="21"/>
                    </w:rPr>
                    <w:t>12</w:t>
                  </w:r>
                </w:p>
              </w:tc>
              <w:tc>
                <w:tcPr>
                  <w:tcW w:w="812" w:type="pct"/>
                  <w:vAlign w:val="center"/>
                </w:tcPr>
                <w:p>
                  <w:pPr>
                    <w:jc w:val="center"/>
                    <w:rPr>
                      <w:rFonts w:cstheme="minorHAnsi"/>
                      <w:szCs w:val="21"/>
                    </w:rPr>
                  </w:pPr>
                  <w:r>
                    <w:rPr>
                      <w:rFonts w:hint="eastAsia" w:cstheme="minorHAnsi"/>
                      <w:szCs w:val="21"/>
                    </w:rPr>
                    <w:t>160</w:t>
                  </w:r>
                </w:p>
              </w:tc>
              <w:tc>
                <w:tcPr>
                  <w:tcW w:w="813" w:type="pct"/>
                  <w:vAlign w:val="center"/>
                </w:tcPr>
                <w:p>
                  <w:pPr>
                    <w:jc w:val="center"/>
                    <w:rPr>
                      <w:szCs w:val="21"/>
                    </w:rPr>
                  </w:pPr>
                  <w:r>
                    <w:rPr>
                      <w:rFonts w:hint="eastAsia"/>
                      <w:szCs w:val="21"/>
                    </w:rPr>
                    <w:t>7</w:t>
                  </w:r>
                  <w:r>
                    <w:rPr>
                      <w:szCs w:val="21"/>
                    </w:rPr>
                    <w:t>0.0</w:t>
                  </w:r>
                </w:p>
              </w:tc>
              <w:tc>
                <w:tcPr>
                  <w:tcW w:w="600" w:type="pct"/>
                  <w:vAlign w:val="center"/>
                </w:tcPr>
                <w:p>
                  <w:pPr>
                    <w:jc w:val="center"/>
                    <w:rPr>
                      <w:rFonts w:cstheme="minorHAnsi"/>
                      <w:szCs w:val="21"/>
                    </w:rPr>
                  </w:pPr>
                  <w:r>
                    <w:rPr>
                      <w:rFonts w:hint="eastAsia" w:cstheme="minorHAnsi"/>
                      <w:szCs w:val="21"/>
                    </w:rPr>
                    <w:t>达标</w:t>
                  </w:r>
                </w:p>
              </w:tc>
            </w:tr>
          </w:tbl>
          <w:p>
            <w:pPr>
              <w:spacing w:line="360" w:lineRule="auto"/>
              <w:ind w:firstLine="480" w:firstLineChars="200"/>
              <w:rPr>
                <w:rFonts w:cs="Times New Roman"/>
                <w:sz w:val="24"/>
                <w:szCs w:val="24"/>
              </w:rPr>
            </w:pPr>
            <w:r>
              <w:rPr>
                <w:rFonts w:hint="eastAsia" w:cs="Times New Roman"/>
                <w:sz w:val="24"/>
                <w:szCs w:val="24"/>
              </w:rPr>
              <w:t>根据《环境影响评价技术导则 大气环境》（HJ2.2-2018）中达标判断要求，区域为环境空气质量不达标区。</w:t>
            </w:r>
          </w:p>
          <w:p>
            <w:pPr>
              <w:spacing w:line="360" w:lineRule="auto"/>
              <w:ind w:firstLine="482" w:firstLineChars="200"/>
              <w:rPr>
                <w:rFonts w:cs="Times New Roman"/>
                <w:b/>
                <w:bCs/>
                <w:sz w:val="24"/>
                <w:szCs w:val="24"/>
              </w:rPr>
            </w:pPr>
            <w:r>
              <w:rPr>
                <w:rFonts w:cs="Times New Roman"/>
                <w:b/>
                <w:bCs/>
                <w:sz w:val="24"/>
                <w:szCs w:val="24"/>
              </w:rPr>
              <w:t>2</w:t>
            </w:r>
            <w:r>
              <w:rPr>
                <w:rFonts w:hint="eastAsia" w:cs="Times New Roman"/>
                <w:b/>
                <w:bCs/>
                <w:sz w:val="24"/>
                <w:szCs w:val="24"/>
              </w:rPr>
              <w:t>）空气质量达标规划</w:t>
            </w:r>
          </w:p>
          <w:p>
            <w:pPr>
              <w:spacing w:line="360" w:lineRule="auto"/>
              <w:ind w:firstLine="480" w:firstLineChars="200"/>
              <w:rPr>
                <w:rFonts w:cs="Times New Roman"/>
                <w:sz w:val="24"/>
                <w:szCs w:val="24"/>
              </w:rPr>
            </w:pPr>
            <w:r>
              <w:rPr>
                <w:rFonts w:hint="eastAsia" w:cs="Times New Roman"/>
                <w:sz w:val="24"/>
                <w:szCs w:val="24"/>
              </w:rPr>
              <w:t>根据《达州市大气环境质量限期达标规划（2</w:t>
            </w:r>
            <w:r>
              <w:rPr>
                <w:rFonts w:cs="Times New Roman"/>
                <w:sz w:val="24"/>
                <w:szCs w:val="24"/>
              </w:rPr>
              <w:t>018-2030</w:t>
            </w:r>
            <w:r>
              <w:rPr>
                <w:rFonts w:hint="eastAsia" w:cs="Times New Roman"/>
                <w:sz w:val="24"/>
                <w:szCs w:val="24"/>
              </w:rPr>
              <w:t>年》（达市府发〔2</w:t>
            </w:r>
            <w:r>
              <w:rPr>
                <w:rFonts w:cs="Times New Roman"/>
                <w:sz w:val="24"/>
                <w:szCs w:val="24"/>
              </w:rPr>
              <w:t>018</w:t>
            </w:r>
            <w:r>
              <w:rPr>
                <w:rFonts w:hint="eastAsia" w:cs="Times New Roman"/>
                <w:sz w:val="24"/>
                <w:szCs w:val="24"/>
              </w:rPr>
              <w:t>〕2</w:t>
            </w:r>
            <w:r>
              <w:rPr>
                <w:rFonts w:cs="Times New Roman"/>
                <w:sz w:val="24"/>
                <w:szCs w:val="24"/>
              </w:rPr>
              <w:t>0</w:t>
            </w:r>
            <w:r>
              <w:rPr>
                <w:rFonts w:hint="eastAsia" w:cs="Times New Roman"/>
                <w:sz w:val="24"/>
                <w:szCs w:val="24"/>
              </w:rPr>
              <w:t>号），“十四五”期间，达州市将进一步优化产业格局和严格环境准入，实施更为深入、更具针对性的减排措施，以大气环境质量达标倒逼产业转型。具体包括：逐步调整产业结构和布局，调整能源结构，优化城市功能和空间布局，发展清洁产业和循环经济，逐步实现大气污染控制从末端治理到源头控制过渡，强化源头控制等。以空间格局及产业布局优化为切入点，通过严格环境准入、企业搬迁、落后产能淘汰等差别化管理倒逼能源结构和产业结构优化升级，引导经济绿色低碳、循环发展。通过全面落实更为深入、更具针对性的大气污染防治措施，力争到2030年实现空气质量稳定达标。</w:t>
            </w:r>
          </w:p>
          <w:p>
            <w:pPr>
              <w:spacing w:line="360" w:lineRule="auto"/>
              <w:ind w:firstLine="482" w:firstLineChars="200"/>
              <w:rPr>
                <w:rFonts w:cs="Times New Roman"/>
                <w:b/>
                <w:bCs/>
                <w:sz w:val="24"/>
                <w:szCs w:val="24"/>
              </w:rPr>
            </w:pPr>
            <w:r>
              <w:rPr>
                <w:rFonts w:hint="eastAsia" w:cs="Times New Roman"/>
                <w:b/>
                <w:bCs/>
                <w:sz w:val="24"/>
                <w:szCs w:val="24"/>
              </w:rPr>
              <w:t>（</w:t>
            </w:r>
            <w:r>
              <w:rPr>
                <w:rFonts w:cs="Times New Roman"/>
                <w:b/>
                <w:bCs/>
                <w:sz w:val="24"/>
                <w:szCs w:val="24"/>
              </w:rPr>
              <w:t>2</w:t>
            </w:r>
            <w:r>
              <w:rPr>
                <w:rFonts w:hint="eastAsia" w:cs="Times New Roman"/>
                <w:b/>
                <w:bCs/>
                <w:sz w:val="24"/>
                <w:szCs w:val="24"/>
              </w:rPr>
              <w:t>）其他污染物现状评价</w:t>
            </w:r>
          </w:p>
          <w:p>
            <w:pPr>
              <w:spacing w:line="360" w:lineRule="auto"/>
              <w:ind w:firstLine="482" w:firstLineChars="200"/>
              <w:rPr>
                <w:b/>
                <w:sz w:val="24"/>
                <w:szCs w:val="24"/>
              </w:rPr>
            </w:pPr>
            <w:r>
              <w:rPr>
                <w:rFonts w:hint="eastAsia"/>
                <w:b/>
                <w:sz w:val="24"/>
                <w:szCs w:val="24"/>
              </w:rPr>
              <w:t>1）其他污染物现状监测</w:t>
            </w:r>
          </w:p>
          <w:p>
            <w:pPr>
              <w:spacing w:line="360" w:lineRule="auto"/>
              <w:ind w:firstLine="482" w:firstLineChars="200"/>
              <w:rPr>
                <w:b/>
                <w:sz w:val="24"/>
                <w:szCs w:val="24"/>
              </w:rPr>
            </w:pPr>
            <w:r>
              <w:rPr>
                <w:rFonts w:hint="eastAsia"/>
                <w:b/>
                <w:sz w:val="24"/>
                <w:szCs w:val="24"/>
              </w:rPr>
              <w:t>①监测点位</w:t>
            </w:r>
          </w:p>
          <w:p>
            <w:pPr>
              <w:spacing w:line="360" w:lineRule="auto"/>
              <w:ind w:firstLine="480" w:firstLineChars="200"/>
              <w:rPr>
                <w:sz w:val="24"/>
                <w:szCs w:val="24"/>
              </w:rPr>
            </w:pPr>
            <w:r>
              <w:rPr>
                <w:rFonts w:hint="eastAsia"/>
                <w:sz w:val="24"/>
                <w:szCs w:val="24"/>
              </w:rPr>
              <w:t>本次环评共设1个环境空气监测点，基本信息</w:t>
            </w:r>
            <w:r>
              <w:rPr>
                <w:rFonts w:cs="Times New Roman"/>
                <w:sz w:val="24"/>
              </w:rPr>
              <w:t>见</w:t>
            </w:r>
            <w:r>
              <w:rPr>
                <w:rFonts w:hint="eastAsia" w:cs="Times New Roman"/>
                <w:sz w:val="24"/>
              </w:rPr>
              <w:t>下表</w:t>
            </w:r>
            <w:r>
              <w:rPr>
                <w:rFonts w:hint="eastAsia"/>
                <w:sz w:val="24"/>
                <w:szCs w:val="24"/>
              </w:rPr>
              <w:t>。</w:t>
            </w:r>
          </w:p>
          <w:p>
            <w:pPr>
              <w:spacing w:line="360" w:lineRule="auto"/>
              <w:jc w:val="center"/>
              <w:rPr>
                <w:rFonts w:eastAsia="黑体" w:cs="Times New Roman"/>
                <w:szCs w:val="21"/>
              </w:rPr>
            </w:pPr>
            <w:r>
              <w:rPr>
                <w:rFonts w:eastAsia="黑体" w:cs="Times New Roman"/>
                <w:szCs w:val="21"/>
              </w:rPr>
              <w:t xml:space="preserve">表3-3  </w:t>
            </w:r>
            <w:r>
              <w:rPr>
                <w:rFonts w:hint="eastAsia" w:eastAsia="黑体" w:cs="Times New Roman"/>
                <w:szCs w:val="21"/>
              </w:rPr>
              <w:t>其他</w:t>
            </w:r>
            <w:r>
              <w:rPr>
                <w:rFonts w:eastAsia="黑体" w:cs="Times New Roman"/>
                <w:szCs w:val="21"/>
              </w:rPr>
              <w:t>污染物监测点基本信息表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2267"/>
              <w:gridCol w:w="1765"/>
              <w:gridCol w:w="1765"/>
              <w:gridCol w:w="1116"/>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87" w:type="pct"/>
                  <w:vMerge w:val="restart"/>
                  <w:vAlign w:val="center"/>
                </w:tcPr>
                <w:p>
                  <w:pPr>
                    <w:jc w:val="center"/>
                    <w:rPr>
                      <w:rFonts w:cstheme="minorHAnsi"/>
                      <w:szCs w:val="21"/>
                    </w:rPr>
                  </w:pPr>
                  <w:r>
                    <w:rPr>
                      <w:rFonts w:hint="eastAsia" w:cstheme="minorHAnsi"/>
                      <w:szCs w:val="21"/>
                    </w:rPr>
                    <w:t>编号</w:t>
                  </w:r>
                </w:p>
              </w:tc>
              <w:tc>
                <w:tcPr>
                  <w:tcW w:w="1239" w:type="pct"/>
                  <w:vMerge w:val="restart"/>
                  <w:vAlign w:val="center"/>
                </w:tcPr>
                <w:p>
                  <w:pPr>
                    <w:jc w:val="center"/>
                    <w:rPr>
                      <w:rFonts w:cstheme="minorHAnsi"/>
                      <w:szCs w:val="21"/>
                    </w:rPr>
                  </w:pPr>
                  <w:r>
                    <w:rPr>
                      <w:rFonts w:hint="eastAsia" w:cstheme="minorHAnsi"/>
                      <w:szCs w:val="21"/>
                    </w:rPr>
                    <w:t>监测点名称</w:t>
                  </w:r>
                </w:p>
              </w:tc>
              <w:tc>
                <w:tcPr>
                  <w:tcW w:w="1930" w:type="pct"/>
                  <w:gridSpan w:val="2"/>
                  <w:vAlign w:val="center"/>
                </w:tcPr>
                <w:p>
                  <w:pPr>
                    <w:jc w:val="center"/>
                    <w:rPr>
                      <w:rFonts w:cstheme="minorHAnsi"/>
                      <w:szCs w:val="21"/>
                    </w:rPr>
                  </w:pPr>
                  <w:r>
                    <w:rPr>
                      <w:rFonts w:hint="eastAsia" w:cstheme="minorHAnsi"/>
                      <w:szCs w:val="21"/>
                    </w:rPr>
                    <w:t>监测点坐标</w:t>
                  </w:r>
                </w:p>
              </w:tc>
              <w:tc>
                <w:tcPr>
                  <w:tcW w:w="610" w:type="pct"/>
                  <w:vMerge w:val="restart"/>
                  <w:vAlign w:val="center"/>
                </w:tcPr>
                <w:p>
                  <w:pPr>
                    <w:jc w:val="center"/>
                    <w:rPr>
                      <w:rFonts w:cstheme="minorHAnsi"/>
                      <w:szCs w:val="21"/>
                    </w:rPr>
                  </w:pPr>
                  <w:r>
                    <w:rPr>
                      <w:rFonts w:hint="eastAsia" w:cstheme="minorHAnsi"/>
                      <w:szCs w:val="21"/>
                    </w:rPr>
                    <w:t>相对厂址方位</w:t>
                  </w:r>
                </w:p>
              </w:tc>
              <w:tc>
                <w:tcPr>
                  <w:tcW w:w="734" w:type="pct"/>
                  <w:vMerge w:val="restart"/>
                  <w:vAlign w:val="center"/>
                </w:tcPr>
                <w:p>
                  <w:pPr>
                    <w:jc w:val="center"/>
                    <w:rPr>
                      <w:rFonts w:cstheme="minorHAnsi"/>
                      <w:szCs w:val="21"/>
                    </w:rPr>
                  </w:pPr>
                  <w:r>
                    <w:rPr>
                      <w:rFonts w:hint="eastAsia" w:cstheme="minorHAnsi"/>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87" w:type="pct"/>
                  <w:vMerge w:val="continue"/>
                  <w:vAlign w:val="center"/>
                </w:tcPr>
                <w:p>
                  <w:pPr>
                    <w:jc w:val="center"/>
                    <w:rPr>
                      <w:rFonts w:cstheme="minorHAnsi"/>
                      <w:szCs w:val="21"/>
                    </w:rPr>
                  </w:pPr>
                </w:p>
              </w:tc>
              <w:tc>
                <w:tcPr>
                  <w:tcW w:w="1239" w:type="pct"/>
                  <w:vMerge w:val="continue"/>
                  <w:vAlign w:val="center"/>
                </w:tcPr>
                <w:p>
                  <w:pPr>
                    <w:jc w:val="center"/>
                    <w:rPr>
                      <w:rFonts w:cstheme="minorHAnsi"/>
                      <w:szCs w:val="21"/>
                    </w:rPr>
                  </w:pPr>
                </w:p>
              </w:tc>
              <w:tc>
                <w:tcPr>
                  <w:tcW w:w="965" w:type="pct"/>
                  <w:vAlign w:val="center"/>
                </w:tcPr>
                <w:p>
                  <w:pPr>
                    <w:jc w:val="center"/>
                    <w:rPr>
                      <w:rFonts w:cs="Times New Roman"/>
                      <w:szCs w:val="21"/>
                    </w:rPr>
                  </w:pPr>
                  <w:r>
                    <w:rPr>
                      <w:rFonts w:cs="Times New Roman"/>
                      <w:szCs w:val="21"/>
                    </w:rPr>
                    <w:t>经度</w:t>
                  </w:r>
                </w:p>
              </w:tc>
              <w:tc>
                <w:tcPr>
                  <w:tcW w:w="965" w:type="pct"/>
                  <w:vAlign w:val="center"/>
                </w:tcPr>
                <w:p>
                  <w:pPr>
                    <w:jc w:val="center"/>
                    <w:rPr>
                      <w:rFonts w:cs="Times New Roman"/>
                      <w:szCs w:val="21"/>
                    </w:rPr>
                  </w:pPr>
                  <w:r>
                    <w:rPr>
                      <w:rFonts w:cs="Times New Roman"/>
                      <w:szCs w:val="21"/>
                    </w:rPr>
                    <w:t>纬度</w:t>
                  </w:r>
                </w:p>
              </w:tc>
              <w:tc>
                <w:tcPr>
                  <w:tcW w:w="610" w:type="pct"/>
                  <w:vMerge w:val="continue"/>
                  <w:vAlign w:val="center"/>
                </w:tcPr>
                <w:p>
                  <w:pPr>
                    <w:jc w:val="center"/>
                    <w:rPr>
                      <w:rFonts w:cstheme="minorHAnsi"/>
                      <w:szCs w:val="21"/>
                    </w:rPr>
                  </w:pPr>
                </w:p>
              </w:tc>
              <w:tc>
                <w:tcPr>
                  <w:tcW w:w="734" w:type="pct"/>
                  <w:vMerge w:val="continue"/>
                  <w:vAlign w:val="center"/>
                </w:tcPr>
                <w:p>
                  <w:pPr>
                    <w:jc w:val="center"/>
                    <w:rPr>
                      <w:rFonts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7" w:type="pct"/>
                  <w:vAlign w:val="center"/>
                </w:tcPr>
                <w:p>
                  <w:pPr>
                    <w:jc w:val="center"/>
                    <w:rPr>
                      <w:rFonts w:cstheme="minorHAnsi"/>
                      <w:szCs w:val="21"/>
                    </w:rPr>
                  </w:pPr>
                  <w:r>
                    <w:rPr>
                      <w:rFonts w:cstheme="minorHAnsi"/>
                      <w:szCs w:val="21"/>
                    </w:rPr>
                    <w:t>1#</w:t>
                  </w:r>
                </w:p>
              </w:tc>
              <w:tc>
                <w:tcPr>
                  <w:tcW w:w="1239" w:type="pct"/>
                  <w:vAlign w:val="center"/>
                </w:tcPr>
                <w:p>
                  <w:pPr>
                    <w:jc w:val="center"/>
                    <w:rPr>
                      <w:rFonts w:cstheme="minorHAnsi"/>
                      <w:szCs w:val="21"/>
                    </w:rPr>
                  </w:pPr>
                  <w:r>
                    <w:rPr>
                      <w:rFonts w:hint="eastAsia" w:cstheme="minorHAnsi"/>
                      <w:szCs w:val="21"/>
                    </w:rPr>
                    <w:t>项目南侧桂峰村农户</w:t>
                  </w:r>
                </w:p>
              </w:tc>
              <w:tc>
                <w:tcPr>
                  <w:tcW w:w="965" w:type="pct"/>
                  <w:vAlign w:val="center"/>
                </w:tcPr>
                <w:p>
                  <w:pPr>
                    <w:jc w:val="center"/>
                    <w:rPr>
                      <w:rFonts w:cs="Times New Roman"/>
                      <w:szCs w:val="21"/>
                    </w:rPr>
                  </w:pPr>
                  <w:r>
                    <w:rPr>
                      <w:rFonts w:cs="Times New Roman"/>
                      <w:szCs w:val="21"/>
                    </w:rPr>
                    <w:t>107°19′47.88″</w:t>
                  </w:r>
                </w:p>
              </w:tc>
              <w:tc>
                <w:tcPr>
                  <w:tcW w:w="965" w:type="pct"/>
                  <w:vAlign w:val="center"/>
                </w:tcPr>
                <w:p>
                  <w:pPr>
                    <w:jc w:val="center"/>
                    <w:rPr>
                      <w:rFonts w:cs="Times New Roman"/>
                      <w:szCs w:val="21"/>
                    </w:rPr>
                  </w:pPr>
                  <w:r>
                    <w:rPr>
                      <w:rFonts w:cs="Times New Roman"/>
                      <w:szCs w:val="21"/>
                    </w:rPr>
                    <w:t>30°50′28.02″</w:t>
                  </w:r>
                </w:p>
              </w:tc>
              <w:tc>
                <w:tcPr>
                  <w:tcW w:w="610" w:type="pct"/>
                  <w:vAlign w:val="center"/>
                </w:tcPr>
                <w:p>
                  <w:pPr>
                    <w:jc w:val="center"/>
                    <w:rPr>
                      <w:rFonts w:cstheme="minorHAnsi"/>
                      <w:szCs w:val="21"/>
                    </w:rPr>
                  </w:pPr>
                  <w:r>
                    <w:rPr>
                      <w:rFonts w:hint="eastAsia" w:cstheme="minorHAnsi"/>
                      <w:szCs w:val="21"/>
                    </w:rPr>
                    <w:t>南</w:t>
                  </w:r>
                  <w:r>
                    <w:rPr>
                      <w:rFonts w:cstheme="minorHAnsi"/>
                      <w:szCs w:val="21"/>
                    </w:rPr>
                    <w:t>侧</w:t>
                  </w:r>
                </w:p>
              </w:tc>
              <w:tc>
                <w:tcPr>
                  <w:tcW w:w="734" w:type="pct"/>
                  <w:vAlign w:val="center"/>
                </w:tcPr>
                <w:p>
                  <w:pPr>
                    <w:jc w:val="center"/>
                    <w:rPr>
                      <w:rFonts w:cstheme="minorHAnsi"/>
                      <w:szCs w:val="21"/>
                    </w:rPr>
                  </w:pPr>
                  <w:r>
                    <w:rPr>
                      <w:rFonts w:cstheme="minorHAnsi"/>
                      <w:szCs w:val="21"/>
                    </w:rPr>
                    <w:t>498</w:t>
                  </w:r>
                </w:p>
              </w:tc>
            </w:tr>
          </w:tbl>
          <w:p>
            <w:pPr>
              <w:spacing w:line="360" w:lineRule="auto"/>
              <w:ind w:firstLine="482" w:firstLineChars="200"/>
              <w:rPr>
                <w:rFonts w:cs="Times New Roman"/>
                <w:b/>
                <w:sz w:val="24"/>
              </w:rPr>
            </w:pPr>
            <w:r>
              <w:rPr>
                <w:rFonts w:hint="eastAsia" w:cs="Times New Roman"/>
                <w:b/>
                <w:sz w:val="24"/>
              </w:rPr>
              <w:t>②监测因子</w:t>
            </w:r>
          </w:p>
          <w:p>
            <w:pPr>
              <w:spacing w:line="360" w:lineRule="auto"/>
              <w:ind w:firstLine="480" w:firstLineChars="200"/>
              <w:rPr>
                <w:sz w:val="24"/>
                <w:szCs w:val="24"/>
              </w:rPr>
            </w:pPr>
            <w:r>
              <w:rPr>
                <w:rFonts w:hint="eastAsia"/>
                <w:sz w:val="24"/>
                <w:szCs w:val="24"/>
              </w:rPr>
              <w:t>TSP。</w:t>
            </w:r>
          </w:p>
          <w:p>
            <w:pPr>
              <w:spacing w:line="360" w:lineRule="auto"/>
              <w:ind w:firstLine="482" w:firstLineChars="200"/>
              <w:rPr>
                <w:rFonts w:cs="Times New Roman"/>
                <w:b/>
                <w:sz w:val="24"/>
              </w:rPr>
            </w:pPr>
            <w:r>
              <w:rPr>
                <w:rFonts w:hint="eastAsia" w:cs="Times New Roman"/>
                <w:b/>
                <w:sz w:val="24"/>
              </w:rPr>
              <w:t>③监测时段</w:t>
            </w:r>
          </w:p>
          <w:p>
            <w:pPr>
              <w:spacing w:line="360" w:lineRule="auto"/>
              <w:ind w:firstLine="480"/>
              <w:rPr>
                <w:sz w:val="24"/>
                <w:szCs w:val="24"/>
              </w:rPr>
            </w:pPr>
            <w:r>
              <w:rPr>
                <w:rFonts w:hint="eastAsia" w:cs="Times New Roman"/>
                <w:sz w:val="24"/>
                <w:szCs w:val="24"/>
              </w:rPr>
              <w:t>202</w:t>
            </w:r>
            <w:r>
              <w:rPr>
                <w:rFonts w:cs="Times New Roman"/>
                <w:sz w:val="24"/>
                <w:szCs w:val="24"/>
              </w:rPr>
              <w:t>3</w:t>
            </w:r>
            <w:r>
              <w:rPr>
                <w:rFonts w:hint="eastAsia" w:cs="Times New Roman"/>
                <w:sz w:val="24"/>
                <w:szCs w:val="24"/>
              </w:rPr>
              <w:t>年</w:t>
            </w:r>
            <w:r>
              <w:rPr>
                <w:rFonts w:cs="Times New Roman"/>
                <w:sz w:val="24"/>
                <w:szCs w:val="24"/>
              </w:rPr>
              <w:t>2</w:t>
            </w:r>
            <w:r>
              <w:rPr>
                <w:rFonts w:hint="eastAsia" w:cs="Times New Roman"/>
                <w:sz w:val="24"/>
                <w:szCs w:val="24"/>
              </w:rPr>
              <w:t>月</w:t>
            </w:r>
            <w:r>
              <w:rPr>
                <w:rFonts w:cs="Times New Roman"/>
                <w:sz w:val="24"/>
                <w:szCs w:val="24"/>
              </w:rPr>
              <w:t>6</w:t>
            </w:r>
            <w:r>
              <w:rPr>
                <w:rFonts w:hint="eastAsia" w:cs="Times New Roman"/>
                <w:sz w:val="24"/>
                <w:szCs w:val="24"/>
              </w:rPr>
              <w:t>日~</w:t>
            </w:r>
            <w:r>
              <w:rPr>
                <w:rFonts w:cs="Times New Roman"/>
                <w:sz w:val="24"/>
                <w:szCs w:val="24"/>
              </w:rPr>
              <w:t>9</w:t>
            </w:r>
            <w:r>
              <w:rPr>
                <w:rFonts w:hint="eastAsia" w:cs="Times New Roman"/>
                <w:sz w:val="24"/>
                <w:szCs w:val="24"/>
              </w:rPr>
              <w:t>日</w:t>
            </w:r>
            <w:r>
              <w:rPr>
                <w:rFonts w:hint="eastAsia"/>
                <w:sz w:val="24"/>
                <w:szCs w:val="24"/>
              </w:rPr>
              <w:t>，共</w:t>
            </w:r>
            <w:r>
              <w:rPr>
                <w:sz w:val="24"/>
                <w:szCs w:val="24"/>
              </w:rPr>
              <w:t>3</w:t>
            </w:r>
            <w:r>
              <w:rPr>
                <w:rFonts w:hint="eastAsia"/>
                <w:sz w:val="24"/>
                <w:szCs w:val="24"/>
              </w:rPr>
              <w:t>天。</w:t>
            </w:r>
          </w:p>
          <w:p>
            <w:pPr>
              <w:spacing w:line="360" w:lineRule="auto"/>
              <w:ind w:firstLine="482" w:firstLineChars="200"/>
              <w:rPr>
                <w:rFonts w:cs="Times New Roman"/>
                <w:b/>
                <w:sz w:val="24"/>
              </w:rPr>
            </w:pPr>
            <w:r>
              <w:rPr>
                <w:rFonts w:hint="eastAsia" w:cs="Times New Roman"/>
                <w:b/>
                <w:sz w:val="24"/>
              </w:rPr>
              <w:t>④监测结果</w:t>
            </w:r>
          </w:p>
          <w:p>
            <w:pPr>
              <w:spacing w:line="360" w:lineRule="auto"/>
              <w:ind w:firstLine="480" w:firstLineChars="200"/>
              <w:rPr>
                <w:sz w:val="24"/>
                <w:szCs w:val="24"/>
              </w:rPr>
            </w:pPr>
            <w:r>
              <w:rPr>
                <w:sz w:val="24"/>
                <w:szCs w:val="24"/>
              </w:rPr>
              <w:t>区域</w:t>
            </w:r>
            <w:r>
              <w:rPr>
                <w:rFonts w:hint="eastAsia"/>
                <w:sz w:val="24"/>
                <w:szCs w:val="24"/>
              </w:rPr>
              <w:t>其他</w:t>
            </w:r>
            <w:r>
              <w:rPr>
                <w:sz w:val="24"/>
                <w:szCs w:val="24"/>
              </w:rPr>
              <w:t>污染物现状监测结果</w:t>
            </w:r>
            <w:r>
              <w:rPr>
                <w:rFonts w:cs="Times New Roman"/>
                <w:sz w:val="24"/>
              </w:rPr>
              <w:t>见</w:t>
            </w:r>
            <w:r>
              <w:rPr>
                <w:rFonts w:hint="eastAsia" w:cs="Times New Roman"/>
                <w:sz w:val="24"/>
              </w:rPr>
              <w:t>下表</w:t>
            </w:r>
            <w:r>
              <w:rPr>
                <w:rFonts w:hint="eastAsia"/>
                <w:sz w:val="24"/>
                <w:szCs w:val="24"/>
              </w:rPr>
              <w:t>。</w:t>
            </w:r>
          </w:p>
          <w:p>
            <w:pPr>
              <w:spacing w:line="360" w:lineRule="auto"/>
              <w:jc w:val="center"/>
              <w:rPr>
                <w:rFonts w:eastAsia="黑体" w:cs="Times New Roman"/>
                <w:szCs w:val="21"/>
              </w:rPr>
            </w:pPr>
            <w:r>
              <w:rPr>
                <w:rFonts w:eastAsia="黑体" w:cs="Times New Roman"/>
                <w:szCs w:val="21"/>
              </w:rPr>
              <w:t xml:space="preserve">表3-4  </w:t>
            </w:r>
            <w:r>
              <w:rPr>
                <w:rFonts w:hint="eastAsia" w:eastAsia="黑体" w:cs="Times New Roman"/>
                <w:szCs w:val="21"/>
              </w:rPr>
              <w:t>其他污染物现状监测结果</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496"/>
              <w:gridCol w:w="2254"/>
              <w:gridCol w:w="2254"/>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87" w:type="pct"/>
                  <w:vMerge w:val="restart"/>
                  <w:vAlign w:val="center"/>
                </w:tcPr>
                <w:p>
                  <w:pPr>
                    <w:jc w:val="center"/>
                    <w:rPr>
                      <w:rFonts w:cs="Times New Roman"/>
                      <w:szCs w:val="21"/>
                    </w:rPr>
                  </w:pPr>
                  <w:r>
                    <w:rPr>
                      <w:rFonts w:cs="Times New Roman"/>
                      <w:szCs w:val="21"/>
                    </w:rPr>
                    <w:t>监测点位</w:t>
                  </w:r>
                </w:p>
              </w:tc>
              <w:tc>
                <w:tcPr>
                  <w:tcW w:w="818" w:type="pct"/>
                  <w:vMerge w:val="restart"/>
                  <w:vAlign w:val="center"/>
                </w:tcPr>
                <w:p>
                  <w:pPr>
                    <w:jc w:val="center"/>
                    <w:rPr>
                      <w:rFonts w:cs="Times New Roman"/>
                      <w:szCs w:val="21"/>
                    </w:rPr>
                  </w:pPr>
                  <w:r>
                    <w:rPr>
                      <w:rFonts w:hint="eastAsia" w:cs="Times New Roman"/>
                      <w:szCs w:val="21"/>
                    </w:rPr>
                    <w:t>监测因子</w:t>
                  </w:r>
                </w:p>
              </w:tc>
              <w:tc>
                <w:tcPr>
                  <w:tcW w:w="3695" w:type="pct"/>
                  <w:gridSpan w:val="3"/>
                  <w:vAlign w:val="center"/>
                </w:tcPr>
                <w:p>
                  <w:pPr>
                    <w:jc w:val="center"/>
                    <w:rPr>
                      <w:rFonts w:cs="Times New Roman"/>
                      <w:szCs w:val="21"/>
                    </w:rPr>
                  </w:pPr>
                  <w:r>
                    <w:rPr>
                      <w:rFonts w:cs="Times New Roman"/>
                      <w:szCs w:val="21"/>
                    </w:rPr>
                    <w:t>监测结果（mg/m</w:t>
                  </w:r>
                  <w:r>
                    <w:rPr>
                      <w:rFonts w:cs="Times New Roman"/>
                      <w:szCs w:val="21"/>
                      <w:vertAlign w:val="superscript"/>
                    </w:rPr>
                    <w:t>3</w:t>
                  </w:r>
                  <w:r>
                    <w:rPr>
                      <w:rFonts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87" w:type="pct"/>
                  <w:vMerge w:val="continue"/>
                  <w:vAlign w:val="center"/>
                </w:tcPr>
                <w:p>
                  <w:pPr>
                    <w:jc w:val="center"/>
                    <w:rPr>
                      <w:rFonts w:cs="Times New Roman"/>
                      <w:szCs w:val="21"/>
                    </w:rPr>
                  </w:pPr>
                </w:p>
              </w:tc>
              <w:tc>
                <w:tcPr>
                  <w:tcW w:w="818" w:type="pct"/>
                  <w:vMerge w:val="continue"/>
                  <w:vAlign w:val="center"/>
                </w:tcPr>
                <w:p>
                  <w:pPr>
                    <w:jc w:val="center"/>
                    <w:rPr>
                      <w:rFonts w:cs="Times New Roman"/>
                      <w:szCs w:val="21"/>
                    </w:rPr>
                  </w:pPr>
                </w:p>
              </w:tc>
              <w:tc>
                <w:tcPr>
                  <w:tcW w:w="1232" w:type="pct"/>
                  <w:vAlign w:val="center"/>
                </w:tcPr>
                <w:p>
                  <w:pPr>
                    <w:jc w:val="center"/>
                    <w:rPr>
                      <w:rFonts w:cs="Times New Roman"/>
                      <w:szCs w:val="21"/>
                    </w:rPr>
                  </w:pPr>
                  <w:r>
                    <w:rPr>
                      <w:rFonts w:hint="eastAsia" w:cs="Times New Roman"/>
                      <w:szCs w:val="21"/>
                    </w:rPr>
                    <w:t>2</w:t>
                  </w:r>
                  <w:r>
                    <w:rPr>
                      <w:rFonts w:cs="Times New Roman"/>
                      <w:szCs w:val="21"/>
                    </w:rPr>
                    <w:t>023.2.6-2.7</w:t>
                  </w:r>
                </w:p>
              </w:tc>
              <w:tc>
                <w:tcPr>
                  <w:tcW w:w="1232" w:type="pct"/>
                  <w:vAlign w:val="center"/>
                </w:tcPr>
                <w:p>
                  <w:pPr>
                    <w:jc w:val="center"/>
                    <w:rPr>
                      <w:rFonts w:cs="Times New Roman"/>
                      <w:szCs w:val="21"/>
                    </w:rPr>
                  </w:pPr>
                  <w:r>
                    <w:rPr>
                      <w:rFonts w:hint="eastAsia" w:cs="Times New Roman"/>
                      <w:szCs w:val="21"/>
                    </w:rPr>
                    <w:t>2</w:t>
                  </w:r>
                  <w:r>
                    <w:rPr>
                      <w:rFonts w:cs="Times New Roman"/>
                      <w:szCs w:val="21"/>
                    </w:rPr>
                    <w:t>023.2.7-2.8</w:t>
                  </w:r>
                </w:p>
              </w:tc>
              <w:tc>
                <w:tcPr>
                  <w:tcW w:w="1232" w:type="pct"/>
                  <w:vAlign w:val="center"/>
                </w:tcPr>
                <w:p>
                  <w:pPr>
                    <w:jc w:val="center"/>
                    <w:rPr>
                      <w:rFonts w:cs="Times New Roman"/>
                      <w:szCs w:val="21"/>
                    </w:rPr>
                  </w:pPr>
                  <w:r>
                    <w:rPr>
                      <w:rFonts w:hint="eastAsia" w:cs="Times New Roman"/>
                      <w:szCs w:val="21"/>
                    </w:rPr>
                    <w:t>2</w:t>
                  </w:r>
                  <w:r>
                    <w:rPr>
                      <w:rFonts w:cs="Times New Roman"/>
                      <w:szCs w:val="21"/>
                    </w:rPr>
                    <w:t>023.2.8-2.9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pPr>
                    <w:jc w:val="center"/>
                    <w:rPr>
                      <w:rFonts w:cs="Times New Roman"/>
                      <w:szCs w:val="21"/>
                    </w:rPr>
                  </w:pPr>
                  <w:r>
                    <w:rPr>
                      <w:rFonts w:cs="Times New Roman"/>
                      <w:szCs w:val="21"/>
                    </w:rPr>
                    <w:t>1#</w:t>
                  </w:r>
                </w:p>
              </w:tc>
              <w:tc>
                <w:tcPr>
                  <w:tcW w:w="818" w:type="pct"/>
                  <w:vAlign w:val="center"/>
                </w:tcPr>
                <w:p>
                  <w:pPr>
                    <w:jc w:val="center"/>
                    <w:rPr>
                      <w:rFonts w:cs="Times New Roman"/>
                      <w:szCs w:val="21"/>
                    </w:rPr>
                  </w:pPr>
                  <w:r>
                    <w:rPr>
                      <w:rFonts w:hint="eastAsia" w:cs="Times New Roman"/>
                      <w:szCs w:val="21"/>
                    </w:rPr>
                    <w:t>TSP</w:t>
                  </w:r>
                </w:p>
              </w:tc>
              <w:tc>
                <w:tcPr>
                  <w:tcW w:w="1232" w:type="pct"/>
                  <w:vAlign w:val="center"/>
                </w:tcPr>
                <w:p>
                  <w:pPr>
                    <w:jc w:val="center"/>
                    <w:rPr>
                      <w:rFonts w:cs="Times New Roman"/>
                      <w:szCs w:val="21"/>
                    </w:rPr>
                  </w:pPr>
                  <w:r>
                    <w:rPr>
                      <w:rFonts w:cs="Times New Roman"/>
                      <w:szCs w:val="21"/>
                    </w:rPr>
                    <w:t>0.</w:t>
                  </w:r>
                  <w:r>
                    <w:rPr>
                      <w:rFonts w:hint="eastAsia" w:cs="Times New Roman"/>
                      <w:szCs w:val="21"/>
                    </w:rPr>
                    <w:t>1</w:t>
                  </w:r>
                  <w:r>
                    <w:rPr>
                      <w:rFonts w:cs="Times New Roman"/>
                      <w:szCs w:val="21"/>
                    </w:rPr>
                    <w:t>32</w:t>
                  </w:r>
                </w:p>
              </w:tc>
              <w:tc>
                <w:tcPr>
                  <w:tcW w:w="1232" w:type="pct"/>
                  <w:vAlign w:val="center"/>
                </w:tcPr>
                <w:p>
                  <w:pPr>
                    <w:jc w:val="center"/>
                    <w:rPr>
                      <w:rFonts w:cs="Times New Roman"/>
                      <w:szCs w:val="21"/>
                    </w:rPr>
                  </w:pPr>
                  <w:r>
                    <w:rPr>
                      <w:rFonts w:cs="Times New Roman"/>
                      <w:szCs w:val="21"/>
                    </w:rPr>
                    <w:t>0.</w:t>
                  </w:r>
                  <w:r>
                    <w:rPr>
                      <w:rFonts w:hint="eastAsia" w:cs="Times New Roman"/>
                      <w:szCs w:val="21"/>
                    </w:rPr>
                    <w:t>1</w:t>
                  </w:r>
                  <w:r>
                    <w:rPr>
                      <w:rFonts w:cs="Times New Roman"/>
                      <w:szCs w:val="21"/>
                    </w:rPr>
                    <w:t>49</w:t>
                  </w:r>
                </w:p>
              </w:tc>
              <w:tc>
                <w:tcPr>
                  <w:tcW w:w="1232" w:type="pct"/>
                  <w:vAlign w:val="center"/>
                </w:tcPr>
                <w:p>
                  <w:pPr>
                    <w:jc w:val="center"/>
                    <w:rPr>
                      <w:rFonts w:cs="Times New Roman"/>
                      <w:szCs w:val="21"/>
                    </w:rPr>
                  </w:pPr>
                  <w:r>
                    <w:rPr>
                      <w:rFonts w:cs="Times New Roman"/>
                      <w:szCs w:val="21"/>
                    </w:rPr>
                    <w:t>0.</w:t>
                  </w:r>
                  <w:r>
                    <w:rPr>
                      <w:rFonts w:hint="eastAsia" w:cs="Times New Roman"/>
                      <w:szCs w:val="21"/>
                    </w:rPr>
                    <w:t>1</w:t>
                  </w:r>
                  <w:r>
                    <w:rPr>
                      <w:rFonts w:cs="Times New Roman"/>
                      <w:szCs w:val="21"/>
                    </w:rPr>
                    <w:t>29</w:t>
                  </w:r>
                </w:p>
              </w:tc>
            </w:tr>
          </w:tbl>
          <w:p>
            <w:pPr>
              <w:spacing w:line="360" w:lineRule="auto"/>
              <w:ind w:firstLine="482" w:firstLineChars="200"/>
              <w:rPr>
                <w:b/>
                <w:sz w:val="24"/>
                <w:szCs w:val="24"/>
              </w:rPr>
            </w:pPr>
            <w:r>
              <w:rPr>
                <w:b/>
                <w:sz w:val="24"/>
                <w:szCs w:val="24"/>
              </w:rPr>
              <w:t>2</w:t>
            </w:r>
            <w:r>
              <w:rPr>
                <w:rFonts w:hint="eastAsia"/>
                <w:b/>
                <w:sz w:val="24"/>
                <w:szCs w:val="24"/>
              </w:rPr>
              <w:t>）其他污染物现状评价</w:t>
            </w:r>
          </w:p>
          <w:p>
            <w:pPr>
              <w:spacing w:line="360" w:lineRule="auto"/>
              <w:ind w:firstLine="482" w:firstLineChars="200"/>
              <w:rPr>
                <w:b/>
                <w:sz w:val="24"/>
                <w:szCs w:val="24"/>
              </w:rPr>
            </w:pPr>
            <w:r>
              <w:rPr>
                <w:rFonts w:hint="eastAsia"/>
                <w:b/>
                <w:sz w:val="24"/>
                <w:szCs w:val="24"/>
              </w:rPr>
              <w:t>①评价因子</w:t>
            </w:r>
          </w:p>
          <w:p>
            <w:pPr>
              <w:spacing w:line="360" w:lineRule="auto"/>
              <w:ind w:firstLine="480" w:firstLineChars="200"/>
              <w:rPr>
                <w:sz w:val="24"/>
                <w:szCs w:val="24"/>
              </w:rPr>
            </w:pPr>
            <w:r>
              <w:rPr>
                <w:rFonts w:hint="eastAsia"/>
                <w:sz w:val="24"/>
                <w:szCs w:val="24"/>
              </w:rPr>
              <w:t>TSP。</w:t>
            </w:r>
          </w:p>
          <w:p>
            <w:pPr>
              <w:spacing w:line="360" w:lineRule="auto"/>
              <w:ind w:firstLine="482" w:firstLineChars="200"/>
              <w:rPr>
                <w:rFonts w:cs="Times New Roman"/>
                <w:b/>
                <w:sz w:val="24"/>
              </w:rPr>
            </w:pPr>
            <w:r>
              <w:rPr>
                <w:rFonts w:hint="eastAsia" w:cs="Times New Roman"/>
                <w:b/>
                <w:sz w:val="24"/>
              </w:rPr>
              <w:t>②评价标准</w:t>
            </w:r>
          </w:p>
          <w:p>
            <w:pPr>
              <w:spacing w:line="360" w:lineRule="auto"/>
              <w:ind w:firstLine="480" w:firstLineChars="200"/>
              <w:rPr>
                <w:sz w:val="24"/>
                <w:szCs w:val="24"/>
              </w:rPr>
            </w:pPr>
            <w:r>
              <w:rPr>
                <w:rFonts w:hint="eastAsia"/>
                <w:sz w:val="24"/>
                <w:szCs w:val="24"/>
              </w:rPr>
              <w:t>执行《环境空气质量标准》（GB3095-2012）二级标准。</w:t>
            </w:r>
          </w:p>
          <w:p>
            <w:pPr>
              <w:spacing w:line="360" w:lineRule="auto"/>
              <w:ind w:firstLine="482" w:firstLineChars="200"/>
              <w:rPr>
                <w:rFonts w:cs="Times New Roman"/>
                <w:b/>
                <w:sz w:val="24"/>
              </w:rPr>
            </w:pPr>
            <w:r>
              <w:rPr>
                <w:rFonts w:hint="eastAsia" w:cs="Times New Roman"/>
                <w:b/>
                <w:sz w:val="24"/>
              </w:rPr>
              <w:t>③</w:t>
            </w:r>
            <w:r>
              <w:rPr>
                <w:rFonts w:cs="Times New Roman"/>
                <w:b/>
                <w:sz w:val="24"/>
              </w:rPr>
              <w:t>评价方法</w:t>
            </w:r>
          </w:p>
          <w:p>
            <w:pPr>
              <w:spacing w:line="360" w:lineRule="auto"/>
              <w:ind w:firstLine="480" w:firstLineChars="200"/>
              <w:rPr>
                <w:sz w:val="24"/>
              </w:rPr>
            </w:pPr>
            <w:r>
              <w:rPr>
                <w:rFonts w:hint="eastAsia"/>
                <w:sz w:val="24"/>
                <w:szCs w:val="24"/>
              </w:rPr>
              <w:t>TSP采用</w:t>
            </w:r>
            <w:r>
              <w:rPr>
                <w:sz w:val="24"/>
              </w:rPr>
              <w:t>单项质量指数法</w:t>
            </w:r>
            <w:r>
              <w:rPr>
                <w:rFonts w:hint="eastAsia"/>
                <w:sz w:val="24"/>
              </w:rPr>
              <w:t>，</w:t>
            </w:r>
            <w:r>
              <w:rPr>
                <w:sz w:val="24"/>
              </w:rPr>
              <w:t>公式为：</w:t>
            </w:r>
          </w:p>
          <w:p>
            <w:pPr>
              <w:spacing w:line="360" w:lineRule="auto"/>
              <w:jc w:val="center"/>
              <w:rPr>
                <w:i/>
                <w:sz w:val="24"/>
              </w:rPr>
            </w:pPr>
            <w:r>
              <w:rPr>
                <w:i/>
                <w:sz w:val="24"/>
                <w:szCs w:val="24"/>
              </w:rPr>
              <w:t>P</w:t>
            </w:r>
            <w:r>
              <w:rPr>
                <w:i/>
                <w:sz w:val="24"/>
                <w:szCs w:val="24"/>
                <w:vertAlign w:val="subscript"/>
              </w:rPr>
              <w:t>i</w:t>
            </w:r>
            <w:r>
              <w:rPr>
                <w:sz w:val="24"/>
                <w:szCs w:val="24"/>
              </w:rPr>
              <w:t xml:space="preserve"> = </w:t>
            </w:r>
            <w:r>
              <w:rPr>
                <w:i/>
                <w:sz w:val="24"/>
                <w:szCs w:val="24"/>
              </w:rPr>
              <w:t>C</w:t>
            </w:r>
            <w:r>
              <w:rPr>
                <w:i/>
                <w:sz w:val="24"/>
                <w:szCs w:val="24"/>
                <w:vertAlign w:val="subscript"/>
              </w:rPr>
              <w:t>i</w:t>
            </w:r>
            <w:r>
              <w:rPr>
                <w:sz w:val="24"/>
                <w:szCs w:val="24"/>
              </w:rPr>
              <w:t xml:space="preserve"> / </w:t>
            </w:r>
            <w:r>
              <w:rPr>
                <w:i/>
                <w:sz w:val="24"/>
                <w:szCs w:val="24"/>
              </w:rPr>
              <w:t>S</w:t>
            </w:r>
            <w:r>
              <w:rPr>
                <w:i/>
                <w:sz w:val="24"/>
                <w:szCs w:val="24"/>
                <w:vertAlign w:val="subscript"/>
              </w:rPr>
              <w:t>i</w:t>
            </w:r>
          </w:p>
          <w:p>
            <w:pPr>
              <w:pStyle w:val="5"/>
              <w:spacing w:after="0" w:line="360" w:lineRule="auto"/>
              <w:ind w:firstLine="480" w:firstLineChars="200"/>
              <w:rPr>
                <w:sz w:val="24"/>
              </w:rPr>
            </w:pPr>
            <w:r>
              <w:rPr>
                <w:sz w:val="24"/>
              </w:rPr>
              <w:t>式中，</w:t>
            </w:r>
            <w:r>
              <w:rPr>
                <w:i/>
                <w:sz w:val="24"/>
              </w:rPr>
              <w:t>P</w:t>
            </w:r>
            <w:r>
              <w:rPr>
                <w:i/>
                <w:sz w:val="24"/>
                <w:vertAlign w:val="subscript"/>
              </w:rPr>
              <w:t>i</w:t>
            </w:r>
            <w:r>
              <w:rPr>
                <w:sz w:val="24"/>
              </w:rPr>
              <w:t>——</w:t>
            </w:r>
            <w:r>
              <w:rPr>
                <w:rFonts w:hint="eastAsia"/>
                <w:sz w:val="24"/>
              </w:rPr>
              <w:t>第</w:t>
            </w:r>
            <w:r>
              <w:rPr>
                <w:i/>
                <w:sz w:val="24"/>
              </w:rPr>
              <w:t>i</w:t>
            </w:r>
            <w:r>
              <w:rPr>
                <w:rFonts w:hint="eastAsia"/>
                <w:sz w:val="24"/>
              </w:rPr>
              <w:t>个</w:t>
            </w:r>
            <w:r>
              <w:rPr>
                <w:sz w:val="24"/>
              </w:rPr>
              <w:t>污染物</w:t>
            </w:r>
            <w:r>
              <w:rPr>
                <w:rFonts w:hint="eastAsia"/>
                <w:sz w:val="24"/>
              </w:rPr>
              <w:t>标准</w:t>
            </w:r>
            <w:r>
              <w:rPr>
                <w:sz w:val="24"/>
              </w:rPr>
              <w:t>指数</w:t>
            </w:r>
            <w:r>
              <w:rPr>
                <w:rFonts w:hint="eastAsia"/>
                <w:sz w:val="24"/>
              </w:rPr>
              <w:t>值；</w:t>
            </w:r>
          </w:p>
          <w:p>
            <w:pPr>
              <w:pStyle w:val="5"/>
              <w:spacing w:after="0" w:line="360" w:lineRule="auto"/>
              <w:ind w:firstLine="1200" w:firstLineChars="500"/>
              <w:rPr>
                <w:sz w:val="24"/>
              </w:rPr>
            </w:pPr>
            <w:r>
              <w:rPr>
                <w:i/>
                <w:sz w:val="24"/>
              </w:rPr>
              <w:t>C</w:t>
            </w:r>
            <w:r>
              <w:rPr>
                <w:i/>
                <w:sz w:val="24"/>
                <w:vertAlign w:val="subscript"/>
              </w:rPr>
              <w:t>i</w:t>
            </w:r>
            <w:r>
              <w:rPr>
                <w:sz w:val="24"/>
              </w:rPr>
              <w:t>——</w:t>
            </w:r>
            <w:r>
              <w:rPr>
                <w:rFonts w:hint="eastAsia"/>
                <w:sz w:val="24"/>
              </w:rPr>
              <w:t>第</w:t>
            </w:r>
            <w:r>
              <w:rPr>
                <w:i/>
                <w:sz w:val="24"/>
              </w:rPr>
              <w:t>i</w:t>
            </w:r>
            <w:r>
              <w:rPr>
                <w:rFonts w:hint="eastAsia"/>
                <w:sz w:val="24"/>
              </w:rPr>
              <w:t>个</w:t>
            </w:r>
            <w:r>
              <w:rPr>
                <w:sz w:val="24"/>
              </w:rPr>
              <w:t>污染物实测浓度值</w:t>
            </w:r>
            <w:r>
              <w:rPr>
                <w:rFonts w:hint="eastAsia"/>
                <w:sz w:val="24"/>
              </w:rPr>
              <w:t>，</w:t>
            </w:r>
            <w:r>
              <w:rPr>
                <w:sz w:val="24"/>
              </w:rPr>
              <w:t>mg/m</w:t>
            </w:r>
            <w:r>
              <w:rPr>
                <w:sz w:val="24"/>
                <w:vertAlign w:val="superscript"/>
              </w:rPr>
              <w:t>3</w:t>
            </w:r>
            <w:r>
              <w:rPr>
                <w:rFonts w:hint="eastAsia"/>
                <w:sz w:val="24"/>
              </w:rPr>
              <w:t>；</w:t>
            </w:r>
          </w:p>
          <w:p>
            <w:pPr>
              <w:pStyle w:val="5"/>
              <w:spacing w:after="0" w:line="360" w:lineRule="auto"/>
              <w:ind w:firstLine="1200" w:firstLineChars="500"/>
              <w:rPr>
                <w:sz w:val="24"/>
              </w:rPr>
            </w:pPr>
            <w:r>
              <w:rPr>
                <w:i/>
                <w:sz w:val="24"/>
              </w:rPr>
              <w:t>S</w:t>
            </w:r>
            <w:r>
              <w:rPr>
                <w:i/>
                <w:sz w:val="24"/>
                <w:vertAlign w:val="subscript"/>
              </w:rPr>
              <w:t>i</w:t>
            </w:r>
            <w:r>
              <w:rPr>
                <w:sz w:val="24"/>
              </w:rPr>
              <w:t>——</w:t>
            </w:r>
            <w:r>
              <w:rPr>
                <w:rFonts w:hint="eastAsia"/>
                <w:sz w:val="24"/>
              </w:rPr>
              <w:t>第</w:t>
            </w:r>
            <w:r>
              <w:rPr>
                <w:i/>
                <w:sz w:val="24"/>
              </w:rPr>
              <w:t>i</w:t>
            </w:r>
            <w:r>
              <w:rPr>
                <w:rFonts w:hint="eastAsia"/>
                <w:sz w:val="24"/>
              </w:rPr>
              <w:t>个</w:t>
            </w:r>
            <w:r>
              <w:rPr>
                <w:sz w:val="24"/>
              </w:rPr>
              <w:t>污染物评价标准</w:t>
            </w:r>
            <w:r>
              <w:rPr>
                <w:rFonts w:hint="eastAsia"/>
                <w:sz w:val="24"/>
              </w:rPr>
              <w:t>限值，</w:t>
            </w:r>
            <w:r>
              <w:rPr>
                <w:sz w:val="24"/>
              </w:rPr>
              <w:t>mg/m</w:t>
            </w:r>
            <w:r>
              <w:rPr>
                <w:sz w:val="24"/>
                <w:vertAlign w:val="superscript"/>
              </w:rPr>
              <w:t>3</w:t>
            </w:r>
            <w:r>
              <w:rPr>
                <w:sz w:val="24"/>
              </w:rPr>
              <w:t>。</w:t>
            </w:r>
          </w:p>
          <w:p>
            <w:pPr>
              <w:pStyle w:val="5"/>
              <w:spacing w:after="0" w:line="360" w:lineRule="auto"/>
              <w:ind w:firstLine="1200" w:firstLineChars="500"/>
              <w:rPr>
                <w:sz w:val="24"/>
              </w:rPr>
            </w:pPr>
            <w:r>
              <w:rPr>
                <w:sz w:val="24"/>
              </w:rPr>
              <w:t>当</w:t>
            </w:r>
            <w:r>
              <w:rPr>
                <w:i/>
                <w:sz w:val="24"/>
              </w:rPr>
              <w:t>P</w:t>
            </w:r>
            <w:r>
              <w:rPr>
                <w:i/>
                <w:sz w:val="24"/>
                <w:vertAlign w:val="subscript"/>
              </w:rPr>
              <w:t>i</w:t>
            </w:r>
            <w:r>
              <w:rPr>
                <w:sz w:val="24"/>
              </w:rPr>
              <w:t>值大于1.0时，表明大气环境已受到该项评价因子所表征的污染物的污染</w:t>
            </w:r>
            <w:r>
              <w:rPr>
                <w:rFonts w:hint="eastAsia"/>
                <w:sz w:val="24"/>
              </w:rPr>
              <w:t>。</w:t>
            </w:r>
            <w:r>
              <w:rPr>
                <w:i/>
                <w:sz w:val="24"/>
              </w:rPr>
              <w:t>P</w:t>
            </w:r>
            <w:r>
              <w:rPr>
                <w:i/>
                <w:sz w:val="24"/>
                <w:vertAlign w:val="subscript"/>
              </w:rPr>
              <w:t>i</w:t>
            </w:r>
            <w:r>
              <w:rPr>
                <w:sz w:val="24"/>
              </w:rPr>
              <w:t>值越大，受污染程度越重</w:t>
            </w:r>
            <w:r>
              <w:rPr>
                <w:rFonts w:hint="eastAsia"/>
                <w:sz w:val="24"/>
              </w:rPr>
              <w:t>；</w:t>
            </w:r>
            <w:r>
              <w:rPr>
                <w:i/>
                <w:sz w:val="24"/>
              </w:rPr>
              <w:t>P</w:t>
            </w:r>
            <w:r>
              <w:rPr>
                <w:i/>
                <w:sz w:val="24"/>
                <w:vertAlign w:val="subscript"/>
              </w:rPr>
              <w:t>i</w:t>
            </w:r>
            <w:r>
              <w:rPr>
                <w:sz w:val="24"/>
              </w:rPr>
              <w:t>值越</w:t>
            </w:r>
            <w:r>
              <w:rPr>
                <w:rFonts w:hint="eastAsia"/>
                <w:sz w:val="24"/>
              </w:rPr>
              <w:t>小</w:t>
            </w:r>
            <w:r>
              <w:rPr>
                <w:sz w:val="24"/>
              </w:rPr>
              <w:t>，受污染程度越</w:t>
            </w:r>
            <w:r>
              <w:rPr>
                <w:rFonts w:hint="eastAsia"/>
                <w:sz w:val="24"/>
              </w:rPr>
              <w:t>轻。</w:t>
            </w:r>
          </w:p>
          <w:p>
            <w:pPr>
              <w:spacing w:line="360" w:lineRule="auto"/>
              <w:ind w:firstLine="482" w:firstLineChars="200"/>
              <w:rPr>
                <w:rFonts w:cs="Times New Roman"/>
                <w:b/>
                <w:sz w:val="24"/>
              </w:rPr>
            </w:pPr>
            <w:r>
              <w:rPr>
                <w:rFonts w:hint="eastAsia" w:cs="Times New Roman"/>
                <w:b/>
                <w:sz w:val="24"/>
              </w:rPr>
              <w:t>④</w:t>
            </w:r>
            <w:r>
              <w:rPr>
                <w:rFonts w:cs="Times New Roman"/>
                <w:b/>
                <w:sz w:val="24"/>
              </w:rPr>
              <w:t>评价结果</w:t>
            </w:r>
          </w:p>
          <w:p>
            <w:pPr>
              <w:spacing w:line="360" w:lineRule="auto"/>
              <w:ind w:firstLine="480" w:firstLineChars="200"/>
              <w:rPr>
                <w:rFonts w:cs="Times New Roman"/>
                <w:sz w:val="24"/>
              </w:rPr>
            </w:pPr>
            <w:r>
              <w:rPr>
                <w:rFonts w:cs="Times New Roman"/>
                <w:sz w:val="24"/>
              </w:rPr>
              <w:t>区域</w:t>
            </w:r>
            <w:r>
              <w:rPr>
                <w:rFonts w:hint="eastAsia" w:cs="Times New Roman"/>
                <w:sz w:val="24"/>
              </w:rPr>
              <w:t>其他污染物</w:t>
            </w:r>
            <w:r>
              <w:rPr>
                <w:rFonts w:cs="Times New Roman"/>
                <w:sz w:val="24"/>
              </w:rPr>
              <w:t>现状评价结果见</w:t>
            </w:r>
            <w:r>
              <w:rPr>
                <w:rFonts w:hint="eastAsia" w:cs="Times New Roman"/>
                <w:sz w:val="24"/>
              </w:rPr>
              <w:t>下表。</w:t>
            </w:r>
          </w:p>
          <w:p>
            <w:pPr>
              <w:spacing w:line="360" w:lineRule="auto"/>
              <w:jc w:val="center"/>
              <w:rPr>
                <w:rFonts w:eastAsia="黑体"/>
                <w:szCs w:val="21"/>
              </w:rPr>
            </w:pPr>
            <w:r>
              <w:rPr>
                <w:rFonts w:eastAsia="黑体"/>
                <w:szCs w:val="21"/>
              </w:rPr>
              <w:t>表3</w:t>
            </w:r>
            <w:r>
              <w:rPr>
                <w:rFonts w:hint="eastAsia" w:eastAsia="黑体"/>
                <w:szCs w:val="21"/>
              </w:rPr>
              <w:t>-</w:t>
            </w:r>
            <w:r>
              <w:rPr>
                <w:rFonts w:eastAsia="黑体"/>
                <w:szCs w:val="21"/>
              </w:rPr>
              <w:t xml:space="preserve">5  </w:t>
            </w:r>
            <w:r>
              <w:rPr>
                <w:rFonts w:hint="eastAsia" w:eastAsia="黑体"/>
                <w:szCs w:val="21"/>
              </w:rPr>
              <w:t>其他</w:t>
            </w:r>
            <w:r>
              <w:rPr>
                <w:rFonts w:eastAsia="黑体"/>
                <w:szCs w:val="21"/>
              </w:rPr>
              <w:t>污染物</w:t>
            </w:r>
            <w:r>
              <w:rPr>
                <w:rFonts w:hint="eastAsia" w:eastAsia="黑体"/>
                <w:szCs w:val="21"/>
              </w:rPr>
              <w:t>现状</w:t>
            </w:r>
            <w:r>
              <w:rPr>
                <w:rFonts w:eastAsia="黑体"/>
                <w:szCs w:val="21"/>
              </w:rPr>
              <w:t>评价结果</w:t>
            </w:r>
          </w:p>
          <w:tbl>
            <w:tblPr>
              <w:tblStyle w:val="16"/>
              <w:tblW w:w="49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1233"/>
              <w:gridCol w:w="1265"/>
              <w:gridCol w:w="1669"/>
              <w:gridCol w:w="1531"/>
              <w:gridCol w:w="1193"/>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551" w:type="pct"/>
                  <w:vAlign w:val="center"/>
                </w:tcPr>
                <w:p>
                  <w:pPr>
                    <w:jc w:val="center"/>
                    <w:rPr>
                      <w:rFonts w:cstheme="minorHAnsi"/>
                      <w:szCs w:val="21"/>
                    </w:rPr>
                  </w:pPr>
                  <w:r>
                    <w:rPr>
                      <w:rFonts w:hint="eastAsia" w:cstheme="minorHAnsi"/>
                      <w:szCs w:val="21"/>
                    </w:rPr>
                    <w:t>污染物</w:t>
                  </w:r>
                </w:p>
              </w:tc>
              <w:tc>
                <w:tcPr>
                  <w:tcW w:w="681" w:type="pct"/>
                  <w:vAlign w:val="center"/>
                </w:tcPr>
                <w:p>
                  <w:pPr>
                    <w:jc w:val="center"/>
                    <w:rPr>
                      <w:rFonts w:cstheme="minorHAnsi"/>
                      <w:szCs w:val="21"/>
                    </w:rPr>
                  </w:pPr>
                  <w:r>
                    <w:rPr>
                      <w:rFonts w:hint="eastAsia" w:cstheme="minorHAnsi"/>
                      <w:szCs w:val="21"/>
                    </w:rPr>
                    <w:t>平均时间</w:t>
                  </w:r>
                </w:p>
              </w:tc>
              <w:tc>
                <w:tcPr>
                  <w:tcW w:w="699" w:type="pct"/>
                  <w:vAlign w:val="center"/>
                </w:tcPr>
                <w:p>
                  <w:pPr>
                    <w:jc w:val="center"/>
                    <w:rPr>
                      <w:rFonts w:cstheme="minorHAnsi"/>
                      <w:szCs w:val="21"/>
                    </w:rPr>
                  </w:pPr>
                  <w:r>
                    <w:rPr>
                      <w:rFonts w:hint="eastAsia" w:cstheme="minorHAnsi"/>
                      <w:szCs w:val="21"/>
                    </w:rPr>
                    <w:t>评价</w:t>
                  </w:r>
                  <w:r>
                    <w:rPr>
                      <w:rFonts w:cstheme="minorHAnsi"/>
                      <w:szCs w:val="21"/>
                    </w:rPr>
                    <w:t>标准（mg/m</w:t>
                  </w:r>
                  <w:r>
                    <w:rPr>
                      <w:rFonts w:cstheme="minorHAnsi"/>
                      <w:szCs w:val="21"/>
                      <w:vertAlign w:val="superscript"/>
                    </w:rPr>
                    <w:t>3</w:t>
                  </w:r>
                  <w:r>
                    <w:rPr>
                      <w:rFonts w:cstheme="minorHAnsi"/>
                      <w:szCs w:val="21"/>
                    </w:rPr>
                    <w:t>）</w:t>
                  </w:r>
                </w:p>
              </w:tc>
              <w:tc>
                <w:tcPr>
                  <w:tcW w:w="922" w:type="pct"/>
                  <w:vAlign w:val="center"/>
                </w:tcPr>
                <w:p>
                  <w:pPr>
                    <w:jc w:val="center"/>
                    <w:rPr>
                      <w:rFonts w:cstheme="minorHAnsi"/>
                      <w:szCs w:val="21"/>
                    </w:rPr>
                  </w:pPr>
                  <w:r>
                    <w:rPr>
                      <w:rFonts w:hint="eastAsia" w:cstheme="minorHAnsi"/>
                      <w:szCs w:val="21"/>
                    </w:rPr>
                    <w:t>监测浓度范围</w:t>
                  </w:r>
                  <w:r>
                    <w:rPr>
                      <w:rFonts w:cstheme="minorHAnsi"/>
                      <w:szCs w:val="21"/>
                    </w:rPr>
                    <w:t>（mg/m</w:t>
                  </w:r>
                  <w:r>
                    <w:rPr>
                      <w:rFonts w:cstheme="minorHAnsi"/>
                      <w:szCs w:val="21"/>
                      <w:vertAlign w:val="superscript"/>
                    </w:rPr>
                    <w:t>3</w:t>
                  </w:r>
                  <w:r>
                    <w:rPr>
                      <w:rFonts w:cstheme="minorHAnsi"/>
                      <w:szCs w:val="21"/>
                    </w:rPr>
                    <w:t>）</w:t>
                  </w:r>
                </w:p>
              </w:tc>
              <w:tc>
                <w:tcPr>
                  <w:tcW w:w="846" w:type="pct"/>
                  <w:vAlign w:val="center"/>
                </w:tcPr>
                <w:p>
                  <w:pPr>
                    <w:jc w:val="center"/>
                    <w:rPr>
                      <w:rFonts w:cstheme="minorHAnsi"/>
                      <w:szCs w:val="21"/>
                    </w:rPr>
                  </w:pPr>
                  <w:r>
                    <w:rPr>
                      <w:rFonts w:hint="eastAsia" w:cstheme="minorHAnsi"/>
                      <w:szCs w:val="21"/>
                    </w:rPr>
                    <w:t>标准指数</w:t>
                  </w:r>
                </w:p>
              </w:tc>
              <w:tc>
                <w:tcPr>
                  <w:tcW w:w="659" w:type="pct"/>
                  <w:vAlign w:val="center"/>
                </w:tcPr>
                <w:p>
                  <w:pPr>
                    <w:jc w:val="center"/>
                    <w:rPr>
                      <w:rFonts w:cstheme="minorHAnsi"/>
                      <w:szCs w:val="21"/>
                    </w:rPr>
                  </w:pPr>
                  <w:r>
                    <w:rPr>
                      <w:rFonts w:hint="eastAsia" w:cstheme="minorHAnsi"/>
                      <w:szCs w:val="21"/>
                    </w:rPr>
                    <w:t>超标率（%）</w:t>
                  </w:r>
                </w:p>
              </w:tc>
              <w:tc>
                <w:tcPr>
                  <w:tcW w:w="641" w:type="pct"/>
                  <w:vAlign w:val="center"/>
                </w:tcPr>
                <w:p>
                  <w:pPr>
                    <w:jc w:val="center"/>
                    <w:rPr>
                      <w:rFonts w:cstheme="minorHAnsi"/>
                      <w:szCs w:val="21"/>
                    </w:rPr>
                  </w:pPr>
                  <w:r>
                    <w:rPr>
                      <w:rFonts w:hint="eastAsia" w:cstheme="minorHAnsi"/>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pPr>
                    <w:jc w:val="center"/>
                    <w:rPr>
                      <w:rFonts w:cstheme="minorHAnsi"/>
                      <w:szCs w:val="21"/>
                    </w:rPr>
                  </w:pPr>
                  <w:r>
                    <w:rPr>
                      <w:rFonts w:hint="eastAsia" w:cstheme="minorHAnsi"/>
                      <w:szCs w:val="21"/>
                    </w:rPr>
                    <w:t>TSP</w:t>
                  </w:r>
                </w:p>
              </w:tc>
              <w:tc>
                <w:tcPr>
                  <w:tcW w:w="681" w:type="pct"/>
                  <w:vAlign w:val="center"/>
                </w:tcPr>
                <w:p>
                  <w:pPr>
                    <w:jc w:val="center"/>
                    <w:rPr>
                      <w:rFonts w:cstheme="minorHAnsi"/>
                      <w:szCs w:val="21"/>
                    </w:rPr>
                  </w:pPr>
                  <w:r>
                    <w:rPr>
                      <w:rFonts w:cstheme="minorHAnsi"/>
                      <w:szCs w:val="21"/>
                    </w:rPr>
                    <w:t>24h平均</w:t>
                  </w:r>
                </w:p>
              </w:tc>
              <w:tc>
                <w:tcPr>
                  <w:tcW w:w="699" w:type="pct"/>
                  <w:vAlign w:val="center"/>
                </w:tcPr>
                <w:p>
                  <w:pPr>
                    <w:jc w:val="center"/>
                    <w:rPr>
                      <w:rFonts w:cstheme="minorHAnsi"/>
                      <w:szCs w:val="21"/>
                    </w:rPr>
                  </w:pPr>
                  <w:r>
                    <w:rPr>
                      <w:rFonts w:cstheme="minorHAnsi"/>
                      <w:szCs w:val="21"/>
                    </w:rPr>
                    <w:t>0.300</w:t>
                  </w:r>
                </w:p>
              </w:tc>
              <w:tc>
                <w:tcPr>
                  <w:tcW w:w="922" w:type="pct"/>
                  <w:vAlign w:val="center"/>
                </w:tcPr>
                <w:p>
                  <w:pPr>
                    <w:jc w:val="center"/>
                    <w:rPr>
                      <w:rFonts w:cstheme="minorHAnsi"/>
                      <w:szCs w:val="21"/>
                    </w:rPr>
                  </w:pPr>
                  <w:r>
                    <w:rPr>
                      <w:rFonts w:cstheme="minorHAnsi"/>
                      <w:szCs w:val="21"/>
                    </w:rPr>
                    <w:t>0.129~0.149</w:t>
                  </w:r>
                </w:p>
              </w:tc>
              <w:tc>
                <w:tcPr>
                  <w:tcW w:w="846" w:type="pct"/>
                  <w:vAlign w:val="center"/>
                </w:tcPr>
                <w:p>
                  <w:pPr>
                    <w:jc w:val="center"/>
                    <w:rPr>
                      <w:rFonts w:cstheme="minorHAnsi"/>
                      <w:szCs w:val="21"/>
                    </w:rPr>
                  </w:pPr>
                  <w:r>
                    <w:rPr>
                      <w:rFonts w:hint="eastAsia" w:cstheme="minorHAnsi"/>
                      <w:szCs w:val="21"/>
                    </w:rPr>
                    <w:t>0.430~0.</w:t>
                  </w:r>
                  <w:r>
                    <w:rPr>
                      <w:rFonts w:cstheme="minorHAnsi"/>
                      <w:szCs w:val="21"/>
                    </w:rPr>
                    <w:t>497</w:t>
                  </w:r>
                </w:p>
              </w:tc>
              <w:tc>
                <w:tcPr>
                  <w:tcW w:w="659" w:type="pct"/>
                  <w:vAlign w:val="center"/>
                </w:tcPr>
                <w:p>
                  <w:pPr>
                    <w:jc w:val="center"/>
                    <w:rPr>
                      <w:rFonts w:cstheme="minorHAnsi"/>
                      <w:szCs w:val="21"/>
                    </w:rPr>
                  </w:pPr>
                  <w:r>
                    <w:rPr>
                      <w:rFonts w:hint="eastAsia" w:cstheme="minorHAnsi"/>
                      <w:szCs w:val="21"/>
                    </w:rPr>
                    <w:t>0</w:t>
                  </w:r>
                </w:p>
              </w:tc>
              <w:tc>
                <w:tcPr>
                  <w:tcW w:w="641" w:type="pct"/>
                  <w:vAlign w:val="center"/>
                </w:tcPr>
                <w:p>
                  <w:pPr>
                    <w:jc w:val="center"/>
                    <w:rPr>
                      <w:rFonts w:cstheme="minorHAnsi"/>
                      <w:szCs w:val="21"/>
                    </w:rPr>
                  </w:pPr>
                  <w:r>
                    <w:rPr>
                      <w:rFonts w:hint="eastAsia" w:cstheme="minorHAnsi"/>
                      <w:szCs w:val="21"/>
                    </w:rPr>
                    <w:t>达标</w:t>
                  </w:r>
                </w:p>
              </w:tc>
            </w:tr>
          </w:tbl>
          <w:p>
            <w:pPr>
              <w:spacing w:line="360" w:lineRule="auto"/>
              <w:ind w:firstLine="480" w:firstLineChars="200"/>
              <w:rPr>
                <w:rFonts w:cs="Times New Roman"/>
                <w:sz w:val="24"/>
                <w:szCs w:val="24"/>
              </w:rPr>
            </w:pPr>
            <w:r>
              <w:rPr>
                <w:rFonts w:hint="eastAsia"/>
                <w:sz w:val="24"/>
                <w:szCs w:val="24"/>
              </w:rPr>
              <w:t>由</w:t>
            </w:r>
            <w:r>
              <w:rPr>
                <w:sz w:val="24"/>
                <w:szCs w:val="24"/>
              </w:rPr>
              <w:t>上表可知，评价区域环境空气中</w:t>
            </w:r>
            <w:r>
              <w:rPr>
                <w:rFonts w:hint="eastAsia"/>
                <w:sz w:val="24"/>
                <w:szCs w:val="24"/>
              </w:rPr>
              <w:t>TSP监测浓度满足《环境空气质量标准》（GB3095-2012）二级标准。</w:t>
            </w:r>
          </w:p>
          <w:p>
            <w:pPr>
              <w:spacing w:line="360" w:lineRule="auto"/>
              <w:ind w:firstLine="482" w:firstLineChars="200"/>
              <w:rPr>
                <w:rFonts w:cs="Times New Roman"/>
                <w:b/>
                <w:sz w:val="24"/>
                <w:szCs w:val="24"/>
              </w:rPr>
            </w:pPr>
            <w:r>
              <w:rPr>
                <w:rFonts w:cs="Times New Roman"/>
                <w:b/>
                <w:sz w:val="24"/>
                <w:szCs w:val="24"/>
              </w:rPr>
              <w:t>2</w:t>
            </w:r>
            <w:r>
              <w:rPr>
                <w:rFonts w:hint="eastAsia" w:cs="Times New Roman"/>
                <w:b/>
                <w:sz w:val="24"/>
                <w:szCs w:val="24"/>
              </w:rPr>
              <w:t>、地表水环境质量现状</w:t>
            </w:r>
          </w:p>
          <w:p>
            <w:pPr>
              <w:spacing w:line="360" w:lineRule="auto"/>
              <w:ind w:firstLine="480" w:firstLineChars="200"/>
              <w:rPr>
                <w:rFonts w:cs="Times New Roman"/>
                <w:sz w:val="24"/>
                <w:szCs w:val="24"/>
              </w:rPr>
            </w:pPr>
            <w:r>
              <w:rPr>
                <w:rFonts w:hint="eastAsia" w:cs="Times New Roman"/>
                <w:sz w:val="24"/>
                <w:szCs w:val="24"/>
              </w:rPr>
              <w:t>本项目区域地表水体为柳城河（东柳河支流），属州河水系，根据</w:t>
            </w:r>
            <w:r>
              <w:rPr>
                <w:rFonts w:cs="Times New Roman"/>
                <w:sz w:val="24"/>
                <w:szCs w:val="24"/>
              </w:rPr>
              <w:t>《建设项目环境影响报告表编制技术指南（污染影响类）（试行）》</w:t>
            </w:r>
            <w:r>
              <w:rPr>
                <w:rFonts w:hint="eastAsia" w:cs="Times New Roman"/>
                <w:sz w:val="24"/>
                <w:szCs w:val="24"/>
              </w:rPr>
              <w:t>中“</w:t>
            </w:r>
            <w:r>
              <w:rPr>
                <w:rFonts w:hint="eastAsia" w:cs="Times New Roman"/>
                <w:i/>
                <w:sz w:val="24"/>
                <w:szCs w:val="24"/>
              </w:rPr>
              <w:t>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s="Times New Roman"/>
                <w:sz w:val="24"/>
                <w:szCs w:val="24"/>
              </w:rPr>
              <w:t>”的规定，本次环评引用达州市生态环境局公开发布的《202</w:t>
            </w:r>
            <w:r>
              <w:rPr>
                <w:rFonts w:cs="Times New Roman"/>
                <w:sz w:val="24"/>
                <w:szCs w:val="24"/>
              </w:rPr>
              <w:t>3</w:t>
            </w:r>
            <w:r>
              <w:rPr>
                <w:rFonts w:hint="eastAsia" w:cs="Times New Roman"/>
                <w:sz w:val="24"/>
                <w:szCs w:val="24"/>
              </w:rPr>
              <w:t>年1月-</w:t>
            </w:r>
            <w:r>
              <w:rPr>
                <w:rFonts w:cs="Times New Roman"/>
                <w:sz w:val="24"/>
                <w:szCs w:val="24"/>
              </w:rPr>
              <w:t>2023</w:t>
            </w:r>
            <w:r>
              <w:rPr>
                <w:rFonts w:hint="eastAsia" w:cs="Times New Roman"/>
                <w:sz w:val="24"/>
                <w:szCs w:val="24"/>
              </w:rPr>
              <w:t>年</w:t>
            </w:r>
            <w:r>
              <w:rPr>
                <w:rFonts w:cs="Times New Roman"/>
                <w:sz w:val="24"/>
                <w:szCs w:val="24"/>
              </w:rPr>
              <w:t>12</w:t>
            </w:r>
            <w:r>
              <w:rPr>
                <w:rFonts w:hint="eastAsia" w:cs="Times New Roman"/>
                <w:sz w:val="24"/>
                <w:szCs w:val="24"/>
              </w:rPr>
              <w:t>月达州市地表水水质月报》中地表水环境质量结论。</w:t>
            </w:r>
          </w:p>
          <w:p>
            <w:pPr>
              <w:spacing w:line="360" w:lineRule="auto"/>
              <w:jc w:val="center"/>
              <w:rPr>
                <w:rFonts w:eastAsia="黑体"/>
                <w:szCs w:val="21"/>
              </w:rPr>
            </w:pPr>
            <w:r>
              <w:rPr>
                <w:rFonts w:eastAsia="黑体"/>
                <w:szCs w:val="21"/>
              </w:rPr>
              <w:t>表3</w:t>
            </w:r>
            <w:r>
              <w:rPr>
                <w:rFonts w:hint="eastAsia" w:eastAsia="黑体"/>
                <w:szCs w:val="21"/>
              </w:rPr>
              <w:t>-</w:t>
            </w:r>
            <w:r>
              <w:rPr>
                <w:rFonts w:eastAsia="黑体"/>
                <w:szCs w:val="21"/>
              </w:rPr>
              <w:t xml:space="preserve">6  </w:t>
            </w:r>
            <w:r>
              <w:rPr>
                <w:rFonts w:hint="eastAsia" w:eastAsia="黑体"/>
                <w:szCs w:val="21"/>
              </w:rPr>
              <w:t>东柳河地表水现状</w:t>
            </w:r>
            <w:r>
              <w:rPr>
                <w:rFonts w:eastAsia="黑体"/>
                <w:szCs w:val="21"/>
              </w:rPr>
              <w:t>评价结果</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756"/>
              <w:gridCol w:w="1048"/>
              <w:gridCol w:w="1198"/>
              <w:gridCol w:w="1196"/>
              <w:gridCol w:w="1498"/>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月份</w:t>
                  </w:r>
                </w:p>
              </w:tc>
              <w:tc>
                <w:tcPr>
                  <w:tcW w:w="986" w:type="pct"/>
                  <w:gridSpan w:val="2"/>
                  <w:vAlign w:val="center"/>
                </w:tcPr>
                <w:p>
                  <w:pPr>
                    <w:jc w:val="center"/>
                    <w:rPr>
                      <w:rFonts w:cs="Times New Roman"/>
                      <w:szCs w:val="21"/>
                    </w:rPr>
                  </w:pPr>
                  <w:r>
                    <w:rPr>
                      <w:rFonts w:hint="eastAsia" w:cs="Times New Roman"/>
                      <w:szCs w:val="21"/>
                    </w:rPr>
                    <w:t>河流</w:t>
                  </w:r>
                </w:p>
              </w:tc>
              <w:tc>
                <w:tcPr>
                  <w:tcW w:w="655" w:type="pct"/>
                  <w:vAlign w:val="center"/>
                </w:tcPr>
                <w:p>
                  <w:pPr>
                    <w:jc w:val="center"/>
                    <w:rPr>
                      <w:rFonts w:cs="Times New Roman"/>
                      <w:szCs w:val="21"/>
                    </w:rPr>
                  </w:pPr>
                  <w:r>
                    <w:rPr>
                      <w:rFonts w:hint="eastAsia" w:cs="Times New Roman"/>
                      <w:szCs w:val="21"/>
                    </w:rPr>
                    <w:t>断面名称</w:t>
                  </w:r>
                </w:p>
              </w:tc>
              <w:tc>
                <w:tcPr>
                  <w:tcW w:w="654" w:type="pct"/>
                  <w:vAlign w:val="center"/>
                </w:tcPr>
                <w:p>
                  <w:pPr>
                    <w:jc w:val="center"/>
                    <w:rPr>
                      <w:rFonts w:cs="Times New Roman"/>
                      <w:szCs w:val="21"/>
                    </w:rPr>
                  </w:pPr>
                  <w:r>
                    <w:rPr>
                      <w:rFonts w:hint="eastAsia" w:cs="Times New Roman"/>
                      <w:szCs w:val="21"/>
                    </w:rPr>
                    <w:t>断面性质</w:t>
                  </w:r>
                </w:p>
              </w:tc>
              <w:tc>
                <w:tcPr>
                  <w:tcW w:w="819" w:type="pct"/>
                  <w:vAlign w:val="center"/>
                </w:tcPr>
                <w:p>
                  <w:pPr>
                    <w:jc w:val="center"/>
                    <w:rPr>
                      <w:rFonts w:cs="Times New Roman"/>
                      <w:szCs w:val="21"/>
                    </w:rPr>
                  </w:pPr>
                  <w:r>
                    <w:rPr>
                      <w:rFonts w:hint="eastAsia" w:cs="Times New Roman"/>
                      <w:szCs w:val="21"/>
                    </w:rPr>
                    <w:t>本月类别</w:t>
                  </w:r>
                </w:p>
              </w:tc>
              <w:tc>
                <w:tcPr>
                  <w:tcW w:w="1158" w:type="pct"/>
                  <w:vAlign w:val="center"/>
                </w:tcPr>
                <w:p>
                  <w:pPr>
                    <w:jc w:val="center"/>
                    <w:rPr>
                      <w:rFonts w:cs="Times New Roman"/>
                      <w:szCs w:val="21"/>
                    </w:rPr>
                  </w:pPr>
                  <w:r>
                    <w:rPr>
                      <w:rFonts w:hint="eastAsia" w:cs="Times New Roman"/>
                      <w:szCs w:val="21"/>
                    </w:rPr>
                    <w:t>主要污染指标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w:t>
                  </w:r>
                  <w:r>
                    <w:rPr>
                      <w:rFonts w:hint="eastAsia" w:cs="Times New Roman"/>
                      <w:szCs w:val="21"/>
                    </w:rPr>
                    <w:t>.</w:t>
                  </w:r>
                  <w:r>
                    <w:rPr>
                      <w:rFonts w:cs="Times New Roman"/>
                      <w:szCs w:val="21"/>
                    </w:rPr>
                    <w:t>01</w:t>
                  </w:r>
                </w:p>
              </w:tc>
              <w:tc>
                <w:tcPr>
                  <w:tcW w:w="413" w:type="pct"/>
                  <w:vMerge w:val="restart"/>
                  <w:vAlign w:val="center"/>
                </w:tcPr>
                <w:p>
                  <w:pPr>
                    <w:jc w:val="center"/>
                    <w:rPr>
                      <w:rFonts w:cs="Times New Roman"/>
                      <w:szCs w:val="21"/>
                    </w:rPr>
                  </w:pPr>
                  <w:r>
                    <w:rPr>
                      <w:rFonts w:hint="eastAsia" w:cs="Times New Roman"/>
                      <w:szCs w:val="21"/>
                    </w:rPr>
                    <w:t>州河水系</w:t>
                  </w:r>
                </w:p>
              </w:tc>
              <w:tc>
                <w:tcPr>
                  <w:tcW w:w="573" w:type="pct"/>
                  <w:vMerge w:val="restart"/>
                  <w:vAlign w:val="center"/>
                </w:tcPr>
                <w:p>
                  <w:pPr>
                    <w:jc w:val="center"/>
                    <w:rPr>
                      <w:rFonts w:cs="Times New Roman"/>
                      <w:szCs w:val="21"/>
                    </w:rPr>
                  </w:pPr>
                  <w:r>
                    <w:rPr>
                      <w:rFonts w:hint="eastAsia" w:cs="Times New Roman"/>
                      <w:szCs w:val="21"/>
                    </w:rPr>
                    <w:t>东柳河</w:t>
                  </w:r>
                </w:p>
              </w:tc>
              <w:tc>
                <w:tcPr>
                  <w:tcW w:w="655" w:type="pct"/>
                  <w:vMerge w:val="restart"/>
                  <w:vAlign w:val="center"/>
                </w:tcPr>
                <w:p>
                  <w:pPr>
                    <w:jc w:val="center"/>
                    <w:rPr>
                      <w:rFonts w:cs="Times New Roman"/>
                      <w:szCs w:val="21"/>
                    </w:rPr>
                  </w:pPr>
                  <w:r>
                    <w:rPr>
                      <w:rFonts w:hint="eastAsia" w:cs="Times New Roman"/>
                      <w:szCs w:val="21"/>
                    </w:rPr>
                    <w:t>墩子河</w:t>
                  </w:r>
                </w:p>
              </w:tc>
              <w:tc>
                <w:tcPr>
                  <w:tcW w:w="654" w:type="pct"/>
                  <w:vMerge w:val="restart"/>
                  <w:vAlign w:val="center"/>
                </w:tcPr>
                <w:p>
                  <w:pPr>
                    <w:jc w:val="center"/>
                    <w:rPr>
                      <w:rFonts w:cs="Times New Roman"/>
                      <w:szCs w:val="21"/>
                    </w:rPr>
                  </w:pPr>
                  <w:r>
                    <w:rPr>
                      <w:rFonts w:hint="eastAsia" w:cs="Times New Roman"/>
                      <w:szCs w:val="21"/>
                    </w:rPr>
                    <w:t>省控考核评价</w:t>
                  </w:r>
                </w:p>
              </w:tc>
              <w:tc>
                <w:tcPr>
                  <w:tcW w:w="819" w:type="pct"/>
                  <w:vAlign w:val="center"/>
                </w:tcPr>
                <w:p>
                  <w:pPr>
                    <w:jc w:val="center"/>
                    <w:rPr>
                      <w:rFonts w:cs="Times New Roman"/>
                      <w:szCs w:val="21"/>
                    </w:rPr>
                  </w:pPr>
                  <w:r>
                    <w:rPr>
                      <w:rFonts w:hint="eastAsia" w:cs="Times New Roman"/>
                      <w:szCs w:val="21"/>
                    </w:rPr>
                    <w:t>III</w:t>
                  </w:r>
                </w:p>
              </w:tc>
              <w:tc>
                <w:tcPr>
                  <w:tcW w:w="1158" w:type="pct"/>
                  <w:vAlign w:val="center"/>
                </w:tcPr>
                <w:p>
                  <w:pPr>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023.02</w:t>
                  </w:r>
                </w:p>
              </w:tc>
              <w:tc>
                <w:tcPr>
                  <w:tcW w:w="413" w:type="pct"/>
                  <w:vMerge w:val="continue"/>
                  <w:vAlign w:val="center"/>
                </w:tcPr>
                <w:p>
                  <w:pPr>
                    <w:jc w:val="center"/>
                    <w:rPr>
                      <w:rFonts w:cs="Times New Roman"/>
                      <w:szCs w:val="21"/>
                    </w:rPr>
                  </w:pPr>
                </w:p>
              </w:tc>
              <w:tc>
                <w:tcPr>
                  <w:tcW w:w="573" w:type="pct"/>
                  <w:vMerge w:val="continue"/>
                  <w:vAlign w:val="center"/>
                </w:tcPr>
                <w:p>
                  <w:pPr>
                    <w:jc w:val="center"/>
                    <w:rPr>
                      <w:rFonts w:cs="Times New Roman"/>
                      <w:szCs w:val="21"/>
                    </w:rPr>
                  </w:pPr>
                </w:p>
              </w:tc>
              <w:tc>
                <w:tcPr>
                  <w:tcW w:w="655" w:type="pct"/>
                  <w:vMerge w:val="continue"/>
                  <w:vAlign w:val="center"/>
                </w:tcPr>
                <w:p>
                  <w:pPr>
                    <w:jc w:val="center"/>
                    <w:rPr>
                      <w:rFonts w:cs="Times New Roman"/>
                      <w:szCs w:val="21"/>
                    </w:rPr>
                  </w:pPr>
                </w:p>
              </w:tc>
              <w:tc>
                <w:tcPr>
                  <w:tcW w:w="654" w:type="pct"/>
                  <w:vMerge w:val="continue"/>
                  <w:vAlign w:val="center"/>
                </w:tcPr>
                <w:p>
                  <w:pPr>
                    <w:jc w:val="center"/>
                    <w:rPr>
                      <w:rFonts w:cs="Times New Roman"/>
                      <w:szCs w:val="21"/>
                    </w:rPr>
                  </w:pPr>
                </w:p>
              </w:tc>
              <w:tc>
                <w:tcPr>
                  <w:tcW w:w="819" w:type="pct"/>
                  <w:vAlign w:val="center"/>
                </w:tcPr>
                <w:p>
                  <w:pPr>
                    <w:jc w:val="center"/>
                    <w:rPr>
                      <w:rFonts w:cs="Times New Roman"/>
                      <w:szCs w:val="21"/>
                    </w:rPr>
                  </w:pPr>
                  <w:r>
                    <w:rPr>
                      <w:rFonts w:hint="eastAsia" w:cs="Times New Roman"/>
                      <w:szCs w:val="21"/>
                    </w:rPr>
                    <w:t>IV</w:t>
                  </w:r>
                </w:p>
              </w:tc>
              <w:tc>
                <w:tcPr>
                  <w:tcW w:w="1158" w:type="pct"/>
                  <w:vAlign w:val="center"/>
                </w:tcPr>
                <w:p>
                  <w:pPr>
                    <w:jc w:val="center"/>
                    <w:rPr>
                      <w:rFonts w:cs="Times New Roman"/>
                      <w:szCs w:val="21"/>
                    </w:rPr>
                  </w:pPr>
                  <w:r>
                    <w:rPr>
                      <w:rFonts w:hint="eastAsia" w:cs="Times New Roman"/>
                      <w:szCs w:val="21"/>
                    </w:rPr>
                    <w:t>氨氮、化学需氧量、高锰酸盐指数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023.03</w:t>
                  </w:r>
                </w:p>
              </w:tc>
              <w:tc>
                <w:tcPr>
                  <w:tcW w:w="413" w:type="pct"/>
                  <w:vMerge w:val="continue"/>
                  <w:vAlign w:val="center"/>
                </w:tcPr>
                <w:p>
                  <w:pPr>
                    <w:jc w:val="center"/>
                    <w:rPr>
                      <w:rFonts w:cs="Times New Roman"/>
                      <w:szCs w:val="21"/>
                    </w:rPr>
                  </w:pPr>
                </w:p>
              </w:tc>
              <w:tc>
                <w:tcPr>
                  <w:tcW w:w="573" w:type="pct"/>
                  <w:vMerge w:val="continue"/>
                  <w:vAlign w:val="center"/>
                </w:tcPr>
                <w:p>
                  <w:pPr>
                    <w:jc w:val="center"/>
                    <w:rPr>
                      <w:rFonts w:cs="Times New Roman"/>
                      <w:szCs w:val="21"/>
                    </w:rPr>
                  </w:pPr>
                </w:p>
              </w:tc>
              <w:tc>
                <w:tcPr>
                  <w:tcW w:w="655" w:type="pct"/>
                  <w:vMerge w:val="continue"/>
                  <w:vAlign w:val="center"/>
                </w:tcPr>
                <w:p>
                  <w:pPr>
                    <w:jc w:val="center"/>
                    <w:rPr>
                      <w:rFonts w:cs="Times New Roman"/>
                      <w:szCs w:val="21"/>
                    </w:rPr>
                  </w:pPr>
                </w:p>
              </w:tc>
              <w:tc>
                <w:tcPr>
                  <w:tcW w:w="654" w:type="pct"/>
                  <w:vMerge w:val="continue"/>
                  <w:vAlign w:val="center"/>
                </w:tcPr>
                <w:p>
                  <w:pPr>
                    <w:jc w:val="center"/>
                    <w:rPr>
                      <w:rFonts w:cs="Times New Roman"/>
                      <w:szCs w:val="21"/>
                    </w:rPr>
                  </w:pPr>
                </w:p>
              </w:tc>
              <w:tc>
                <w:tcPr>
                  <w:tcW w:w="819" w:type="pct"/>
                  <w:vAlign w:val="center"/>
                </w:tcPr>
                <w:p>
                  <w:pPr>
                    <w:jc w:val="center"/>
                    <w:rPr>
                      <w:rFonts w:cs="Times New Roman"/>
                      <w:szCs w:val="21"/>
                    </w:rPr>
                  </w:pPr>
                  <w:r>
                    <w:rPr>
                      <w:rFonts w:hint="eastAsia" w:cs="Times New Roman"/>
                      <w:szCs w:val="21"/>
                    </w:rPr>
                    <w:t>III</w:t>
                  </w:r>
                </w:p>
              </w:tc>
              <w:tc>
                <w:tcPr>
                  <w:tcW w:w="1158" w:type="pct"/>
                  <w:vAlign w:val="center"/>
                </w:tcPr>
                <w:p>
                  <w:pPr>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023.04</w:t>
                  </w:r>
                </w:p>
              </w:tc>
              <w:tc>
                <w:tcPr>
                  <w:tcW w:w="413" w:type="pct"/>
                  <w:vMerge w:val="continue"/>
                  <w:vAlign w:val="center"/>
                </w:tcPr>
                <w:p>
                  <w:pPr>
                    <w:jc w:val="center"/>
                    <w:rPr>
                      <w:rFonts w:cs="Times New Roman"/>
                      <w:szCs w:val="21"/>
                    </w:rPr>
                  </w:pPr>
                </w:p>
              </w:tc>
              <w:tc>
                <w:tcPr>
                  <w:tcW w:w="573" w:type="pct"/>
                  <w:vMerge w:val="continue"/>
                  <w:vAlign w:val="center"/>
                </w:tcPr>
                <w:p>
                  <w:pPr>
                    <w:jc w:val="center"/>
                    <w:rPr>
                      <w:rFonts w:cs="Times New Roman"/>
                      <w:szCs w:val="21"/>
                    </w:rPr>
                  </w:pPr>
                </w:p>
              </w:tc>
              <w:tc>
                <w:tcPr>
                  <w:tcW w:w="655" w:type="pct"/>
                  <w:vMerge w:val="continue"/>
                  <w:vAlign w:val="center"/>
                </w:tcPr>
                <w:p>
                  <w:pPr>
                    <w:jc w:val="center"/>
                    <w:rPr>
                      <w:rFonts w:cs="Times New Roman"/>
                      <w:szCs w:val="21"/>
                    </w:rPr>
                  </w:pPr>
                </w:p>
              </w:tc>
              <w:tc>
                <w:tcPr>
                  <w:tcW w:w="654" w:type="pct"/>
                  <w:vMerge w:val="continue"/>
                  <w:vAlign w:val="center"/>
                </w:tcPr>
                <w:p>
                  <w:pPr>
                    <w:jc w:val="center"/>
                    <w:rPr>
                      <w:rFonts w:cs="Times New Roman"/>
                      <w:szCs w:val="21"/>
                    </w:rPr>
                  </w:pPr>
                </w:p>
              </w:tc>
              <w:tc>
                <w:tcPr>
                  <w:tcW w:w="819" w:type="pct"/>
                  <w:vAlign w:val="center"/>
                </w:tcPr>
                <w:p>
                  <w:pPr>
                    <w:jc w:val="center"/>
                    <w:rPr>
                      <w:rFonts w:cs="Times New Roman"/>
                      <w:szCs w:val="21"/>
                    </w:rPr>
                  </w:pPr>
                  <w:r>
                    <w:rPr>
                      <w:rFonts w:hint="eastAsia" w:cs="Times New Roman"/>
                      <w:szCs w:val="21"/>
                    </w:rPr>
                    <w:t>III</w:t>
                  </w:r>
                </w:p>
              </w:tc>
              <w:tc>
                <w:tcPr>
                  <w:tcW w:w="1158" w:type="pct"/>
                  <w:vAlign w:val="center"/>
                </w:tcPr>
                <w:p>
                  <w:pPr>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023.05</w:t>
                  </w:r>
                </w:p>
              </w:tc>
              <w:tc>
                <w:tcPr>
                  <w:tcW w:w="413" w:type="pct"/>
                  <w:vMerge w:val="continue"/>
                  <w:vAlign w:val="center"/>
                </w:tcPr>
                <w:p>
                  <w:pPr>
                    <w:jc w:val="center"/>
                    <w:rPr>
                      <w:rFonts w:cs="Times New Roman"/>
                      <w:szCs w:val="21"/>
                    </w:rPr>
                  </w:pPr>
                </w:p>
              </w:tc>
              <w:tc>
                <w:tcPr>
                  <w:tcW w:w="573" w:type="pct"/>
                  <w:vMerge w:val="continue"/>
                  <w:vAlign w:val="center"/>
                </w:tcPr>
                <w:p>
                  <w:pPr>
                    <w:jc w:val="center"/>
                    <w:rPr>
                      <w:rFonts w:cs="Times New Roman"/>
                      <w:szCs w:val="21"/>
                    </w:rPr>
                  </w:pPr>
                </w:p>
              </w:tc>
              <w:tc>
                <w:tcPr>
                  <w:tcW w:w="655" w:type="pct"/>
                  <w:vMerge w:val="continue"/>
                  <w:vAlign w:val="center"/>
                </w:tcPr>
                <w:p>
                  <w:pPr>
                    <w:jc w:val="center"/>
                    <w:rPr>
                      <w:rFonts w:cs="Times New Roman"/>
                      <w:szCs w:val="21"/>
                    </w:rPr>
                  </w:pPr>
                </w:p>
              </w:tc>
              <w:tc>
                <w:tcPr>
                  <w:tcW w:w="654" w:type="pct"/>
                  <w:vMerge w:val="continue"/>
                  <w:vAlign w:val="center"/>
                </w:tcPr>
                <w:p>
                  <w:pPr>
                    <w:jc w:val="center"/>
                    <w:rPr>
                      <w:rFonts w:cs="Times New Roman"/>
                      <w:szCs w:val="21"/>
                    </w:rPr>
                  </w:pPr>
                </w:p>
              </w:tc>
              <w:tc>
                <w:tcPr>
                  <w:tcW w:w="819" w:type="pct"/>
                  <w:vAlign w:val="center"/>
                </w:tcPr>
                <w:p>
                  <w:pPr>
                    <w:jc w:val="center"/>
                    <w:rPr>
                      <w:rFonts w:cs="Times New Roman"/>
                      <w:szCs w:val="21"/>
                    </w:rPr>
                  </w:pPr>
                  <w:r>
                    <w:rPr>
                      <w:rFonts w:hint="eastAsia" w:cs="Times New Roman"/>
                      <w:szCs w:val="21"/>
                    </w:rPr>
                    <w:t>III</w:t>
                  </w:r>
                </w:p>
              </w:tc>
              <w:tc>
                <w:tcPr>
                  <w:tcW w:w="1158" w:type="pct"/>
                  <w:vAlign w:val="center"/>
                </w:tcPr>
                <w:p>
                  <w:pPr>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023.06</w:t>
                  </w:r>
                </w:p>
              </w:tc>
              <w:tc>
                <w:tcPr>
                  <w:tcW w:w="413" w:type="pct"/>
                  <w:vMerge w:val="continue"/>
                  <w:vAlign w:val="center"/>
                </w:tcPr>
                <w:p>
                  <w:pPr>
                    <w:jc w:val="center"/>
                    <w:rPr>
                      <w:rFonts w:cs="Times New Roman"/>
                      <w:szCs w:val="21"/>
                    </w:rPr>
                  </w:pPr>
                </w:p>
              </w:tc>
              <w:tc>
                <w:tcPr>
                  <w:tcW w:w="573" w:type="pct"/>
                  <w:vMerge w:val="continue"/>
                  <w:vAlign w:val="center"/>
                </w:tcPr>
                <w:p>
                  <w:pPr>
                    <w:jc w:val="center"/>
                    <w:rPr>
                      <w:rFonts w:cs="Times New Roman"/>
                      <w:szCs w:val="21"/>
                    </w:rPr>
                  </w:pPr>
                </w:p>
              </w:tc>
              <w:tc>
                <w:tcPr>
                  <w:tcW w:w="655" w:type="pct"/>
                  <w:vMerge w:val="continue"/>
                  <w:vAlign w:val="center"/>
                </w:tcPr>
                <w:p>
                  <w:pPr>
                    <w:jc w:val="center"/>
                    <w:rPr>
                      <w:rFonts w:cs="Times New Roman"/>
                      <w:szCs w:val="21"/>
                    </w:rPr>
                  </w:pPr>
                </w:p>
              </w:tc>
              <w:tc>
                <w:tcPr>
                  <w:tcW w:w="654" w:type="pct"/>
                  <w:vMerge w:val="continue"/>
                  <w:vAlign w:val="center"/>
                </w:tcPr>
                <w:p>
                  <w:pPr>
                    <w:jc w:val="center"/>
                    <w:rPr>
                      <w:rFonts w:cs="Times New Roman"/>
                      <w:szCs w:val="21"/>
                    </w:rPr>
                  </w:pPr>
                </w:p>
              </w:tc>
              <w:tc>
                <w:tcPr>
                  <w:tcW w:w="819" w:type="pct"/>
                  <w:vAlign w:val="center"/>
                </w:tcPr>
                <w:p>
                  <w:pPr>
                    <w:jc w:val="center"/>
                    <w:rPr>
                      <w:rFonts w:cs="Times New Roman"/>
                      <w:szCs w:val="21"/>
                    </w:rPr>
                  </w:pPr>
                  <w:r>
                    <w:rPr>
                      <w:rFonts w:hint="eastAsia" w:cs="Times New Roman"/>
                      <w:szCs w:val="21"/>
                    </w:rPr>
                    <w:t>III</w:t>
                  </w:r>
                </w:p>
              </w:tc>
              <w:tc>
                <w:tcPr>
                  <w:tcW w:w="1158" w:type="pct"/>
                  <w:vAlign w:val="center"/>
                </w:tcPr>
                <w:p>
                  <w:pPr>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023.07</w:t>
                  </w:r>
                </w:p>
              </w:tc>
              <w:tc>
                <w:tcPr>
                  <w:tcW w:w="413" w:type="pct"/>
                  <w:vMerge w:val="continue"/>
                  <w:vAlign w:val="center"/>
                </w:tcPr>
                <w:p>
                  <w:pPr>
                    <w:jc w:val="center"/>
                    <w:rPr>
                      <w:rFonts w:cs="Times New Roman"/>
                      <w:szCs w:val="21"/>
                    </w:rPr>
                  </w:pPr>
                </w:p>
              </w:tc>
              <w:tc>
                <w:tcPr>
                  <w:tcW w:w="573" w:type="pct"/>
                  <w:vMerge w:val="continue"/>
                  <w:vAlign w:val="center"/>
                </w:tcPr>
                <w:p>
                  <w:pPr>
                    <w:jc w:val="center"/>
                    <w:rPr>
                      <w:rFonts w:cs="Times New Roman"/>
                      <w:szCs w:val="21"/>
                    </w:rPr>
                  </w:pPr>
                </w:p>
              </w:tc>
              <w:tc>
                <w:tcPr>
                  <w:tcW w:w="655" w:type="pct"/>
                  <w:vMerge w:val="continue"/>
                  <w:vAlign w:val="center"/>
                </w:tcPr>
                <w:p>
                  <w:pPr>
                    <w:jc w:val="center"/>
                    <w:rPr>
                      <w:rFonts w:cs="Times New Roman"/>
                      <w:szCs w:val="21"/>
                    </w:rPr>
                  </w:pPr>
                </w:p>
              </w:tc>
              <w:tc>
                <w:tcPr>
                  <w:tcW w:w="654" w:type="pct"/>
                  <w:vMerge w:val="continue"/>
                  <w:vAlign w:val="center"/>
                </w:tcPr>
                <w:p>
                  <w:pPr>
                    <w:jc w:val="center"/>
                    <w:rPr>
                      <w:rFonts w:cs="Times New Roman"/>
                      <w:szCs w:val="21"/>
                    </w:rPr>
                  </w:pPr>
                </w:p>
              </w:tc>
              <w:tc>
                <w:tcPr>
                  <w:tcW w:w="819" w:type="pct"/>
                  <w:vAlign w:val="center"/>
                </w:tcPr>
                <w:p>
                  <w:pPr>
                    <w:jc w:val="center"/>
                    <w:rPr>
                      <w:rFonts w:cs="Times New Roman"/>
                      <w:szCs w:val="21"/>
                    </w:rPr>
                  </w:pPr>
                  <w:r>
                    <w:rPr>
                      <w:rFonts w:hint="eastAsia" w:cs="Times New Roman"/>
                      <w:szCs w:val="21"/>
                    </w:rPr>
                    <w:t>III</w:t>
                  </w:r>
                </w:p>
              </w:tc>
              <w:tc>
                <w:tcPr>
                  <w:tcW w:w="1158" w:type="pct"/>
                  <w:vAlign w:val="center"/>
                </w:tcPr>
                <w:p>
                  <w:pPr>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023.08</w:t>
                  </w:r>
                </w:p>
              </w:tc>
              <w:tc>
                <w:tcPr>
                  <w:tcW w:w="413" w:type="pct"/>
                  <w:vMerge w:val="continue"/>
                  <w:vAlign w:val="center"/>
                </w:tcPr>
                <w:p>
                  <w:pPr>
                    <w:jc w:val="center"/>
                    <w:rPr>
                      <w:rFonts w:cs="Times New Roman"/>
                      <w:szCs w:val="21"/>
                    </w:rPr>
                  </w:pPr>
                </w:p>
              </w:tc>
              <w:tc>
                <w:tcPr>
                  <w:tcW w:w="573" w:type="pct"/>
                  <w:vMerge w:val="continue"/>
                  <w:vAlign w:val="center"/>
                </w:tcPr>
                <w:p>
                  <w:pPr>
                    <w:jc w:val="center"/>
                    <w:rPr>
                      <w:rFonts w:cs="Times New Roman"/>
                      <w:szCs w:val="21"/>
                    </w:rPr>
                  </w:pPr>
                </w:p>
              </w:tc>
              <w:tc>
                <w:tcPr>
                  <w:tcW w:w="655" w:type="pct"/>
                  <w:vMerge w:val="continue"/>
                  <w:vAlign w:val="center"/>
                </w:tcPr>
                <w:p>
                  <w:pPr>
                    <w:jc w:val="center"/>
                    <w:rPr>
                      <w:rFonts w:cs="Times New Roman"/>
                      <w:szCs w:val="21"/>
                    </w:rPr>
                  </w:pPr>
                </w:p>
              </w:tc>
              <w:tc>
                <w:tcPr>
                  <w:tcW w:w="654" w:type="pct"/>
                  <w:vMerge w:val="continue"/>
                  <w:vAlign w:val="center"/>
                </w:tcPr>
                <w:p>
                  <w:pPr>
                    <w:jc w:val="center"/>
                    <w:rPr>
                      <w:rFonts w:cs="Times New Roman"/>
                      <w:szCs w:val="21"/>
                    </w:rPr>
                  </w:pPr>
                </w:p>
              </w:tc>
              <w:tc>
                <w:tcPr>
                  <w:tcW w:w="819" w:type="pct"/>
                  <w:vAlign w:val="center"/>
                </w:tcPr>
                <w:p>
                  <w:pPr>
                    <w:jc w:val="center"/>
                    <w:rPr>
                      <w:rFonts w:cs="Times New Roman"/>
                      <w:szCs w:val="21"/>
                    </w:rPr>
                  </w:pPr>
                  <w:r>
                    <w:rPr>
                      <w:rFonts w:hint="eastAsia" w:cs="Times New Roman"/>
                      <w:szCs w:val="21"/>
                    </w:rPr>
                    <w:t>III</w:t>
                  </w:r>
                </w:p>
              </w:tc>
              <w:tc>
                <w:tcPr>
                  <w:tcW w:w="1158" w:type="pct"/>
                  <w:vAlign w:val="center"/>
                </w:tcPr>
                <w:p>
                  <w:pPr>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023.09</w:t>
                  </w:r>
                </w:p>
              </w:tc>
              <w:tc>
                <w:tcPr>
                  <w:tcW w:w="413" w:type="pct"/>
                  <w:vMerge w:val="continue"/>
                  <w:vAlign w:val="center"/>
                </w:tcPr>
                <w:p>
                  <w:pPr>
                    <w:jc w:val="center"/>
                    <w:rPr>
                      <w:rFonts w:cs="Times New Roman"/>
                      <w:szCs w:val="21"/>
                    </w:rPr>
                  </w:pPr>
                </w:p>
              </w:tc>
              <w:tc>
                <w:tcPr>
                  <w:tcW w:w="573" w:type="pct"/>
                  <w:vMerge w:val="continue"/>
                  <w:vAlign w:val="center"/>
                </w:tcPr>
                <w:p>
                  <w:pPr>
                    <w:jc w:val="center"/>
                    <w:rPr>
                      <w:rFonts w:cs="Times New Roman"/>
                      <w:szCs w:val="21"/>
                    </w:rPr>
                  </w:pPr>
                </w:p>
              </w:tc>
              <w:tc>
                <w:tcPr>
                  <w:tcW w:w="655" w:type="pct"/>
                  <w:vMerge w:val="continue"/>
                  <w:vAlign w:val="center"/>
                </w:tcPr>
                <w:p>
                  <w:pPr>
                    <w:jc w:val="center"/>
                    <w:rPr>
                      <w:rFonts w:cs="Times New Roman"/>
                      <w:szCs w:val="21"/>
                    </w:rPr>
                  </w:pPr>
                </w:p>
              </w:tc>
              <w:tc>
                <w:tcPr>
                  <w:tcW w:w="654" w:type="pct"/>
                  <w:vMerge w:val="continue"/>
                  <w:vAlign w:val="center"/>
                </w:tcPr>
                <w:p>
                  <w:pPr>
                    <w:jc w:val="center"/>
                    <w:rPr>
                      <w:rFonts w:cs="Times New Roman"/>
                      <w:szCs w:val="21"/>
                    </w:rPr>
                  </w:pPr>
                </w:p>
              </w:tc>
              <w:tc>
                <w:tcPr>
                  <w:tcW w:w="819" w:type="pct"/>
                  <w:vAlign w:val="center"/>
                </w:tcPr>
                <w:p>
                  <w:pPr>
                    <w:jc w:val="center"/>
                    <w:rPr>
                      <w:rFonts w:cs="Times New Roman"/>
                      <w:szCs w:val="21"/>
                    </w:rPr>
                  </w:pPr>
                  <w:r>
                    <w:rPr>
                      <w:rFonts w:hint="eastAsia" w:cs="Times New Roman"/>
                      <w:szCs w:val="21"/>
                    </w:rPr>
                    <w:t>III</w:t>
                  </w:r>
                </w:p>
              </w:tc>
              <w:tc>
                <w:tcPr>
                  <w:tcW w:w="1158" w:type="pct"/>
                  <w:vAlign w:val="center"/>
                </w:tcPr>
                <w:p>
                  <w:pPr>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023.10</w:t>
                  </w:r>
                </w:p>
              </w:tc>
              <w:tc>
                <w:tcPr>
                  <w:tcW w:w="413" w:type="pct"/>
                  <w:vMerge w:val="continue"/>
                  <w:vAlign w:val="center"/>
                </w:tcPr>
                <w:p>
                  <w:pPr>
                    <w:jc w:val="center"/>
                    <w:rPr>
                      <w:rFonts w:cs="Times New Roman"/>
                      <w:szCs w:val="21"/>
                    </w:rPr>
                  </w:pPr>
                </w:p>
              </w:tc>
              <w:tc>
                <w:tcPr>
                  <w:tcW w:w="573" w:type="pct"/>
                  <w:vMerge w:val="continue"/>
                  <w:vAlign w:val="center"/>
                </w:tcPr>
                <w:p>
                  <w:pPr>
                    <w:jc w:val="center"/>
                    <w:rPr>
                      <w:rFonts w:cs="Times New Roman"/>
                      <w:szCs w:val="21"/>
                    </w:rPr>
                  </w:pPr>
                </w:p>
              </w:tc>
              <w:tc>
                <w:tcPr>
                  <w:tcW w:w="655" w:type="pct"/>
                  <w:vMerge w:val="continue"/>
                  <w:vAlign w:val="center"/>
                </w:tcPr>
                <w:p>
                  <w:pPr>
                    <w:jc w:val="center"/>
                    <w:rPr>
                      <w:rFonts w:cs="Times New Roman"/>
                      <w:szCs w:val="21"/>
                    </w:rPr>
                  </w:pPr>
                </w:p>
              </w:tc>
              <w:tc>
                <w:tcPr>
                  <w:tcW w:w="654" w:type="pct"/>
                  <w:vMerge w:val="continue"/>
                  <w:vAlign w:val="center"/>
                </w:tcPr>
                <w:p>
                  <w:pPr>
                    <w:jc w:val="center"/>
                    <w:rPr>
                      <w:rFonts w:cs="Times New Roman"/>
                      <w:szCs w:val="21"/>
                    </w:rPr>
                  </w:pPr>
                </w:p>
              </w:tc>
              <w:tc>
                <w:tcPr>
                  <w:tcW w:w="819" w:type="pct"/>
                  <w:vAlign w:val="center"/>
                </w:tcPr>
                <w:p>
                  <w:pPr>
                    <w:jc w:val="center"/>
                    <w:rPr>
                      <w:rFonts w:cs="Times New Roman"/>
                      <w:szCs w:val="21"/>
                    </w:rPr>
                  </w:pPr>
                  <w:r>
                    <w:rPr>
                      <w:rFonts w:hint="eastAsia" w:cs="Times New Roman"/>
                      <w:szCs w:val="21"/>
                    </w:rPr>
                    <w:t>III</w:t>
                  </w:r>
                </w:p>
              </w:tc>
              <w:tc>
                <w:tcPr>
                  <w:tcW w:w="1158" w:type="pct"/>
                  <w:vAlign w:val="center"/>
                </w:tcPr>
                <w:p>
                  <w:pPr>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023.11</w:t>
                  </w:r>
                </w:p>
              </w:tc>
              <w:tc>
                <w:tcPr>
                  <w:tcW w:w="413" w:type="pct"/>
                  <w:vMerge w:val="continue"/>
                  <w:vAlign w:val="center"/>
                </w:tcPr>
                <w:p>
                  <w:pPr>
                    <w:jc w:val="center"/>
                    <w:rPr>
                      <w:rFonts w:cs="Times New Roman"/>
                      <w:szCs w:val="21"/>
                    </w:rPr>
                  </w:pPr>
                </w:p>
              </w:tc>
              <w:tc>
                <w:tcPr>
                  <w:tcW w:w="573" w:type="pct"/>
                  <w:vMerge w:val="continue"/>
                  <w:vAlign w:val="center"/>
                </w:tcPr>
                <w:p>
                  <w:pPr>
                    <w:jc w:val="center"/>
                    <w:rPr>
                      <w:rFonts w:cs="Times New Roman"/>
                      <w:szCs w:val="21"/>
                    </w:rPr>
                  </w:pPr>
                </w:p>
              </w:tc>
              <w:tc>
                <w:tcPr>
                  <w:tcW w:w="655" w:type="pct"/>
                  <w:vMerge w:val="continue"/>
                  <w:vAlign w:val="center"/>
                </w:tcPr>
                <w:p>
                  <w:pPr>
                    <w:jc w:val="center"/>
                    <w:rPr>
                      <w:rFonts w:cs="Times New Roman"/>
                      <w:szCs w:val="21"/>
                    </w:rPr>
                  </w:pPr>
                </w:p>
              </w:tc>
              <w:tc>
                <w:tcPr>
                  <w:tcW w:w="654" w:type="pct"/>
                  <w:vMerge w:val="continue"/>
                  <w:vAlign w:val="center"/>
                </w:tcPr>
                <w:p>
                  <w:pPr>
                    <w:jc w:val="center"/>
                    <w:rPr>
                      <w:rFonts w:cs="Times New Roman"/>
                      <w:szCs w:val="21"/>
                    </w:rPr>
                  </w:pPr>
                </w:p>
              </w:tc>
              <w:tc>
                <w:tcPr>
                  <w:tcW w:w="819" w:type="pct"/>
                  <w:vAlign w:val="center"/>
                </w:tcPr>
                <w:p>
                  <w:pPr>
                    <w:jc w:val="center"/>
                    <w:rPr>
                      <w:rFonts w:cs="Times New Roman"/>
                      <w:szCs w:val="21"/>
                    </w:rPr>
                  </w:pPr>
                  <w:r>
                    <w:rPr>
                      <w:rFonts w:hint="eastAsia" w:cs="Times New Roman"/>
                      <w:szCs w:val="21"/>
                    </w:rPr>
                    <w:t>III</w:t>
                  </w:r>
                </w:p>
              </w:tc>
              <w:tc>
                <w:tcPr>
                  <w:tcW w:w="1158" w:type="pct"/>
                  <w:vAlign w:val="center"/>
                </w:tcPr>
                <w:p>
                  <w:pPr>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jc w:val="center"/>
                    <w:rPr>
                      <w:rFonts w:cs="Times New Roman"/>
                      <w:szCs w:val="21"/>
                    </w:rPr>
                  </w:pPr>
                  <w:r>
                    <w:rPr>
                      <w:rFonts w:hint="eastAsia" w:cs="Times New Roman"/>
                      <w:szCs w:val="21"/>
                    </w:rPr>
                    <w:t>2</w:t>
                  </w:r>
                  <w:r>
                    <w:rPr>
                      <w:rFonts w:cs="Times New Roman"/>
                      <w:szCs w:val="21"/>
                    </w:rPr>
                    <w:t>023.12</w:t>
                  </w:r>
                </w:p>
              </w:tc>
              <w:tc>
                <w:tcPr>
                  <w:tcW w:w="413" w:type="pct"/>
                  <w:vMerge w:val="continue"/>
                  <w:vAlign w:val="center"/>
                </w:tcPr>
                <w:p>
                  <w:pPr>
                    <w:jc w:val="center"/>
                    <w:rPr>
                      <w:rFonts w:cs="Times New Roman"/>
                      <w:szCs w:val="21"/>
                    </w:rPr>
                  </w:pPr>
                </w:p>
              </w:tc>
              <w:tc>
                <w:tcPr>
                  <w:tcW w:w="573" w:type="pct"/>
                  <w:vMerge w:val="continue"/>
                  <w:vAlign w:val="center"/>
                </w:tcPr>
                <w:p>
                  <w:pPr>
                    <w:jc w:val="center"/>
                    <w:rPr>
                      <w:rFonts w:cs="Times New Roman"/>
                      <w:szCs w:val="21"/>
                    </w:rPr>
                  </w:pPr>
                </w:p>
              </w:tc>
              <w:tc>
                <w:tcPr>
                  <w:tcW w:w="655" w:type="pct"/>
                  <w:vMerge w:val="continue"/>
                  <w:vAlign w:val="center"/>
                </w:tcPr>
                <w:p>
                  <w:pPr>
                    <w:jc w:val="center"/>
                    <w:rPr>
                      <w:rFonts w:cs="Times New Roman"/>
                      <w:szCs w:val="21"/>
                    </w:rPr>
                  </w:pPr>
                </w:p>
              </w:tc>
              <w:tc>
                <w:tcPr>
                  <w:tcW w:w="654" w:type="pct"/>
                  <w:vMerge w:val="continue"/>
                  <w:vAlign w:val="center"/>
                </w:tcPr>
                <w:p>
                  <w:pPr>
                    <w:jc w:val="center"/>
                    <w:rPr>
                      <w:rFonts w:cs="Times New Roman"/>
                      <w:szCs w:val="21"/>
                    </w:rPr>
                  </w:pPr>
                </w:p>
              </w:tc>
              <w:tc>
                <w:tcPr>
                  <w:tcW w:w="819" w:type="pct"/>
                  <w:vAlign w:val="center"/>
                </w:tcPr>
                <w:p>
                  <w:pPr>
                    <w:jc w:val="center"/>
                    <w:rPr>
                      <w:rFonts w:cs="Times New Roman"/>
                      <w:szCs w:val="21"/>
                    </w:rPr>
                  </w:pPr>
                  <w:r>
                    <w:rPr>
                      <w:rFonts w:hint="eastAsia" w:cs="Times New Roman"/>
                      <w:szCs w:val="21"/>
                    </w:rPr>
                    <w:t>III</w:t>
                  </w:r>
                </w:p>
              </w:tc>
              <w:tc>
                <w:tcPr>
                  <w:tcW w:w="1158" w:type="pct"/>
                  <w:vAlign w:val="center"/>
                </w:tcPr>
                <w:p>
                  <w:pPr>
                    <w:jc w:val="center"/>
                    <w:rPr>
                      <w:rFonts w:cs="Times New Roman"/>
                      <w:szCs w:val="21"/>
                    </w:rPr>
                  </w:pP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rPr>
                      <w:szCs w:val="21"/>
                    </w:rPr>
                  </w:pPr>
                  <w:r>
                    <w:rPr>
                      <w:rFonts w:hint="eastAsia"/>
                      <w:szCs w:val="21"/>
                    </w:rPr>
                    <w:t>注：①地表水环境质量评价执行《地表水环境质量标准》（GB3838-2002）和《地表水环境质量评价办法（试行）》；</w:t>
                  </w:r>
                </w:p>
                <w:p>
                  <w:pPr>
                    <w:ind w:firstLine="420" w:firstLineChars="200"/>
                    <w:rPr>
                      <w:szCs w:val="21"/>
                    </w:rPr>
                  </w:pPr>
                  <w:r>
                    <w:rPr>
                      <w:rFonts w:hint="eastAsia"/>
                      <w:szCs w:val="21"/>
                    </w:rPr>
                    <w:t>②21项评价指标为：pH、溶解氧、高锰酸钾指数、五日生化需氧量、氨氮、石油类、挥发酚、汞、铅、镉、阴离子表面活性剂、六价铬、氟化物、总磷、氰化物、硫化物、砷、化学需氧量、铜、锌、硒；</w:t>
                  </w:r>
                </w:p>
                <w:p>
                  <w:pPr>
                    <w:ind w:firstLine="420" w:firstLineChars="200"/>
                    <w:rPr>
                      <w:rFonts w:cs="Times New Roman"/>
                      <w:szCs w:val="21"/>
                    </w:rPr>
                  </w:pPr>
                  <w:r>
                    <w:rPr>
                      <w:rFonts w:hint="eastAsia"/>
                      <w:szCs w:val="21"/>
                    </w:rPr>
                    <w:t>③超过III类水质标准的指标为断面污染指标，取超标倍数最大的前三项为主要污染指标。</w:t>
                  </w:r>
                </w:p>
              </w:tc>
            </w:tr>
          </w:tbl>
          <w:p>
            <w:pPr>
              <w:spacing w:line="360" w:lineRule="auto"/>
              <w:ind w:firstLine="480" w:firstLineChars="200"/>
              <w:rPr>
                <w:rFonts w:cstheme="minorHAnsi"/>
                <w:sz w:val="24"/>
                <w:szCs w:val="24"/>
              </w:rPr>
            </w:pPr>
            <w:r>
              <w:rPr>
                <w:rFonts w:hint="eastAsia" w:cstheme="minorHAnsi"/>
                <w:sz w:val="24"/>
                <w:szCs w:val="24"/>
              </w:rPr>
              <w:t>由上表可知，202</w:t>
            </w:r>
            <w:r>
              <w:rPr>
                <w:rFonts w:cstheme="minorHAnsi"/>
                <w:sz w:val="24"/>
                <w:szCs w:val="24"/>
              </w:rPr>
              <w:t>3</w:t>
            </w:r>
            <w:r>
              <w:rPr>
                <w:rFonts w:hint="eastAsia" w:cstheme="minorHAnsi"/>
                <w:sz w:val="24"/>
                <w:szCs w:val="24"/>
              </w:rPr>
              <w:t>年</w:t>
            </w:r>
            <w:r>
              <w:rPr>
                <w:rFonts w:hint="eastAsia" w:cs="Times New Roman"/>
                <w:sz w:val="24"/>
                <w:szCs w:val="24"/>
              </w:rPr>
              <w:t>东柳河墩子河断面部分月份未达到《地表水环境质量标准》（GB3838-2002）III类水域标准</w:t>
            </w:r>
            <w:r>
              <w:rPr>
                <w:rFonts w:hint="eastAsia" w:cstheme="minorHAnsi"/>
                <w:sz w:val="24"/>
                <w:szCs w:val="24"/>
              </w:rPr>
              <w:t>，主要污染指标为氨氮、化学需氧量、高锰酸盐指数。根据调查，东柳河两岸现状主要分布为农田、散居农户，水质超标原因可能为农村生活污水排放，以及农业面源污染等。</w:t>
            </w:r>
          </w:p>
          <w:p>
            <w:pPr>
              <w:spacing w:line="360" w:lineRule="auto"/>
              <w:ind w:firstLine="480" w:firstLineChars="200"/>
              <w:rPr>
                <w:rFonts w:cstheme="minorHAnsi"/>
                <w:sz w:val="24"/>
                <w:szCs w:val="24"/>
              </w:rPr>
            </w:pPr>
            <w:r>
              <w:rPr>
                <w:rFonts w:hint="eastAsia" w:cstheme="minorHAnsi"/>
                <w:sz w:val="24"/>
                <w:szCs w:val="24"/>
              </w:rPr>
              <w:t>针对东柳河水环境治理问题，大竹县主要采取的措施包括：</w:t>
            </w:r>
            <w:r>
              <w:rPr>
                <w:rFonts w:hint="eastAsia" w:cstheme="minorHAnsi"/>
                <w:b/>
                <w:bCs/>
                <w:sz w:val="24"/>
                <w:szCs w:val="24"/>
              </w:rPr>
              <w:t>（1）加强乡镇污水管控：</w:t>
            </w:r>
            <w:r>
              <w:rPr>
                <w:rFonts w:hint="eastAsia" w:cstheme="minorHAnsi"/>
                <w:sz w:val="24"/>
                <w:szCs w:val="24"/>
              </w:rPr>
              <w:t>①严格落实源头管理，加大乡镇污水管网建设力度，确保生活污水排入污水管网。②强化污水处理设施运行，加强东柳河流域以及支流乡镇污水处理设施的运维监督管理，确保污水收集处理后达标排放；加强污水管网排查，发现渗漏、堵塞问题立即处置，确保污水不下河。③加快污水处理设施项目建设，完善沿河乡镇污水管网建设，确保生活污水应收尽收，应处尽处。</w:t>
            </w:r>
            <w:r>
              <w:rPr>
                <w:rFonts w:hint="eastAsia" w:cstheme="minorHAnsi"/>
                <w:b/>
                <w:bCs/>
                <w:sz w:val="24"/>
                <w:szCs w:val="24"/>
              </w:rPr>
              <w:t>（2）落实流域生态修复：</w:t>
            </w:r>
            <w:r>
              <w:rPr>
                <w:rFonts w:hint="eastAsia" w:cstheme="minorHAnsi"/>
                <w:sz w:val="24"/>
                <w:szCs w:val="24"/>
              </w:rPr>
              <w:t>①加快实施河库连通工程，改善东柳河、护城河枯水期水量不足、水环境承载能力差的问题，提高河水自净能力，改善流域水质；②加快实施东柳河（东柳段）综合治理工程，改善河道淤堵，美化河道沿岸环境。</w:t>
            </w:r>
          </w:p>
          <w:p>
            <w:pPr>
              <w:spacing w:line="360" w:lineRule="auto"/>
              <w:ind w:firstLine="482" w:firstLineChars="200"/>
              <w:rPr>
                <w:rFonts w:cs="Times New Roman"/>
                <w:b/>
                <w:sz w:val="24"/>
                <w:szCs w:val="24"/>
              </w:rPr>
            </w:pPr>
            <w:r>
              <w:rPr>
                <w:rFonts w:cs="Times New Roman"/>
                <w:b/>
                <w:sz w:val="24"/>
                <w:szCs w:val="24"/>
              </w:rPr>
              <w:t>3</w:t>
            </w:r>
            <w:r>
              <w:rPr>
                <w:rFonts w:hint="eastAsia" w:cs="Times New Roman"/>
                <w:b/>
                <w:sz w:val="24"/>
                <w:szCs w:val="24"/>
              </w:rPr>
              <w:t>、声环境质量现状</w:t>
            </w:r>
          </w:p>
          <w:p>
            <w:pPr>
              <w:spacing w:line="360" w:lineRule="auto"/>
              <w:ind w:firstLine="480" w:firstLineChars="200"/>
              <w:rPr>
                <w:b/>
                <w:kern w:val="24"/>
                <w:sz w:val="24"/>
                <w:szCs w:val="24"/>
              </w:rPr>
            </w:pPr>
            <w:r>
              <w:rPr>
                <w:rFonts w:hint="eastAsia" w:cs="Times New Roman"/>
                <w:sz w:val="24"/>
                <w:szCs w:val="24"/>
              </w:rPr>
              <w:t>为了解区域声环境质量现状，本次环评委托四川海德汇环保科技有限公司于202</w:t>
            </w:r>
            <w:r>
              <w:rPr>
                <w:rFonts w:cs="Times New Roman"/>
                <w:sz w:val="24"/>
                <w:szCs w:val="24"/>
              </w:rPr>
              <w:t>3</w:t>
            </w:r>
            <w:r>
              <w:rPr>
                <w:rFonts w:hint="eastAsia" w:cs="Times New Roman"/>
                <w:sz w:val="24"/>
                <w:szCs w:val="24"/>
              </w:rPr>
              <w:t>年</w:t>
            </w:r>
            <w:r>
              <w:rPr>
                <w:rFonts w:cs="Times New Roman"/>
                <w:sz w:val="24"/>
                <w:szCs w:val="24"/>
              </w:rPr>
              <w:t>2</w:t>
            </w:r>
            <w:r>
              <w:rPr>
                <w:rFonts w:hint="eastAsia" w:cs="Times New Roman"/>
                <w:sz w:val="24"/>
                <w:szCs w:val="24"/>
              </w:rPr>
              <w:t>月</w:t>
            </w:r>
            <w:r>
              <w:rPr>
                <w:rFonts w:cs="Times New Roman"/>
                <w:sz w:val="24"/>
                <w:szCs w:val="24"/>
              </w:rPr>
              <w:t>6</w:t>
            </w:r>
            <w:r>
              <w:rPr>
                <w:rFonts w:hint="eastAsia" w:cs="Times New Roman"/>
                <w:sz w:val="24"/>
                <w:szCs w:val="24"/>
              </w:rPr>
              <w:t>日对区域环境噪声进行补充监测。</w:t>
            </w:r>
          </w:p>
          <w:p>
            <w:pPr>
              <w:spacing w:line="360" w:lineRule="auto"/>
              <w:ind w:firstLine="482" w:firstLineChars="200"/>
              <w:rPr>
                <w:b/>
                <w:kern w:val="24"/>
                <w:sz w:val="24"/>
                <w:szCs w:val="24"/>
              </w:rPr>
            </w:pPr>
            <w:r>
              <w:rPr>
                <w:rFonts w:hint="eastAsia"/>
                <w:b/>
                <w:kern w:val="24"/>
                <w:sz w:val="24"/>
                <w:szCs w:val="24"/>
              </w:rPr>
              <w:t>（</w:t>
            </w:r>
            <w:r>
              <w:rPr>
                <w:b/>
                <w:kern w:val="24"/>
                <w:sz w:val="24"/>
                <w:szCs w:val="24"/>
              </w:rPr>
              <w:t>1</w:t>
            </w:r>
            <w:r>
              <w:rPr>
                <w:rFonts w:hint="eastAsia"/>
                <w:b/>
                <w:kern w:val="24"/>
                <w:sz w:val="24"/>
                <w:szCs w:val="24"/>
              </w:rPr>
              <w:t>）监测点位</w:t>
            </w:r>
          </w:p>
          <w:p>
            <w:pPr>
              <w:spacing w:line="360" w:lineRule="auto"/>
              <w:ind w:firstLine="480" w:firstLineChars="200"/>
              <w:rPr>
                <w:sz w:val="24"/>
                <w:szCs w:val="24"/>
              </w:rPr>
            </w:pPr>
            <w:r>
              <w:rPr>
                <w:rFonts w:hint="eastAsia"/>
                <w:sz w:val="24"/>
                <w:szCs w:val="24"/>
              </w:rPr>
              <w:t>项目共设噪声监测点</w:t>
            </w:r>
            <w:r>
              <w:rPr>
                <w:sz w:val="24"/>
                <w:szCs w:val="24"/>
              </w:rPr>
              <w:t>4</w:t>
            </w:r>
            <w:r>
              <w:rPr>
                <w:rFonts w:hint="eastAsia"/>
                <w:sz w:val="24"/>
                <w:szCs w:val="24"/>
              </w:rPr>
              <w:t>个，监测点位置</w:t>
            </w:r>
            <w:r>
              <w:rPr>
                <w:rFonts w:cs="Times New Roman"/>
                <w:sz w:val="24"/>
              </w:rPr>
              <w:t>见</w:t>
            </w:r>
            <w:r>
              <w:rPr>
                <w:rFonts w:hint="eastAsia" w:cs="Times New Roman"/>
                <w:sz w:val="24"/>
              </w:rPr>
              <w:t>下表</w:t>
            </w:r>
            <w:r>
              <w:rPr>
                <w:rFonts w:hint="eastAsia"/>
                <w:sz w:val="24"/>
                <w:szCs w:val="24"/>
              </w:rPr>
              <w:t>。</w:t>
            </w:r>
          </w:p>
          <w:p>
            <w:pPr>
              <w:spacing w:line="360" w:lineRule="auto"/>
              <w:jc w:val="center"/>
              <w:rPr>
                <w:rFonts w:eastAsia="黑体" w:cs="Times New Roman"/>
                <w:szCs w:val="21"/>
              </w:rPr>
            </w:pPr>
            <w:r>
              <w:rPr>
                <w:rFonts w:eastAsia="黑体" w:cs="Times New Roman"/>
                <w:szCs w:val="21"/>
              </w:rPr>
              <w:t>表3-7  噪声监测点</w:t>
            </w:r>
            <w:r>
              <w:rPr>
                <w:rFonts w:hint="eastAsia" w:eastAsia="黑体" w:cs="Times New Roman"/>
                <w:szCs w:val="21"/>
              </w:rPr>
              <w:t>位</w:t>
            </w:r>
            <w:r>
              <w:rPr>
                <w:rFonts w:eastAsia="黑体" w:cs="Times New Roman"/>
                <w:szCs w:val="21"/>
              </w:rPr>
              <w:t>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7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41" w:type="pct"/>
                  <w:vAlign w:val="center"/>
                </w:tcPr>
                <w:p>
                  <w:pPr>
                    <w:jc w:val="center"/>
                    <w:rPr>
                      <w:rFonts w:cstheme="minorHAnsi"/>
                      <w:szCs w:val="21"/>
                    </w:rPr>
                  </w:pPr>
                  <w:r>
                    <w:rPr>
                      <w:rFonts w:cstheme="minorHAnsi"/>
                      <w:szCs w:val="21"/>
                    </w:rPr>
                    <w:t>编号</w:t>
                  </w:r>
                </w:p>
              </w:tc>
              <w:tc>
                <w:tcPr>
                  <w:tcW w:w="3859" w:type="pct"/>
                  <w:vAlign w:val="center"/>
                </w:tcPr>
                <w:p>
                  <w:pPr>
                    <w:jc w:val="center"/>
                    <w:rPr>
                      <w:rFonts w:cstheme="minorHAnsi"/>
                      <w:szCs w:val="21"/>
                    </w:rPr>
                  </w:pPr>
                  <w:r>
                    <w:rPr>
                      <w:rFonts w:cstheme="minorHAnsi"/>
                      <w:szCs w:val="21"/>
                    </w:rPr>
                    <w:t>监测点名称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41" w:type="pct"/>
                  <w:vAlign w:val="center"/>
                </w:tcPr>
                <w:p>
                  <w:pPr>
                    <w:jc w:val="center"/>
                    <w:rPr>
                      <w:rFonts w:cstheme="minorHAnsi"/>
                      <w:szCs w:val="21"/>
                    </w:rPr>
                  </w:pPr>
                  <w:r>
                    <w:rPr>
                      <w:rFonts w:hint="eastAsia" w:cstheme="minorHAnsi"/>
                      <w:szCs w:val="21"/>
                    </w:rPr>
                    <w:t>1#</w:t>
                  </w:r>
                </w:p>
              </w:tc>
              <w:tc>
                <w:tcPr>
                  <w:tcW w:w="3859" w:type="pct"/>
                  <w:vAlign w:val="center"/>
                </w:tcPr>
                <w:p>
                  <w:pPr>
                    <w:jc w:val="center"/>
                    <w:rPr>
                      <w:kern w:val="0"/>
                      <w:szCs w:val="21"/>
                    </w:rPr>
                  </w:pPr>
                  <w:r>
                    <w:rPr>
                      <w:rFonts w:hint="eastAsia"/>
                      <w:kern w:val="0"/>
                      <w:szCs w:val="21"/>
                    </w:rPr>
                    <w:t>项目西北侧农户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141" w:type="pct"/>
                  <w:vAlign w:val="center"/>
                </w:tcPr>
                <w:p>
                  <w:pPr>
                    <w:jc w:val="center"/>
                    <w:rPr>
                      <w:rFonts w:cstheme="minorHAnsi"/>
                      <w:szCs w:val="21"/>
                    </w:rPr>
                  </w:pPr>
                  <w:r>
                    <w:rPr>
                      <w:rFonts w:hint="eastAsia" w:cstheme="minorHAnsi"/>
                      <w:szCs w:val="21"/>
                    </w:rPr>
                    <w:t>2#</w:t>
                  </w:r>
                </w:p>
              </w:tc>
              <w:tc>
                <w:tcPr>
                  <w:tcW w:w="3859" w:type="pct"/>
                  <w:vAlign w:val="center"/>
                </w:tcPr>
                <w:p>
                  <w:pPr>
                    <w:jc w:val="center"/>
                    <w:rPr>
                      <w:szCs w:val="21"/>
                    </w:rPr>
                  </w:pPr>
                  <w:r>
                    <w:rPr>
                      <w:rFonts w:hint="eastAsia"/>
                      <w:kern w:val="0"/>
                      <w:szCs w:val="21"/>
                    </w:rPr>
                    <w:t>项目西南侧农户1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141" w:type="pct"/>
                  <w:vAlign w:val="center"/>
                </w:tcPr>
                <w:p>
                  <w:pPr>
                    <w:jc w:val="center"/>
                    <w:rPr>
                      <w:rFonts w:cstheme="minorHAnsi"/>
                      <w:szCs w:val="21"/>
                    </w:rPr>
                  </w:pPr>
                  <w:r>
                    <w:rPr>
                      <w:rFonts w:hint="eastAsia" w:cstheme="minorHAnsi"/>
                      <w:szCs w:val="21"/>
                    </w:rPr>
                    <w:t>3#</w:t>
                  </w:r>
                </w:p>
              </w:tc>
              <w:tc>
                <w:tcPr>
                  <w:tcW w:w="3859" w:type="pct"/>
                  <w:vAlign w:val="center"/>
                </w:tcPr>
                <w:p>
                  <w:pPr>
                    <w:jc w:val="center"/>
                    <w:rPr>
                      <w:szCs w:val="21"/>
                    </w:rPr>
                  </w:pPr>
                  <w:r>
                    <w:rPr>
                      <w:rFonts w:hint="eastAsia"/>
                      <w:kern w:val="0"/>
                      <w:szCs w:val="21"/>
                    </w:rPr>
                    <w:t>项目西南侧农户2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141" w:type="pct"/>
                  <w:vAlign w:val="center"/>
                </w:tcPr>
                <w:p>
                  <w:pPr>
                    <w:jc w:val="center"/>
                    <w:rPr>
                      <w:rFonts w:cstheme="minorHAnsi"/>
                      <w:szCs w:val="21"/>
                    </w:rPr>
                  </w:pPr>
                  <w:r>
                    <w:rPr>
                      <w:rFonts w:hint="eastAsia" w:cstheme="minorHAnsi"/>
                      <w:szCs w:val="21"/>
                    </w:rPr>
                    <w:t>4#</w:t>
                  </w:r>
                </w:p>
              </w:tc>
              <w:tc>
                <w:tcPr>
                  <w:tcW w:w="3859" w:type="pct"/>
                  <w:vAlign w:val="center"/>
                </w:tcPr>
                <w:p>
                  <w:pPr>
                    <w:jc w:val="center"/>
                    <w:rPr>
                      <w:szCs w:val="21"/>
                    </w:rPr>
                  </w:pPr>
                  <w:r>
                    <w:rPr>
                      <w:rFonts w:hint="eastAsia"/>
                      <w:kern w:val="0"/>
                      <w:szCs w:val="21"/>
                    </w:rPr>
                    <w:t>项目东侧厂界外1m处</w:t>
                  </w:r>
                </w:p>
              </w:tc>
            </w:tr>
          </w:tbl>
          <w:p>
            <w:pPr>
              <w:spacing w:line="360" w:lineRule="auto"/>
              <w:ind w:firstLine="482" w:firstLineChars="200"/>
              <w:rPr>
                <w:b/>
                <w:kern w:val="24"/>
                <w:sz w:val="24"/>
                <w:szCs w:val="24"/>
              </w:rPr>
            </w:pPr>
            <w:r>
              <w:rPr>
                <w:rFonts w:hint="eastAsia"/>
                <w:b/>
                <w:kern w:val="24"/>
                <w:sz w:val="24"/>
                <w:szCs w:val="24"/>
              </w:rPr>
              <w:t>（</w:t>
            </w:r>
            <w:r>
              <w:rPr>
                <w:b/>
                <w:kern w:val="24"/>
                <w:sz w:val="24"/>
                <w:szCs w:val="24"/>
              </w:rPr>
              <w:t>2</w:t>
            </w:r>
            <w:r>
              <w:rPr>
                <w:rFonts w:hint="eastAsia"/>
                <w:b/>
                <w:kern w:val="24"/>
                <w:sz w:val="24"/>
                <w:szCs w:val="24"/>
              </w:rPr>
              <w:t>）监测时间</w:t>
            </w:r>
          </w:p>
          <w:p>
            <w:pPr>
              <w:spacing w:line="360" w:lineRule="auto"/>
              <w:ind w:firstLine="480" w:firstLineChars="200"/>
              <w:rPr>
                <w:rFonts w:cs="Times New Roman"/>
                <w:sz w:val="24"/>
                <w:szCs w:val="24"/>
              </w:rPr>
            </w:pPr>
            <w:r>
              <w:rPr>
                <w:rFonts w:hint="eastAsia" w:cs="Times New Roman"/>
                <w:sz w:val="24"/>
                <w:szCs w:val="24"/>
              </w:rPr>
              <w:t>202</w:t>
            </w:r>
            <w:r>
              <w:rPr>
                <w:rFonts w:cs="Times New Roman"/>
                <w:sz w:val="24"/>
                <w:szCs w:val="24"/>
              </w:rPr>
              <w:t>3</w:t>
            </w:r>
            <w:r>
              <w:rPr>
                <w:rFonts w:hint="eastAsia" w:cs="Times New Roman"/>
                <w:sz w:val="24"/>
                <w:szCs w:val="24"/>
              </w:rPr>
              <w:t>年</w:t>
            </w:r>
            <w:r>
              <w:rPr>
                <w:rFonts w:cs="Times New Roman"/>
                <w:sz w:val="24"/>
                <w:szCs w:val="24"/>
              </w:rPr>
              <w:t>2</w:t>
            </w:r>
            <w:r>
              <w:rPr>
                <w:rFonts w:hint="eastAsia" w:cs="Times New Roman"/>
                <w:sz w:val="24"/>
                <w:szCs w:val="24"/>
              </w:rPr>
              <w:t>月</w:t>
            </w:r>
            <w:r>
              <w:rPr>
                <w:rFonts w:cs="Times New Roman"/>
                <w:sz w:val="24"/>
                <w:szCs w:val="24"/>
              </w:rPr>
              <w:t>6</w:t>
            </w:r>
            <w:r>
              <w:rPr>
                <w:rFonts w:hint="eastAsia" w:cs="Times New Roman"/>
                <w:sz w:val="24"/>
                <w:szCs w:val="24"/>
              </w:rPr>
              <w:t>日，共</w:t>
            </w:r>
            <w:r>
              <w:rPr>
                <w:rFonts w:cs="Times New Roman"/>
                <w:sz w:val="24"/>
                <w:szCs w:val="24"/>
              </w:rPr>
              <w:t>监测1天，</w:t>
            </w:r>
            <w:r>
              <w:rPr>
                <w:rFonts w:hint="eastAsia" w:cs="Times New Roman"/>
                <w:sz w:val="24"/>
                <w:szCs w:val="24"/>
              </w:rPr>
              <w:t>昼夜</w:t>
            </w:r>
            <w:r>
              <w:rPr>
                <w:rFonts w:cs="Times New Roman"/>
                <w:sz w:val="24"/>
                <w:szCs w:val="24"/>
              </w:rPr>
              <w:t>各监测</w:t>
            </w:r>
            <w:r>
              <w:rPr>
                <w:rFonts w:hint="eastAsia" w:cs="Times New Roman"/>
                <w:sz w:val="24"/>
                <w:szCs w:val="24"/>
              </w:rPr>
              <w:t>1次。</w:t>
            </w:r>
          </w:p>
          <w:p>
            <w:pPr>
              <w:spacing w:line="360" w:lineRule="auto"/>
              <w:ind w:firstLine="482" w:firstLineChars="200"/>
              <w:rPr>
                <w:b/>
                <w:kern w:val="24"/>
                <w:sz w:val="24"/>
                <w:szCs w:val="24"/>
              </w:rPr>
            </w:pPr>
            <w:r>
              <w:rPr>
                <w:rFonts w:hint="eastAsia"/>
                <w:b/>
                <w:kern w:val="24"/>
                <w:sz w:val="24"/>
                <w:szCs w:val="24"/>
              </w:rPr>
              <w:t>（</w:t>
            </w:r>
            <w:r>
              <w:rPr>
                <w:b/>
                <w:kern w:val="24"/>
                <w:sz w:val="24"/>
                <w:szCs w:val="24"/>
              </w:rPr>
              <w:t>3</w:t>
            </w:r>
            <w:r>
              <w:rPr>
                <w:rFonts w:hint="eastAsia"/>
                <w:b/>
                <w:kern w:val="24"/>
                <w:sz w:val="24"/>
                <w:szCs w:val="24"/>
              </w:rPr>
              <w:t>）评价标准</w:t>
            </w:r>
          </w:p>
          <w:p>
            <w:pPr>
              <w:spacing w:line="360" w:lineRule="auto"/>
              <w:ind w:firstLine="480" w:firstLineChars="200"/>
              <w:rPr>
                <w:rFonts w:cs="Times New Roman"/>
                <w:sz w:val="24"/>
                <w:szCs w:val="24"/>
              </w:rPr>
            </w:pPr>
            <w:r>
              <w:rPr>
                <w:rFonts w:hint="eastAsia"/>
                <w:sz w:val="24"/>
                <w:szCs w:val="24"/>
                <w:lang w:val="zh-CN"/>
              </w:rPr>
              <w:t>执行《声环境</w:t>
            </w:r>
            <w:r>
              <w:rPr>
                <w:sz w:val="24"/>
                <w:szCs w:val="24"/>
                <w:lang w:val="zh-CN"/>
              </w:rPr>
              <w:t>质量标准》（GB3096-2008</w:t>
            </w:r>
            <w:r>
              <w:rPr>
                <w:rFonts w:hint="eastAsia"/>
                <w:sz w:val="24"/>
                <w:szCs w:val="24"/>
                <w:lang w:val="zh-CN"/>
              </w:rPr>
              <w:t>）</w:t>
            </w:r>
            <w:r>
              <w:rPr>
                <w:sz w:val="24"/>
                <w:szCs w:val="24"/>
                <w:lang w:val="zh-CN"/>
              </w:rPr>
              <w:t>2类</w:t>
            </w:r>
            <w:r>
              <w:rPr>
                <w:rFonts w:hint="eastAsia"/>
                <w:sz w:val="24"/>
                <w:szCs w:val="24"/>
                <w:lang w:val="zh-CN"/>
              </w:rPr>
              <w:t>和4a类</w:t>
            </w:r>
            <w:r>
              <w:rPr>
                <w:sz w:val="24"/>
                <w:szCs w:val="24"/>
                <w:lang w:val="zh-CN"/>
              </w:rPr>
              <w:t>标准</w:t>
            </w:r>
            <w:r>
              <w:rPr>
                <w:rFonts w:hint="eastAsia" w:cs="Times New Roman"/>
                <w:sz w:val="24"/>
                <w:szCs w:val="24"/>
              </w:rPr>
              <w:t>。</w:t>
            </w:r>
          </w:p>
          <w:p>
            <w:pPr>
              <w:spacing w:line="360" w:lineRule="auto"/>
              <w:ind w:firstLine="482" w:firstLineChars="200"/>
              <w:rPr>
                <w:b/>
                <w:kern w:val="24"/>
                <w:sz w:val="24"/>
                <w:szCs w:val="24"/>
              </w:rPr>
            </w:pPr>
            <w:r>
              <w:rPr>
                <w:rFonts w:hint="eastAsia"/>
                <w:b/>
                <w:kern w:val="24"/>
                <w:sz w:val="24"/>
                <w:szCs w:val="24"/>
              </w:rPr>
              <w:t>（</w:t>
            </w:r>
            <w:r>
              <w:rPr>
                <w:b/>
                <w:kern w:val="24"/>
                <w:sz w:val="24"/>
                <w:szCs w:val="24"/>
              </w:rPr>
              <w:t>4</w:t>
            </w:r>
            <w:r>
              <w:rPr>
                <w:rFonts w:hint="eastAsia"/>
                <w:b/>
                <w:kern w:val="24"/>
                <w:sz w:val="24"/>
                <w:szCs w:val="24"/>
              </w:rPr>
              <w:t>）评价结果</w:t>
            </w:r>
          </w:p>
          <w:p>
            <w:pPr>
              <w:spacing w:line="360" w:lineRule="auto"/>
              <w:ind w:firstLine="480" w:firstLineChars="200"/>
              <w:rPr>
                <w:rFonts w:cs="Times New Roman"/>
                <w:sz w:val="24"/>
                <w:szCs w:val="24"/>
              </w:rPr>
            </w:pPr>
            <w:r>
              <w:rPr>
                <w:rFonts w:cs="Times New Roman"/>
                <w:sz w:val="24"/>
                <w:szCs w:val="24"/>
              </w:rPr>
              <w:t>区域声环境质量</w:t>
            </w:r>
            <w:r>
              <w:rPr>
                <w:rFonts w:hint="eastAsia" w:cs="Times New Roman"/>
                <w:sz w:val="24"/>
                <w:szCs w:val="24"/>
              </w:rPr>
              <w:t>现状</w:t>
            </w:r>
            <w:r>
              <w:rPr>
                <w:rFonts w:cs="Times New Roman"/>
                <w:sz w:val="24"/>
                <w:szCs w:val="24"/>
              </w:rPr>
              <w:t>评价结果</w:t>
            </w:r>
            <w:r>
              <w:rPr>
                <w:rFonts w:cs="Times New Roman"/>
                <w:sz w:val="24"/>
              </w:rPr>
              <w:t>见</w:t>
            </w:r>
            <w:r>
              <w:rPr>
                <w:rFonts w:hint="eastAsia" w:cs="Times New Roman"/>
                <w:sz w:val="24"/>
              </w:rPr>
              <w:t>下表</w:t>
            </w:r>
            <w:r>
              <w:rPr>
                <w:rFonts w:cs="Times New Roman"/>
                <w:sz w:val="24"/>
                <w:szCs w:val="24"/>
              </w:rPr>
              <w:t>。</w:t>
            </w:r>
          </w:p>
          <w:p>
            <w:pPr>
              <w:spacing w:line="360" w:lineRule="auto"/>
              <w:jc w:val="center"/>
              <w:rPr>
                <w:rFonts w:eastAsia="黑体" w:cs="Times New Roman"/>
                <w:szCs w:val="21"/>
              </w:rPr>
            </w:pPr>
            <w:r>
              <w:rPr>
                <w:rFonts w:eastAsia="黑体" w:cs="Times New Roman"/>
                <w:szCs w:val="21"/>
              </w:rPr>
              <w:t>表</w:t>
            </w:r>
            <w:r>
              <w:rPr>
                <w:rFonts w:cs="Times New Roman"/>
                <w:szCs w:val="21"/>
              </w:rPr>
              <w:t xml:space="preserve">3-8  </w:t>
            </w:r>
            <w:r>
              <w:rPr>
                <w:rFonts w:eastAsia="黑体" w:cs="Times New Roman"/>
                <w:szCs w:val="21"/>
              </w:rPr>
              <w:t>声环境质量</w:t>
            </w:r>
            <w:r>
              <w:rPr>
                <w:rFonts w:hint="eastAsia" w:eastAsia="黑体" w:cs="Times New Roman"/>
                <w:szCs w:val="21"/>
              </w:rPr>
              <w:t>现状</w:t>
            </w:r>
            <w:r>
              <w:rPr>
                <w:rFonts w:eastAsia="黑体" w:cs="Times New Roman"/>
                <w:szCs w:val="21"/>
              </w:rPr>
              <w:t>评价结果</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2468"/>
              <w:gridCol w:w="962"/>
              <w:gridCol w:w="962"/>
              <w:gridCol w:w="962"/>
              <w:gridCol w:w="964"/>
              <w:gridCol w:w="1136"/>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06" w:type="pct"/>
                  <w:vMerge w:val="restart"/>
                  <w:vAlign w:val="center"/>
                </w:tcPr>
                <w:p>
                  <w:pPr>
                    <w:jc w:val="center"/>
                    <w:rPr>
                      <w:rFonts w:cstheme="minorHAnsi"/>
                      <w:szCs w:val="21"/>
                    </w:rPr>
                  </w:pPr>
                  <w:r>
                    <w:rPr>
                      <w:rFonts w:cstheme="minorHAnsi"/>
                      <w:szCs w:val="21"/>
                    </w:rPr>
                    <w:t>编号</w:t>
                  </w:r>
                </w:p>
              </w:tc>
              <w:tc>
                <w:tcPr>
                  <w:tcW w:w="1349" w:type="pct"/>
                  <w:vMerge w:val="restart"/>
                  <w:vAlign w:val="center"/>
                </w:tcPr>
                <w:p>
                  <w:pPr>
                    <w:jc w:val="center"/>
                    <w:rPr>
                      <w:rFonts w:cstheme="minorHAnsi"/>
                      <w:szCs w:val="21"/>
                    </w:rPr>
                  </w:pPr>
                  <w:r>
                    <w:rPr>
                      <w:rFonts w:hint="eastAsia" w:cstheme="minorHAnsi"/>
                      <w:szCs w:val="21"/>
                    </w:rPr>
                    <w:t>监测点位</w:t>
                  </w:r>
                </w:p>
              </w:tc>
              <w:tc>
                <w:tcPr>
                  <w:tcW w:w="2105" w:type="pct"/>
                  <w:gridSpan w:val="4"/>
                  <w:vAlign w:val="center"/>
                </w:tcPr>
                <w:p>
                  <w:pPr>
                    <w:jc w:val="center"/>
                    <w:rPr>
                      <w:rFonts w:cstheme="minorHAnsi"/>
                      <w:szCs w:val="21"/>
                    </w:rPr>
                  </w:pPr>
                  <w:r>
                    <w:rPr>
                      <w:rFonts w:hint="eastAsia" w:cstheme="minorHAnsi"/>
                      <w:szCs w:val="21"/>
                    </w:rPr>
                    <w:t>评价结果</w:t>
                  </w:r>
                  <w:r>
                    <w:rPr>
                      <w:rFonts w:cstheme="minorHAnsi"/>
                      <w:szCs w:val="21"/>
                    </w:rPr>
                    <w:t>[dB（A）]</w:t>
                  </w:r>
                </w:p>
              </w:tc>
              <w:tc>
                <w:tcPr>
                  <w:tcW w:w="1240" w:type="pct"/>
                  <w:gridSpan w:val="2"/>
                  <w:vAlign w:val="center"/>
                </w:tcPr>
                <w:p>
                  <w:pPr>
                    <w:jc w:val="center"/>
                    <w:rPr>
                      <w:rFonts w:cstheme="minorHAnsi"/>
                      <w:szCs w:val="21"/>
                    </w:rPr>
                  </w:pPr>
                  <w:r>
                    <w:rPr>
                      <w:rFonts w:cstheme="minorHAnsi"/>
                      <w:szCs w:val="21"/>
                    </w:rPr>
                    <w:t>标准限值[dB（A）]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06" w:type="pct"/>
                  <w:vMerge w:val="continue"/>
                  <w:vAlign w:val="center"/>
                </w:tcPr>
                <w:p>
                  <w:pPr>
                    <w:jc w:val="center"/>
                    <w:rPr>
                      <w:rFonts w:cstheme="minorHAnsi"/>
                      <w:szCs w:val="21"/>
                    </w:rPr>
                  </w:pPr>
                </w:p>
              </w:tc>
              <w:tc>
                <w:tcPr>
                  <w:tcW w:w="1349" w:type="pct"/>
                  <w:vMerge w:val="continue"/>
                  <w:vAlign w:val="center"/>
                </w:tcPr>
                <w:p>
                  <w:pPr>
                    <w:jc w:val="center"/>
                    <w:rPr>
                      <w:rFonts w:cstheme="minorHAnsi"/>
                      <w:szCs w:val="21"/>
                    </w:rPr>
                  </w:pPr>
                </w:p>
              </w:tc>
              <w:tc>
                <w:tcPr>
                  <w:tcW w:w="526" w:type="pct"/>
                  <w:vAlign w:val="center"/>
                </w:tcPr>
                <w:p>
                  <w:pPr>
                    <w:jc w:val="center"/>
                    <w:rPr>
                      <w:rFonts w:cstheme="minorHAnsi"/>
                      <w:szCs w:val="21"/>
                    </w:rPr>
                  </w:pPr>
                  <w:r>
                    <w:rPr>
                      <w:rFonts w:cstheme="minorHAnsi"/>
                      <w:szCs w:val="21"/>
                    </w:rPr>
                    <w:t>昼间</w:t>
                  </w:r>
                </w:p>
              </w:tc>
              <w:tc>
                <w:tcPr>
                  <w:tcW w:w="526" w:type="pct"/>
                  <w:vAlign w:val="center"/>
                </w:tcPr>
                <w:p>
                  <w:pPr>
                    <w:jc w:val="center"/>
                    <w:rPr>
                      <w:rFonts w:cstheme="minorHAnsi"/>
                      <w:szCs w:val="21"/>
                    </w:rPr>
                  </w:pPr>
                  <w:r>
                    <w:rPr>
                      <w:rFonts w:cstheme="minorHAnsi"/>
                      <w:szCs w:val="21"/>
                    </w:rPr>
                    <w:t>结果</w:t>
                  </w:r>
                </w:p>
              </w:tc>
              <w:tc>
                <w:tcPr>
                  <w:tcW w:w="526" w:type="pct"/>
                  <w:vAlign w:val="center"/>
                </w:tcPr>
                <w:p>
                  <w:pPr>
                    <w:jc w:val="center"/>
                    <w:rPr>
                      <w:rFonts w:cstheme="minorHAnsi"/>
                      <w:szCs w:val="21"/>
                    </w:rPr>
                  </w:pPr>
                  <w:r>
                    <w:rPr>
                      <w:rFonts w:cstheme="minorHAnsi"/>
                      <w:szCs w:val="21"/>
                    </w:rPr>
                    <w:t>夜间</w:t>
                  </w:r>
                </w:p>
              </w:tc>
              <w:tc>
                <w:tcPr>
                  <w:tcW w:w="527" w:type="pct"/>
                  <w:vAlign w:val="center"/>
                </w:tcPr>
                <w:p>
                  <w:pPr>
                    <w:jc w:val="center"/>
                    <w:rPr>
                      <w:rFonts w:cstheme="minorHAnsi"/>
                      <w:szCs w:val="21"/>
                    </w:rPr>
                  </w:pPr>
                  <w:r>
                    <w:rPr>
                      <w:rFonts w:cstheme="minorHAnsi"/>
                      <w:szCs w:val="21"/>
                    </w:rPr>
                    <w:t>结果</w:t>
                  </w:r>
                </w:p>
              </w:tc>
              <w:tc>
                <w:tcPr>
                  <w:tcW w:w="621" w:type="pct"/>
                  <w:vAlign w:val="center"/>
                </w:tcPr>
                <w:p>
                  <w:pPr>
                    <w:jc w:val="center"/>
                    <w:rPr>
                      <w:rFonts w:cstheme="minorHAnsi"/>
                      <w:szCs w:val="21"/>
                    </w:rPr>
                  </w:pPr>
                  <w:r>
                    <w:rPr>
                      <w:rFonts w:cstheme="minorHAnsi"/>
                      <w:szCs w:val="21"/>
                    </w:rPr>
                    <w:t>昼间</w:t>
                  </w:r>
                </w:p>
              </w:tc>
              <w:tc>
                <w:tcPr>
                  <w:tcW w:w="619" w:type="pct"/>
                  <w:vAlign w:val="center"/>
                </w:tcPr>
                <w:p>
                  <w:pPr>
                    <w:jc w:val="center"/>
                    <w:rPr>
                      <w:rFonts w:cstheme="minorHAnsi"/>
                      <w:szCs w:val="21"/>
                    </w:rPr>
                  </w:pPr>
                  <w:r>
                    <w:rPr>
                      <w:rFonts w:cstheme="minorHAnsi"/>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06" w:type="pct"/>
                  <w:vAlign w:val="center"/>
                </w:tcPr>
                <w:p>
                  <w:pPr>
                    <w:jc w:val="center"/>
                    <w:rPr>
                      <w:rFonts w:cstheme="minorHAnsi"/>
                      <w:szCs w:val="21"/>
                    </w:rPr>
                  </w:pPr>
                  <w:r>
                    <w:rPr>
                      <w:rFonts w:cstheme="minorHAnsi"/>
                      <w:szCs w:val="21"/>
                    </w:rPr>
                    <w:t>1#</w:t>
                  </w:r>
                </w:p>
              </w:tc>
              <w:tc>
                <w:tcPr>
                  <w:tcW w:w="1349" w:type="pct"/>
                  <w:vAlign w:val="center"/>
                </w:tcPr>
                <w:p>
                  <w:pPr>
                    <w:jc w:val="center"/>
                    <w:rPr>
                      <w:rFonts w:cstheme="minorHAnsi"/>
                      <w:kern w:val="0"/>
                      <w:szCs w:val="21"/>
                    </w:rPr>
                  </w:pPr>
                  <w:r>
                    <w:rPr>
                      <w:rFonts w:hint="eastAsia"/>
                      <w:kern w:val="0"/>
                      <w:szCs w:val="21"/>
                    </w:rPr>
                    <w:t>项目西北侧农户</w:t>
                  </w:r>
                </w:p>
              </w:tc>
              <w:tc>
                <w:tcPr>
                  <w:tcW w:w="526" w:type="pct"/>
                  <w:vAlign w:val="center"/>
                </w:tcPr>
                <w:p>
                  <w:pPr>
                    <w:jc w:val="center"/>
                    <w:rPr>
                      <w:rFonts w:cstheme="minorHAnsi"/>
                      <w:kern w:val="0"/>
                      <w:szCs w:val="21"/>
                    </w:rPr>
                  </w:pPr>
                  <w:r>
                    <w:rPr>
                      <w:rFonts w:hint="eastAsia" w:cstheme="minorHAnsi"/>
                      <w:kern w:val="0"/>
                      <w:szCs w:val="21"/>
                    </w:rPr>
                    <w:t>5</w:t>
                  </w:r>
                  <w:r>
                    <w:rPr>
                      <w:rFonts w:cstheme="minorHAnsi"/>
                      <w:kern w:val="0"/>
                      <w:szCs w:val="21"/>
                    </w:rPr>
                    <w:t>7</w:t>
                  </w:r>
                </w:p>
              </w:tc>
              <w:tc>
                <w:tcPr>
                  <w:tcW w:w="526" w:type="pct"/>
                  <w:vAlign w:val="center"/>
                </w:tcPr>
                <w:p>
                  <w:pPr>
                    <w:jc w:val="center"/>
                    <w:rPr>
                      <w:rFonts w:cstheme="minorHAnsi"/>
                      <w:szCs w:val="21"/>
                    </w:rPr>
                  </w:pPr>
                  <w:r>
                    <w:rPr>
                      <w:rFonts w:cstheme="minorHAnsi"/>
                      <w:szCs w:val="21"/>
                    </w:rPr>
                    <w:t>达标</w:t>
                  </w:r>
                </w:p>
              </w:tc>
              <w:tc>
                <w:tcPr>
                  <w:tcW w:w="526" w:type="pct"/>
                  <w:vAlign w:val="center"/>
                </w:tcPr>
                <w:p>
                  <w:pPr>
                    <w:jc w:val="center"/>
                    <w:rPr>
                      <w:rFonts w:cstheme="minorHAnsi"/>
                      <w:szCs w:val="21"/>
                    </w:rPr>
                  </w:pPr>
                  <w:r>
                    <w:rPr>
                      <w:rFonts w:hint="eastAsia" w:cstheme="minorHAnsi"/>
                      <w:szCs w:val="21"/>
                    </w:rPr>
                    <w:t>4</w:t>
                  </w:r>
                  <w:r>
                    <w:rPr>
                      <w:rFonts w:cstheme="minorHAnsi"/>
                      <w:szCs w:val="21"/>
                    </w:rPr>
                    <w:t>8</w:t>
                  </w:r>
                </w:p>
              </w:tc>
              <w:tc>
                <w:tcPr>
                  <w:tcW w:w="527" w:type="pct"/>
                  <w:vAlign w:val="center"/>
                </w:tcPr>
                <w:p>
                  <w:pPr>
                    <w:jc w:val="center"/>
                    <w:rPr>
                      <w:rFonts w:cstheme="minorHAnsi"/>
                      <w:szCs w:val="21"/>
                    </w:rPr>
                  </w:pPr>
                  <w:r>
                    <w:rPr>
                      <w:rFonts w:cstheme="minorHAnsi"/>
                      <w:szCs w:val="21"/>
                    </w:rPr>
                    <w:t>达标</w:t>
                  </w:r>
                </w:p>
              </w:tc>
              <w:tc>
                <w:tcPr>
                  <w:tcW w:w="621" w:type="pct"/>
                  <w:vMerge w:val="restart"/>
                  <w:vAlign w:val="center"/>
                </w:tcPr>
                <w:p>
                  <w:pPr>
                    <w:jc w:val="center"/>
                    <w:rPr>
                      <w:rFonts w:cstheme="minorHAnsi"/>
                      <w:szCs w:val="21"/>
                    </w:rPr>
                  </w:pPr>
                  <w:r>
                    <w:rPr>
                      <w:rFonts w:hint="eastAsia" w:cstheme="minorHAnsi"/>
                      <w:szCs w:val="21"/>
                    </w:rPr>
                    <w:t>70</w:t>
                  </w:r>
                </w:p>
              </w:tc>
              <w:tc>
                <w:tcPr>
                  <w:tcW w:w="619" w:type="pct"/>
                  <w:vMerge w:val="restart"/>
                  <w:vAlign w:val="center"/>
                </w:tcPr>
                <w:p>
                  <w:pPr>
                    <w:jc w:val="center"/>
                    <w:rPr>
                      <w:rFonts w:cstheme="minorHAnsi"/>
                      <w:szCs w:val="21"/>
                    </w:rPr>
                  </w:pPr>
                  <w:r>
                    <w:rPr>
                      <w:rFonts w:hint="eastAsia" w:cstheme="minorHAnsi"/>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06" w:type="pct"/>
                  <w:vAlign w:val="center"/>
                </w:tcPr>
                <w:p>
                  <w:pPr>
                    <w:jc w:val="center"/>
                    <w:rPr>
                      <w:rFonts w:cstheme="minorHAnsi"/>
                      <w:szCs w:val="21"/>
                    </w:rPr>
                  </w:pPr>
                  <w:r>
                    <w:rPr>
                      <w:rFonts w:cstheme="minorHAnsi"/>
                      <w:szCs w:val="21"/>
                    </w:rPr>
                    <w:t>2#</w:t>
                  </w:r>
                </w:p>
              </w:tc>
              <w:tc>
                <w:tcPr>
                  <w:tcW w:w="1349" w:type="pct"/>
                  <w:vAlign w:val="center"/>
                </w:tcPr>
                <w:p>
                  <w:pPr>
                    <w:jc w:val="center"/>
                    <w:rPr>
                      <w:rFonts w:cstheme="minorHAnsi"/>
                      <w:kern w:val="0"/>
                      <w:szCs w:val="21"/>
                    </w:rPr>
                  </w:pPr>
                  <w:r>
                    <w:rPr>
                      <w:rFonts w:hint="eastAsia"/>
                      <w:kern w:val="0"/>
                      <w:szCs w:val="21"/>
                    </w:rPr>
                    <w:t>项目西南侧农户1</w:t>
                  </w:r>
                </w:p>
              </w:tc>
              <w:tc>
                <w:tcPr>
                  <w:tcW w:w="526" w:type="pct"/>
                  <w:vAlign w:val="center"/>
                </w:tcPr>
                <w:p>
                  <w:pPr>
                    <w:jc w:val="center"/>
                    <w:rPr>
                      <w:rFonts w:cstheme="minorHAnsi"/>
                      <w:kern w:val="0"/>
                      <w:szCs w:val="21"/>
                    </w:rPr>
                  </w:pPr>
                  <w:r>
                    <w:rPr>
                      <w:rFonts w:hint="eastAsia" w:cstheme="minorHAnsi"/>
                      <w:kern w:val="0"/>
                      <w:szCs w:val="21"/>
                    </w:rPr>
                    <w:t>5</w:t>
                  </w:r>
                  <w:r>
                    <w:rPr>
                      <w:rFonts w:cstheme="minorHAnsi"/>
                      <w:kern w:val="0"/>
                      <w:szCs w:val="21"/>
                    </w:rPr>
                    <w:t>7</w:t>
                  </w:r>
                </w:p>
              </w:tc>
              <w:tc>
                <w:tcPr>
                  <w:tcW w:w="526" w:type="pct"/>
                  <w:vAlign w:val="center"/>
                </w:tcPr>
                <w:p>
                  <w:pPr>
                    <w:jc w:val="center"/>
                    <w:rPr>
                      <w:rFonts w:cstheme="minorHAnsi"/>
                      <w:szCs w:val="21"/>
                    </w:rPr>
                  </w:pPr>
                  <w:r>
                    <w:rPr>
                      <w:rFonts w:cstheme="minorHAnsi"/>
                      <w:szCs w:val="21"/>
                    </w:rPr>
                    <w:t>达标</w:t>
                  </w:r>
                </w:p>
              </w:tc>
              <w:tc>
                <w:tcPr>
                  <w:tcW w:w="526" w:type="pct"/>
                  <w:vAlign w:val="center"/>
                </w:tcPr>
                <w:p>
                  <w:pPr>
                    <w:jc w:val="center"/>
                    <w:rPr>
                      <w:rFonts w:cstheme="minorHAnsi"/>
                      <w:szCs w:val="21"/>
                    </w:rPr>
                  </w:pPr>
                  <w:r>
                    <w:rPr>
                      <w:rFonts w:hint="eastAsia" w:cstheme="minorHAnsi"/>
                      <w:szCs w:val="21"/>
                    </w:rPr>
                    <w:t>4</w:t>
                  </w:r>
                  <w:r>
                    <w:rPr>
                      <w:rFonts w:cstheme="minorHAnsi"/>
                      <w:szCs w:val="21"/>
                    </w:rPr>
                    <w:t>8</w:t>
                  </w:r>
                </w:p>
              </w:tc>
              <w:tc>
                <w:tcPr>
                  <w:tcW w:w="527" w:type="pct"/>
                  <w:vAlign w:val="center"/>
                </w:tcPr>
                <w:p>
                  <w:pPr>
                    <w:jc w:val="center"/>
                    <w:rPr>
                      <w:rFonts w:cstheme="minorHAnsi"/>
                      <w:szCs w:val="21"/>
                    </w:rPr>
                  </w:pPr>
                  <w:r>
                    <w:rPr>
                      <w:rFonts w:cstheme="minorHAnsi"/>
                      <w:szCs w:val="21"/>
                    </w:rPr>
                    <w:t>达标</w:t>
                  </w:r>
                </w:p>
              </w:tc>
              <w:tc>
                <w:tcPr>
                  <w:tcW w:w="621" w:type="pct"/>
                  <w:vMerge w:val="continue"/>
                  <w:vAlign w:val="center"/>
                </w:tcPr>
                <w:p>
                  <w:pPr>
                    <w:jc w:val="center"/>
                    <w:rPr>
                      <w:rFonts w:cstheme="minorHAnsi"/>
                      <w:szCs w:val="21"/>
                    </w:rPr>
                  </w:pPr>
                </w:p>
              </w:tc>
              <w:tc>
                <w:tcPr>
                  <w:tcW w:w="619" w:type="pct"/>
                  <w:vMerge w:val="continue"/>
                  <w:vAlign w:val="center"/>
                </w:tcPr>
                <w:p>
                  <w:pPr>
                    <w:jc w:val="center"/>
                    <w:rPr>
                      <w:rFonts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306" w:type="pct"/>
                  <w:vAlign w:val="center"/>
                </w:tcPr>
                <w:p>
                  <w:pPr>
                    <w:jc w:val="center"/>
                    <w:rPr>
                      <w:rFonts w:cstheme="minorHAnsi"/>
                      <w:szCs w:val="21"/>
                    </w:rPr>
                  </w:pPr>
                  <w:r>
                    <w:rPr>
                      <w:rFonts w:cstheme="minorHAnsi"/>
                      <w:szCs w:val="21"/>
                    </w:rPr>
                    <w:t>3#</w:t>
                  </w:r>
                </w:p>
              </w:tc>
              <w:tc>
                <w:tcPr>
                  <w:tcW w:w="1349" w:type="pct"/>
                  <w:vAlign w:val="center"/>
                </w:tcPr>
                <w:p>
                  <w:pPr>
                    <w:jc w:val="center"/>
                    <w:rPr>
                      <w:rFonts w:cstheme="minorHAnsi"/>
                      <w:kern w:val="0"/>
                      <w:szCs w:val="21"/>
                    </w:rPr>
                  </w:pPr>
                  <w:r>
                    <w:rPr>
                      <w:rFonts w:hint="eastAsia"/>
                      <w:kern w:val="0"/>
                      <w:szCs w:val="21"/>
                    </w:rPr>
                    <w:t>项目西南侧农户2</w:t>
                  </w:r>
                </w:p>
              </w:tc>
              <w:tc>
                <w:tcPr>
                  <w:tcW w:w="526" w:type="pct"/>
                  <w:vAlign w:val="center"/>
                </w:tcPr>
                <w:p>
                  <w:pPr>
                    <w:jc w:val="center"/>
                    <w:rPr>
                      <w:rFonts w:cstheme="minorHAnsi"/>
                      <w:kern w:val="0"/>
                      <w:szCs w:val="21"/>
                    </w:rPr>
                  </w:pPr>
                  <w:r>
                    <w:rPr>
                      <w:rFonts w:hint="eastAsia" w:cstheme="minorHAnsi"/>
                      <w:kern w:val="0"/>
                      <w:szCs w:val="21"/>
                    </w:rPr>
                    <w:t>5</w:t>
                  </w:r>
                  <w:r>
                    <w:rPr>
                      <w:rFonts w:cstheme="minorHAnsi"/>
                      <w:kern w:val="0"/>
                      <w:szCs w:val="21"/>
                    </w:rPr>
                    <w:t>7</w:t>
                  </w:r>
                </w:p>
              </w:tc>
              <w:tc>
                <w:tcPr>
                  <w:tcW w:w="526" w:type="pct"/>
                  <w:vAlign w:val="center"/>
                </w:tcPr>
                <w:p>
                  <w:pPr>
                    <w:jc w:val="center"/>
                    <w:rPr>
                      <w:rFonts w:cstheme="minorHAnsi"/>
                      <w:szCs w:val="21"/>
                    </w:rPr>
                  </w:pPr>
                  <w:r>
                    <w:rPr>
                      <w:rFonts w:cstheme="minorHAnsi"/>
                      <w:szCs w:val="21"/>
                    </w:rPr>
                    <w:t>达标</w:t>
                  </w:r>
                </w:p>
              </w:tc>
              <w:tc>
                <w:tcPr>
                  <w:tcW w:w="526" w:type="pct"/>
                  <w:vAlign w:val="center"/>
                </w:tcPr>
                <w:p>
                  <w:pPr>
                    <w:jc w:val="center"/>
                    <w:rPr>
                      <w:rFonts w:cstheme="minorHAnsi"/>
                      <w:szCs w:val="21"/>
                    </w:rPr>
                  </w:pPr>
                  <w:r>
                    <w:rPr>
                      <w:rFonts w:hint="eastAsia" w:cstheme="minorHAnsi"/>
                      <w:szCs w:val="21"/>
                    </w:rPr>
                    <w:t>4</w:t>
                  </w:r>
                  <w:r>
                    <w:rPr>
                      <w:rFonts w:cstheme="minorHAnsi"/>
                      <w:szCs w:val="21"/>
                    </w:rPr>
                    <w:t>6</w:t>
                  </w:r>
                </w:p>
              </w:tc>
              <w:tc>
                <w:tcPr>
                  <w:tcW w:w="527" w:type="pct"/>
                  <w:vAlign w:val="center"/>
                </w:tcPr>
                <w:p>
                  <w:pPr>
                    <w:jc w:val="center"/>
                    <w:rPr>
                      <w:rFonts w:cstheme="minorHAnsi"/>
                      <w:szCs w:val="21"/>
                    </w:rPr>
                  </w:pPr>
                  <w:r>
                    <w:rPr>
                      <w:rFonts w:cstheme="minorHAnsi"/>
                      <w:szCs w:val="21"/>
                    </w:rPr>
                    <w:t>达标</w:t>
                  </w:r>
                </w:p>
              </w:tc>
              <w:tc>
                <w:tcPr>
                  <w:tcW w:w="621" w:type="pct"/>
                  <w:vMerge w:val="continue"/>
                  <w:vAlign w:val="center"/>
                </w:tcPr>
                <w:p>
                  <w:pPr>
                    <w:jc w:val="center"/>
                    <w:rPr>
                      <w:rFonts w:cstheme="minorHAnsi"/>
                      <w:szCs w:val="21"/>
                    </w:rPr>
                  </w:pPr>
                </w:p>
              </w:tc>
              <w:tc>
                <w:tcPr>
                  <w:tcW w:w="619" w:type="pct"/>
                  <w:vMerge w:val="continue"/>
                  <w:vAlign w:val="center"/>
                </w:tcPr>
                <w:p>
                  <w:pPr>
                    <w:jc w:val="center"/>
                    <w:rPr>
                      <w:rFonts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306" w:type="pct"/>
                  <w:vAlign w:val="center"/>
                </w:tcPr>
                <w:p>
                  <w:pPr>
                    <w:jc w:val="center"/>
                    <w:rPr>
                      <w:rFonts w:cstheme="minorHAnsi"/>
                      <w:szCs w:val="21"/>
                    </w:rPr>
                  </w:pPr>
                  <w:r>
                    <w:rPr>
                      <w:rFonts w:cstheme="minorHAnsi"/>
                      <w:szCs w:val="21"/>
                    </w:rPr>
                    <w:t>4#</w:t>
                  </w:r>
                </w:p>
              </w:tc>
              <w:tc>
                <w:tcPr>
                  <w:tcW w:w="1349" w:type="pct"/>
                  <w:vAlign w:val="center"/>
                </w:tcPr>
                <w:p>
                  <w:pPr>
                    <w:jc w:val="center"/>
                    <w:rPr>
                      <w:rFonts w:cstheme="minorHAnsi"/>
                      <w:kern w:val="0"/>
                      <w:szCs w:val="21"/>
                    </w:rPr>
                  </w:pPr>
                  <w:r>
                    <w:rPr>
                      <w:rFonts w:hint="eastAsia"/>
                      <w:kern w:val="0"/>
                      <w:szCs w:val="21"/>
                    </w:rPr>
                    <w:t>项目东侧厂界外1m处</w:t>
                  </w:r>
                </w:p>
              </w:tc>
              <w:tc>
                <w:tcPr>
                  <w:tcW w:w="526" w:type="pct"/>
                  <w:vAlign w:val="center"/>
                </w:tcPr>
                <w:p>
                  <w:pPr>
                    <w:jc w:val="center"/>
                    <w:rPr>
                      <w:rFonts w:cstheme="minorHAnsi"/>
                      <w:kern w:val="0"/>
                      <w:szCs w:val="21"/>
                    </w:rPr>
                  </w:pPr>
                  <w:r>
                    <w:rPr>
                      <w:rFonts w:hint="eastAsia" w:cstheme="minorHAnsi"/>
                      <w:kern w:val="0"/>
                      <w:szCs w:val="21"/>
                    </w:rPr>
                    <w:t>5</w:t>
                  </w:r>
                  <w:r>
                    <w:rPr>
                      <w:rFonts w:cstheme="minorHAnsi"/>
                      <w:kern w:val="0"/>
                      <w:szCs w:val="21"/>
                    </w:rPr>
                    <w:t>2</w:t>
                  </w:r>
                </w:p>
              </w:tc>
              <w:tc>
                <w:tcPr>
                  <w:tcW w:w="526" w:type="pct"/>
                  <w:vAlign w:val="center"/>
                </w:tcPr>
                <w:p>
                  <w:pPr>
                    <w:jc w:val="center"/>
                    <w:rPr>
                      <w:rFonts w:cstheme="minorHAnsi"/>
                      <w:szCs w:val="21"/>
                    </w:rPr>
                  </w:pPr>
                  <w:r>
                    <w:rPr>
                      <w:rFonts w:cstheme="minorHAnsi"/>
                      <w:szCs w:val="21"/>
                    </w:rPr>
                    <w:t>达标</w:t>
                  </w:r>
                </w:p>
              </w:tc>
              <w:tc>
                <w:tcPr>
                  <w:tcW w:w="526" w:type="pct"/>
                  <w:vAlign w:val="center"/>
                </w:tcPr>
                <w:p>
                  <w:pPr>
                    <w:jc w:val="center"/>
                    <w:rPr>
                      <w:rFonts w:cstheme="minorHAnsi"/>
                      <w:szCs w:val="21"/>
                    </w:rPr>
                  </w:pPr>
                  <w:r>
                    <w:rPr>
                      <w:rFonts w:hint="eastAsia" w:cstheme="minorHAnsi"/>
                      <w:szCs w:val="21"/>
                    </w:rPr>
                    <w:t>4</w:t>
                  </w:r>
                  <w:r>
                    <w:rPr>
                      <w:rFonts w:cstheme="minorHAnsi"/>
                      <w:szCs w:val="21"/>
                    </w:rPr>
                    <w:t>3</w:t>
                  </w:r>
                </w:p>
              </w:tc>
              <w:tc>
                <w:tcPr>
                  <w:tcW w:w="527" w:type="pct"/>
                  <w:vAlign w:val="center"/>
                </w:tcPr>
                <w:p>
                  <w:pPr>
                    <w:jc w:val="center"/>
                    <w:rPr>
                      <w:rFonts w:cstheme="minorHAnsi"/>
                      <w:szCs w:val="21"/>
                    </w:rPr>
                  </w:pPr>
                  <w:r>
                    <w:rPr>
                      <w:rFonts w:cstheme="minorHAnsi"/>
                      <w:szCs w:val="21"/>
                    </w:rPr>
                    <w:t>达标</w:t>
                  </w:r>
                </w:p>
              </w:tc>
              <w:tc>
                <w:tcPr>
                  <w:tcW w:w="621" w:type="pct"/>
                  <w:vAlign w:val="center"/>
                </w:tcPr>
                <w:p>
                  <w:pPr>
                    <w:jc w:val="center"/>
                    <w:rPr>
                      <w:rFonts w:cstheme="minorHAnsi"/>
                      <w:szCs w:val="21"/>
                    </w:rPr>
                  </w:pPr>
                  <w:r>
                    <w:rPr>
                      <w:rFonts w:cstheme="minorHAnsi"/>
                      <w:szCs w:val="21"/>
                    </w:rPr>
                    <w:t>60</w:t>
                  </w:r>
                </w:p>
              </w:tc>
              <w:tc>
                <w:tcPr>
                  <w:tcW w:w="619" w:type="pct"/>
                  <w:vAlign w:val="center"/>
                </w:tcPr>
                <w:p>
                  <w:pPr>
                    <w:jc w:val="center"/>
                    <w:rPr>
                      <w:rFonts w:cstheme="minorHAnsi"/>
                      <w:szCs w:val="21"/>
                    </w:rPr>
                  </w:pPr>
                  <w:r>
                    <w:rPr>
                      <w:rFonts w:cstheme="minorHAnsi"/>
                      <w:szCs w:val="21"/>
                    </w:rPr>
                    <w:t>50</w:t>
                  </w:r>
                </w:p>
              </w:tc>
            </w:tr>
          </w:tbl>
          <w:p>
            <w:pPr>
              <w:spacing w:line="360" w:lineRule="auto"/>
              <w:ind w:firstLine="480" w:firstLineChars="200"/>
              <w:rPr>
                <w:rFonts w:cs="Times New Roman"/>
                <w:sz w:val="24"/>
                <w:szCs w:val="24"/>
              </w:rPr>
            </w:pPr>
            <w:r>
              <w:rPr>
                <w:rFonts w:hint="eastAsia"/>
                <w:sz w:val="24"/>
                <w:szCs w:val="24"/>
              </w:rPr>
              <w:t>由上表</w:t>
            </w:r>
            <w:r>
              <w:rPr>
                <w:sz w:val="24"/>
                <w:szCs w:val="24"/>
              </w:rPr>
              <w:t>可知</w:t>
            </w:r>
            <w:r>
              <w:rPr>
                <w:rFonts w:cs="Times New Roman"/>
                <w:sz w:val="24"/>
                <w:szCs w:val="24"/>
              </w:rPr>
              <w:t>，</w:t>
            </w:r>
            <w:r>
              <w:rPr>
                <w:rFonts w:hint="eastAsia" w:cs="Times New Roman"/>
                <w:sz w:val="24"/>
                <w:szCs w:val="24"/>
              </w:rPr>
              <w:t>项目</w:t>
            </w:r>
            <w:r>
              <w:rPr>
                <w:rFonts w:cs="Times New Roman"/>
                <w:sz w:val="24"/>
                <w:szCs w:val="24"/>
              </w:rPr>
              <w:t>厂界</w:t>
            </w:r>
            <w:r>
              <w:rPr>
                <w:rFonts w:hint="eastAsia" w:cs="Times New Roman"/>
                <w:sz w:val="24"/>
                <w:szCs w:val="24"/>
              </w:rPr>
              <w:t>外各监测点噪声值</w:t>
            </w:r>
            <w:r>
              <w:rPr>
                <w:rFonts w:cs="Times New Roman"/>
                <w:sz w:val="24"/>
                <w:szCs w:val="24"/>
              </w:rPr>
              <w:t>均达到</w:t>
            </w:r>
            <w:r>
              <w:rPr>
                <w:rFonts w:hint="eastAsia" w:cs="Times New Roman"/>
                <w:sz w:val="24"/>
                <w:szCs w:val="24"/>
              </w:rPr>
              <w:t>《声环境质量标准》（GB3096-2008）相应标准。</w:t>
            </w:r>
          </w:p>
          <w:p>
            <w:pPr>
              <w:spacing w:line="360" w:lineRule="auto"/>
              <w:ind w:firstLine="482" w:firstLineChars="200"/>
              <w:rPr>
                <w:rFonts w:cs="Times New Roman"/>
                <w:b/>
                <w:sz w:val="24"/>
                <w:szCs w:val="24"/>
              </w:rPr>
            </w:pPr>
            <w:r>
              <w:rPr>
                <w:rFonts w:cs="Times New Roman"/>
                <w:b/>
                <w:sz w:val="24"/>
                <w:szCs w:val="24"/>
              </w:rPr>
              <w:t>4</w:t>
            </w:r>
            <w:r>
              <w:rPr>
                <w:rFonts w:hint="eastAsia" w:cs="Times New Roman"/>
                <w:b/>
                <w:sz w:val="24"/>
                <w:szCs w:val="24"/>
              </w:rPr>
              <w:t>、地下水、土壤环境</w:t>
            </w:r>
          </w:p>
          <w:p>
            <w:pPr>
              <w:spacing w:line="360" w:lineRule="auto"/>
              <w:ind w:firstLine="480" w:firstLineChars="200"/>
              <w:rPr>
                <w:rFonts w:cs="Times New Roman"/>
                <w:sz w:val="24"/>
                <w:szCs w:val="24"/>
              </w:rPr>
            </w:pPr>
            <w:r>
              <w:rPr>
                <w:rFonts w:hint="eastAsia" w:cs="Times New Roman"/>
                <w:sz w:val="24"/>
                <w:szCs w:val="24"/>
              </w:rPr>
              <w:t>根据</w:t>
            </w:r>
            <w:r>
              <w:rPr>
                <w:rFonts w:cs="Times New Roman"/>
                <w:sz w:val="24"/>
                <w:szCs w:val="24"/>
              </w:rPr>
              <w:t>《建设项目环境影响报告表编制技术指南（污染影响类）（试行）》，本项目不存在土壤、地下水环境污染途径，不开展环境质量现状调查。</w:t>
            </w:r>
          </w:p>
          <w:p>
            <w:pPr>
              <w:spacing w:line="360" w:lineRule="auto"/>
              <w:ind w:firstLine="482" w:firstLineChars="200"/>
              <w:rPr>
                <w:rFonts w:cs="Times New Roman"/>
                <w:b/>
                <w:sz w:val="24"/>
                <w:szCs w:val="24"/>
              </w:rPr>
            </w:pPr>
            <w:r>
              <w:rPr>
                <w:rFonts w:cs="Times New Roman"/>
                <w:b/>
                <w:sz w:val="24"/>
                <w:szCs w:val="24"/>
              </w:rPr>
              <w:t>5</w:t>
            </w:r>
            <w:r>
              <w:rPr>
                <w:rFonts w:hint="eastAsia" w:cs="Times New Roman"/>
                <w:b/>
                <w:sz w:val="24"/>
                <w:szCs w:val="24"/>
              </w:rPr>
              <w:t>、生态环境</w:t>
            </w:r>
          </w:p>
          <w:p>
            <w:pPr>
              <w:spacing w:line="360" w:lineRule="auto"/>
              <w:ind w:firstLine="480" w:firstLineChars="200"/>
              <w:rPr>
                <w:rFonts w:cs="Times New Roman"/>
                <w:sz w:val="24"/>
                <w:szCs w:val="24"/>
              </w:rPr>
            </w:pPr>
            <w:r>
              <w:rPr>
                <w:rFonts w:cs="Times New Roman"/>
                <w:sz w:val="24"/>
                <w:szCs w:val="24"/>
              </w:rPr>
              <w:t>本项目</w:t>
            </w:r>
            <w:r>
              <w:rPr>
                <w:rFonts w:hint="eastAsia" w:cs="Times New Roman"/>
                <w:sz w:val="24"/>
                <w:szCs w:val="24"/>
              </w:rPr>
              <w:t>利用厂区闲置空地进行建设，不新增占地，厂区用地范围内无生态环境保护目标。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pPr>
              <w:spacing w:line="360" w:lineRule="auto"/>
              <w:jc w:val="center"/>
              <w:rPr>
                <w:rFonts w:cs="Times New Roman"/>
                <w:sz w:val="24"/>
                <w:szCs w:val="24"/>
              </w:rPr>
            </w:pPr>
            <w:r>
              <w:rPr>
                <w:rFonts w:hint="eastAsia" w:cs="Times New Roman"/>
                <w:sz w:val="24"/>
                <w:szCs w:val="24"/>
              </w:rPr>
              <w:t>环境保护目标</w:t>
            </w:r>
          </w:p>
        </w:tc>
        <w:tc>
          <w:tcPr>
            <w:tcW w:w="4756" w:type="pct"/>
            <w:vAlign w:val="center"/>
          </w:tcPr>
          <w:p>
            <w:pPr>
              <w:spacing w:line="360" w:lineRule="auto"/>
              <w:ind w:firstLine="482" w:firstLineChars="200"/>
              <w:rPr>
                <w:rFonts w:cs="Times New Roman"/>
                <w:b/>
                <w:sz w:val="24"/>
                <w:szCs w:val="24"/>
              </w:rPr>
            </w:pPr>
            <w:r>
              <w:rPr>
                <w:rFonts w:hint="eastAsia" w:cs="Times New Roman"/>
                <w:b/>
                <w:sz w:val="24"/>
                <w:szCs w:val="24"/>
              </w:rPr>
              <w:t>1、</w:t>
            </w:r>
            <w:r>
              <w:rPr>
                <w:rFonts w:cs="Times New Roman"/>
                <w:b/>
                <w:sz w:val="24"/>
                <w:szCs w:val="24"/>
              </w:rPr>
              <w:t>大气环境</w:t>
            </w:r>
          </w:p>
          <w:p>
            <w:pPr>
              <w:spacing w:line="360" w:lineRule="auto"/>
              <w:ind w:firstLine="480" w:firstLineChars="200"/>
              <w:rPr>
                <w:rFonts w:cs="Times New Roman"/>
                <w:sz w:val="24"/>
                <w:szCs w:val="24"/>
              </w:rPr>
            </w:pPr>
            <w:r>
              <w:rPr>
                <w:rFonts w:cs="Times New Roman"/>
                <w:sz w:val="24"/>
                <w:szCs w:val="24"/>
              </w:rPr>
              <w:t>本项目大气环境保护目标</w:t>
            </w:r>
            <w:r>
              <w:rPr>
                <w:rFonts w:hint="eastAsia" w:cs="Times New Roman"/>
                <w:sz w:val="24"/>
                <w:szCs w:val="24"/>
              </w:rPr>
              <w:t>为厂界外500m范围内农户区，详</w:t>
            </w:r>
            <w:r>
              <w:rPr>
                <w:rFonts w:cs="Times New Roman"/>
                <w:sz w:val="24"/>
                <w:szCs w:val="24"/>
              </w:rPr>
              <w:t>见下表</w:t>
            </w:r>
            <w:r>
              <w:rPr>
                <w:rFonts w:hint="eastAsia" w:cs="Times New Roman"/>
                <w:sz w:val="24"/>
                <w:szCs w:val="24"/>
              </w:rPr>
              <w:t>。</w:t>
            </w:r>
          </w:p>
          <w:p>
            <w:pPr>
              <w:spacing w:line="360" w:lineRule="auto"/>
              <w:jc w:val="center"/>
              <w:rPr>
                <w:rFonts w:eastAsia="黑体"/>
                <w:szCs w:val="21"/>
              </w:rPr>
            </w:pPr>
            <w:r>
              <w:rPr>
                <w:rFonts w:eastAsia="黑体"/>
                <w:szCs w:val="21"/>
              </w:rPr>
              <w:t>表3</w:t>
            </w:r>
            <w:r>
              <w:rPr>
                <w:rFonts w:hint="eastAsia" w:eastAsia="黑体"/>
                <w:szCs w:val="21"/>
              </w:rPr>
              <w:t>-</w:t>
            </w:r>
            <w:r>
              <w:rPr>
                <w:rFonts w:eastAsia="黑体"/>
                <w:szCs w:val="21"/>
              </w:rPr>
              <w:t xml:space="preserve">9  </w:t>
            </w:r>
            <w:r>
              <w:rPr>
                <w:rFonts w:hint="eastAsia" w:eastAsia="黑体"/>
                <w:szCs w:val="21"/>
              </w:rPr>
              <w:t>大气环境保护目标</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1095"/>
              <w:gridCol w:w="806"/>
              <w:gridCol w:w="1248"/>
              <w:gridCol w:w="801"/>
              <w:gridCol w:w="1251"/>
              <w:gridCol w:w="951"/>
              <w:gridCol w:w="662"/>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Merge w:val="restart"/>
                  <w:vAlign w:val="center"/>
                </w:tcPr>
                <w:p>
                  <w:pPr>
                    <w:jc w:val="center"/>
                    <w:rPr>
                      <w:rFonts w:cs="Times New Roman"/>
                      <w:szCs w:val="21"/>
                    </w:rPr>
                  </w:pPr>
                  <w:r>
                    <w:rPr>
                      <w:rFonts w:cs="Times New Roman"/>
                      <w:szCs w:val="21"/>
                    </w:rPr>
                    <w:t>序号</w:t>
                  </w:r>
                </w:p>
              </w:tc>
              <w:tc>
                <w:tcPr>
                  <w:tcW w:w="634" w:type="pct"/>
                  <w:vMerge w:val="restart"/>
                  <w:vAlign w:val="center"/>
                </w:tcPr>
                <w:p>
                  <w:pPr>
                    <w:jc w:val="center"/>
                    <w:rPr>
                      <w:rFonts w:cs="Times New Roman"/>
                      <w:szCs w:val="21"/>
                    </w:rPr>
                  </w:pPr>
                  <w:r>
                    <w:rPr>
                      <w:rFonts w:cs="Times New Roman"/>
                      <w:szCs w:val="21"/>
                    </w:rPr>
                    <w:t>保护对象</w:t>
                  </w:r>
                </w:p>
              </w:tc>
              <w:tc>
                <w:tcPr>
                  <w:tcW w:w="1193" w:type="pct"/>
                  <w:gridSpan w:val="2"/>
                  <w:vAlign w:val="center"/>
                </w:tcPr>
                <w:p>
                  <w:pPr>
                    <w:jc w:val="center"/>
                    <w:rPr>
                      <w:rFonts w:cs="Times New Roman"/>
                      <w:szCs w:val="21"/>
                    </w:rPr>
                  </w:pPr>
                  <w:r>
                    <w:rPr>
                      <w:rFonts w:hint="eastAsia" w:cs="Times New Roman"/>
                      <w:szCs w:val="21"/>
                    </w:rPr>
                    <w:t>与厂区位置关系</w:t>
                  </w:r>
                </w:p>
              </w:tc>
              <w:tc>
                <w:tcPr>
                  <w:tcW w:w="1192" w:type="pct"/>
                  <w:gridSpan w:val="2"/>
                  <w:vAlign w:val="center"/>
                </w:tcPr>
                <w:p>
                  <w:pPr>
                    <w:jc w:val="center"/>
                    <w:rPr>
                      <w:rFonts w:cs="Times New Roman"/>
                      <w:szCs w:val="21"/>
                    </w:rPr>
                  </w:pPr>
                  <w:r>
                    <w:rPr>
                      <w:rFonts w:hint="eastAsia" w:cs="Times New Roman"/>
                      <w:szCs w:val="21"/>
                    </w:rPr>
                    <w:t>与改建项目位置关系</w:t>
                  </w:r>
                </w:p>
              </w:tc>
              <w:tc>
                <w:tcPr>
                  <w:tcW w:w="555" w:type="pct"/>
                  <w:vMerge w:val="restart"/>
                  <w:vAlign w:val="center"/>
                </w:tcPr>
                <w:p>
                  <w:pPr>
                    <w:jc w:val="center"/>
                    <w:rPr>
                      <w:rFonts w:cs="Times New Roman"/>
                      <w:szCs w:val="21"/>
                    </w:rPr>
                  </w:pPr>
                  <w:r>
                    <w:rPr>
                      <w:rFonts w:cs="Times New Roman"/>
                      <w:szCs w:val="21"/>
                    </w:rPr>
                    <w:t>规模</w:t>
                  </w:r>
                </w:p>
              </w:tc>
              <w:tc>
                <w:tcPr>
                  <w:tcW w:w="397" w:type="pct"/>
                  <w:vMerge w:val="restart"/>
                  <w:vAlign w:val="center"/>
                </w:tcPr>
                <w:p>
                  <w:pPr>
                    <w:jc w:val="center"/>
                    <w:rPr>
                      <w:rFonts w:cs="Times New Roman"/>
                      <w:szCs w:val="21"/>
                    </w:rPr>
                  </w:pPr>
                  <w:r>
                    <w:rPr>
                      <w:rFonts w:cs="Times New Roman"/>
                      <w:szCs w:val="21"/>
                    </w:rPr>
                    <w:t>性质</w:t>
                  </w:r>
                </w:p>
              </w:tc>
              <w:tc>
                <w:tcPr>
                  <w:tcW w:w="723" w:type="pct"/>
                  <w:vMerge w:val="restart"/>
                  <w:vAlign w:val="center"/>
                </w:tcPr>
                <w:p>
                  <w:pPr>
                    <w:jc w:val="center"/>
                    <w:rPr>
                      <w:rFonts w:cs="Times New Roman"/>
                      <w:szCs w:val="21"/>
                    </w:rPr>
                  </w:pPr>
                  <w:r>
                    <w:rPr>
                      <w:rFonts w:cs="Times New Roman"/>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Merge w:val="continue"/>
                  <w:vAlign w:val="center"/>
                </w:tcPr>
                <w:p>
                  <w:pPr>
                    <w:jc w:val="center"/>
                    <w:rPr>
                      <w:rFonts w:cs="Times New Roman"/>
                      <w:szCs w:val="21"/>
                    </w:rPr>
                  </w:pPr>
                </w:p>
              </w:tc>
              <w:tc>
                <w:tcPr>
                  <w:tcW w:w="634" w:type="pct"/>
                  <w:vMerge w:val="continue"/>
                  <w:vAlign w:val="center"/>
                </w:tcPr>
                <w:p>
                  <w:pPr>
                    <w:jc w:val="center"/>
                    <w:rPr>
                      <w:rFonts w:cs="Times New Roman"/>
                      <w:szCs w:val="21"/>
                    </w:rPr>
                  </w:pPr>
                </w:p>
              </w:tc>
              <w:tc>
                <w:tcPr>
                  <w:tcW w:w="476" w:type="pct"/>
                  <w:vAlign w:val="center"/>
                </w:tcPr>
                <w:p>
                  <w:pPr>
                    <w:jc w:val="center"/>
                    <w:rPr>
                      <w:rFonts w:cs="Times New Roman"/>
                      <w:szCs w:val="21"/>
                    </w:rPr>
                  </w:pPr>
                  <w:r>
                    <w:rPr>
                      <w:rFonts w:cs="Times New Roman"/>
                      <w:szCs w:val="21"/>
                    </w:rPr>
                    <w:t>方位</w:t>
                  </w:r>
                </w:p>
              </w:tc>
              <w:tc>
                <w:tcPr>
                  <w:tcW w:w="717" w:type="pct"/>
                  <w:vAlign w:val="center"/>
                </w:tcPr>
                <w:p>
                  <w:pPr>
                    <w:jc w:val="center"/>
                    <w:rPr>
                      <w:rFonts w:cs="Times New Roman"/>
                      <w:szCs w:val="21"/>
                    </w:rPr>
                  </w:pPr>
                  <w:r>
                    <w:rPr>
                      <w:rFonts w:hint="eastAsia" w:cs="Times New Roman"/>
                      <w:szCs w:val="21"/>
                    </w:rPr>
                    <w:t>距</w:t>
                  </w:r>
                  <w:r>
                    <w:rPr>
                      <w:rFonts w:cs="Times New Roman"/>
                      <w:szCs w:val="21"/>
                    </w:rPr>
                    <w:t>离</w:t>
                  </w:r>
                  <w:r>
                    <w:rPr>
                      <w:rFonts w:hint="eastAsia" w:cs="Times New Roman"/>
                      <w:szCs w:val="21"/>
                    </w:rPr>
                    <w:t>（m）</w:t>
                  </w:r>
                </w:p>
              </w:tc>
              <w:tc>
                <w:tcPr>
                  <w:tcW w:w="473" w:type="pct"/>
                  <w:vAlign w:val="center"/>
                </w:tcPr>
                <w:p>
                  <w:pPr>
                    <w:jc w:val="center"/>
                    <w:rPr>
                      <w:rFonts w:cs="Times New Roman"/>
                      <w:szCs w:val="21"/>
                    </w:rPr>
                  </w:pPr>
                  <w:r>
                    <w:rPr>
                      <w:rFonts w:cs="Times New Roman"/>
                      <w:szCs w:val="21"/>
                    </w:rPr>
                    <w:t>方位</w:t>
                  </w:r>
                </w:p>
              </w:tc>
              <w:tc>
                <w:tcPr>
                  <w:tcW w:w="719" w:type="pct"/>
                  <w:vAlign w:val="center"/>
                </w:tcPr>
                <w:p>
                  <w:pPr>
                    <w:jc w:val="center"/>
                    <w:rPr>
                      <w:rFonts w:cs="Times New Roman"/>
                      <w:szCs w:val="21"/>
                    </w:rPr>
                  </w:pPr>
                  <w:r>
                    <w:rPr>
                      <w:rFonts w:hint="eastAsia" w:cs="Times New Roman"/>
                      <w:szCs w:val="21"/>
                    </w:rPr>
                    <w:t>距</w:t>
                  </w:r>
                  <w:r>
                    <w:rPr>
                      <w:rFonts w:cs="Times New Roman"/>
                      <w:szCs w:val="21"/>
                    </w:rPr>
                    <w:t>离</w:t>
                  </w:r>
                  <w:r>
                    <w:rPr>
                      <w:rFonts w:hint="eastAsia" w:cs="Times New Roman"/>
                      <w:szCs w:val="21"/>
                    </w:rPr>
                    <w:t>（m）</w:t>
                  </w:r>
                </w:p>
              </w:tc>
              <w:tc>
                <w:tcPr>
                  <w:tcW w:w="555" w:type="pct"/>
                  <w:vMerge w:val="continue"/>
                  <w:vAlign w:val="center"/>
                </w:tcPr>
                <w:p>
                  <w:pPr>
                    <w:jc w:val="center"/>
                    <w:rPr>
                      <w:rFonts w:cs="Times New Roman"/>
                      <w:szCs w:val="21"/>
                    </w:rPr>
                  </w:pPr>
                </w:p>
              </w:tc>
              <w:tc>
                <w:tcPr>
                  <w:tcW w:w="397" w:type="pct"/>
                  <w:vMerge w:val="continue"/>
                  <w:vAlign w:val="center"/>
                </w:tcPr>
                <w:p>
                  <w:pPr>
                    <w:jc w:val="center"/>
                    <w:rPr>
                      <w:rFonts w:cs="Times New Roman"/>
                      <w:szCs w:val="21"/>
                    </w:rPr>
                  </w:pP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1</w:t>
                  </w:r>
                </w:p>
              </w:tc>
              <w:tc>
                <w:tcPr>
                  <w:tcW w:w="634" w:type="pct"/>
                  <w:vAlign w:val="center"/>
                </w:tcPr>
                <w:p>
                  <w:pPr>
                    <w:jc w:val="center"/>
                    <w:rPr>
                      <w:rFonts w:cs="Times New Roman"/>
                      <w:szCs w:val="21"/>
                    </w:rPr>
                  </w:pPr>
                  <w:r>
                    <w:rPr>
                      <w:rFonts w:hint="eastAsia" w:cs="Times New Roman"/>
                      <w:szCs w:val="21"/>
                    </w:rPr>
                    <w:t>花朝门农户</w:t>
                  </w:r>
                </w:p>
              </w:tc>
              <w:tc>
                <w:tcPr>
                  <w:tcW w:w="476" w:type="pct"/>
                  <w:vAlign w:val="center"/>
                </w:tcPr>
                <w:p>
                  <w:pPr>
                    <w:jc w:val="center"/>
                    <w:rPr>
                      <w:rFonts w:cs="Times New Roman"/>
                      <w:szCs w:val="21"/>
                    </w:rPr>
                  </w:pPr>
                  <w:r>
                    <w:rPr>
                      <w:rFonts w:hint="eastAsia" w:cs="Times New Roman"/>
                      <w:szCs w:val="21"/>
                    </w:rPr>
                    <w:t>北侧</w:t>
                  </w:r>
                </w:p>
              </w:tc>
              <w:tc>
                <w:tcPr>
                  <w:tcW w:w="717" w:type="pct"/>
                  <w:vAlign w:val="center"/>
                </w:tcPr>
                <w:p>
                  <w:pPr>
                    <w:jc w:val="center"/>
                    <w:rPr>
                      <w:rFonts w:cs="Times New Roman"/>
                      <w:szCs w:val="21"/>
                    </w:rPr>
                  </w:pPr>
                  <w:r>
                    <w:rPr>
                      <w:rFonts w:hint="eastAsia" w:cs="Times New Roman"/>
                      <w:szCs w:val="21"/>
                    </w:rPr>
                    <w:t>4</w:t>
                  </w:r>
                  <w:r>
                    <w:rPr>
                      <w:rFonts w:cs="Times New Roman"/>
                      <w:szCs w:val="21"/>
                    </w:rPr>
                    <w:t>~488</w:t>
                  </w:r>
                </w:p>
              </w:tc>
              <w:tc>
                <w:tcPr>
                  <w:tcW w:w="473" w:type="pct"/>
                  <w:vAlign w:val="center"/>
                </w:tcPr>
                <w:p>
                  <w:pPr>
                    <w:jc w:val="center"/>
                    <w:rPr>
                      <w:rFonts w:cs="Times New Roman"/>
                      <w:szCs w:val="21"/>
                    </w:rPr>
                  </w:pPr>
                  <w:r>
                    <w:rPr>
                      <w:rFonts w:hint="eastAsia" w:cs="Times New Roman"/>
                      <w:szCs w:val="21"/>
                    </w:rPr>
                    <w:t>西北</w:t>
                  </w:r>
                </w:p>
              </w:tc>
              <w:tc>
                <w:tcPr>
                  <w:tcW w:w="719" w:type="pct"/>
                  <w:vAlign w:val="center"/>
                </w:tcPr>
                <w:p>
                  <w:pPr>
                    <w:jc w:val="center"/>
                    <w:rPr>
                      <w:rFonts w:cs="Times New Roman"/>
                      <w:szCs w:val="21"/>
                    </w:rPr>
                  </w:pPr>
                  <w:r>
                    <w:rPr>
                      <w:rFonts w:hint="eastAsia" w:cs="Times New Roman"/>
                      <w:szCs w:val="21"/>
                    </w:rPr>
                    <w:t>899~1300</w:t>
                  </w:r>
                </w:p>
              </w:tc>
              <w:tc>
                <w:tcPr>
                  <w:tcW w:w="555" w:type="pct"/>
                  <w:vAlign w:val="center"/>
                </w:tcPr>
                <w:p>
                  <w:pPr>
                    <w:jc w:val="center"/>
                    <w:rPr>
                      <w:rFonts w:cs="Times New Roman"/>
                      <w:szCs w:val="21"/>
                    </w:rPr>
                  </w:pPr>
                  <w:r>
                    <w:rPr>
                      <w:rFonts w:hint="eastAsia" w:cs="Times New Roman"/>
                      <w:szCs w:val="21"/>
                    </w:rPr>
                    <w:t>约4</w:t>
                  </w:r>
                  <w:r>
                    <w:rPr>
                      <w:rFonts w:cs="Times New Roman"/>
                      <w:szCs w:val="21"/>
                    </w:rPr>
                    <w:t>5</w:t>
                  </w:r>
                  <w:r>
                    <w:rPr>
                      <w:rFonts w:hint="eastAsia" w:cs="Times New Roman"/>
                      <w:szCs w:val="21"/>
                    </w:rPr>
                    <w:t>户</w:t>
                  </w:r>
                </w:p>
              </w:tc>
              <w:tc>
                <w:tcPr>
                  <w:tcW w:w="397" w:type="pct"/>
                  <w:vAlign w:val="center"/>
                </w:tcPr>
                <w:p>
                  <w:pPr>
                    <w:jc w:val="center"/>
                    <w:rPr>
                      <w:rFonts w:cs="Times New Roman"/>
                      <w:szCs w:val="21"/>
                    </w:rPr>
                  </w:pPr>
                  <w:r>
                    <w:rPr>
                      <w:rFonts w:hint="eastAsia" w:cs="Times New Roman"/>
                      <w:szCs w:val="21"/>
                    </w:rPr>
                    <w:t>住宅</w:t>
                  </w:r>
                </w:p>
              </w:tc>
              <w:tc>
                <w:tcPr>
                  <w:tcW w:w="723" w:type="pct"/>
                  <w:vMerge w:val="restart"/>
                  <w:vAlign w:val="center"/>
                </w:tcPr>
                <w:p>
                  <w:pPr>
                    <w:jc w:val="center"/>
                    <w:rPr>
                      <w:rFonts w:cs="Times New Roman"/>
                      <w:szCs w:val="21"/>
                    </w:rPr>
                  </w:pPr>
                  <w:r>
                    <w:rPr>
                      <w:rFonts w:hint="eastAsia" w:cs="Times New Roman"/>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2</w:t>
                  </w:r>
                </w:p>
              </w:tc>
              <w:tc>
                <w:tcPr>
                  <w:tcW w:w="634" w:type="pct"/>
                  <w:vAlign w:val="center"/>
                </w:tcPr>
                <w:p>
                  <w:pPr>
                    <w:jc w:val="center"/>
                    <w:rPr>
                      <w:rFonts w:cs="Times New Roman"/>
                      <w:szCs w:val="21"/>
                    </w:rPr>
                  </w:pPr>
                  <w:r>
                    <w:rPr>
                      <w:rFonts w:hint="eastAsia" w:cs="Times New Roman"/>
                      <w:szCs w:val="21"/>
                    </w:rPr>
                    <w:t>海棠湾农户</w:t>
                  </w:r>
                </w:p>
              </w:tc>
              <w:tc>
                <w:tcPr>
                  <w:tcW w:w="476" w:type="pct"/>
                  <w:vAlign w:val="center"/>
                </w:tcPr>
                <w:p>
                  <w:pPr>
                    <w:jc w:val="center"/>
                    <w:rPr>
                      <w:rFonts w:cs="Times New Roman"/>
                      <w:szCs w:val="21"/>
                    </w:rPr>
                  </w:pPr>
                  <w:r>
                    <w:rPr>
                      <w:rFonts w:hint="eastAsia" w:cs="Times New Roman"/>
                      <w:szCs w:val="21"/>
                    </w:rPr>
                    <w:t>北侧</w:t>
                  </w:r>
                </w:p>
              </w:tc>
              <w:tc>
                <w:tcPr>
                  <w:tcW w:w="717" w:type="pct"/>
                  <w:vAlign w:val="center"/>
                </w:tcPr>
                <w:p>
                  <w:pPr>
                    <w:jc w:val="center"/>
                    <w:rPr>
                      <w:rFonts w:cs="Times New Roman"/>
                      <w:szCs w:val="21"/>
                    </w:rPr>
                  </w:pPr>
                  <w:r>
                    <w:rPr>
                      <w:rFonts w:hint="eastAsia" w:cs="Times New Roman"/>
                      <w:szCs w:val="21"/>
                    </w:rPr>
                    <w:t>1</w:t>
                  </w:r>
                  <w:r>
                    <w:rPr>
                      <w:rFonts w:cs="Times New Roman"/>
                      <w:szCs w:val="21"/>
                    </w:rPr>
                    <w:t>29~358</w:t>
                  </w:r>
                </w:p>
              </w:tc>
              <w:tc>
                <w:tcPr>
                  <w:tcW w:w="473" w:type="pct"/>
                  <w:vAlign w:val="center"/>
                </w:tcPr>
                <w:p>
                  <w:pPr>
                    <w:jc w:val="center"/>
                    <w:rPr>
                      <w:rFonts w:cs="Times New Roman"/>
                      <w:szCs w:val="21"/>
                    </w:rPr>
                  </w:pPr>
                  <w:r>
                    <w:rPr>
                      <w:rFonts w:hint="eastAsia" w:cs="Times New Roman"/>
                      <w:szCs w:val="21"/>
                    </w:rPr>
                    <w:t>西北</w:t>
                  </w:r>
                </w:p>
              </w:tc>
              <w:tc>
                <w:tcPr>
                  <w:tcW w:w="719" w:type="pct"/>
                  <w:vAlign w:val="center"/>
                </w:tcPr>
                <w:p>
                  <w:pPr>
                    <w:jc w:val="center"/>
                    <w:rPr>
                      <w:rFonts w:cs="Times New Roman"/>
                      <w:szCs w:val="21"/>
                    </w:rPr>
                  </w:pPr>
                  <w:r>
                    <w:rPr>
                      <w:rFonts w:hint="eastAsia" w:cs="Times New Roman"/>
                      <w:szCs w:val="21"/>
                    </w:rPr>
                    <w:t>533~644</w:t>
                  </w:r>
                </w:p>
              </w:tc>
              <w:tc>
                <w:tcPr>
                  <w:tcW w:w="555" w:type="pct"/>
                  <w:vAlign w:val="center"/>
                </w:tcPr>
                <w:p>
                  <w:pPr>
                    <w:jc w:val="center"/>
                    <w:rPr>
                      <w:rFonts w:cs="Times New Roman"/>
                      <w:szCs w:val="21"/>
                    </w:rPr>
                  </w:pPr>
                  <w:r>
                    <w:rPr>
                      <w:rFonts w:hint="eastAsia" w:cs="Times New Roman"/>
                      <w:szCs w:val="21"/>
                    </w:rPr>
                    <w:t>约</w:t>
                  </w:r>
                  <w:r>
                    <w:rPr>
                      <w:rFonts w:cs="Times New Roman"/>
                      <w:szCs w:val="21"/>
                    </w:rPr>
                    <w:t>6</w:t>
                  </w:r>
                  <w:r>
                    <w:rPr>
                      <w:rFonts w:hint="eastAsia" w:cs="Times New Roman"/>
                      <w:szCs w:val="21"/>
                    </w:rPr>
                    <w:t>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3</w:t>
                  </w:r>
                </w:p>
              </w:tc>
              <w:tc>
                <w:tcPr>
                  <w:tcW w:w="634" w:type="pct"/>
                  <w:vAlign w:val="center"/>
                </w:tcPr>
                <w:p>
                  <w:pPr>
                    <w:jc w:val="center"/>
                    <w:rPr>
                      <w:rFonts w:cs="Times New Roman"/>
                      <w:szCs w:val="21"/>
                    </w:rPr>
                  </w:pPr>
                  <w:r>
                    <w:rPr>
                      <w:rFonts w:hint="eastAsia" w:cs="Times New Roman"/>
                      <w:szCs w:val="21"/>
                    </w:rPr>
                    <w:t>长生沟农户</w:t>
                  </w:r>
                </w:p>
              </w:tc>
              <w:tc>
                <w:tcPr>
                  <w:tcW w:w="476" w:type="pct"/>
                  <w:vAlign w:val="center"/>
                </w:tcPr>
                <w:p>
                  <w:pPr>
                    <w:jc w:val="center"/>
                    <w:rPr>
                      <w:rFonts w:cs="Times New Roman"/>
                      <w:szCs w:val="21"/>
                    </w:rPr>
                  </w:pPr>
                  <w:r>
                    <w:rPr>
                      <w:rFonts w:hint="eastAsia" w:cs="Times New Roman"/>
                      <w:szCs w:val="21"/>
                    </w:rPr>
                    <w:t>北侧</w:t>
                  </w:r>
                </w:p>
              </w:tc>
              <w:tc>
                <w:tcPr>
                  <w:tcW w:w="717" w:type="pct"/>
                  <w:vAlign w:val="center"/>
                </w:tcPr>
                <w:p>
                  <w:pPr>
                    <w:jc w:val="center"/>
                    <w:rPr>
                      <w:rFonts w:cs="Times New Roman"/>
                      <w:szCs w:val="21"/>
                    </w:rPr>
                  </w:pPr>
                  <w:r>
                    <w:rPr>
                      <w:rFonts w:hint="eastAsia" w:cs="Times New Roman"/>
                      <w:szCs w:val="21"/>
                    </w:rPr>
                    <w:t>1</w:t>
                  </w:r>
                  <w:r>
                    <w:rPr>
                      <w:rFonts w:cs="Times New Roman"/>
                      <w:szCs w:val="21"/>
                    </w:rPr>
                    <w:t>64~322</w:t>
                  </w:r>
                </w:p>
              </w:tc>
              <w:tc>
                <w:tcPr>
                  <w:tcW w:w="473" w:type="pct"/>
                  <w:vAlign w:val="center"/>
                </w:tcPr>
                <w:p>
                  <w:pPr>
                    <w:jc w:val="center"/>
                    <w:rPr>
                      <w:rFonts w:cs="Times New Roman"/>
                      <w:szCs w:val="21"/>
                    </w:rPr>
                  </w:pPr>
                  <w:r>
                    <w:rPr>
                      <w:rFonts w:hint="eastAsia" w:cs="Times New Roman"/>
                      <w:szCs w:val="21"/>
                    </w:rPr>
                    <w:t>西北</w:t>
                  </w:r>
                </w:p>
              </w:tc>
              <w:tc>
                <w:tcPr>
                  <w:tcW w:w="719" w:type="pct"/>
                  <w:vAlign w:val="center"/>
                </w:tcPr>
                <w:p>
                  <w:pPr>
                    <w:jc w:val="center"/>
                    <w:rPr>
                      <w:rFonts w:cs="Times New Roman"/>
                      <w:szCs w:val="21"/>
                    </w:rPr>
                  </w:pPr>
                  <w:r>
                    <w:rPr>
                      <w:rFonts w:hint="eastAsia" w:cs="Times New Roman"/>
                      <w:szCs w:val="21"/>
                    </w:rPr>
                    <w:t>330~485</w:t>
                  </w:r>
                </w:p>
              </w:tc>
              <w:tc>
                <w:tcPr>
                  <w:tcW w:w="555" w:type="pct"/>
                  <w:vAlign w:val="center"/>
                </w:tcPr>
                <w:p>
                  <w:pPr>
                    <w:jc w:val="center"/>
                    <w:rPr>
                      <w:rFonts w:cs="Times New Roman"/>
                      <w:szCs w:val="21"/>
                    </w:rPr>
                  </w:pPr>
                  <w:r>
                    <w:rPr>
                      <w:rFonts w:hint="eastAsia" w:cs="Times New Roman"/>
                      <w:szCs w:val="21"/>
                    </w:rPr>
                    <w:t>约4户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4</w:t>
                  </w:r>
                </w:p>
              </w:tc>
              <w:tc>
                <w:tcPr>
                  <w:tcW w:w="634" w:type="pct"/>
                  <w:vAlign w:val="center"/>
                </w:tcPr>
                <w:p>
                  <w:pPr>
                    <w:jc w:val="center"/>
                    <w:rPr>
                      <w:rFonts w:cs="Times New Roman"/>
                      <w:szCs w:val="21"/>
                    </w:rPr>
                  </w:pPr>
                  <w:r>
                    <w:rPr>
                      <w:rFonts w:hint="eastAsia" w:cs="Times New Roman"/>
                      <w:szCs w:val="21"/>
                    </w:rPr>
                    <w:t>祠堂里农户</w:t>
                  </w:r>
                </w:p>
              </w:tc>
              <w:tc>
                <w:tcPr>
                  <w:tcW w:w="476" w:type="pct"/>
                  <w:vAlign w:val="center"/>
                </w:tcPr>
                <w:p>
                  <w:pPr>
                    <w:jc w:val="center"/>
                    <w:rPr>
                      <w:rFonts w:cs="Times New Roman"/>
                      <w:szCs w:val="21"/>
                    </w:rPr>
                  </w:pPr>
                  <w:r>
                    <w:rPr>
                      <w:rFonts w:hint="eastAsia" w:cs="Times New Roman"/>
                      <w:szCs w:val="21"/>
                    </w:rPr>
                    <w:t>北侧</w:t>
                  </w:r>
                </w:p>
              </w:tc>
              <w:tc>
                <w:tcPr>
                  <w:tcW w:w="717" w:type="pct"/>
                  <w:vAlign w:val="center"/>
                </w:tcPr>
                <w:p>
                  <w:pPr>
                    <w:jc w:val="center"/>
                    <w:rPr>
                      <w:rFonts w:cs="Times New Roman"/>
                      <w:szCs w:val="21"/>
                    </w:rPr>
                  </w:pPr>
                  <w:r>
                    <w:rPr>
                      <w:rFonts w:hint="eastAsia" w:cs="Times New Roman"/>
                      <w:szCs w:val="21"/>
                    </w:rPr>
                    <w:t>3</w:t>
                  </w:r>
                  <w:r>
                    <w:rPr>
                      <w:rFonts w:cs="Times New Roman"/>
                      <w:szCs w:val="21"/>
                    </w:rPr>
                    <w:t>16~475</w:t>
                  </w:r>
                </w:p>
              </w:tc>
              <w:tc>
                <w:tcPr>
                  <w:tcW w:w="473" w:type="pct"/>
                  <w:vAlign w:val="center"/>
                </w:tcPr>
                <w:p>
                  <w:pPr>
                    <w:jc w:val="center"/>
                    <w:rPr>
                      <w:rFonts w:cs="Times New Roman"/>
                      <w:szCs w:val="21"/>
                    </w:rPr>
                  </w:pPr>
                  <w:r>
                    <w:rPr>
                      <w:rFonts w:hint="eastAsia" w:cs="Times New Roman"/>
                      <w:szCs w:val="21"/>
                    </w:rPr>
                    <w:t>西北</w:t>
                  </w:r>
                </w:p>
              </w:tc>
              <w:tc>
                <w:tcPr>
                  <w:tcW w:w="719" w:type="pct"/>
                  <w:vAlign w:val="center"/>
                </w:tcPr>
                <w:p>
                  <w:pPr>
                    <w:jc w:val="center"/>
                    <w:rPr>
                      <w:rFonts w:cs="Times New Roman"/>
                      <w:szCs w:val="21"/>
                    </w:rPr>
                  </w:pPr>
                  <w:r>
                    <w:rPr>
                      <w:rFonts w:hint="eastAsia" w:cs="Times New Roman"/>
                      <w:szCs w:val="21"/>
                    </w:rPr>
                    <w:t>816~916</w:t>
                  </w:r>
                </w:p>
              </w:tc>
              <w:tc>
                <w:tcPr>
                  <w:tcW w:w="555" w:type="pct"/>
                  <w:vAlign w:val="center"/>
                </w:tcPr>
                <w:p>
                  <w:pPr>
                    <w:jc w:val="center"/>
                    <w:rPr>
                      <w:rFonts w:cs="Times New Roman"/>
                      <w:szCs w:val="21"/>
                    </w:rPr>
                  </w:pPr>
                  <w:r>
                    <w:rPr>
                      <w:rFonts w:hint="eastAsia" w:cs="Times New Roman"/>
                      <w:szCs w:val="21"/>
                    </w:rPr>
                    <w:t>约</w:t>
                  </w:r>
                  <w:r>
                    <w:rPr>
                      <w:rFonts w:cs="Times New Roman"/>
                      <w:szCs w:val="21"/>
                    </w:rPr>
                    <w:t>10</w:t>
                  </w:r>
                  <w:r>
                    <w:rPr>
                      <w:rFonts w:hint="eastAsia" w:cs="Times New Roman"/>
                      <w:szCs w:val="21"/>
                    </w:rPr>
                    <w:t>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5</w:t>
                  </w:r>
                </w:p>
              </w:tc>
              <w:tc>
                <w:tcPr>
                  <w:tcW w:w="634" w:type="pct"/>
                  <w:vAlign w:val="center"/>
                </w:tcPr>
                <w:p>
                  <w:pPr>
                    <w:jc w:val="center"/>
                    <w:rPr>
                      <w:rFonts w:cs="Times New Roman"/>
                      <w:szCs w:val="21"/>
                    </w:rPr>
                  </w:pPr>
                  <w:r>
                    <w:rPr>
                      <w:rFonts w:hint="eastAsia" w:cs="Times New Roman"/>
                      <w:szCs w:val="21"/>
                    </w:rPr>
                    <w:t>左家湾1农户</w:t>
                  </w:r>
                </w:p>
              </w:tc>
              <w:tc>
                <w:tcPr>
                  <w:tcW w:w="476" w:type="pct"/>
                  <w:vAlign w:val="center"/>
                </w:tcPr>
                <w:p>
                  <w:pPr>
                    <w:jc w:val="center"/>
                    <w:rPr>
                      <w:rFonts w:cs="Times New Roman"/>
                      <w:szCs w:val="21"/>
                    </w:rPr>
                  </w:pPr>
                  <w:r>
                    <w:rPr>
                      <w:rFonts w:hint="eastAsia" w:cs="Times New Roman"/>
                      <w:szCs w:val="21"/>
                    </w:rPr>
                    <w:t>东北</w:t>
                  </w:r>
                </w:p>
              </w:tc>
              <w:tc>
                <w:tcPr>
                  <w:tcW w:w="717" w:type="pct"/>
                  <w:vAlign w:val="center"/>
                </w:tcPr>
                <w:p>
                  <w:pPr>
                    <w:jc w:val="center"/>
                    <w:rPr>
                      <w:rFonts w:cs="Times New Roman"/>
                      <w:szCs w:val="21"/>
                    </w:rPr>
                  </w:pPr>
                  <w:r>
                    <w:rPr>
                      <w:rFonts w:hint="eastAsia" w:cs="Times New Roman"/>
                      <w:szCs w:val="21"/>
                    </w:rPr>
                    <w:t>2</w:t>
                  </w:r>
                  <w:r>
                    <w:rPr>
                      <w:rFonts w:cs="Times New Roman"/>
                      <w:szCs w:val="21"/>
                    </w:rPr>
                    <w:t>10~407</w:t>
                  </w:r>
                </w:p>
              </w:tc>
              <w:tc>
                <w:tcPr>
                  <w:tcW w:w="473" w:type="pct"/>
                  <w:vAlign w:val="center"/>
                </w:tcPr>
                <w:p>
                  <w:pPr>
                    <w:jc w:val="center"/>
                    <w:rPr>
                      <w:rFonts w:cs="Times New Roman"/>
                      <w:szCs w:val="21"/>
                    </w:rPr>
                  </w:pPr>
                  <w:r>
                    <w:rPr>
                      <w:rFonts w:hint="eastAsia" w:cs="Times New Roman"/>
                      <w:szCs w:val="21"/>
                    </w:rPr>
                    <w:t>东北</w:t>
                  </w:r>
                </w:p>
              </w:tc>
              <w:tc>
                <w:tcPr>
                  <w:tcW w:w="719" w:type="pct"/>
                  <w:vAlign w:val="center"/>
                </w:tcPr>
                <w:p>
                  <w:pPr>
                    <w:jc w:val="center"/>
                    <w:rPr>
                      <w:rFonts w:cs="Times New Roman"/>
                      <w:szCs w:val="21"/>
                    </w:rPr>
                  </w:pPr>
                  <w:r>
                    <w:rPr>
                      <w:rFonts w:hint="eastAsia" w:cs="Times New Roman"/>
                      <w:szCs w:val="21"/>
                    </w:rPr>
                    <w:t>256~463</w:t>
                  </w:r>
                </w:p>
              </w:tc>
              <w:tc>
                <w:tcPr>
                  <w:tcW w:w="555" w:type="pct"/>
                  <w:vAlign w:val="center"/>
                </w:tcPr>
                <w:p>
                  <w:pPr>
                    <w:jc w:val="center"/>
                    <w:rPr>
                      <w:rFonts w:cs="Times New Roman"/>
                      <w:szCs w:val="21"/>
                    </w:rPr>
                  </w:pPr>
                  <w:r>
                    <w:rPr>
                      <w:rFonts w:hint="eastAsia" w:cs="Times New Roman"/>
                      <w:szCs w:val="21"/>
                    </w:rPr>
                    <w:t>约</w:t>
                  </w:r>
                  <w:r>
                    <w:rPr>
                      <w:rFonts w:cs="Times New Roman"/>
                      <w:szCs w:val="21"/>
                    </w:rPr>
                    <w:t>4</w:t>
                  </w:r>
                  <w:r>
                    <w:rPr>
                      <w:rFonts w:hint="eastAsia" w:cs="Times New Roman"/>
                      <w:szCs w:val="21"/>
                    </w:rPr>
                    <w:t>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6</w:t>
                  </w:r>
                </w:p>
              </w:tc>
              <w:tc>
                <w:tcPr>
                  <w:tcW w:w="634" w:type="pct"/>
                  <w:vAlign w:val="center"/>
                </w:tcPr>
                <w:p>
                  <w:pPr>
                    <w:jc w:val="center"/>
                    <w:rPr>
                      <w:rFonts w:cs="Times New Roman"/>
                      <w:szCs w:val="21"/>
                    </w:rPr>
                  </w:pPr>
                  <w:r>
                    <w:rPr>
                      <w:rFonts w:hint="eastAsia" w:cs="Times New Roman"/>
                      <w:szCs w:val="21"/>
                    </w:rPr>
                    <w:t>左家湾2农户</w:t>
                  </w:r>
                </w:p>
              </w:tc>
              <w:tc>
                <w:tcPr>
                  <w:tcW w:w="476" w:type="pct"/>
                  <w:vAlign w:val="center"/>
                </w:tcPr>
                <w:p>
                  <w:pPr>
                    <w:jc w:val="center"/>
                    <w:rPr>
                      <w:rFonts w:cs="Times New Roman"/>
                      <w:szCs w:val="21"/>
                    </w:rPr>
                  </w:pPr>
                  <w:r>
                    <w:rPr>
                      <w:rFonts w:hint="eastAsia" w:cs="Times New Roman"/>
                      <w:szCs w:val="21"/>
                    </w:rPr>
                    <w:t>东侧</w:t>
                  </w:r>
                </w:p>
              </w:tc>
              <w:tc>
                <w:tcPr>
                  <w:tcW w:w="717" w:type="pct"/>
                  <w:vAlign w:val="center"/>
                </w:tcPr>
                <w:p>
                  <w:pPr>
                    <w:jc w:val="center"/>
                    <w:rPr>
                      <w:rFonts w:cs="Times New Roman"/>
                      <w:szCs w:val="21"/>
                    </w:rPr>
                  </w:pPr>
                  <w:r>
                    <w:rPr>
                      <w:rFonts w:hint="eastAsia" w:cs="Times New Roman"/>
                      <w:szCs w:val="21"/>
                    </w:rPr>
                    <w:t>2</w:t>
                  </w:r>
                  <w:r>
                    <w:rPr>
                      <w:rFonts w:cs="Times New Roman"/>
                      <w:szCs w:val="21"/>
                    </w:rPr>
                    <w:t>42~469</w:t>
                  </w:r>
                </w:p>
              </w:tc>
              <w:tc>
                <w:tcPr>
                  <w:tcW w:w="473" w:type="pct"/>
                  <w:vAlign w:val="center"/>
                </w:tcPr>
                <w:p>
                  <w:pPr>
                    <w:jc w:val="center"/>
                    <w:rPr>
                      <w:rFonts w:cs="Times New Roman"/>
                      <w:szCs w:val="21"/>
                    </w:rPr>
                  </w:pPr>
                  <w:r>
                    <w:rPr>
                      <w:rFonts w:hint="eastAsia" w:cs="Times New Roman"/>
                      <w:szCs w:val="21"/>
                    </w:rPr>
                    <w:t>东侧</w:t>
                  </w:r>
                </w:p>
              </w:tc>
              <w:tc>
                <w:tcPr>
                  <w:tcW w:w="719" w:type="pct"/>
                  <w:vAlign w:val="center"/>
                </w:tcPr>
                <w:p>
                  <w:pPr>
                    <w:jc w:val="center"/>
                    <w:rPr>
                      <w:rFonts w:cs="Times New Roman"/>
                      <w:szCs w:val="21"/>
                    </w:rPr>
                  </w:pPr>
                  <w:r>
                    <w:rPr>
                      <w:rFonts w:hint="eastAsia" w:cs="Times New Roman"/>
                      <w:szCs w:val="21"/>
                    </w:rPr>
                    <w:t>252~459</w:t>
                  </w:r>
                </w:p>
              </w:tc>
              <w:tc>
                <w:tcPr>
                  <w:tcW w:w="555" w:type="pct"/>
                  <w:vAlign w:val="center"/>
                </w:tcPr>
                <w:p>
                  <w:pPr>
                    <w:jc w:val="center"/>
                    <w:rPr>
                      <w:rFonts w:cs="Times New Roman"/>
                      <w:szCs w:val="21"/>
                    </w:rPr>
                  </w:pPr>
                  <w:r>
                    <w:rPr>
                      <w:rFonts w:hint="eastAsia" w:cs="Times New Roman"/>
                      <w:szCs w:val="21"/>
                    </w:rPr>
                    <w:t>约</w:t>
                  </w:r>
                  <w:r>
                    <w:rPr>
                      <w:rFonts w:cs="Times New Roman"/>
                      <w:szCs w:val="21"/>
                    </w:rPr>
                    <w:t>10</w:t>
                  </w:r>
                  <w:r>
                    <w:rPr>
                      <w:rFonts w:hint="eastAsia" w:cs="Times New Roman"/>
                      <w:szCs w:val="21"/>
                    </w:rPr>
                    <w:t>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7</w:t>
                  </w:r>
                </w:p>
              </w:tc>
              <w:tc>
                <w:tcPr>
                  <w:tcW w:w="634" w:type="pct"/>
                  <w:vAlign w:val="center"/>
                </w:tcPr>
                <w:p>
                  <w:pPr>
                    <w:jc w:val="center"/>
                    <w:rPr>
                      <w:rFonts w:cs="Times New Roman"/>
                      <w:szCs w:val="21"/>
                    </w:rPr>
                  </w:pPr>
                  <w:r>
                    <w:rPr>
                      <w:rFonts w:hint="eastAsia" w:cs="Times New Roman"/>
                      <w:szCs w:val="21"/>
                    </w:rPr>
                    <w:t>后河坝农户</w:t>
                  </w:r>
                </w:p>
              </w:tc>
              <w:tc>
                <w:tcPr>
                  <w:tcW w:w="476" w:type="pct"/>
                  <w:vAlign w:val="center"/>
                </w:tcPr>
                <w:p>
                  <w:pPr>
                    <w:jc w:val="center"/>
                    <w:rPr>
                      <w:rFonts w:cs="Times New Roman"/>
                      <w:szCs w:val="21"/>
                    </w:rPr>
                  </w:pPr>
                  <w:r>
                    <w:rPr>
                      <w:rFonts w:hint="eastAsia" w:cs="Times New Roman"/>
                      <w:szCs w:val="21"/>
                    </w:rPr>
                    <w:t>东南</w:t>
                  </w:r>
                </w:p>
              </w:tc>
              <w:tc>
                <w:tcPr>
                  <w:tcW w:w="717" w:type="pct"/>
                  <w:vAlign w:val="center"/>
                </w:tcPr>
                <w:p>
                  <w:pPr>
                    <w:jc w:val="center"/>
                    <w:rPr>
                      <w:rFonts w:cs="Times New Roman"/>
                      <w:szCs w:val="21"/>
                    </w:rPr>
                  </w:pPr>
                  <w:r>
                    <w:rPr>
                      <w:rFonts w:hint="eastAsia" w:cs="Times New Roman"/>
                      <w:szCs w:val="21"/>
                    </w:rPr>
                    <w:t>2</w:t>
                  </w:r>
                  <w:r>
                    <w:rPr>
                      <w:rFonts w:cs="Times New Roman"/>
                      <w:szCs w:val="21"/>
                    </w:rPr>
                    <w:t>56~360</w:t>
                  </w:r>
                </w:p>
              </w:tc>
              <w:tc>
                <w:tcPr>
                  <w:tcW w:w="473" w:type="pct"/>
                  <w:vAlign w:val="center"/>
                </w:tcPr>
                <w:p>
                  <w:pPr>
                    <w:jc w:val="center"/>
                    <w:rPr>
                      <w:rFonts w:cs="Times New Roman"/>
                      <w:szCs w:val="21"/>
                    </w:rPr>
                  </w:pPr>
                  <w:r>
                    <w:rPr>
                      <w:rFonts w:hint="eastAsia" w:cs="Times New Roman"/>
                      <w:szCs w:val="21"/>
                    </w:rPr>
                    <w:t>东南</w:t>
                  </w:r>
                </w:p>
              </w:tc>
              <w:tc>
                <w:tcPr>
                  <w:tcW w:w="719" w:type="pct"/>
                  <w:vAlign w:val="center"/>
                </w:tcPr>
                <w:p>
                  <w:pPr>
                    <w:jc w:val="center"/>
                    <w:rPr>
                      <w:rFonts w:cs="Times New Roman"/>
                      <w:szCs w:val="21"/>
                    </w:rPr>
                  </w:pPr>
                  <w:r>
                    <w:rPr>
                      <w:rFonts w:hint="eastAsia" w:cs="Times New Roman"/>
                      <w:szCs w:val="21"/>
                    </w:rPr>
                    <w:t>407~500</w:t>
                  </w:r>
                </w:p>
              </w:tc>
              <w:tc>
                <w:tcPr>
                  <w:tcW w:w="555" w:type="pct"/>
                  <w:vAlign w:val="center"/>
                </w:tcPr>
                <w:p>
                  <w:pPr>
                    <w:jc w:val="center"/>
                    <w:rPr>
                      <w:rFonts w:cs="Times New Roman"/>
                      <w:szCs w:val="21"/>
                    </w:rPr>
                  </w:pPr>
                  <w:r>
                    <w:rPr>
                      <w:rFonts w:hint="eastAsia" w:cs="Times New Roman"/>
                      <w:szCs w:val="21"/>
                    </w:rPr>
                    <w:t>约</w:t>
                  </w:r>
                  <w:r>
                    <w:rPr>
                      <w:rFonts w:cs="Times New Roman"/>
                      <w:szCs w:val="21"/>
                    </w:rPr>
                    <w:t>11</w:t>
                  </w:r>
                  <w:r>
                    <w:rPr>
                      <w:rFonts w:hint="eastAsia" w:cs="Times New Roman"/>
                      <w:szCs w:val="21"/>
                    </w:rPr>
                    <w:t>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8</w:t>
                  </w:r>
                </w:p>
              </w:tc>
              <w:tc>
                <w:tcPr>
                  <w:tcW w:w="634" w:type="pct"/>
                  <w:vAlign w:val="center"/>
                </w:tcPr>
                <w:p>
                  <w:pPr>
                    <w:jc w:val="center"/>
                    <w:rPr>
                      <w:rFonts w:cs="Times New Roman"/>
                      <w:szCs w:val="21"/>
                    </w:rPr>
                  </w:pPr>
                  <w:r>
                    <w:rPr>
                      <w:rFonts w:hint="eastAsia" w:cs="Times New Roman"/>
                      <w:szCs w:val="21"/>
                    </w:rPr>
                    <w:t>桂峰村1农户</w:t>
                  </w:r>
                </w:p>
              </w:tc>
              <w:tc>
                <w:tcPr>
                  <w:tcW w:w="476" w:type="pct"/>
                  <w:vAlign w:val="center"/>
                </w:tcPr>
                <w:p>
                  <w:pPr>
                    <w:jc w:val="center"/>
                    <w:rPr>
                      <w:rFonts w:cs="Times New Roman"/>
                      <w:szCs w:val="21"/>
                    </w:rPr>
                  </w:pPr>
                  <w:r>
                    <w:rPr>
                      <w:rFonts w:hint="eastAsia" w:cs="Times New Roman"/>
                      <w:szCs w:val="21"/>
                    </w:rPr>
                    <w:t>东南</w:t>
                  </w:r>
                </w:p>
              </w:tc>
              <w:tc>
                <w:tcPr>
                  <w:tcW w:w="717" w:type="pct"/>
                  <w:vAlign w:val="center"/>
                </w:tcPr>
                <w:p>
                  <w:pPr>
                    <w:jc w:val="center"/>
                    <w:rPr>
                      <w:rFonts w:cs="Times New Roman"/>
                      <w:szCs w:val="21"/>
                    </w:rPr>
                  </w:pPr>
                  <w:r>
                    <w:rPr>
                      <w:rFonts w:hint="eastAsia" w:cs="Times New Roman"/>
                      <w:szCs w:val="21"/>
                    </w:rPr>
                    <w:t>4</w:t>
                  </w:r>
                  <w:r>
                    <w:rPr>
                      <w:rFonts w:cs="Times New Roman"/>
                      <w:szCs w:val="21"/>
                    </w:rPr>
                    <w:t>63~499</w:t>
                  </w:r>
                </w:p>
              </w:tc>
              <w:tc>
                <w:tcPr>
                  <w:tcW w:w="473" w:type="pct"/>
                  <w:vAlign w:val="center"/>
                </w:tcPr>
                <w:p>
                  <w:pPr>
                    <w:jc w:val="center"/>
                    <w:rPr>
                      <w:rFonts w:cs="Times New Roman"/>
                      <w:szCs w:val="21"/>
                    </w:rPr>
                  </w:pPr>
                  <w:r>
                    <w:rPr>
                      <w:rFonts w:hint="eastAsia" w:cs="Times New Roman"/>
                      <w:szCs w:val="21"/>
                    </w:rPr>
                    <w:t>东南</w:t>
                  </w:r>
                </w:p>
              </w:tc>
              <w:tc>
                <w:tcPr>
                  <w:tcW w:w="719" w:type="pct"/>
                  <w:vAlign w:val="center"/>
                </w:tcPr>
                <w:p>
                  <w:pPr>
                    <w:jc w:val="center"/>
                    <w:rPr>
                      <w:rFonts w:cs="Times New Roman"/>
                      <w:szCs w:val="21"/>
                    </w:rPr>
                  </w:pPr>
                  <w:r>
                    <w:rPr>
                      <w:rFonts w:hint="eastAsia" w:cs="Times New Roman"/>
                      <w:szCs w:val="21"/>
                    </w:rPr>
                    <w:t>584~710</w:t>
                  </w:r>
                </w:p>
              </w:tc>
              <w:tc>
                <w:tcPr>
                  <w:tcW w:w="555" w:type="pct"/>
                  <w:vAlign w:val="center"/>
                </w:tcPr>
                <w:p>
                  <w:pPr>
                    <w:jc w:val="center"/>
                    <w:rPr>
                      <w:rFonts w:cs="Times New Roman"/>
                      <w:szCs w:val="21"/>
                    </w:rPr>
                  </w:pPr>
                  <w:r>
                    <w:rPr>
                      <w:rFonts w:hint="eastAsia" w:cs="Times New Roman"/>
                      <w:szCs w:val="21"/>
                    </w:rPr>
                    <w:t>约</w:t>
                  </w:r>
                  <w:r>
                    <w:rPr>
                      <w:rFonts w:cs="Times New Roman"/>
                      <w:szCs w:val="21"/>
                    </w:rPr>
                    <w:t>15</w:t>
                  </w:r>
                  <w:r>
                    <w:rPr>
                      <w:rFonts w:hint="eastAsia" w:cs="Times New Roman"/>
                      <w:szCs w:val="21"/>
                    </w:rPr>
                    <w:t>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9</w:t>
                  </w:r>
                </w:p>
              </w:tc>
              <w:tc>
                <w:tcPr>
                  <w:tcW w:w="634" w:type="pct"/>
                  <w:vAlign w:val="center"/>
                </w:tcPr>
                <w:p>
                  <w:pPr>
                    <w:jc w:val="center"/>
                    <w:rPr>
                      <w:rFonts w:cs="Times New Roman"/>
                      <w:szCs w:val="21"/>
                    </w:rPr>
                  </w:pPr>
                  <w:r>
                    <w:rPr>
                      <w:rFonts w:hint="eastAsia" w:cs="Times New Roman"/>
                      <w:szCs w:val="21"/>
                    </w:rPr>
                    <w:t>桂峰村2农户</w:t>
                  </w:r>
                </w:p>
              </w:tc>
              <w:tc>
                <w:tcPr>
                  <w:tcW w:w="476" w:type="pct"/>
                  <w:vAlign w:val="center"/>
                </w:tcPr>
                <w:p>
                  <w:pPr>
                    <w:jc w:val="center"/>
                    <w:rPr>
                      <w:rFonts w:cs="Times New Roman"/>
                      <w:szCs w:val="21"/>
                    </w:rPr>
                  </w:pPr>
                  <w:r>
                    <w:rPr>
                      <w:rFonts w:hint="eastAsia" w:cs="Times New Roman"/>
                      <w:szCs w:val="21"/>
                    </w:rPr>
                    <w:t>南侧</w:t>
                  </w:r>
                </w:p>
              </w:tc>
              <w:tc>
                <w:tcPr>
                  <w:tcW w:w="717" w:type="pct"/>
                  <w:vAlign w:val="center"/>
                </w:tcPr>
                <w:p>
                  <w:pPr>
                    <w:jc w:val="center"/>
                    <w:rPr>
                      <w:rFonts w:cs="Times New Roman"/>
                      <w:szCs w:val="21"/>
                    </w:rPr>
                  </w:pPr>
                  <w:r>
                    <w:rPr>
                      <w:rFonts w:cs="Times New Roman"/>
                      <w:szCs w:val="21"/>
                    </w:rPr>
                    <w:t>498</w:t>
                  </w:r>
                </w:p>
              </w:tc>
              <w:tc>
                <w:tcPr>
                  <w:tcW w:w="473" w:type="pct"/>
                  <w:vAlign w:val="center"/>
                </w:tcPr>
                <w:p>
                  <w:pPr>
                    <w:jc w:val="center"/>
                    <w:rPr>
                      <w:rFonts w:cs="Times New Roman"/>
                      <w:szCs w:val="21"/>
                    </w:rPr>
                  </w:pPr>
                  <w:r>
                    <w:rPr>
                      <w:rFonts w:hint="eastAsia" w:cs="Times New Roman"/>
                      <w:szCs w:val="21"/>
                    </w:rPr>
                    <w:t>西南</w:t>
                  </w:r>
                </w:p>
              </w:tc>
              <w:tc>
                <w:tcPr>
                  <w:tcW w:w="719" w:type="pct"/>
                  <w:vAlign w:val="center"/>
                </w:tcPr>
                <w:p>
                  <w:pPr>
                    <w:jc w:val="center"/>
                    <w:rPr>
                      <w:rFonts w:cs="Times New Roman"/>
                      <w:szCs w:val="21"/>
                    </w:rPr>
                  </w:pPr>
                  <w:r>
                    <w:rPr>
                      <w:rFonts w:hint="eastAsia" w:cs="Times New Roman"/>
                      <w:szCs w:val="21"/>
                    </w:rPr>
                    <w:t>662</w:t>
                  </w:r>
                </w:p>
              </w:tc>
              <w:tc>
                <w:tcPr>
                  <w:tcW w:w="555" w:type="pct"/>
                  <w:vAlign w:val="center"/>
                </w:tcPr>
                <w:p>
                  <w:pPr>
                    <w:jc w:val="center"/>
                    <w:rPr>
                      <w:rFonts w:cs="Times New Roman"/>
                      <w:szCs w:val="21"/>
                    </w:rPr>
                  </w:pPr>
                  <w:r>
                    <w:rPr>
                      <w:rFonts w:hint="eastAsia" w:cs="Times New Roman"/>
                      <w:szCs w:val="21"/>
                    </w:rPr>
                    <w:t>约6户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10</w:t>
                  </w:r>
                </w:p>
              </w:tc>
              <w:tc>
                <w:tcPr>
                  <w:tcW w:w="634" w:type="pct"/>
                  <w:vAlign w:val="center"/>
                </w:tcPr>
                <w:p>
                  <w:pPr>
                    <w:jc w:val="center"/>
                    <w:rPr>
                      <w:rFonts w:cs="Times New Roman"/>
                      <w:szCs w:val="21"/>
                    </w:rPr>
                  </w:pPr>
                  <w:r>
                    <w:rPr>
                      <w:rFonts w:hint="eastAsia" w:cs="Times New Roman"/>
                      <w:szCs w:val="21"/>
                    </w:rPr>
                    <w:t>刘家场2农户</w:t>
                  </w:r>
                </w:p>
              </w:tc>
              <w:tc>
                <w:tcPr>
                  <w:tcW w:w="476" w:type="pct"/>
                  <w:vAlign w:val="center"/>
                </w:tcPr>
                <w:p>
                  <w:pPr>
                    <w:jc w:val="center"/>
                    <w:rPr>
                      <w:rFonts w:cs="Times New Roman"/>
                      <w:szCs w:val="21"/>
                    </w:rPr>
                  </w:pPr>
                  <w:r>
                    <w:rPr>
                      <w:rFonts w:hint="eastAsia" w:cs="Times New Roman"/>
                      <w:szCs w:val="21"/>
                    </w:rPr>
                    <w:t>西南</w:t>
                  </w:r>
                </w:p>
              </w:tc>
              <w:tc>
                <w:tcPr>
                  <w:tcW w:w="717" w:type="pct"/>
                  <w:vAlign w:val="center"/>
                </w:tcPr>
                <w:p>
                  <w:pPr>
                    <w:jc w:val="center"/>
                    <w:rPr>
                      <w:rFonts w:cs="Times New Roman"/>
                      <w:szCs w:val="21"/>
                    </w:rPr>
                  </w:pPr>
                  <w:r>
                    <w:rPr>
                      <w:rFonts w:hint="eastAsia" w:cs="Times New Roman"/>
                      <w:szCs w:val="21"/>
                    </w:rPr>
                    <w:t>293~467</w:t>
                  </w:r>
                </w:p>
              </w:tc>
              <w:tc>
                <w:tcPr>
                  <w:tcW w:w="473" w:type="pct"/>
                  <w:vAlign w:val="center"/>
                </w:tcPr>
                <w:p>
                  <w:pPr>
                    <w:jc w:val="center"/>
                    <w:rPr>
                      <w:rFonts w:cs="Times New Roman"/>
                      <w:szCs w:val="21"/>
                    </w:rPr>
                  </w:pPr>
                  <w:r>
                    <w:rPr>
                      <w:rFonts w:hint="eastAsia" w:cs="Times New Roman"/>
                      <w:szCs w:val="21"/>
                    </w:rPr>
                    <w:t>西南</w:t>
                  </w:r>
                </w:p>
              </w:tc>
              <w:tc>
                <w:tcPr>
                  <w:tcW w:w="719" w:type="pct"/>
                  <w:vAlign w:val="center"/>
                </w:tcPr>
                <w:p>
                  <w:pPr>
                    <w:jc w:val="center"/>
                    <w:rPr>
                      <w:rFonts w:cs="Times New Roman"/>
                      <w:szCs w:val="21"/>
                    </w:rPr>
                  </w:pPr>
                  <w:r>
                    <w:rPr>
                      <w:rFonts w:hint="eastAsia" w:cs="Times New Roman"/>
                      <w:szCs w:val="21"/>
                    </w:rPr>
                    <w:t>980~1323</w:t>
                  </w:r>
                </w:p>
              </w:tc>
              <w:tc>
                <w:tcPr>
                  <w:tcW w:w="555" w:type="pct"/>
                  <w:vAlign w:val="center"/>
                </w:tcPr>
                <w:p>
                  <w:pPr>
                    <w:jc w:val="center"/>
                    <w:rPr>
                      <w:rFonts w:cs="Times New Roman"/>
                      <w:szCs w:val="21"/>
                    </w:rPr>
                  </w:pPr>
                  <w:r>
                    <w:rPr>
                      <w:rFonts w:hint="eastAsia" w:cs="Times New Roman"/>
                      <w:szCs w:val="21"/>
                    </w:rPr>
                    <w:t>约24户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11</w:t>
                  </w:r>
                </w:p>
              </w:tc>
              <w:tc>
                <w:tcPr>
                  <w:tcW w:w="634" w:type="pct"/>
                  <w:vAlign w:val="center"/>
                </w:tcPr>
                <w:p>
                  <w:pPr>
                    <w:jc w:val="center"/>
                    <w:rPr>
                      <w:rFonts w:cs="Times New Roman"/>
                      <w:szCs w:val="21"/>
                    </w:rPr>
                  </w:pPr>
                  <w:r>
                    <w:rPr>
                      <w:rFonts w:hint="eastAsia" w:cs="Times New Roman"/>
                      <w:szCs w:val="21"/>
                    </w:rPr>
                    <w:t>刘家场</w:t>
                  </w:r>
                  <w:r>
                    <w:rPr>
                      <w:rFonts w:cs="Times New Roman"/>
                      <w:szCs w:val="21"/>
                    </w:rPr>
                    <w:t>1</w:t>
                  </w:r>
                  <w:r>
                    <w:rPr>
                      <w:rFonts w:hint="eastAsia" w:cs="Times New Roman"/>
                      <w:szCs w:val="21"/>
                    </w:rPr>
                    <w:t>农户</w:t>
                  </w:r>
                </w:p>
              </w:tc>
              <w:tc>
                <w:tcPr>
                  <w:tcW w:w="476" w:type="pct"/>
                  <w:vAlign w:val="center"/>
                </w:tcPr>
                <w:p>
                  <w:pPr>
                    <w:jc w:val="center"/>
                    <w:rPr>
                      <w:rFonts w:cs="Times New Roman"/>
                      <w:szCs w:val="21"/>
                    </w:rPr>
                  </w:pPr>
                  <w:r>
                    <w:rPr>
                      <w:rFonts w:hint="eastAsia" w:cs="Times New Roman"/>
                      <w:szCs w:val="21"/>
                    </w:rPr>
                    <w:t>西侧</w:t>
                  </w:r>
                </w:p>
              </w:tc>
              <w:tc>
                <w:tcPr>
                  <w:tcW w:w="717" w:type="pct"/>
                  <w:vAlign w:val="center"/>
                </w:tcPr>
                <w:p>
                  <w:pPr>
                    <w:jc w:val="center"/>
                    <w:rPr>
                      <w:rFonts w:cs="Times New Roman"/>
                      <w:szCs w:val="21"/>
                    </w:rPr>
                  </w:pPr>
                  <w:r>
                    <w:rPr>
                      <w:rFonts w:hint="eastAsia" w:cs="Times New Roman"/>
                      <w:szCs w:val="21"/>
                    </w:rPr>
                    <w:t>1~476</w:t>
                  </w:r>
                </w:p>
              </w:tc>
              <w:tc>
                <w:tcPr>
                  <w:tcW w:w="473" w:type="pct"/>
                  <w:vAlign w:val="center"/>
                </w:tcPr>
                <w:p>
                  <w:pPr>
                    <w:jc w:val="center"/>
                    <w:rPr>
                      <w:rFonts w:cs="Times New Roman"/>
                      <w:szCs w:val="21"/>
                    </w:rPr>
                  </w:pPr>
                  <w:r>
                    <w:rPr>
                      <w:rFonts w:hint="eastAsia" w:cs="Times New Roman"/>
                      <w:szCs w:val="21"/>
                    </w:rPr>
                    <w:t>西南</w:t>
                  </w:r>
                </w:p>
              </w:tc>
              <w:tc>
                <w:tcPr>
                  <w:tcW w:w="719" w:type="pct"/>
                  <w:vAlign w:val="center"/>
                </w:tcPr>
                <w:p>
                  <w:pPr>
                    <w:jc w:val="center"/>
                    <w:rPr>
                      <w:rFonts w:cs="Times New Roman"/>
                      <w:szCs w:val="21"/>
                    </w:rPr>
                  </w:pPr>
                  <w:r>
                    <w:rPr>
                      <w:rFonts w:hint="eastAsia" w:cs="Times New Roman"/>
                      <w:szCs w:val="21"/>
                    </w:rPr>
                    <w:t>883~1394</w:t>
                  </w:r>
                </w:p>
              </w:tc>
              <w:tc>
                <w:tcPr>
                  <w:tcW w:w="555" w:type="pct"/>
                  <w:vAlign w:val="center"/>
                </w:tcPr>
                <w:p>
                  <w:pPr>
                    <w:jc w:val="center"/>
                    <w:rPr>
                      <w:rFonts w:cs="Times New Roman"/>
                      <w:szCs w:val="21"/>
                    </w:rPr>
                  </w:pPr>
                  <w:r>
                    <w:rPr>
                      <w:rFonts w:hint="eastAsia" w:cs="Times New Roman"/>
                      <w:szCs w:val="21"/>
                    </w:rPr>
                    <w:t>约</w:t>
                  </w:r>
                  <w:r>
                    <w:rPr>
                      <w:rFonts w:cs="Times New Roman"/>
                      <w:szCs w:val="21"/>
                    </w:rPr>
                    <w:t>55</w:t>
                  </w:r>
                  <w:r>
                    <w:rPr>
                      <w:rFonts w:hint="eastAsia" w:cs="Times New Roman"/>
                      <w:szCs w:val="21"/>
                    </w:rPr>
                    <w:t>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12</w:t>
                  </w:r>
                </w:p>
              </w:tc>
              <w:tc>
                <w:tcPr>
                  <w:tcW w:w="634" w:type="pct"/>
                  <w:vAlign w:val="center"/>
                </w:tcPr>
                <w:p>
                  <w:pPr>
                    <w:jc w:val="center"/>
                    <w:rPr>
                      <w:rFonts w:cs="Times New Roman"/>
                      <w:szCs w:val="21"/>
                    </w:rPr>
                  </w:pPr>
                  <w:r>
                    <w:rPr>
                      <w:rFonts w:hint="eastAsia" w:cs="Times New Roman"/>
                      <w:szCs w:val="21"/>
                    </w:rPr>
                    <w:t>老屋湾农户</w:t>
                  </w:r>
                </w:p>
              </w:tc>
              <w:tc>
                <w:tcPr>
                  <w:tcW w:w="476" w:type="pct"/>
                  <w:vAlign w:val="center"/>
                </w:tcPr>
                <w:p>
                  <w:pPr>
                    <w:jc w:val="center"/>
                    <w:rPr>
                      <w:rFonts w:cs="Times New Roman"/>
                      <w:szCs w:val="21"/>
                    </w:rPr>
                  </w:pPr>
                  <w:r>
                    <w:rPr>
                      <w:rFonts w:hint="eastAsia" w:cs="Times New Roman"/>
                      <w:szCs w:val="21"/>
                    </w:rPr>
                    <w:t>西侧</w:t>
                  </w:r>
                </w:p>
              </w:tc>
              <w:tc>
                <w:tcPr>
                  <w:tcW w:w="717" w:type="pct"/>
                  <w:vAlign w:val="center"/>
                </w:tcPr>
                <w:p>
                  <w:pPr>
                    <w:jc w:val="center"/>
                    <w:rPr>
                      <w:rFonts w:cs="Times New Roman"/>
                      <w:szCs w:val="21"/>
                    </w:rPr>
                  </w:pPr>
                  <w:r>
                    <w:rPr>
                      <w:rFonts w:hint="eastAsia" w:cs="Times New Roman"/>
                      <w:szCs w:val="21"/>
                    </w:rPr>
                    <w:t>60~283</w:t>
                  </w:r>
                </w:p>
              </w:tc>
              <w:tc>
                <w:tcPr>
                  <w:tcW w:w="473" w:type="pct"/>
                  <w:vAlign w:val="center"/>
                </w:tcPr>
                <w:p>
                  <w:pPr>
                    <w:jc w:val="center"/>
                    <w:rPr>
                      <w:rFonts w:cs="Times New Roman"/>
                      <w:szCs w:val="21"/>
                    </w:rPr>
                  </w:pPr>
                  <w:r>
                    <w:rPr>
                      <w:rFonts w:hint="eastAsia" w:cs="Times New Roman"/>
                      <w:szCs w:val="21"/>
                    </w:rPr>
                    <w:t>西北</w:t>
                  </w:r>
                </w:p>
              </w:tc>
              <w:tc>
                <w:tcPr>
                  <w:tcW w:w="719" w:type="pct"/>
                  <w:vAlign w:val="center"/>
                </w:tcPr>
                <w:p>
                  <w:pPr>
                    <w:jc w:val="center"/>
                    <w:rPr>
                      <w:rFonts w:cs="Times New Roman"/>
                      <w:szCs w:val="21"/>
                    </w:rPr>
                  </w:pPr>
                  <w:r>
                    <w:rPr>
                      <w:rFonts w:hint="eastAsia" w:cs="Times New Roman"/>
                      <w:szCs w:val="21"/>
                    </w:rPr>
                    <w:t>1038~1333</w:t>
                  </w:r>
                </w:p>
              </w:tc>
              <w:tc>
                <w:tcPr>
                  <w:tcW w:w="555" w:type="pct"/>
                  <w:vAlign w:val="center"/>
                </w:tcPr>
                <w:p>
                  <w:pPr>
                    <w:jc w:val="center"/>
                    <w:rPr>
                      <w:rFonts w:cs="Times New Roman"/>
                      <w:szCs w:val="21"/>
                    </w:rPr>
                  </w:pPr>
                  <w:r>
                    <w:rPr>
                      <w:rFonts w:hint="eastAsia" w:cs="Times New Roman"/>
                      <w:szCs w:val="21"/>
                    </w:rPr>
                    <w:t>约19户</w:t>
                  </w:r>
                </w:p>
              </w:tc>
              <w:tc>
                <w:tcPr>
                  <w:tcW w:w="397" w:type="pct"/>
                  <w:vAlign w:val="center"/>
                </w:tcPr>
                <w:p>
                  <w:pPr>
                    <w:jc w:val="center"/>
                    <w:rPr>
                      <w:rFonts w:cs="Times New Roman"/>
                      <w:szCs w:val="21"/>
                    </w:rPr>
                  </w:pPr>
                  <w:r>
                    <w:rPr>
                      <w:rFonts w:hint="eastAsia"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13</w:t>
                  </w:r>
                </w:p>
              </w:tc>
              <w:tc>
                <w:tcPr>
                  <w:tcW w:w="634" w:type="pct"/>
                  <w:vAlign w:val="center"/>
                </w:tcPr>
                <w:p>
                  <w:pPr>
                    <w:jc w:val="center"/>
                    <w:rPr>
                      <w:rFonts w:cs="Times New Roman"/>
                      <w:szCs w:val="21"/>
                    </w:rPr>
                  </w:pPr>
                  <w:r>
                    <w:rPr>
                      <w:rFonts w:hint="eastAsia" w:cs="Times New Roman"/>
                      <w:szCs w:val="21"/>
                    </w:rPr>
                    <w:t>烂朝门农户</w:t>
                  </w:r>
                </w:p>
              </w:tc>
              <w:tc>
                <w:tcPr>
                  <w:tcW w:w="476" w:type="pct"/>
                  <w:vAlign w:val="center"/>
                </w:tcPr>
                <w:p>
                  <w:pPr>
                    <w:jc w:val="center"/>
                    <w:rPr>
                      <w:rFonts w:cs="Times New Roman"/>
                      <w:szCs w:val="21"/>
                    </w:rPr>
                  </w:pPr>
                  <w:r>
                    <w:rPr>
                      <w:rFonts w:hint="eastAsia" w:cs="Times New Roman"/>
                      <w:szCs w:val="21"/>
                    </w:rPr>
                    <w:t>西北</w:t>
                  </w:r>
                </w:p>
              </w:tc>
              <w:tc>
                <w:tcPr>
                  <w:tcW w:w="717" w:type="pct"/>
                  <w:vAlign w:val="center"/>
                </w:tcPr>
                <w:p>
                  <w:pPr>
                    <w:jc w:val="center"/>
                    <w:rPr>
                      <w:rFonts w:cs="Times New Roman"/>
                      <w:szCs w:val="21"/>
                    </w:rPr>
                  </w:pPr>
                  <w:r>
                    <w:rPr>
                      <w:rFonts w:hint="eastAsia" w:cs="Times New Roman"/>
                      <w:szCs w:val="21"/>
                    </w:rPr>
                    <w:t>2</w:t>
                  </w:r>
                  <w:r>
                    <w:rPr>
                      <w:rFonts w:cs="Times New Roman"/>
                      <w:szCs w:val="21"/>
                    </w:rPr>
                    <w:t>02~314</w:t>
                  </w:r>
                </w:p>
              </w:tc>
              <w:tc>
                <w:tcPr>
                  <w:tcW w:w="473" w:type="pct"/>
                  <w:vAlign w:val="center"/>
                </w:tcPr>
                <w:p>
                  <w:pPr>
                    <w:jc w:val="center"/>
                    <w:rPr>
                      <w:rFonts w:cs="Times New Roman"/>
                      <w:szCs w:val="21"/>
                    </w:rPr>
                  </w:pPr>
                  <w:r>
                    <w:rPr>
                      <w:rFonts w:hint="eastAsia" w:cs="Times New Roman"/>
                      <w:szCs w:val="21"/>
                    </w:rPr>
                    <w:t>西北</w:t>
                  </w:r>
                </w:p>
              </w:tc>
              <w:tc>
                <w:tcPr>
                  <w:tcW w:w="719" w:type="pct"/>
                  <w:vAlign w:val="center"/>
                </w:tcPr>
                <w:p>
                  <w:pPr>
                    <w:jc w:val="center"/>
                    <w:rPr>
                      <w:rFonts w:cs="Times New Roman"/>
                      <w:szCs w:val="21"/>
                    </w:rPr>
                  </w:pPr>
                  <w:r>
                    <w:rPr>
                      <w:rFonts w:hint="eastAsia" w:cs="Times New Roman"/>
                      <w:szCs w:val="21"/>
                    </w:rPr>
                    <w:t>1282~1433</w:t>
                  </w:r>
                </w:p>
              </w:tc>
              <w:tc>
                <w:tcPr>
                  <w:tcW w:w="555" w:type="pct"/>
                  <w:vAlign w:val="center"/>
                </w:tcPr>
                <w:p>
                  <w:pPr>
                    <w:jc w:val="center"/>
                    <w:rPr>
                      <w:rFonts w:cs="Times New Roman"/>
                      <w:szCs w:val="21"/>
                    </w:rPr>
                  </w:pPr>
                  <w:r>
                    <w:rPr>
                      <w:rFonts w:hint="eastAsia" w:cs="Times New Roman"/>
                      <w:szCs w:val="21"/>
                    </w:rPr>
                    <w:t>约1</w:t>
                  </w:r>
                  <w:r>
                    <w:rPr>
                      <w:rFonts w:cs="Times New Roman"/>
                      <w:szCs w:val="21"/>
                    </w:rPr>
                    <w:t>0</w:t>
                  </w:r>
                  <w:r>
                    <w:rPr>
                      <w:rFonts w:hint="eastAsia" w:cs="Times New Roman"/>
                      <w:szCs w:val="21"/>
                    </w:rPr>
                    <w:t>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06" w:type="pct"/>
                  <w:vAlign w:val="center"/>
                </w:tcPr>
                <w:p>
                  <w:pPr>
                    <w:jc w:val="center"/>
                    <w:rPr>
                      <w:rFonts w:cs="Times New Roman"/>
                      <w:szCs w:val="21"/>
                    </w:rPr>
                  </w:pPr>
                  <w:r>
                    <w:rPr>
                      <w:rFonts w:hint="eastAsia" w:cs="Times New Roman"/>
                      <w:szCs w:val="21"/>
                    </w:rPr>
                    <w:t>14</w:t>
                  </w:r>
                </w:p>
              </w:tc>
              <w:tc>
                <w:tcPr>
                  <w:tcW w:w="634" w:type="pct"/>
                  <w:vAlign w:val="center"/>
                </w:tcPr>
                <w:p>
                  <w:pPr>
                    <w:jc w:val="center"/>
                    <w:rPr>
                      <w:rFonts w:cs="Times New Roman"/>
                      <w:szCs w:val="21"/>
                    </w:rPr>
                  </w:pPr>
                  <w:r>
                    <w:rPr>
                      <w:rFonts w:hint="eastAsia" w:cs="Times New Roman"/>
                      <w:szCs w:val="21"/>
                    </w:rPr>
                    <w:t>唐家院农户</w:t>
                  </w:r>
                </w:p>
              </w:tc>
              <w:tc>
                <w:tcPr>
                  <w:tcW w:w="476" w:type="pct"/>
                  <w:vAlign w:val="center"/>
                </w:tcPr>
                <w:p>
                  <w:pPr>
                    <w:jc w:val="center"/>
                    <w:rPr>
                      <w:rFonts w:cs="Times New Roman"/>
                      <w:szCs w:val="21"/>
                    </w:rPr>
                  </w:pPr>
                  <w:r>
                    <w:rPr>
                      <w:rFonts w:hint="eastAsia" w:cs="Times New Roman"/>
                      <w:szCs w:val="21"/>
                    </w:rPr>
                    <w:t>西北</w:t>
                  </w:r>
                </w:p>
              </w:tc>
              <w:tc>
                <w:tcPr>
                  <w:tcW w:w="717" w:type="pct"/>
                  <w:vAlign w:val="center"/>
                </w:tcPr>
                <w:p>
                  <w:pPr>
                    <w:jc w:val="center"/>
                    <w:rPr>
                      <w:rFonts w:cs="Times New Roman"/>
                      <w:szCs w:val="21"/>
                    </w:rPr>
                  </w:pPr>
                  <w:r>
                    <w:rPr>
                      <w:rFonts w:hint="eastAsia" w:cs="Times New Roman"/>
                      <w:szCs w:val="21"/>
                    </w:rPr>
                    <w:t>3</w:t>
                  </w:r>
                  <w:r>
                    <w:rPr>
                      <w:rFonts w:cs="Times New Roman"/>
                      <w:szCs w:val="21"/>
                    </w:rPr>
                    <w:t>56~272</w:t>
                  </w:r>
                </w:p>
              </w:tc>
              <w:tc>
                <w:tcPr>
                  <w:tcW w:w="473" w:type="pct"/>
                  <w:vAlign w:val="center"/>
                </w:tcPr>
                <w:p>
                  <w:pPr>
                    <w:jc w:val="center"/>
                    <w:rPr>
                      <w:rFonts w:cs="Times New Roman"/>
                      <w:szCs w:val="21"/>
                    </w:rPr>
                  </w:pPr>
                  <w:r>
                    <w:rPr>
                      <w:rFonts w:hint="eastAsia" w:cs="Times New Roman"/>
                      <w:szCs w:val="21"/>
                    </w:rPr>
                    <w:t>西北</w:t>
                  </w:r>
                </w:p>
              </w:tc>
              <w:tc>
                <w:tcPr>
                  <w:tcW w:w="719" w:type="pct"/>
                  <w:vAlign w:val="center"/>
                </w:tcPr>
                <w:p>
                  <w:pPr>
                    <w:jc w:val="center"/>
                    <w:rPr>
                      <w:rFonts w:cs="Times New Roman"/>
                      <w:szCs w:val="21"/>
                    </w:rPr>
                  </w:pPr>
                  <w:r>
                    <w:rPr>
                      <w:rFonts w:hint="eastAsia" w:cs="Times New Roman"/>
                      <w:szCs w:val="21"/>
                    </w:rPr>
                    <w:t>1315~1438</w:t>
                  </w:r>
                </w:p>
              </w:tc>
              <w:tc>
                <w:tcPr>
                  <w:tcW w:w="555" w:type="pct"/>
                  <w:vAlign w:val="center"/>
                </w:tcPr>
                <w:p>
                  <w:pPr>
                    <w:jc w:val="center"/>
                    <w:rPr>
                      <w:rFonts w:cs="Times New Roman"/>
                      <w:szCs w:val="21"/>
                    </w:rPr>
                  </w:pPr>
                  <w:r>
                    <w:rPr>
                      <w:rFonts w:hint="eastAsia" w:cs="Times New Roman"/>
                      <w:szCs w:val="21"/>
                    </w:rPr>
                    <w:t>约1</w:t>
                  </w:r>
                  <w:r>
                    <w:rPr>
                      <w:rFonts w:cs="Times New Roman"/>
                      <w:szCs w:val="21"/>
                    </w:rPr>
                    <w:t>5</w:t>
                  </w:r>
                  <w:r>
                    <w:rPr>
                      <w:rFonts w:hint="eastAsia" w:cs="Times New Roman"/>
                      <w:szCs w:val="21"/>
                    </w:rPr>
                    <w:t>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jc w:val="center"/>
                    <w:rPr>
                      <w:rFonts w:cs="Times New Roman"/>
                      <w:szCs w:val="21"/>
                    </w:rPr>
                  </w:pPr>
                  <w:r>
                    <w:rPr>
                      <w:rFonts w:hint="eastAsia" w:cs="Times New Roman"/>
                      <w:szCs w:val="21"/>
                    </w:rPr>
                    <w:t>15</w:t>
                  </w:r>
                </w:p>
              </w:tc>
              <w:tc>
                <w:tcPr>
                  <w:tcW w:w="634" w:type="pct"/>
                  <w:vAlign w:val="center"/>
                </w:tcPr>
                <w:p>
                  <w:pPr>
                    <w:jc w:val="center"/>
                    <w:rPr>
                      <w:rFonts w:cs="Times New Roman"/>
                      <w:szCs w:val="21"/>
                    </w:rPr>
                  </w:pPr>
                  <w:r>
                    <w:rPr>
                      <w:rFonts w:hint="eastAsia" w:cs="Times New Roman"/>
                      <w:szCs w:val="21"/>
                    </w:rPr>
                    <w:t>沙沟农户</w:t>
                  </w:r>
                </w:p>
              </w:tc>
              <w:tc>
                <w:tcPr>
                  <w:tcW w:w="476" w:type="pct"/>
                  <w:vAlign w:val="center"/>
                </w:tcPr>
                <w:p>
                  <w:pPr>
                    <w:jc w:val="center"/>
                    <w:rPr>
                      <w:rFonts w:cs="Times New Roman"/>
                      <w:szCs w:val="21"/>
                    </w:rPr>
                  </w:pPr>
                  <w:r>
                    <w:rPr>
                      <w:rFonts w:hint="eastAsia" w:cs="Times New Roman"/>
                      <w:szCs w:val="21"/>
                    </w:rPr>
                    <w:t>西北</w:t>
                  </w:r>
                </w:p>
              </w:tc>
              <w:tc>
                <w:tcPr>
                  <w:tcW w:w="717" w:type="pct"/>
                  <w:vAlign w:val="center"/>
                </w:tcPr>
                <w:p>
                  <w:pPr>
                    <w:jc w:val="center"/>
                    <w:rPr>
                      <w:rFonts w:cs="Times New Roman"/>
                      <w:szCs w:val="21"/>
                    </w:rPr>
                  </w:pPr>
                  <w:r>
                    <w:rPr>
                      <w:rFonts w:hint="eastAsia" w:cs="Times New Roman"/>
                      <w:szCs w:val="21"/>
                    </w:rPr>
                    <w:t>4</w:t>
                  </w:r>
                  <w:r>
                    <w:rPr>
                      <w:rFonts w:cs="Times New Roman"/>
                      <w:szCs w:val="21"/>
                    </w:rPr>
                    <w:t>76</w:t>
                  </w:r>
                </w:p>
              </w:tc>
              <w:tc>
                <w:tcPr>
                  <w:tcW w:w="473" w:type="pct"/>
                  <w:vAlign w:val="center"/>
                </w:tcPr>
                <w:p>
                  <w:pPr>
                    <w:jc w:val="center"/>
                    <w:rPr>
                      <w:rFonts w:cs="Times New Roman"/>
                      <w:szCs w:val="21"/>
                    </w:rPr>
                  </w:pPr>
                  <w:r>
                    <w:rPr>
                      <w:rFonts w:hint="eastAsia" w:cs="Times New Roman"/>
                      <w:szCs w:val="21"/>
                    </w:rPr>
                    <w:t>西北</w:t>
                  </w:r>
                </w:p>
              </w:tc>
              <w:tc>
                <w:tcPr>
                  <w:tcW w:w="719" w:type="pct"/>
                  <w:vAlign w:val="center"/>
                </w:tcPr>
                <w:p>
                  <w:pPr>
                    <w:jc w:val="center"/>
                    <w:rPr>
                      <w:rFonts w:cs="Times New Roman"/>
                      <w:szCs w:val="21"/>
                    </w:rPr>
                  </w:pPr>
                  <w:r>
                    <w:rPr>
                      <w:rFonts w:hint="eastAsia" w:cs="Times New Roman"/>
                      <w:szCs w:val="21"/>
                    </w:rPr>
                    <w:t>1556</w:t>
                  </w:r>
                </w:p>
              </w:tc>
              <w:tc>
                <w:tcPr>
                  <w:tcW w:w="555" w:type="pct"/>
                  <w:vAlign w:val="center"/>
                </w:tcPr>
                <w:p>
                  <w:pPr>
                    <w:jc w:val="center"/>
                    <w:rPr>
                      <w:rFonts w:cs="Times New Roman"/>
                      <w:szCs w:val="21"/>
                    </w:rPr>
                  </w:pPr>
                  <w:r>
                    <w:rPr>
                      <w:rFonts w:hint="eastAsia" w:cs="Times New Roman"/>
                      <w:szCs w:val="21"/>
                    </w:rPr>
                    <w:t>约5户</w:t>
                  </w:r>
                </w:p>
              </w:tc>
              <w:tc>
                <w:tcPr>
                  <w:tcW w:w="397" w:type="pct"/>
                  <w:vAlign w:val="center"/>
                </w:tcPr>
                <w:p>
                  <w:pPr>
                    <w:jc w:val="center"/>
                    <w:rPr>
                      <w:rFonts w:cs="Times New Roman"/>
                      <w:szCs w:val="21"/>
                    </w:rPr>
                  </w:pPr>
                  <w:r>
                    <w:rPr>
                      <w:rFonts w:cs="Times New Roman"/>
                      <w:szCs w:val="21"/>
                    </w:rPr>
                    <w:t>住宅</w:t>
                  </w:r>
                </w:p>
              </w:tc>
              <w:tc>
                <w:tcPr>
                  <w:tcW w:w="723" w:type="pct"/>
                  <w:vMerge w:val="continue"/>
                  <w:vAlign w:val="center"/>
                </w:tcPr>
                <w:p>
                  <w:pPr>
                    <w:jc w:val="center"/>
                    <w:rPr>
                      <w:rFonts w:cs="Times New Roman"/>
                      <w:szCs w:val="21"/>
                    </w:rPr>
                  </w:pPr>
                </w:p>
              </w:tc>
            </w:tr>
          </w:tbl>
          <w:p>
            <w:pPr>
              <w:spacing w:line="360" w:lineRule="auto"/>
              <w:ind w:firstLine="482" w:firstLineChars="200"/>
              <w:rPr>
                <w:rFonts w:cs="Times New Roman"/>
                <w:b/>
                <w:sz w:val="24"/>
                <w:szCs w:val="24"/>
              </w:rPr>
            </w:pPr>
            <w:r>
              <w:rPr>
                <w:rFonts w:hint="eastAsia" w:cs="Times New Roman"/>
                <w:b/>
                <w:sz w:val="24"/>
                <w:szCs w:val="24"/>
              </w:rPr>
              <w:t>2、声</w:t>
            </w:r>
            <w:r>
              <w:rPr>
                <w:rFonts w:cs="Times New Roman"/>
                <w:b/>
                <w:sz w:val="24"/>
                <w:szCs w:val="24"/>
              </w:rPr>
              <w:t>环境</w:t>
            </w:r>
          </w:p>
          <w:p>
            <w:pPr>
              <w:spacing w:line="360" w:lineRule="auto"/>
              <w:ind w:firstLine="480" w:firstLineChars="200"/>
              <w:rPr>
                <w:rFonts w:cs="Times New Roman"/>
                <w:sz w:val="24"/>
                <w:szCs w:val="24"/>
              </w:rPr>
            </w:pPr>
            <w:r>
              <w:rPr>
                <w:rFonts w:cs="Times New Roman"/>
                <w:sz w:val="24"/>
                <w:szCs w:val="24"/>
              </w:rPr>
              <w:t>本项目声环境保护目标</w:t>
            </w:r>
            <w:r>
              <w:rPr>
                <w:rFonts w:hint="eastAsia" w:cs="Times New Roman"/>
                <w:sz w:val="24"/>
                <w:szCs w:val="24"/>
              </w:rPr>
              <w:t>为厂界外50m范围内农户区，详</w:t>
            </w:r>
            <w:r>
              <w:rPr>
                <w:rFonts w:cs="Times New Roman"/>
                <w:sz w:val="24"/>
                <w:szCs w:val="24"/>
              </w:rPr>
              <w:t>见下表</w:t>
            </w:r>
            <w:r>
              <w:rPr>
                <w:rFonts w:hint="eastAsia" w:cs="Times New Roman"/>
                <w:sz w:val="24"/>
                <w:szCs w:val="24"/>
              </w:rPr>
              <w:t>。</w:t>
            </w:r>
          </w:p>
          <w:p>
            <w:pPr>
              <w:spacing w:line="360" w:lineRule="auto"/>
              <w:jc w:val="center"/>
              <w:rPr>
                <w:rFonts w:eastAsia="黑体"/>
                <w:szCs w:val="21"/>
              </w:rPr>
            </w:pPr>
            <w:r>
              <w:rPr>
                <w:rFonts w:eastAsia="黑体"/>
                <w:szCs w:val="21"/>
              </w:rPr>
              <w:t>表3</w:t>
            </w:r>
            <w:r>
              <w:rPr>
                <w:rFonts w:hint="eastAsia" w:eastAsia="黑体"/>
                <w:szCs w:val="21"/>
              </w:rPr>
              <w:t>-</w:t>
            </w:r>
            <w:r>
              <w:rPr>
                <w:rFonts w:eastAsia="黑体"/>
                <w:szCs w:val="21"/>
              </w:rPr>
              <w:t xml:space="preserve">10  </w:t>
            </w:r>
            <w:r>
              <w:rPr>
                <w:rFonts w:hint="eastAsia" w:eastAsia="黑体"/>
                <w:szCs w:val="21"/>
              </w:rPr>
              <w:t>声环境保护目标</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524"/>
              <w:gridCol w:w="1143"/>
              <w:gridCol w:w="1721"/>
              <w:gridCol w:w="1056"/>
              <w:gridCol w:w="1056"/>
              <w:gridCol w:w="1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 w:type="pct"/>
                  <w:vMerge w:val="restart"/>
                  <w:vAlign w:val="center"/>
                </w:tcPr>
                <w:p>
                  <w:pPr>
                    <w:jc w:val="center"/>
                    <w:rPr>
                      <w:rFonts w:cs="Times New Roman"/>
                      <w:szCs w:val="21"/>
                    </w:rPr>
                  </w:pPr>
                  <w:r>
                    <w:rPr>
                      <w:rFonts w:cs="Times New Roman"/>
                      <w:szCs w:val="21"/>
                    </w:rPr>
                    <w:t>序号</w:t>
                  </w:r>
                </w:p>
              </w:tc>
              <w:tc>
                <w:tcPr>
                  <w:tcW w:w="833" w:type="pct"/>
                  <w:vMerge w:val="restart"/>
                  <w:vAlign w:val="center"/>
                </w:tcPr>
                <w:p>
                  <w:pPr>
                    <w:jc w:val="center"/>
                    <w:rPr>
                      <w:rFonts w:cs="Times New Roman"/>
                      <w:szCs w:val="21"/>
                    </w:rPr>
                  </w:pPr>
                  <w:r>
                    <w:rPr>
                      <w:rFonts w:cs="Times New Roman"/>
                      <w:szCs w:val="21"/>
                    </w:rPr>
                    <w:t>保护对象</w:t>
                  </w:r>
                </w:p>
              </w:tc>
              <w:tc>
                <w:tcPr>
                  <w:tcW w:w="1566" w:type="pct"/>
                  <w:gridSpan w:val="2"/>
                  <w:vAlign w:val="center"/>
                </w:tcPr>
                <w:p>
                  <w:pPr>
                    <w:jc w:val="center"/>
                    <w:rPr>
                      <w:rFonts w:cs="Times New Roman"/>
                      <w:szCs w:val="21"/>
                    </w:rPr>
                  </w:pPr>
                  <w:r>
                    <w:rPr>
                      <w:rFonts w:hint="eastAsia" w:cs="Times New Roman"/>
                      <w:szCs w:val="21"/>
                    </w:rPr>
                    <w:t>与厂区位置关系</w:t>
                  </w:r>
                </w:p>
              </w:tc>
              <w:tc>
                <w:tcPr>
                  <w:tcW w:w="577" w:type="pct"/>
                  <w:vMerge w:val="restart"/>
                  <w:vAlign w:val="center"/>
                </w:tcPr>
                <w:p>
                  <w:pPr>
                    <w:jc w:val="center"/>
                    <w:rPr>
                      <w:rFonts w:cs="Times New Roman"/>
                      <w:szCs w:val="21"/>
                    </w:rPr>
                  </w:pPr>
                  <w:r>
                    <w:rPr>
                      <w:rFonts w:cs="Times New Roman"/>
                      <w:szCs w:val="21"/>
                    </w:rPr>
                    <w:t>规模</w:t>
                  </w:r>
                </w:p>
              </w:tc>
              <w:tc>
                <w:tcPr>
                  <w:tcW w:w="577" w:type="pct"/>
                  <w:vMerge w:val="restart"/>
                  <w:vAlign w:val="center"/>
                </w:tcPr>
                <w:p>
                  <w:pPr>
                    <w:jc w:val="center"/>
                    <w:rPr>
                      <w:rFonts w:cs="Times New Roman"/>
                      <w:szCs w:val="21"/>
                    </w:rPr>
                  </w:pPr>
                  <w:r>
                    <w:rPr>
                      <w:rFonts w:cs="Times New Roman"/>
                      <w:szCs w:val="21"/>
                    </w:rPr>
                    <w:t>性质</w:t>
                  </w:r>
                </w:p>
              </w:tc>
              <w:tc>
                <w:tcPr>
                  <w:tcW w:w="1045" w:type="pct"/>
                  <w:vMerge w:val="restart"/>
                  <w:vAlign w:val="center"/>
                </w:tcPr>
                <w:p>
                  <w:pPr>
                    <w:jc w:val="center"/>
                    <w:rPr>
                      <w:rFonts w:cs="Times New Roman"/>
                      <w:szCs w:val="21"/>
                    </w:rPr>
                  </w:pPr>
                  <w:r>
                    <w:rPr>
                      <w:rFonts w:cs="Times New Roman"/>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vMerge w:val="continue"/>
                  <w:vAlign w:val="center"/>
                </w:tcPr>
                <w:p>
                  <w:pPr>
                    <w:jc w:val="center"/>
                    <w:rPr>
                      <w:rFonts w:cs="Times New Roman"/>
                      <w:szCs w:val="21"/>
                    </w:rPr>
                  </w:pPr>
                </w:p>
              </w:tc>
              <w:tc>
                <w:tcPr>
                  <w:tcW w:w="833" w:type="pct"/>
                  <w:vMerge w:val="continue"/>
                  <w:vAlign w:val="center"/>
                </w:tcPr>
                <w:p>
                  <w:pPr>
                    <w:jc w:val="center"/>
                    <w:rPr>
                      <w:rFonts w:cs="Times New Roman"/>
                      <w:szCs w:val="21"/>
                    </w:rPr>
                  </w:pPr>
                </w:p>
              </w:tc>
              <w:tc>
                <w:tcPr>
                  <w:tcW w:w="625" w:type="pct"/>
                  <w:vAlign w:val="center"/>
                </w:tcPr>
                <w:p>
                  <w:pPr>
                    <w:jc w:val="center"/>
                    <w:rPr>
                      <w:rFonts w:cs="Times New Roman"/>
                      <w:szCs w:val="21"/>
                    </w:rPr>
                  </w:pPr>
                  <w:r>
                    <w:rPr>
                      <w:rFonts w:cs="Times New Roman"/>
                      <w:szCs w:val="21"/>
                    </w:rPr>
                    <w:t>方位</w:t>
                  </w:r>
                </w:p>
              </w:tc>
              <w:tc>
                <w:tcPr>
                  <w:tcW w:w="941" w:type="pct"/>
                  <w:vAlign w:val="center"/>
                </w:tcPr>
                <w:p>
                  <w:pPr>
                    <w:jc w:val="center"/>
                    <w:rPr>
                      <w:rFonts w:cs="Times New Roman"/>
                      <w:szCs w:val="21"/>
                    </w:rPr>
                  </w:pPr>
                  <w:r>
                    <w:rPr>
                      <w:rFonts w:hint="eastAsia" w:cs="Times New Roman"/>
                      <w:szCs w:val="21"/>
                    </w:rPr>
                    <w:t>距</w:t>
                  </w:r>
                  <w:r>
                    <w:rPr>
                      <w:rFonts w:cs="Times New Roman"/>
                      <w:szCs w:val="21"/>
                    </w:rPr>
                    <w:t>离</w:t>
                  </w:r>
                  <w:r>
                    <w:rPr>
                      <w:rFonts w:hint="eastAsia" w:cs="Times New Roman"/>
                      <w:szCs w:val="21"/>
                    </w:rPr>
                    <w:t>（m）</w:t>
                  </w:r>
                </w:p>
              </w:tc>
              <w:tc>
                <w:tcPr>
                  <w:tcW w:w="577" w:type="pct"/>
                  <w:vMerge w:val="continue"/>
                  <w:vAlign w:val="center"/>
                </w:tcPr>
                <w:p>
                  <w:pPr>
                    <w:jc w:val="center"/>
                    <w:rPr>
                      <w:rFonts w:cs="Times New Roman"/>
                      <w:szCs w:val="21"/>
                    </w:rPr>
                  </w:pPr>
                </w:p>
              </w:tc>
              <w:tc>
                <w:tcPr>
                  <w:tcW w:w="577" w:type="pct"/>
                  <w:vMerge w:val="continue"/>
                  <w:vAlign w:val="center"/>
                </w:tcPr>
                <w:p>
                  <w:pPr>
                    <w:jc w:val="center"/>
                    <w:rPr>
                      <w:rFonts w:cs="Times New Roman"/>
                      <w:szCs w:val="21"/>
                    </w:rPr>
                  </w:pPr>
                </w:p>
              </w:tc>
              <w:tc>
                <w:tcPr>
                  <w:tcW w:w="1045"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vAlign w:val="center"/>
                </w:tcPr>
                <w:p>
                  <w:pPr>
                    <w:jc w:val="center"/>
                    <w:rPr>
                      <w:rFonts w:cs="Times New Roman"/>
                      <w:szCs w:val="21"/>
                    </w:rPr>
                  </w:pPr>
                  <w:r>
                    <w:rPr>
                      <w:rFonts w:hint="eastAsia" w:cs="Times New Roman"/>
                      <w:szCs w:val="21"/>
                    </w:rPr>
                    <w:t>1</w:t>
                  </w:r>
                </w:p>
              </w:tc>
              <w:tc>
                <w:tcPr>
                  <w:tcW w:w="833" w:type="pct"/>
                  <w:vAlign w:val="center"/>
                </w:tcPr>
                <w:p>
                  <w:pPr>
                    <w:jc w:val="center"/>
                    <w:rPr>
                      <w:rFonts w:cs="Times New Roman"/>
                      <w:szCs w:val="21"/>
                    </w:rPr>
                  </w:pPr>
                  <w:r>
                    <w:rPr>
                      <w:rFonts w:hint="eastAsia" w:cs="Times New Roman"/>
                      <w:szCs w:val="21"/>
                    </w:rPr>
                    <w:t>花朝门农户</w:t>
                  </w:r>
                </w:p>
              </w:tc>
              <w:tc>
                <w:tcPr>
                  <w:tcW w:w="625" w:type="pct"/>
                  <w:vAlign w:val="center"/>
                </w:tcPr>
                <w:p>
                  <w:pPr>
                    <w:jc w:val="center"/>
                    <w:rPr>
                      <w:rFonts w:cs="Times New Roman"/>
                      <w:szCs w:val="21"/>
                    </w:rPr>
                  </w:pPr>
                  <w:r>
                    <w:rPr>
                      <w:rFonts w:hint="eastAsia" w:cs="Times New Roman"/>
                      <w:szCs w:val="21"/>
                    </w:rPr>
                    <w:t>北侧</w:t>
                  </w:r>
                </w:p>
              </w:tc>
              <w:tc>
                <w:tcPr>
                  <w:tcW w:w="941" w:type="pct"/>
                  <w:vAlign w:val="center"/>
                </w:tcPr>
                <w:p>
                  <w:pPr>
                    <w:jc w:val="center"/>
                    <w:rPr>
                      <w:rFonts w:cs="Times New Roman"/>
                      <w:szCs w:val="21"/>
                    </w:rPr>
                  </w:pPr>
                  <w:r>
                    <w:rPr>
                      <w:rFonts w:hint="eastAsia" w:cs="Times New Roman"/>
                      <w:szCs w:val="21"/>
                    </w:rPr>
                    <w:t>4</w:t>
                  </w:r>
                  <w:r>
                    <w:rPr>
                      <w:rFonts w:cs="Times New Roman"/>
                      <w:szCs w:val="21"/>
                    </w:rPr>
                    <w:t>~50</w:t>
                  </w:r>
                </w:p>
              </w:tc>
              <w:tc>
                <w:tcPr>
                  <w:tcW w:w="577" w:type="pct"/>
                  <w:vAlign w:val="center"/>
                </w:tcPr>
                <w:p>
                  <w:pPr>
                    <w:jc w:val="center"/>
                    <w:rPr>
                      <w:rFonts w:cs="Times New Roman"/>
                      <w:szCs w:val="21"/>
                    </w:rPr>
                  </w:pPr>
                  <w:r>
                    <w:rPr>
                      <w:rFonts w:hint="eastAsia" w:cs="Times New Roman"/>
                      <w:szCs w:val="21"/>
                    </w:rPr>
                    <w:t>约4户</w:t>
                  </w:r>
                </w:p>
              </w:tc>
              <w:tc>
                <w:tcPr>
                  <w:tcW w:w="577" w:type="pct"/>
                  <w:vAlign w:val="center"/>
                </w:tcPr>
                <w:p>
                  <w:pPr>
                    <w:jc w:val="center"/>
                    <w:rPr>
                      <w:rFonts w:cs="Times New Roman"/>
                      <w:szCs w:val="21"/>
                    </w:rPr>
                  </w:pPr>
                  <w:r>
                    <w:rPr>
                      <w:rFonts w:hint="eastAsia" w:cs="Times New Roman"/>
                      <w:szCs w:val="21"/>
                    </w:rPr>
                    <w:t>住宅</w:t>
                  </w:r>
                </w:p>
              </w:tc>
              <w:tc>
                <w:tcPr>
                  <w:tcW w:w="1045" w:type="pct"/>
                  <w:vMerge w:val="restart"/>
                  <w:vAlign w:val="center"/>
                </w:tcPr>
                <w:p>
                  <w:pPr>
                    <w:jc w:val="center"/>
                    <w:rPr>
                      <w:rFonts w:cs="Times New Roman"/>
                      <w:szCs w:val="21"/>
                    </w:rPr>
                  </w:pPr>
                  <w:r>
                    <w:rPr>
                      <w:rFonts w:hint="eastAsia" w:cs="Times New Roman"/>
                      <w:szCs w:val="21"/>
                    </w:rPr>
                    <w:t>《声环境质量标准》（GB3096-2008）4a类标准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vAlign w:val="center"/>
                </w:tcPr>
                <w:p>
                  <w:pPr>
                    <w:jc w:val="center"/>
                    <w:rPr>
                      <w:rFonts w:cs="Times New Roman"/>
                      <w:szCs w:val="21"/>
                    </w:rPr>
                  </w:pPr>
                  <w:r>
                    <w:rPr>
                      <w:rFonts w:hint="eastAsia" w:cs="Times New Roman"/>
                      <w:szCs w:val="21"/>
                    </w:rPr>
                    <w:t>2</w:t>
                  </w:r>
                </w:p>
              </w:tc>
              <w:tc>
                <w:tcPr>
                  <w:tcW w:w="833" w:type="pct"/>
                  <w:vAlign w:val="center"/>
                </w:tcPr>
                <w:p>
                  <w:pPr>
                    <w:jc w:val="center"/>
                    <w:rPr>
                      <w:rFonts w:cs="Times New Roman"/>
                      <w:szCs w:val="21"/>
                    </w:rPr>
                  </w:pPr>
                  <w:r>
                    <w:rPr>
                      <w:rFonts w:hint="eastAsia" w:cs="Times New Roman"/>
                      <w:szCs w:val="21"/>
                    </w:rPr>
                    <w:t>刘家场</w:t>
                  </w:r>
                  <w:r>
                    <w:rPr>
                      <w:rFonts w:cs="Times New Roman"/>
                      <w:szCs w:val="21"/>
                    </w:rPr>
                    <w:t>1</w:t>
                  </w:r>
                  <w:r>
                    <w:rPr>
                      <w:rFonts w:hint="eastAsia" w:cs="Times New Roman"/>
                      <w:szCs w:val="21"/>
                    </w:rPr>
                    <w:t>农户</w:t>
                  </w:r>
                </w:p>
              </w:tc>
              <w:tc>
                <w:tcPr>
                  <w:tcW w:w="625" w:type="pct"/>
                  <w:vAlign w:val="center"/>
                </w:tcPr>
                <w:p>
                  <w:pPr>
                    <w:jc w:val="center"/>
                    <w:rPr>
                      <w:rFonts w:cs="Times New Roman"/>
                      <w:szCs w:val="21"/>
                    </w:rPr>
                  </w:pPr>
                  <w:r>
                    <w:rPr>
                      <w:rFonts w:hint="eastAsia" w:cs="Times New Roman"/>
                      <w:szCs w:val="21"/>
                    </w:rPr>
                    <w:t>西侧</w:t>
                  </w:r>
                </w:p>
              </w:tc>
              <w:tc>
                <w:tcPr>
                  <w:tcW w:w="941" w:type="pct"/>
                  <w:vAlign w:val="center"/>
                </w:tcPr>
                <w:p>
                  <w:pPr>
                    <w:jc w:val="center"/>
                    <w:rPr>
                      <w:rFonts w:cs="Times New Roman"/>
                      <w:szCs w:val="21"/>
                    </w:rPr>
                  </w:pPr>
                  <w:r>
                    <w:rPr>
                      <w:rFonts w:cs="Times New Roman"/>
                      <w:szCs w:val="21"/>
                    </w:rPr>
                    <w:t>1</w:t>
                  </w:r>
                  <w:r>
                    <w:rPr>
                      <w:rFonts w:hint="eastAsia" w:cs="Times New Roman"/>
                      <w:szCs w:val="21"/>
                    </w:rPr>
                    <w:t>~</w:t>
                  </w:r>
                  <w:r>
                    <w:rPr>
                      <w:rFonts w:cs="Times New Roman"/>
                      <w:szCs w:val="21"/>
                    </w:rPr>
                    <w:t>50</w:t>
                  </w:r>
                </w:p>
              </w:tc>
              <w:tc>
                <w:tcPr>
                  <w:tcW w:w="577" w:type="pct"/>
                  <w:vAlign w:val="center"/>
                </w:tcPr>
                <w:p>
                  <w:pPr>
                    <w:jc w:val="center"/>
                    <w:rPr>
                      <w:rFonts w:cs="Times New Roman"/>
                      <w:szCs w:val="21"/>
                    </w:rPr>
                  </w:pPr>
                  <w:r>
                    <w:rPr>
                      <w:rFonts w:hint="eastAsia" w:cs="Times New Roman"/>
                      <w:szCs w:val="21"/>
                    </w:rPr>
                    <w:t>约</w:t>
                  </w:r>
                  <w:r>
                    <w:rPr>
                      <w:rFonts w:cs="Times New Roman"/>
                      <w:szCs w:val="21"/>
                    </w:rPr>
                    <w:t>14</w:t>
                  </w:r>
                  <w:r>
                    <w:rPr>
                      <w:rFonts w:hint="eastAsia" w:cs="Times New Roman"/>
                      <w:szCs w:val="21"/>
                    </w:rPr>
                    <w:t>户</w:t>
                  </w:r>
                </w:p>
              </w:tc>
              <w:tc>
                <w:tcPr>
                  <w:tcW w:w="577" w:type="pct"/>
                  <w:vAlign w:val="center"/>
                </w:tcPr>
                <w:p>
                  <w:pPr>
                    <w:jc w:val="center"/>
                    <w:rPr>
                      <w:rFonts w:cs="Times New Roman"/>
                      <w:szCs w:val="21"/>
                    </w:rPr>
                  </w:pPr>
                  <w:r>
                    <w:rPr>
                      <w:rFonts w:cs="Times New Roman"/>
                      <w:szCs w:val="21"/>
                    </w:rPr>
                    <w:t>住宅</w:t>
                  </w:r>
                </w:p>
              </w:tc>
              <w:tc>
                <w:tcPr>
                  <w:tcW w:w="1045" w:type="pct"/>
                  <w:vMerge w:val="continue"/>
                  <w:vAlign w:val="center"/>
                </w:tcPr>
                <w:p>
                  <w:pPr>
                    <w:jc w:val="center"/>
                    <w:rPr>
                      <w:rFonts w:cs="Times New Roman"/>
                      <w:szCs w:val="21"/>
                    </w:rPr>
                  </w:pPr>
                </w:p>
              </w:tc>
            </w:tr>
          </w:tbl>
          <w:p>
            <w:pPr>
              <w:spacing w:line="360" w:lineRule="auto"/>
              <w:ind w:firstLine="482" w:firstLineChars="200"/>
              <w:rPr>
                <w:rFonts w:cs="Times New Roman"/>
                <w:b/>
                <w:sz w:val="24"/>
                <w:szCs w:val="24"/>
              </w:rPr>
            </w:pPr>
            <w:r>
              <w:rPr>
                <w:rFonts w:hint="eastAsia" w:cs="Times New Roman"/>
                <w:b/>
                <w:sz w:val="24"/>
                <w:szCs w:val="24"/>
              </w:rPr>
              <w:t>3、地下水</w:t>
            </w:r>
            <w:r>
              <w:rPr>
                <w:rFonts w:cs="Times New Roman"/>
                <w:b/>
                <w:sz w:val="24"/>
                <w:szCs w:val="24"/>
              </w:rPr>
              <w:t>环境</w:t>
            </w:r>
          </w:p>
          <w:p>
            <w:pPr>
              <w:spacing w:line="360" w:lineRule="auto"/>
              <w:ind w:firstLine="480" w:firstLineChars="200"/>
              <w:rPr>
                <w:rFonts w:cs="Times New Roman"/>
                <w:sz w:val="24"/>
                <w:szCs w:val="24"/>
              </w:rPr>
            </w:pPr>
            <w:r>
              <w:rPr>
                <w:rFonts w:cs="Times New Roman"/>
                <w:sz w:val="24"/>
                <w:szCs w:val="24"/>
              </w:rPr>
              <w:t>本项目厂界外500m范围内无地下水集中式饮用水水源和热水</w:t>
            </w:r>
            <w:r>
              <w:rPr>
                <w:rFonts w:hint="eastAsia" w:cs="Times New Roman"/>
                <w:sz w:val="24"/>
                <w:szCs w:val="24"/>
              </w:rPr>
              <w:t>、矿泉水、温泉等特殊地下水资源。</w:t>
            </w:r>
          </w:p>
          <w:p>
            <w:pPr>
              <w:spacing w:line="360" w:lineRule="auto"/>
              <w:ind w:firstLine="482" w:firstLineChars="200"/>
              <w:rPr>
                <w:rFonts w:cs="Times New Roman"/>
                <w:b/>
                <w:sz w:val="24"/>
                <w:szCs w:val="24"/>
              </w:rPr>
            </w:pPr>
            <w:r>
              <w:rPr>
                <w:rFonts w:hint="eastAsia" w:cs="Times New Roman"/>
                <w:b/>
                <w:sz w:val="24"/>
                <w:szCs w:val="24"/>
              </w:rPr>
              <w:t>4、生态</w:t>
            </w:r>
            <w:r>
              <w:rPr>
                <w:rFonts w:cs="Times New Roman"/>
                <w:b/>
                <w:sz w:val="24"/>
                <w:szCs w:val="24"/>
              </w:rPr>
              <w:t>环境</w:t>
            </w:r>
          </w:p>
          <w:p>
            <w:pPr>
              <w:spacing w:line="360" w:lineRule="auto"/>
              <w:ind w:firstLine="480" w:firstLineChars="200"/>
              <w:rPr>
                <w:rFonts w:cs="Times New Roman"/>
                <w:b/>
                <w:sz w:val="24"/>
                <w:szCs w:val="24"/>
              </w:rPr>
            </w:pPr>
            <w:r>
              <w:rPr>
                <w:rFonts w:cs="Times New Roman"/>
                <w:sz w:val="24"/>
                <w:szCs w:val="24"/>
              </w:rPr>
              <w:t>本项目用地</w:t>
            </w:r>
            <w:r>
              <w:rPr>
                <w:rFonts w:hint="eastAsia" w:cs="Times New Roman"/>
                <w:sz w:val="24"/>
                <w:szCs w:val="24"/>
              </w:rPr>
              <w:t>范围内</w:t>
            </w:r>
            <w:r>
              <w:rPr>
                <w:rFonts w:cs="Times New Roman"/>
                <w:sz w:val="24"/>
                <w:szCs w:val="24"/>
              </w:rPr>
              <w:t>无生态环境保护目标</w:t>
            </w:r>
            <w:r>
              <w:rPr>
                <w:rFonts w:hint="eastAsia"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pPr>
              <w:spacing w:line="360" w:lineRule="auto"/>
              <w:jc w:val="center"/>
              <w:rPr>
                <w:rFonts w:cs="Times New Roman"/>
                <w:sz w:val="24"/>
                <w:szCs w:val="24"/>
              </w:rPr>
            </w:pPr>
            <w:r>
              <w:rPr>
                <w:rFonts w:hint="eastAsia" w:cs="Times New Roman"/>
                <w:sz w:val="24"/>
                <w:szCs w:val="24"/>
              </w:rPr>
              <w:t>污染物排放控制标准</w:t>
            </w:r>
          </w:p>
        </w:tc>
        <w:tc>
          <w:tcPr>
            <w:tcW w:w="4756" w:type="pct"/>
            <w:vAlign w:val="center"/>
          </w:tcPr>
          <w:p>
            <w:pPr>
              <w:spacing w:line="360" w:lineRule="auto"/>
              <w:ind w:firstLine="482" w:firstLineChars="200"/>
              <w:rPr>
                <w:rFonts w:cs="Times New Roman"/>
                <w:b/>
                <w:sz w:val="24"/>
                <w:szCs w:val="24"/>
              </w:rPr>
            </w:pPr>
            <w:r>
              <w:rPr>
                <w:rFonts w:cs="Times New Roman"/>
                <w:b/>
                <w:sz w:val="24"/>
                <w:szCs w:val="24"/>
              </w:rPr>
              <w:t>1、废气</w:t>
            </w:r>
          </w:p>
          <w:p>
            <w:pPr>
              <w:spacing w:line="360" w:lineRule="auto"/>
              <w:ind w:firstLine="480" w:firstLineChars="200"/>
              <w:rPr>
                <w:rFonts w:cs="Times New Roman"/>
                <w:sz w:val="24"/>
                <w:szCs w:val="24"/>
              </w:rPr>
            </w:pPr>
            <w:r>
              <w:rPr>
                <w:rFonts w:hint="eastAsia" w:cs="Times New Roman"/>
                <w:sz w:val="24"/>
                <w:szCs w:val="24"/>
              </w:rPr>
              <w:t>项目施工期执行《四川省施工场地扬尘排放标准》（DB51/2682-2020）表1中排放限值。</w:t>
            </w:r>
          </w:p>
          <w:p>
            <w:pPr>
              <w:spacing w:line="360" w:lineRule="auto"/>
              <w:jc w:val="center"/>
              <w:rPr>
                <w:rFonts w:eastAsia="黑体"/>
                <w:szCs w:val="21"/>
              </w:rPr>
            </w:pPr>
            <w:r>
              <w:rPr>
                <w:rFonts w:eastAsia="黑体"/>
                <w:szCs w:val="21"/>
              </w:rPr>
              <w:t>表3</w:t>
            </w:r>
            <w:r>
              <w:rPr>
                <w:rFonts w:hint="eastAsia" w:eastAsia="黑体"/>
                <w:szCs w:val="21"/>
              </w:rPr>
              <w:t>-</w:t>
            </w:r>
            <w:r>
              <w:rPr>
                <w:rFonts w:eastAsia="黑体"/>
                <w:szCs w:val="21"/>
              </w:rPr>
              <w:t xml:space="preserve">11  </w:t>
            </w:r>
            <w:r>
              <w:rPr>
                <w:rFonts w:hint="eastAsia" w:eastAsia="黑体"/>
                <w:szCs w:val="21"/>
              </w:rPr>
              <w:t>施工扬尘排放标准限值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718"/>
              <w:gridCol w:w="2509"/>
              <w:gridCol w:w="2328"/>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jc w:val="center"/>
                    <w:rPr>
                      <w:rFonts w:cstheme="minorHAnsi"/>
                      <w:szCs w:val="21"/>
                    </w:rPr>
                  </w:pPr>
                  <w:r>
                    <w:rPr>
                      <w:rFonts w:cstheme="minorHAnsi"/>
                      <w:szCs w:val="21"/>
                    </w:rPr>
                    <w:t>序号</w:t>
                  </w:r>
                </w:p>
              </w:tc>
              <w:tc>
                <w:tcPr>
                  <w:tcW w:w="1678" w:type="dxa"/>
                  <w:vAlign w:val="center"/>
                </w:tcPr>
                <w:p>
                  <w:pPr>
                    <w:jc w:val="center"/>
                    <w:rPr>
                      <w:rFonts w:cstheme="minorHAnsi"/>
                      <w:szCs w:val="21"/>
                    </w:rPr>
                  </w:pPr>
                  <w:r>
                    <w:rPr>
                      <w:rFonts w:cstheme="minorHAnsi"/>
                      <w:szCs w:val="21"/>
                    </w:rPr>
                    <w:t>污染物</w:t>
                  </w:r>
                </w:p>
              </w:tc>
              <w:tc>
                <w:tcPr>
                  <w:tcW w:w="2450" w:type="dxa"/>
                  <w:vAlign w:val="center"/>
                </w:tcPr>
                <w:p>
                  <w:pPr>
                    <w:jc w:val="center"/>
                    <w:rPr>
                      <w:rFonts w:cstheme="minorHAnsi"/>
                      <w:szCs w:val="21"/>
                    </w:rPr>
                  </w:pPr>
                  <w:r>
                    <w:rPr>
                      <w:rFonts w:hint="eastAsia" w:cstheme="minorHAnsi"/>
                      <w:szCs w:val="21"/>
                    </w:rPr>
                    <w:t>施工阶段</w:t>
                  </w:r>
                </w:p>
              </w:tc>
              <w:tc>
                <w:tcPr>
                  <w:tcW w:w="2273" w:type="dxa"/>
                  <w:vAlign w:val="center"/>
                </w:tcPr>
                <w:p>
                  <w:pPr>
                    <w:jc w:val="center"/>
                    <w:rPr>
                      <w:rFonts w:cstheme="minorHAnsi"/>
                      <w:szCs w:val="21"/>
                    </w:rPr>
                  </w:pPr>
                  <w:r>
                    <w:rPr>
                      <w:rFonts w:hint="eastAsia" w:cstheme="minorHAnsi"/>
                      <w:szCs w:val="21"/>
                    </w:rPr>
                    <w:t>监测点</w:t>
                  </w:r>
                  <w:r>
                    <w:rPr>
                      <w:rFonts w:cstheme="minorHAnsi"/>
                      <w:szCs w:val="21"/>
                    </w:rPr>
                    <w:t>排放限值</w:t>
                  </w:r>
                  <w:r>
                    <w:rPr>
                      <w:rFonts w:hint="eastAsia" w:cstheme="minorHAnsi"/>
                      <w:szCs w:val="21"/>
                    </w:rPr>
                    <w:t>（</w:t>
                  </w:r>
                  <w:r>
                    <w:rPr>
                      <w:rFonts w:cstheme="minorHAnsi"/>
                      <w:szCs w:val="21"/>
                    </w:rPr>
                    <w:t>m</w:t>
                  </w:r>
                  <w:r>
                    <w:rPr>
                      <w:rFonts w:hint="eastAsia" w:cstheme="minorHAnsi"/>
                      <w:szCs w:val="21"/>
                    </w:rPr>
                    <w:t>g</w:t>
                  </w:r>
                  <w:r>
                    <w:rPr>
                      <w:rFonts w:cstheme="minorHAnsi"/>
                      <w:szCs w:val="21"/>
                    </w:rPr>
                    <w:t>/m</w:t>
                  </w:r>
                  <w:r>
                    <w:rPr>
                      <w:rFonts w:cstheme="minorHAnsi"/>
                      <w:szCs w:val="21"/>
                      <w:vertAlign w:val="superscript"/>
                    </w:rPr>
                    <w:t>3</w:t>
                  </w:r>
                  <w:r>
                    <w:rPr>
                      <w:rFonts w:cstheme="minorHAnsi"/>
                      <w:szCs w:val="21"/>
                    </w:rPr>
                    <w:t>）</w:t>
                  </w:r>
                </w:p>
              </w:tc>
              <w:tc>
                <w:tcPr>
                  <w:tcW w:w="1703" w:type="dxa"/>
                  <w:vAlign w:val="center"/>
                </w:tcPr>
                <w:p>
                  <w:pPr>
                    <w:jc w:val="center"/>
                    <w:rPr>
                      <w:rFonts w:cstheme="minorHAnsi"/>
                      <w:szCs w:val="21"/>
                    </w:rPr>
                  </w:pPr>
                  <w:r>
                    <w:rPr>
                      <w:rFonts w:hint="eastAsia" w:cstheme="minorHAnsi"/>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Merge w:val="restart"/>
                  <w:vAlign w:val="center"/>
                </w:tcPr>
                <w:p>
                  <w:pPr>
                    <w:jc w:val="center"/>
                    <w:rPr>
                      <w:rFonts w:cstheme="minorHAnsi"/>
                      <w:szCs w:val="21"/>
                    </w:rPr>
                  </w:pPr>
                  <w:r>
                    <w:rPr>
                      <w:rFonts w:hint="eastAsia" w:cstheme="minorHAnsi"/>
                      <w:szCs w:val="21"/>
                    </w:rPr>
                    <w:t>1</w:t>
                  </w:r>
                </w:p>
              </w:tc>
              <w:tc>
                <w:tcPr>
                  <w:tcW w:w="1678" w:type="dxa"/>
                  <w:vMerge w:val="restart"/>
                  <w:vAlign w:val="center"/>
                </w:tcPr>
                <w:p>
                  <w:pPr>
                    <w:jc w:val="center"/>
                    <w:rPr>
                      <w:rFonts w:cstheme="minorHAnsi"/>
                      <w:szCs w:val="21"/>
                    </w:rPr>
                  </w:pPr>
                  <w:r>
                    <w:rPr>
                      <w:rFonts w:hint="eastAsia" w:cstheme="minorHAnsi"/>
                      <w:szCs w:val="21"/>
                    </w:rPr>
                    <w:t>总悬浮颗粒物</w:t>
                  </w:r>
                  <w:r>
                    <w:rPr>
                      <w:rFonts w:cstheme="minorHAnsi"/>
                      <w:szCs w:val="21"/>
                    </w:rPr>
                    <w:t>（TSP）</w:t>
                  </w:r>
                </w:p>
              </w:tc>
              <w:tc>
                <w:tcPr>
                  <w:tcW w:w="2450" w:type="dxa"/>
                  <w:vAlign w:val="center"/>
                </w:tcPr>
                <w:p>
                  <w:pPr>
                    <w:jc w:val="center"/>
                    <w:rPr>
                      <w:rFonts w:cstheme="minorHAnsi"/>
                      <w:szCs w:val="21"/>
                    </w:rPr>
                  </w:pPr>
                  <w:r>
                    <w:rPr>
                      <w:rFonts w:hint="eastAsia" w:cstheme="minorHAnsi"/>
                      <w:szCs w:val="21"/>
                    </w:rPr>
                    <w:t>拆除</w:t>
                  </w:r>
                  <w:r>
                    <w:rPr>
                      <w:rFonts w:cstheme="minorHAnsi"/>
                      <w:szCs w:val="21"/>
                    </w:rPr>
                    <w:t>过程</w:t>
                  </w:r>
                  <w:r>
                    <w:rPr>
                      <w:rFonts w:hint="eastAsia" w:cstheme="minorHAnsi"/>
                      <w:szCs w:val="21"/>
                    </w:rPr>
                    <w:t>/土方开挖/土方</w:t>
                  </w:r>
                  <w:r>
                    <w:rPr>
                      <w:rFonts w:cstheme="minorHAnsi"/>
                      <w:szCs w:val="21"/>
                    </w:rPr>
                    <w:t>回填阶段</w:t>
                  </w:r>
                </w:p>
              </w:tc>
              <w:tc>
                <w:tcPr>
                  <w:tcW w:w="2273" w:type="dxa"/>
                  <w:vAlign w:val="center"/>
                </w:tcPr>
                <w:p>
                  <w:pPr>
                    <w:jc w:val="center"/>
                    <w:rPr>
                      <w:rFonts w:cstheme="minorHAnsi"/>
                      <w:szCs w:val="21"/>
                    </w:rPr>
                  </w:pPr>
                  <w:r>
                    <w:rPr>
                      <w:rFonts w:hint="eastAsia" w:cstheme="minorHAnsi"/>
                      <w:szCs w:val="21"/>
                    </w:rPr>
                    <w:t>0</w:t>
                  </w:r>
                  <w:r>
                    <w:rPr>
                      <w:rFonts w:cstheme="minorHAnsi"/>
                      <w:szCs w:val="21"/>
                    </w:rPr>
                    <w:t>.600</w:t>
                  </w:r>
                </w:p>
              </w:tc>
              <w:tc>
                <w:tcPr>
                  <w:tcW w:w="1703" w:type="dxa"/>
                  <w:vMerge w:val="restart"/>
                  <w:vAlign w:val="center"/>
                </w:tcPr>
                <w:p>
                  <w:pPr>
                    <w:jc w:val="center"/>
                    <w:rPr>
                      <w:rFonts w:cstheme="minorHAnsi"/>
                      <w:szCs w:val="21"/>
                    </w:rPr>
                  </w:pPr>
                  <w:r>
                    <w:rPr>
                      <w:rFonts w:hint="eastAsia" w:cstheme="minorHAnsi"/>
                      <w:szCs w:val="21"/>
                    </w:rPr>
                    <w:t>自监测起持续15min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Merge w:val="continue"/>
                  <w:vAlign w:val="center"/>
                </w:tcPr>
                <w:p>
                  <w:pPr>
                    <w:jc w:val="center"/>
                    <w:rPr>
                      <w:rFonts w:cstheme="minorHAnsi"/>
                      <w:szCs w:val="21"/>
                    </w:rPr>
                  </w:pPr>
                </w:p>
              </w:tc>
              <w:tc>
                <w:tcPr>
                  <w:tcW w:w="1678" w:type="dxa"/>
                  <w:vMerge w:val="continue"/>
                  <w:vAlign w:val="center"/>
                </w:tcPr>
                <w:p>
                  <w:pPr>
                    <w:jc w:val="center"/>
                    <w:rPr>
                      <w:rFonts w:cstheme="minorHAnsi"/>
                      <w:szCs w:val="21"/>
                    </w:rPr>
                  </w:pPr>
                </w:p>
              </w:tc>
              <w:tc>
                <w:tcPr>
                  <w:tcW w:w="2450" w:type="dxa"/>
                  <w:vAlign w:val="center"/>
                </w:tcPr>
                <w:p>
                  <w:pPr>
                    <w:jc w:val="center"/>
                    <w:rPr>
                      <w:rFonts w:cstheme="minorHAnsi"/>
                      <w:szCs w:val="21"/>
                    </w:rPr>
                  </w:pPr>
                  <w:r>
                    <w:rPr>
                      <w:rFonts w:hint="eastAsia" w:cstheme="minorHAnsi"/>
                      <w:szCs w:val="21"/>
                    </w:rPr>
                    <w:t>其他工</w:t>
                  </w:r>
                  <w:r>
                    <w:rPr>
                      <w:rFonts w:cstheme="minorHAnsi"/>
                      <w:szCs w:val="21"/>
                    </w:rPr>
                    <w:t>程阶段</w:t>
                  </w:r>
                </w:p>
              </w:tc>
              <w:tc>
                <w:tcPr>
                  <w:tcW w:w="2273" w:type="dxa"/>
                  <w:vAlign w:val="center"/>
                </w:tcPr>
                <w:p>
                  <w:pPr>
                    <w:jc w:val="center"/>
                    <w:rPr>
                      <w:rFonts w:cstheme="minorHAnsi"/>
                      <w:szCs w:val="21"/>
                    </w:rPr>
                  </w:pPr>
                  <w:r>
                    <w:rPr>
                      <w:rFonts w:hint="eastAsia" w:cstheme="minorHAnsi"/>
                      <w:szCs w:val="21"/>
                    </w:rPr>
                    <w:t>0.250</w:t>
                  </w:r>
                </w:p>
              </w:tc>
              <w:tc>
                <w:tcPr>
                  <w:tcW w:w="1703" w:type="dxa"/>
                  <w:vMerge w:val="continue"/>
                  <w:vAlign w:val="center"/>
                </w:tcPr>
                <w:p>
                  <w:pPr>
                    <w:jc w:val="center"/>
                    <w:rPr>
                      <w:rFonts w:cstheme="minorHAnsi"/>
                      <w:szCs w:val="21"/>
                    </w:rPr>
                  </w:pPr>
                </w:p>
              </w:tc>
            </w:tr>
          </w:tbl>
          <w:p>
            <w:pPr>
              <w:spacing w:line="360" w:lineRule="auto"/>
              <w:ind w:firstLine="480" w:firstLineChars="200"/>
              <w:rPr>
                <w:rFonts w:cs="Times New Roman"/>
                <w:sz w:val="24"/>
                <w:szCs w:val="24"/>
              </w:rPr>
            </w:pPr>
            <w:r>
              <w:rPr>
                <w:rFonts w:hint="eastAsia" w:cs="Times New Roman"/>
                <w:sz w:val="24"/>
                <w:szCs w:val="24"/>
              </w:rPr>
              <w:t>根据</w:t>
            </w:r>
            <w:r>
              <w:rPr>
                <w:rFonts w:hint="eastAsia"/>
                <w:sz w:val="24"/>
                <w:szCs w:val="24"/>
              </w:rPr>
              <w:t>企业取得的《排污许可证》（编号：</w:t>
            </w:r>
            <w:r>
              <w:rPr>
                <w:sz w:val="24"/>
                <w:szCs w:val="24"/>
              </w:rPr>
              <w:t>91511724675778849K001P</w:t>
            </w:r>
            <w:r>
              <w:rPr>
                <w:rFonts w:hint="eastAsia"/>
                <w:sz w:val="24"/>
                <w:szCs w:val="24"/>
              </w:rPr>
              <w:t>），厂区骨料生产线废气执行《四川省水泥工业大气污染物排放标准》（DB51/2864-2021），本次改建在现有骨料生产线基础上新增制砂工序，本次环评沿用《排污许可证》中骨料生产线废气排放限值标准，即运营期执行《四川省水泥工业大气污染物排放标准》（DB51/2864-2021）表1、表2和附录A中排放限值。</w:t>
            </w:r>
          </w:p>
          <w:p>
            <w:pPr>
              <w:spacing w:line="360" w:lineRule="auto"/>
              <w:jc w:val="center"/>
              <w:rPr>
                <w:rFonts w:eastAsia="黑体"/>
                <w:szCs w:val="21"/>
              </w:rPr>
            </w:pPr>
            <w:r>
              <w:rPr>
                <w:rFonts w:eastAsia="黑体"/>
                <w:szCs w:val="21"/>
              </w:rPr>
              <w:t>表3</w:t>
            </w:r>
            <w:r>
              <w:rPr>
                <w:rFonts w:hint="eastAsia" w:eastAsia="黑体"/>
                <w:szCs w:val="21"/>
              </w:rPr>
              <w:t>-</w:t>
            </w:r>
            <w:r>
              <w:rPr>
                <w:rFonts w:eastAsia="黑体"/>
                <w:szCs w:val="21"/>
              </w:rPr>
              <w:t xml:space="preserve">12  </w:t>
            </w:r>
            <w:r>
              <w:rPr>
                <w:rFonts w:hint="eastAsia" w:eastAsia="黑体"/>
                <w:szCs w:val="21"/>
              </w:rPr>
              <w:t>运营期大气污染物排放限值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2032"/>
              <w:gridCol w:w="2177"/>
              <w:gridCol w:w="3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0" w:type="pct"/>
                  <w:vMerge w:val="restart"/>
                  <w:shd w:val="clear" w:color="auto" w:fill="auto"/>
                  <w:vAlign w:val="center"/>
                </w:tcPr>
                <w:p>
                  <w:pPr>
                    <w:jc w:val="center"/>
                    <w:rPr>
                      <w:szCs w:val="21"/>
                    </w:rPr>
                  </w:pPr>
                  <w:r>
                    <w:rPr>
                      <w:rFonts w:hint="eastAsia"/>
                      <w:szCs w:val="21"/>
                    </w:rPr>
                    <w:t>污染物名称</w:t>
                  </w:r>
                </w:p>
              </w:tc>
              <w:tc>
                <w:tcPr>
                  <w:tcW w:w="1111" w:type="pct"/>
                  <w:vMerge w:val="restart"/>
                  <w:shd w:val="clear" w:color="auto" w:fill="auto"/>
                  <w:vAlign w:val="center"/>
                </w:tcPr>
                <w:p>
                  <w:pPr>
                    <w:jc w:val="center"/>
                    <w:rPr>
                      <w:szCs w:val="21"/>
                    </w:rPr>
                  </w:pPr>
                  <w:r>
                    <w:rPr>
                      <w:rFonts w:hint="eastAsia"/>
                      <w:szCs w:val="21"/>
                    </w:rPr>
                    <w:t>大气污染物排放限值（</w:t>
                  </w:r>
                  <w:r>
                    <w:rPr>
                      <w:szCs w:val="21"/>
                    </w:rPr>
                    <w:t>mg/m</w:t>
                  </w:r>
                  <w:r>
                    <w:rPr>
                      <w:rFonts w:hint="eastAsia"/>
                      <w:szCs w:val="21"/>
                      <w:vertAlign w:val="superscript"/>
                    </w:rPr>
                    <w:t>3</w:t>
                  </w:r>
                  <w:r>
                    <w:rPr>
                      <w:rFonts w:hint="eastAsia"/>
                      <w:szCs w:val="21"/>
                    </w:rPr>
                    <w:t>）</w:t>
                  </w:r>
                </w:p>
              </w:tc>
              <w:tc>
                <w:tcPr>
                  <w:tcW w:w="1190" w:type="pct"/>
                  <w:vMerge w:val="restart"/>
                  <w:shd w:val="clear" w:color="auto" w:fill="auto"/>
                  <w:vAlign w:val="center"/>
                </w:tcPr>
                <w:p>
                  <w:pPr>
                    <w:jc w:val="center"/>
                    <w:rPr>
                      <w:szCs w:val="21"/>
                    </w:rPr>
                  </w:pPr>
                  <w:r>
                    <w:rPr>
                      <w:rFonts w:hint="eastAsia"/>
                      <w:szCs w:val="21"/>
                    </w:rPr>
                    <w:t>企业边界大气污染物浓度限值（</w:t>
                  </w:r>
                  <w:r>
                    <w:rPr>
                      <w:szCs w:val="21"/>
                    </w:rPr>
                    <w:t>mg/m</w:t>
                  </w:r>
                  <w:r>
                    <w:rPr>
                      <w:rFonts w:hint="eastAsia"/>
                      <w:szCs w:val="21"/>
                      <w:vertAlign w:val="superscript"/>
                    </w:rPr>
                    <w:t>3</w:t>
                  </w:r>
                  <w:r>
                    <w:rPr>
                      <w:rFonts w:hint="eastAsia"/>
                      <w:szCs w:val="21"/>
                    </w:rPr>
                    <w:t>）</w:t>
                  </w:r>
                </w:p>
              </w:tc>
              <w:tc>
                <w:tcPr>
                  <w:tcW w:w="1839" w:type="pct"/>
                  <w:vMerge w:val="restart"/>
                  <w:shd w:val="clear" w:color="auto" w:fill="auto"/>
                  <w:vAlign w:val="center"/>
                </w:tcPr>
                <w:p>
                  <w:pPr>
                    <w:jc w:val="center"/>
                    <w:rPr>
                      <w:szCs w:val="21"/>
                    </w:rPr>
                  </w:pPr>
                  <w:r>
                    <w:rPr>
                      <w:rFonts w:hint="eastAsia"/>
                      <w:szCs w:val="21"/>
                    </w:rPr>
                    <w:t>排放</w:t>
                  </w:r>
                  <w:r>
                    <w:rPr>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0" w:type="pct"/>
                  <w:vMerge w:val="continue"/>
                  <w:shd w:val="clear" w:color="auto" w:fill="auto"/>
                  <w:vAlign w:val="center"/>
                </w:tcPr>
                <w:p>
                  <w:pPr>
                    <w:jc w:val="center"/>
                    <w:rPr>
                      <w:szCs w:val="21"/>
                    </w:rPr>
                  </w:pPr>
                </w:p>
              </w:tc>
              <w:tc>
                <w:tcPr>
                  <w:tcW w:w="1111" w:type="pct"/>
                  <w:vMerge w:val="continue"/>
                  <w:shd w:val="clear" w:color="auto" w:fill="auto"/>
                  <w:vAlign w:val="center"/>
                </w:tcPr>
                <w:p>
                  <w:pPr>
                    <w:jc w:val="center"/>
                    <w:rPr>
                      <w:szCs w:val="21"/>
                    </w:rPr>
                  </w:pPr>
                </w:p>
              </w:tc>
              <w:tc>
                <w:tcPr>
                  <w:tcW w:w="1190" w:type="pct"/>
                  <w:vMerge w:val="continue"/>
                  <w:shd w:val="clear" w:color="auto" w:fill="auto"/>
                  <w:vAlign w:val="center"/>
                </w:tcPr>
                <w:p>
                  <w:pPr>
                    <w:jc w:val="center"/>
                    <w:rPr>
                      <w:szCs w:val="21"/>
                    </w:rPr>
                  </w:pPr>
                </w:p>
              </w:tc>
              <w:tc>
                <w:tcPr>
                  <w:tcW w:w="1839"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0" w:type="pct"/>
                  <w:shd w:val="clear" w:color="auto" w:fill="auto"/>
                  <w:vAlign w:val="center"/>
                </w:tcPr>
                <w:p>
                  <w:pPr>
                    <w:jc w:val="center"/>
                    <w:rPr>
                      <w:szCs w:val="21"/>
                    </w:rPr>
                  </w:pPr>
                  <w:r>
                    <w:rPr>
                      <w:szCs w:val="21"/>
                    </w:rPr>
                    <w:t>颗粒物</w:t>
                  </w:r>
                </w:p>
              </w:tc>
              <w:tc>
                <w:tcPr>
                  <w:tcW w:w="1111" w:type="pct"/>
                  <w:shd w:val="clear" w:color="auto" w:fill="auto"/>
                  <w:vAlign w:val="center"/>
                </w:tcPr>
                <w:p>
                  <w:pPr>
                    <w:jc w:val="center"/>
                    <w:rPr>
                      <w:szCs w:val="21"/>
                    </w:rPr>
                  </w:pPr>
                  <w:r>
                    <w:rPr>
                      <w:rFonts w:hint="eastAsia"/>
                      <w:szCs w:val="21"/>
                    </w:rPr>
                    <w:t>10</w:t>
                  </w:r>
                </w:p>
              </w:tc>
              <w:tc>
                <w:tcPr>
                  <w:tcW w:w="1190" w:type="pct"/>
                  <w:shd w:val="clear" w:color="auto" w:fill="auto"/>
                  <w:vAlign w:val="center"/>
                </w:tcPr>
                <w:p>
                  <w:pPr>
                    <w:jc w:val="center"/>
                    <w:rPr>
                      <w:szCs w:val="21"/>
                    </w:rPr>
                  </w:pPr>
                  <w:r>
                    <w:rPr>
                      <w:rFonts w:hint="eastAsia"/>
                      <w:szCs w:val="21"/>
                    </w:rPr>
                    <w:t>0.3</w:t>
                  </w:r>
                </w:p>
              </w:tc>
              <w:tc>
                <w:tcPr>
                  <w:tcW w:w="1839" w:type="pct"/>
                  <w:shd w:val="clear" w:color="auto" w:fill="auto"/>
                  <w:vAlign w:val="center"/>
                </w:tcPr>
                <w:p>
                  <w:pPr>
                    <w:jc w:val="center"/>
                    <w:rPr>
                      <w:szCs w:val="21"/>
                    </w:rPr>
                  </w:pPr>
                  <w:r>
                    <w:rPr>
                      <w:rFonts w:hint="eastAsia"/>
                      <w:szCs w:val="21"/>
                    </w:rPr>
                    <w:t>《四川省水泥工业大气污染物排放标准》（DB51/2864-2021）</w:t>
                  </w:r>
                </w:p>
              </w:tc>
            </w:tr>
          </w:tbl>
          <w:p>
            <w:pPr>
              <w:spacing w:line="360" w:lineRule="auto"/>
              <w:jc w:val="center"/>
              <w:rPr>
                <w:rFonts w:eastAsia="黑体"/>
                <w:szCs w:val="21"/>
              </w:rPr>
            </w:pPr>
            <w:r>
              <w:rPr>
                <w:rFonts w:eastAsia="黑体"/>
                <w:szCs w:val="21"/>
              </w:rPr>
              <w:t>表3</w:t>
            </w:r>
            <w:r>
              <w:rPr>
                <w:rFonts w:hint="eastAsia" w:eastAsia="黑体"/>
                <w:szCs w:val="21"/>
              </w:rPr>
              <w:t>-13</w:t>
            </w:r>
            <w:r>
              <w:rPr>
                <w:rFonts w:eastAsia="黑体"/>
                <w:szCs w:val="21"/>
              </w:rPr>
              <w:t xml:space="preserve">  </w:t>
            </w:r>
            <w:r>
              <w:rPr>
                <w:rFonts w:hint="eastAsia" w:eastAsia="黑体"/>
                <w:szCs w:val="21"/>
              </w:rPr>
              <w:t>厂区内颗粒物无组织排放限值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2245"/>
              <w:gridCol w:w="2881"/>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shd w:val="clear" w:color="auto" w:fill="auto"/>
                  <w:vAlign w:val="center"/>
                </w:tcPr>
                <w:p>
                  <w:pPr>
                    <w:jc w:val="center"/>
                    <w:rPr>
                      <w:szCs w:val="21"/>
                    </w:rPr>
                  </w:pPr>
                  <w:r>
                    <w:rPr>
                      <w:rFonts w:hint="eastAsia"/>
                      <w:szCs w:val="21"/>
                    </w:rPr>
                    <w:t>污染物项目</w:t>
                  </w:r>
                </w:p>
              </w:tc>
              <w:tc>
                <w:tcPr>
                  <w:tcW w:w="1227" w:type="pct"/>
                  <w:shd w:val="clear" w:color="auto" w:fill="auto"/>
                  <w:vAlign w:val="center"/>
                </w:tcPr>
                <w:p>
                  <w:pPr>
                    <w:jc w:val="center"/>
                    <w:rPr>
                      <w:szCs w:val="21"/>
                    </w:rPr>
                  </w:pPr>
                  <w:r>
                    <w:rPr>
                      <w:rFonts w:hint="eastAsia"/>
                      <w:szCs w:val="21"/>
                    </w:rPr>
                    <w:t>排放限值（mg</w:t>
                  </w:r>
                  <w:r>
                    <w:rPr>
                      <w:szCs w:val="21"/>
                    </w:rPr>
                    <w:t>/m</w:t>
                  </w:r>
                  <w:r>
                    <w:rPr>
                      <w:szCs w:val="21"/>
                      <w:vertAlign w:val="superscript"/>
                    </w:rPr>
                    <w:t>3</w:t>
                  </w:r>
                  <w:r>
                    <w:rPr>
                      <w:rFonts w:hint="eastAsia"/>
                      <w:szCs w:val="21"/>
                    </w:rPr>
                    <w:t>）</w:t>
                  </w:r>
                </w:p>
              </w:tc>
              <w:tc>
                <w:tcPr>
                  <w:tcW w:w="1575" w:type="pct"/>
                  <w:shd w:val="clear" w:color="auto" w:fill="auto"/>
                  <w:vAlign w:val="center"/>
                </w:tcPr>
                <w:p>
                  <w:pPr>
                    <w:jc w:val="center"/>
                    <w:rPr>
                      <w:szCs w:val="21"/>
                    </w:rPr>
                  </w:pPr>
                  <w:r>
                    <w:rPr>
                      <w:rFonts w:hint="eastAsia"/>
                      <w:szCs w:val="21"/>
                    </w:rPr>
                    <w:t>限值含义</w:t>
                  </w:r>
                </w:p>
              </w:tc>
              <w:tc>
                <w:tcPr>
                  <w:tcW w:w="1385" w:type="pct"/>
                  <w:shd w:val="clear" w:color="auto" w:fill="auto"/>
                  <w:vAlign w:val="center"/>
                </w:tcPr>
                <w:p>
                  <w:pPr>
                    <w:jc w:val="center"/>
                    <w:rPr>
                      <w:szCs w:val="21"/>
                    </w:rPr>
                  </w:pPr>
                  <w:r>
                    <w:rPr>
                      <w:rFonts w:hint="eastAsia"/>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shd w:val="clear" w:color="auto" w:fill="auto"/>
                  <w:vAlign w:val="center"/>
                </w:tcPr>
                <w:p>
                  <w:pPr>
                    <w:jc w:val="center"/>
                    <w:rPr>
                      <w:szCs w:val="21"/>
                    </w:rPr>
                  </w:pPr>
                  <w:r>
                    <w:rPr>
                      <w:rFonts w:hint="eastAsia"/>
                      <w:szCs w:val="21"/>
                    </w:rPr>
                    <w:t>颗粒物</w:t>
                  </w:r>
                </w:p>
              </w:tc>
              <w:tc>
                <w:tcPr>
                  <w:tcW w:w="1227" w:type="pct"/>
                  <w:shd w:val="clear" w:color="auto" w:fill="auto"/>
                  <w:vAlign w:val="center"/>
                </w:tcPr>
                <w:p>
                  <w:pPr>
                    <w:jc w:val="center"/>
                    <w:rPr>
                      <w:szCs w:val="21"/>
                    </w:rPr>
                  </w:pPr>
                  <w:r>
                    <w:rPr>
                      <w:rFonts w:hint="eastAsia"/>
                      <w:szCs w:val="21"/>
                    </w:rPr>
                    <w:t>1.0</w:t>
                  </w:r>
                </w:p>
              </w:tc>
              <w:tc>
                <w:tcPr>
                  <w:tcW w:w="1575" w:type="pct"/>
                  <w:shd w:val="clear" w:color="auto" w:fill="auto"/>
                  <w:vAlign w:val="center"/>
                </w:tcPr>
                <w:p>
                  <w:pPr>
                    <w:jc w:val="center"/>
                    <w:rPr>
                      <w:szCs w:val="21"/>
                    </w:rPr>
                  </w:pPr>
                  <w:r>
                    <w:rPr>
                      <w:rFonts w:hint="eastAsia"/>
                      <w:szCs w:val="21"/>
                    </w:rPr>
                    <w:t>监控点处1h平均浓度值</w:t>
                  </w:r>
                </w:p>
              </w:tc>
              <w:tc>
                <w:tcPr>
                  <w:tcW w:w="1385" w:type="pct"/>
                  <w:shd w:val="clear" w:color="auto" w:fill="auto"/>
                  <w:vAlign w:val="center"/>
                </w:tcPr>
                <w:p>
                  <w:pPr>
                    <w:jc w:val="center"/>
                    <w:rPr>
                      <w:szCs w:val="21"/>
                    </w:rPr>
                  </w:pPr>
                  <w:r>
                    <w:rPr>
                      <w:rFonts w:hint="eastAsia"/>
                      <w:szCs w:val="21"/>
                    </w:rPr>
                    <w:t>在厂房外设置监控点</w:t>
                  </w:r>
                </w:p>
              </w:tc>
            </w:tr>
          </w:tbl>
          <w:p>
            <w:pPr>
              <w:spacing w:line="360" w:lineRule="auto"/>
              <w:ind w:firstLine="482" w:firstLineChars="200"/>
              <w:rPr>
                <w:rFonts w:cs="Times New Roman"/>
                <w:b/>
                <w:sz w:val="24"/>
                <w:szCs w:val="24"/>
              </w:rPr>
            </w:pPr>
            <w:r>
              <w:rPr>
                <w:rFonts w:cs="Times New Roman"/>
                <w:b/>
                <w:sz w:val="24"/>
                <w:szCs w:val="24"/>
              </w:rPr>
              <w:t>2、废</w:t>
            </w:r>
            <w:r>
              <w:rPr>
                <w:rFonts w:hint="eastAsia" w:cs="Times New Roman"/>
                <w:b/>
                <w:sz w:val="24"/>
                <w:szCs w:val="24"/>
              </w:rPr>
              <w:t>水</w:t>
            </w:r>
          </w:p>
          <w:p>
            <w:pPr>
              <w:spacing w:line="360" w:lineRule="auto"/>
              <w:ind w:firstLine="480" w:firstLineChars="200"/>
              <w:rPr>
                <w:rFonts w:cs="Times New Roman"/>
                <w:sz w:val="24"/>
                <w:szCs w:val="24"/>
              </w:rPr>
            </w:pPr>
            <w:r>
              <w:rPr>
                <w:rFonts w:hint="eastAsia" w:cs="Times New Roman"/>
                <w:sz w:val="24"/>
                <w:szCs w:val="24"/>
              </w:rPr>
              <w:t>施工期生活污水依托现有污水处理设施处理后回用于厂区绿化，不外排；本次改建项目运营期无生产、生活废水产生。</w:t>
            </w:r>
          </w:p>
          <w:p>
            <w:pPr>
              <w:spacing w:line="360" w:lineRule="auto"/>
              <w:ind w:firstLine="482" w:firstLineChars="200"/>
              <w:rPr>
                <w:rFonts w:cs="Times New Roman"/>
                <w:b/>
                <w:sz w:val="24"/>
                <w:szCs w:val="24"/>
              </w:rPr>
            </w:pPr>
            <w:r>
              <w:rPr>
                <w:rFonts w:cs="Times New Roman"/>
                <w:b/>
                <w:sz w:val="24"/>
                <w:szCs w:val="24"/>
              </w:rPr>
              <w:t>3、</w:t>
            </w:r>
            <w:r>
              <w:rPr>
                <w:rFonts w:hint="eastAsia" w:cs="Times New Roman"/>
                <w:b/>
                <w:sz w:val="24"/>
                <w:szCs w:val="24"/>
              </w:rPr>
              <w:t>噪声</w:t>
            </w:r>
          </w:p>
          <w:p>
            <w:pPr>
              <w:spacing w:line="360" w:lineRule="auto"/>
              <w:ind w:firstLine="480" w:firstLineChars="200"/>
              <w:rPr>
                <w:rFonts w:cstheme="minorHAnsi"/>
                <w:sz w:val="24"/>
                <w:szCs w:val="24"/>
              </w:rPr>
            </w:pPr>
            <w:r>
              <w:rPr>
                <w:rFonts w:hint="eastAsia" w:cs="Times New Roman"/>
                <w:sz w:val="24"/>
                <w:szCs w:val="24"/>
              </w:rPr>
              <w:t>施工期执行《建筑施工场界环境噪声排放标准》（GB12523-2011）；运营期</w:t>
            </w:r>
            <w:r>
              <w:rPr>
                <w:rFonts w:cstheme="minorHAnsi"/>
                <w:sz w:val="24"/>
                <w:szCs w:val="24"/>
              </w:rPr>
              <w:t>国道G</w:t>
            </w:r>
            <w:r>
              <w:rPr>
                <w:rFonts w:hint="eastAsia" w:cstheme="minorHAnsi"/>
                <w:sz w:val="24"/>
                <w:szCs w:val="24"/>
              </w:rPr>
              <w:t>2</w:t>
            </w:r>
            <w:r>
              <w:rPr>
                <w:rFonts w:cstheme="minorHAnsi"/>
                <w:sz w:val="24"/>
                <w:szCs w:val="24"/>
              </w:rPr>
              <w:t>10</w:t>
            </w:r>
            <w:r>
              <w:rPr>
                <w:rFonts w:hint="eastAsia" w:cstheme="minorHAnsi"/>
                <w:sz w:val="24"/>
                <w:szCs w:val="24"/>
              </w:rPr>
              <w:t>两侧40m范围执行</w:t>
            </w:r>
            <w:r>
              <w:rPr>
                <w:rFonts w:hint="eastAsia" w:cs="Times New Roman"/>
                <w:sz w:val="24"/>
                <w:szCs w:val="24"/>
              </w:rPr>
              <w:t>《工业企业厂界环境噪声排放标准》（GB12348-2008）4a类标准，其余区域执行《工业企业厂界环境噪声排放标准》（GB12348-2008）</w:t>
            </w:r>
            <w:r>
              <w:rPr>
                <w:rFonts w:cs="Times New Roman"/>
                <w:sz w:val="24"/>
                <w:szCs w:val="24"/>
              </w:rPr>
              <w:t>2</w:t>
            </w:r>
            <w:r>
              <w:rPr>
                <w:rFonts w:hint="eastAsia" w:cs="Times New Roman"/>
                <w:sz w:val="24"/>
                <w:szCs w:val="24"/>
              </w:rPr>
              <w:t>类标准。</w:t>
            </w:r>
          </w:p>
          <w:p>
            <w:pPr>
              <w:spacing w:line="360" w:lineRule="auto"/>
              <w:jc w:val="center"/>
              <w:rPr>
                <w:rFonts w:eastAsia="黑体" w:cstheme="minorHAnsi"/>
                <w:szCs w:val="21"/>
              </w:rPr>
            </w:pPr>
            <w:r>
              <w:rPr>
                <w:rFonts w:eastAsia="黑体" w:cstheme="minorHAnsi"/>
                <w:szCs w:val="21"/>
              </w:rPr>
              <w:t>表3</w:t>
            </w:r>
            <w:r>
              <w:rPr>
                <w:rFonts w:hint="eastAsia" w:eastAsia="黑体" w:cstheme="minorHAnsi"/>
                <w:szCs w:val="21"/>
              </w:rPr>
              <w:t>-</w:t>
            </w:r>
            <w:r>
              <w:rPr>
                <w:rFonts w:eastAsia="黑体" w:cstheme="minorHAnsi"/>
                <w:szCs w:val="21"/>
              </w:rPr>
              <w:t>1</w:t>
            </w:r>
            <w:r>
              <w:rPr>
                <w:rFonts w:hint="eastAsia" w:eastAsia="黑体" w:cstheme="minorHAnsi"/>
                <w:szCs w:val="21"/>
              </w:rPr>
              <w:t>4</w:t>
            </w:r>
            <w:r>
              <w:rPr>
                <w:rFonts w:eastAsia="黑体" w:cstheme="minorHAnsi"/>
                <w:szCs w:val="21"/>
              </w:rPr>
              <w:t xml:space="preserve">  </w:t>
            </w:r>
            <w:r>
              <w:rPr>
                <w:rFonts w:hint="eastAsia" w:eastAsia="黑体" w:cstheme="minorHAnsi"/>
                <w:szCs w:val="21"/>
              </w:rPr>
              <w:t>噪声排放标准限值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8"/>
              <w:gridCol w:w="3156"/>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9" w:type="pct"/>
                  <w:gridSpan w:val="2"/>
                  <w:vMerge w:val="restart"/>
                  <w:shd w:val="clear" w:color="auto" w:fill="auto"/>
                  <w:vAlign w:val="center"/>
                </w:tcPr>
                <w:p>
                  <w:pPr>
                    <w:jc w:val="center"/>
                    <w:rPr>
                      <w:rFonts w:cstheme="minorHAnsi"/>
                      <w:szCs w:val="21"/>
                    </w:rPr>
                  </w:pPr>
                  <w:r>
                    <w:rPr>
                      <w:rFonts w:cstheme="minorHAnsi"/>
                      <w:szCs w:val="21"/>
                    </w:rPr>
                    <w:t>项目</w:t>
                  </w:r>
                </w:p>
              </w:tc>
              <w:tc>
                <w:tcPr>
                  <w:tcW w:w="3451" w:type="pct"/>
                  <w:gridSpan w:val="2"/>
                  <w:shd w:val="clear" w:color="auto" w:fill="auto"/>
                  <w:vAlign w:val="center"/>
                </w:tcPr>
                <w:p>
                  <w:pPr>
                    <w:jc w:val="center"/>
                    <w:rPr>
                      <w:rFonts w:cstheme="minorHAnsi"/>
                      <w:szCs w:val="21"/>
                    </w:rPr>
                  </w:pPr>
                  <w:r>
                    <w:rPr>
                      <w:rFonts w:cstheme="minorHAnsi"/>
                      <w:szCs w:val="21"/>
                    </w:rPr>
                    <w:t>排放限值</w:t>
                  </w:r>
                  <w:r>
                    <w:rPr>
                      <w:rFonts w:eastAsia="仿宋" w:cstheme="minorHAnsi"/>
                      <w:szCs w:val="21"/>
                    </w:rPr>
                    <w:t>[</w:t>
                  </w:r>
                  <w:r>
                    <w:rPr>
                      <w:rFonts w:cstheme="minorHAnsi"/>
                      <w:szCs w:val="21"/>
                    </w:rPr>
                    <w:t>dB（A）</w:t>
                  </w:r>
                  <w:r>
                    <w:rPr>
                      <w:rFonts w:eastAsia="仿宋" w:cstheme="minorHAns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9" w:type="pct"/>
                  <w:gridSpan w:val="2"/>
                  <w:vMerge w:val="continue"/>
                  <w:shd w:val="clear" w:color="auto" w:fill="auto"/>
                  <w:vAlign w:val="center"/>
                </w:tcPr>
                <w:p>
                  <w:pPr>
                    <w:jc w:val="center"/>
                    <w:rPr>
                      <w:rFonts w:cstheme="minorHAnsi"/>
                      <w:szCs w:val="21"/>
                    </w:rPr>
                  </w:pPr>
                </w:p>
              </w:tc>
              <w:tc>
                <w:tcPr>
                  <w:tcW w:w="1725" w:type="pct"/>
                  <w:shd w:val="clear" w:color="auto" w:fill="auto"/>
                  <w:vAlign w:val="center"/>
                </w:tcPr>
                <w:p>
                  <w:pPr>
                    <w:jc w:val="center"/>
                    <w:rPr>
                      <w:rFonts w:cstheme="minorHAnsi"/>
                      <w:szCs w:val="21"/>
                    </w:rPr>
                  </w:pPr>
                  <w:r>
                    <w:rPr>
                      <w:rFonts w:cstheme="minorHAnsi"/>
                      <w:szCs w:val="21"/>
                    </w:rPr>
                    <w:t>昼间</w:t>
                  </w:r>
                </w:p>
              </w:tc>
              <w:tc>
                <w:tcPr>
                  <w:tcW w:w="1725" w:type="pct"/>
                  <w:shd w:val="clear" w:color="auto" w:fill="auto"/>
                  <w:vAlign w:val="center"/>
                </w:tcPr>
                <w:p>
                  <w:pPr>
                    <w:jc w:val="center"/>
                    <w:rPr>
                      <w:rFonts w:cstheme="minorHAnsi"/>
                      <w:szCs w:val="21"/>
                    </w:rPr>
                  </w:pPr>
                  <w:r>
                    <w:rPr>
                      <w:rFonts w:cstheme="minorHAnsi"/>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9" w:type="pct"/>
                  <w:gridSpan w:val="2"/>
                  <w:shd w:val="clear" w:color="auto" w:fill="auto"/>
                  <w:vAlign w:val="center"/>
                </w:tcPr>
                <w:p>
                  <w:pPr>
                    <w:jc w:val="center"/>
                    <w:rPr>
                      <w:rFonts w:cstheme="minorHAnsi"/>
                      <w:szCs w:val="21"/>
                    </w:rPr>
                  </w:pPr>
                  <w:r>
                    <w:rPr>
                      <w:rFonts w:cstheme="minorHAnsi"/>
                      <w:szCs w:val="21"/>
                    </w:rPr>
                    <w:t>施工期</w:t>
                  </w:r>
                </w:p>
              </w:tc>
              <w:tc>
                <w:tcPr>
                  <w:tcW w:w="1725" w:type="pct"/>
                  <w:shd w:val="clear" w:color="auto" w:fill="auto"/>
                  <w:vAlign w:val="center"/>
                </w:tcPr>
                <w:p>
                  <w:pPr>
                    <w:jc w:val="center"/>
                    <w:rPr>
                      <w:rFonts w:cstheme="minorHAnsi"/>
                      <w:szCs w:val="21"/>
                    </w:rPr>
                  </w:pPr>
                  <w:r>
                    <w:rPr>
                      <w:rFonts w:hint="eastAsia" w:cstheme="minorHAnsi"/>
                      <w:szCs w:val="21"/>
                    </w:rPr>
                    <w:t>7</w:t>
                  </w:r>
                  <w:r>
                    <w:rPr>
                      <w:rFonts w:cstheme="minorHAnsi"/>
                      <w:szCs w:val="21"/>
                    </w:rPr>
                    <w:t>0</w:t>
                  </w:r>
                </w:p>
              </w:tc>
              <w:tc>
                <w:tcPr>
                  <w:tcW w:w="1725" w:type="pct"/>
                  <w:shd w:val="clear" w:color="auto" w:fill="auto"/>
                  <w:vAlign w:val="center"/>
                </w:tcPr>
                <w:p>
                  <w:pPr>
                    <w:jc w:val="center"/>
                    <w:rPr>
                      <w:rFonts w:cstheme="minorHAnsi"/>
                      <w:szCs w:val="21"/>
                    </w:rPr>
                  </w:pPr>
                  <w:r>
                    <w:rPr>
                      <w:rFonts w:hint="eastAsia" w:cstheme="minorHAnsi"/>
                      <w:szCs w:val="21"/>
                    </w:rPr>
                    <w:t>5</w:t>
                  </w:r>
                  <w:r>
                    <w:rPr>
                      <w:rFonts w:cstheme="minorHAnsi"/>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vMerge w:val="restart"/>
                  <w:shd w:val="clear" w:color="auto" w:fill="auto"/>
                  <w:vAlign w:val="center"/>
                </w:tcPr>
                <w:p>
                  <w:pPr>
                    <w:jc w:val="center"/>
                    <w:rPr>
                      <w:rFonts w:cstheme="minorHAnsi"/>
                      <w:szCs w:val="21"/>
                    </w:rPr>
                  </w:pPr>
                  <w:r>
                    <w:rPr>
                      <w:rFonts w:hint="eastAsia" w:cstheme="minorHAnsi"/>
                      <w:szCs w:val="21"/>
                    </w:rPr>
                    <w:t>运营期</w:t>
                  </w:r>
                </w:p>
              </w:tc>
              <w:tc>
                <w:tcPr>
                  <w:tcW w:w="775" w:type="pct"/>
                  <w:shd w:val="clear" w:color="auto" w:fill="auto"/>
                  <w:vAlign w:val="center"/>
                </w:tcPr>
                <w:p>
                  <w:pPr>
                    <w:jc w:val="center"/>
                    <w:rPr>
                      <w:rFonts w:cstheme="minorHAnsi"/>
                      <w:szCs w:val="21"/>
                    </w:rPr>
                  </w:pPr>
                  <w:r>
                    <w:rPr>
                      <w:rFonts w:hint="eastAsia" w:cstheme="minorHAnsi"/>
                      <w:szCs w:val="21"/>
                    </w:rPr>
                    <w:t>2类区</w:t>
                  </w:r>
                </w:p>
              </w:tc>
              <w:tc>
                <w:tcPr>
                  <w:tcW w:w="1725" w:type="pct"/>
                  <w:shd w:val="clear" w:color="auto" w:fill="auto"/>
                  <w:vAlign w:val="center"/>
                </w:tcPr>
                <w:p>
                  <w:pPr>
                    <w:jc w:val="center"/>
                    <w:rPr>
                      <w:rFonts w:cstheme="minorHAnsi"/>
                      <w:szCs w:val="21"/>
                    </w:rPr>
                  </w:pPr>
                  <w:r>
                    <w:rPr>
                      <w:rFonts w:cstheme="minorHAnsi"/>
                      <w:szCs w:val="21"/>
                    </w:rPr>
                    <w:t>60</w:t>
                  </w:r>
                </w:p>
              </w:tc>
              <w:tc>
                <w:tcPr>
                  <w:tcW w:w="1725" w:type="pct"/>
                  <w:shd w:val="clear" w:color="auto" w:fill="auto"/>
                  <w:vAlign w:val="center"/>
                </w:tcPr>
                <w:p>
                  <w:pPr>
                    <w:jc w:val="center"/>
                    <w:rPr>
                      <w:rFonts w:cstheme="minorHAnsi"/>
                      <w:szCs w:val="21"/>
                    </w:rPr>
                  </w:pPr>
                  <w:r>
                    <w:rPr>
                      <w:rFonts w:cstheme="minorHAnsi"/>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vMerge w:val="continue"/>
                  <w:shd w:val="clear" w:color="auto" w:fill="auto"/>
                  <w:vAlign w:val="center"/>
                </w:tcPr>
                <w:p>
                  <w:pPr>
                    <w:jc w:val="center"/>
                    <w:rPr>
                      <w:rFonts w:cstheme="minorHAnsi"/>
                      <w:szCs w:val="21"/>
                    </w:rPr>
                  </w:pPr>
                </w:p>
              </w:tc>
              <w:tc>
                <w:tcPr>
                  <w:tcW w:w="775" w:type="pct"/>
                  <w:shd w:val="clear" w:color="auto" w:fill="auto"/>
                  <w:vAlign w:val="center"/>
                </w:tcPr>
                <w:p>
                  <w:pPr>
                    <w:jc w:val="center"/>
                    <w:rPr>
                      <w:rFonts w:cstheme="minorHAnsi"/>
                      <w:szCs w:val="21"/>
                    </w:rPr>
                  </w:pPr>
                  <w:r>
                    <w:rPr>
                      <w:rFonts w:hint="eastAsia" w:cstheme="minorHAnsi"/>
                      <w:szCs w:val="21"/>
                    </w:rPr>
                    <w:t>4a类区</w:t>
                  </w:r>
                </w:p>
              </w:tc>
              <w:tc>
                <w:tcPr>
                  <w:tcW w:w="1725" w:type="pct"/>
                  <w:shd w:val="clear" w:color="auto" w:fill="auto"/>
                  <w:vAlign w:val="center"/>
                </w:tcPr>
                <w:p>
                  <w:pPr>
                    <w:jc w:val="center"/>
                    <w:rPr>
                      <w:rFonts w:cstheme="minorHAnsi"/>
                      <w:szCs w:val="21"/>
                    </w:rPr>
                  </w:pPr>
                  <w:r>
                    <w:rPr>
                      <w:rFonts w:hint="eastAsia" w:cstheme="minorHAnsi"/>
                      <w:szCs w:val="21"/>
                    </w:rPr>
                    <w:t>70</w:t>
                  </w:r>
                </w:p>
              </w:tc>
              <w:tc>
                <w:tcPr>
                  <w:tcW w:w="1725" w:type="pct"/>
                  <w:shd w:val="clear" w:color="auto" w:fill="auto"/>
                  <w:vAlign w:val="center"/>
                </w:tcPr>
                <w:p>
                  <w:pPr>
                    <w:jc w:val="center"/>
                    <w:rPr>
                      <w:rFonts w:cstheme="minorHAnsi"/>
                      <w:szCs w:val="21"/>
                    </w:rPr>
                  </w:pPr>
                  <w:r>
                    <w:rPr>
                      <w:rFonts w:hint="eastAsia" w:cstheme="minorHAnsi"/>
                      <w:szCs w:val="21"/>
                    </w:rPr>
                    <w:t>55</w:t>
                  </w:r>
                </w:p>
              </w:tc>
            </w:tr>
          </w:tbl>
          <w:p>
            <w:pPr>
              <w:spacing w:line="360" w:lineRule="auto"/>
              <w:ind w:firstLine="482" w:firstLineChars="200"/>
              <w:rPr>
                <w:rFonts w:cs="Times New Roman"/>
                <w:b/>
                <w:sz w:val="24"/>
                <w:szCs w:val="24"/>
              </w:rPr>
            </w:pPr>
            <w:r>
              <w:rPr>
                <w:rFonts w:cs="Times New Roman"/>
                <w:b/>
                <w:sz w:val="24"/>
                <w:szCs w:val="24"/>
              </w:rPr>
              <w:t>4、</w:t>
            </w:r>
            <w:r>
              <w:rPr>
                <w:rFonts w:hint="eastAsia" w:cs="Times New Roman"/>
                <w:b/>
                <w:sz w:val="24"/>
                <w:szCs w:val="24"/>
              </w:rPr>
              <w:t>固体废物</w:t>
            </w:r>
          </w:p>
          <w:p>
            <w:pPr>
              <w:spacing w:line="360" w:lineRule="auto"/>
              <w:ind w:firstLine="480" w:firstLineChars="200"/>
              <w:rPr>
                <w:rFonts w:cs="Times New Roman"/>
                <w:sz w:val="24"/>
                <w:szCs w:val="24"/>
              </w:rPr>
            </w:pPr>
            <w:r>
              <w:rPr>
                <w:rFonts w:hint="eastAsia"/>
                <w:sz w:val="24"/>
                <w:szCs w:val="24"/>
              </w:rPr>
              <w:t>一般固体废物按照《中华人民共和国固体废物污染环境防治法》中有关要求进行处理，贮存过程应满足相应防渗漏、防雨淋、防扬尘等环境保护要求；危险废物执行《危险废物贮存污染控制标准》（GB18597-2023）中相关要求</w:t>
            </w:r>
            <w:r>
              <w:rPr>
                <w:rFonts w:hint="eastAsia"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44" w:type="pct"/>
            <w:vAlign w:val="center"/>
          </w:tcPr>
          <w:p>
            <w:pPr>
              <w:spacing w:line="360" w:lineRule="auto"/>
              <w:jc w:val="center"/>
              <w:rPr>
                <w:rFonts w:cs="Times New Roman"/>
                <w:sz w:val="24"/>
                <w:szCs w:val="24"/>
              </w:rPr>
            </w:pPr>
            <w:r>
              <w:rPr>
                <w:rFonts w:hint="eastAsia" w:cs="Times New Roman"/>
                <w:sz w:val="24"/>
                <w:szCs w:val="24"/>
              </w:rPr>
              <w:t>总量控制指标</w:t>
            </w:r>
          </w:p>
        </w:tc>
        <w:tc>
          <w:tcPr>
            <w:tcW w:w="4756" w:type="pct"/>
            <w:vAlign w:val="center"/>
          </w:tcPr>
          <w:p>
            <w:pPr>
              <w:spacing w:line="360" w:lineRule="auto"/>
              <w:ind w:firstLine="480" w:firstLineChars="200"/>
              <w:rPr>
                <w:sz w:val="24"/>
                <w:szCs w:val="24"/>
              </w:rPr>
            </w:pPr>
            <w:r>
              <w:rPr>
                <w:rFonts w:hint="eastAsia"/>
                <w:sz w:val="24"/>
                <w:szCs w:val="24"/>
              </w:rPr>
              <w:t>本次改建不涉及废水排放，无水污染物总量控制指标；本项目废气污染物主要为颗粒物，不属于《主要污染物总量减排核算技术指南（2022年修订）》（环办综合函〔2022〕350号）中总量控制指标，故无新增大气污染物总量控制指标。</w:t>
            </w:r>
          </w:p>
        </w:tc>
      </w:tr>
    </w:tbl>
    <w:p>
      <w:pPr>
        <w:spacing w:line="360" w:lineRule="auto"/>
        <w:rPr>
          <w:rFonts w:cs="Times New Roman"/>
          <w:b/>
          <w:sz w:val="28"/>
          <w:szCs w:val="24"/>
        </w:rPr>
        <w:sectPr>
          <w:pgSz w:w="11906" w:h="16838"/>
          <w:pgMar w:top="1134" w:right="1134" w:bottom="1134" w:left="1134" w:header="851" w:footer="992" w:gutter="0"/>
          <w:cols w:space="720" w:num="1"/>
          <w:docGrid w:type="lines" w:linePitch="312" w:charSpace="0"/>
        </w:sectPr>
      </w:pPr>
    </w:p>
    <w:p>
      <w:pPr>
        <w:pStyle w:val="39"/>
        <w:jc w:val="center"/>
        <w:rPr>
          <w:rFonts w:hint="eastAsia" w:ascii="黑体" w:hAnsi="黑体" w:eastAsia="黑体"/>
          <w:b w:val="0"/>
          <w:sz w:val="30"/>
          <w:szCs w:val="30"/>
        </w:rPr>
      </w:pPr>
      <w:bookmarkStart w:id="3" w:name="_Toc126243457"/>
      <w:r>
        <w:rPr>
          <w:rFonts w:hint="eastAsia" w:ascii="黑体" w:hAnsi="黑体" w:eastAsia="黑体"/>
          <w:b w:val="0"/>
          <w:sz w:val="30"/>
          <w:szCs w:val="30"/>
        </w:rPr>
        <w:t>四、主要环境影响和保护措施</w:t>
      </w:r>
      <w:bookmarkEnd w:id="3"/>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9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pPr>
              <w:spacing w:line="360" w:lineRule="auto"/>
              <w:jc w:val="center"/>
              <w:rPr>
                <w:rFonts w:cs="Times New Roman"/>
                <w:sz w:val="24"/>
                <w:szCs w:val="24"/>
              </w:rPr>
            </w:pPr>
            <w:r>
              <w:rPr>
                <w:rFonts w:hint="eastAsia" w:cs="Times New Roman"/>
                <w:sz w:val="24"/>
                <w:szCs w:val="24"/>
              </w:rPr>
              <w:t>施工期环境保护措施</w:t>
            </w:r>
          </w:p>
        </w:tc>
        <w:tc>
          <w:tcPr>
            <w:tcW w:w="4756" w:type="pct"/>
            <w:vAlign w:val="center"/>
          </w:tcPr>
          <w:p>
            <w:pPr>
              <w:spacing w:line="360" w:lineRule="auto"/>
              <w:ind w:firstLine="482" w:firstLineChars="200"/>
              <w:rPr>
                <w:b/>
                <w:sz w:val="24"/>
                <w:szCs w:val="24"/>
              </w:rPr>
            </w:pPr>
            <w:r>
              <w:rPr>
                <w:rFonts w:hint="eastAsia"/>
                <w:b/>
                <w:sz w:val="24"/>
                <w:szCs w:val="24"/>
              </w:rPr>
              <w:t>1、废气</w:t>
            </w:r>
          </w:p>
          <w:p>
            <w:pPr>
              <w:spacing w:line="360" w:lineRule="auto"/>
              <w:ind w:firstLine="482" w:firstLineChars="200"/>
              <w:rPr>
                <w:b/>
                <w:sz w:val="24"/>
                <w:szCs w:val="24"/>
              </w:rPr>
            </w:pPr>
            <w:r>
              <w:rPr>
                <w:rFonts w:hint="eastAsia"/>
                <w:b/>
                <w:sz w:val="24"/>
                <w:szCs w:val="24"/>
              </w:rPr>
              <w:t>（1）施工扬尘</w:t>
            </w:r>
          </w:p>
          <w:p>
            <w:pPr>
              <w:spacing w:line="360" w:lineRule="auto"/>
              <w:ind w:firstLine="480" w:firstLineChars="200"/>
              <w:rPr>
                <w:sz w:val="24"/>
                <w:szCs w:val="24"/>
              </w:rPr>
            </w:pPr>
            <w:r>
              <w:rPr>
                <w:rFonts w:hint="eastAsia"/>
                <w:sz w:val="24"/>
                <w:szCs w:val="24"/>
              </w:rPr>
              <w:t>在施工阶段，施工扬尘主要来源于土地平整、开挖、回填、建材运输、装卸等过程，施工场地是典型的无组织扬尘排放源，具有很高的排放潜势，可以在短时内严重影响当地的空气质量。除了排放潜势高以外，施工扬尘的最大特点是多变性，几乎突出体现了无组织排放的所有特点，是最难以把控的无组织扬尘，污染呈现时空多变、形式多元等复杂特征，监测、评价和管理都比较困难。经类比分析，施工场地扬尘浓度一般约为3.5mg/m</w:t>
            </w:r>
            <w:r>
              <w:rPr>
                <w:rFonts w:hint="eastAsia"/>
                <w:sz w:val="24"/>
                <w:szCs w:val="24"/>
                <w:vertAlign w:val="superscript"/>
              </w:rPr>
              <w:t>3</w:t>
            </w:r>
            <w:r>
              <w:rPr>
                <w:rFonts w:hint="eastAsia"/>
                <w:sz w:val="24"/>
                <w:szCs w:val="24"/>
              </w:rPr>
              <w:t>，会对周围环境产生一定影响。</w:t>
            </w:r>
          </w:p>
          <w:p>
            <w:pPr>
              <w:spacing w:line="360" w:lineRule="auto"/>
              <w:ind w:firstLine="480" w:firstLineChars="200"/>
              <w:rPr>
                <w:rFonts w:cs="Times New Roman"/>
                <w:sz w:val="24"/>
                <w:szCs w:val="24"/>
              </w:rPr>
            </w:pPr>
            <w:r>
              <w:rPr>
                <w:rFonts w:hint="eastAsia"/>
                <w:sz w:val="24"/>
                <w:szCs w:val="24"/>
              </w:rPr>
              <w:t>为减轻施工期扬尘对大气环境的影响，根据《住房和城乡建设部办公厅关于进一步加强施工工地和道路扬尘管控工作的通知》（建办质〔2019〕23号）、《四川省建筑工程扬尘污染防治技术导则（试行）》（川建发〔2019〕16号）等有关规定</w:t>
            </w:r>
            <w:r>
              <w:rPr>
                <w:rFonts w:cs="Times New Roman"/>
                <w:sz w:val="24"/>
                <w:szCs w:val="24"/>
              </w:rPr>
              <w:t>，施工现场应采取以下扬尘污染防治措施：</w:t>
            </w:r>
          </w:p>
          <w:p>
            <w:pPr>
              <w:spacing w:line="360" w:lineRule="auto"/>
              <w:ind w:firstLine="480"/>
              <w:rPr>
                <w:rFonts w:cs="Times New Roman"/>
                <w:sz w:val="24"/>
                <w:szCs w:val="24"/>
              </w:rPr>
            </w:pPr>
            <w:r>
              <w:rPr>
                <w:rFonts w:hint="eastAsia" w:ascii="宋体" w:hAnsi="宋体" w:cs="宋体"/>
                <w:sz w:val="24"/>
                <w:szCs w:val="24"/>
              </w:rPr>
              <w:t>①</w:t>
            </w:r>
            <w:r>
              <w:rPr>
                <w:rFonts w:hint="eastAsia"/>
                <w:sz w:val="24"/>
                <w:szCs w:val="24"/>
              </w:rPr>
              <w:t>施工现场应沿四周连续设置不低于2.5m高的封闭围挡，</w:t>
            </w:r>
            <w:r>
              <w:rPr>
                <w:rFonts w:cs="Times New Roman"/>
                <w:sz w:val="24"/>
                <w:szCs w:val="24"/>
              </w:rPr>
              <w:t>围挡应</w:t>
            </w:r>
            <w:r>
              <w:rPr>
                <w:rFonts w:hint="eastAsia" w:cs="Times New Roman"/>
                <w:sz w:val="24"/>
                <w:szCs w:val="24"/>
              </w:rPr>
              <w:t>选用装配式彩钢围挡，围档底部应当密封，不得有泥浆外漏</w:t>
            </w:r>
            <w:r>
              <w:rPr>
                <w:rFonts w:cs="Times New Roman"/>
                <w:sz w:val="24"/>
                <w:szCs w:val="24"/>
              </w:rPr>
              <w:t>；</w:t>
            </w:r>
            <w:r>
              <w:rPr>
                <w:rFonts w:hint="eastAsia" w:cs="Times New Roman"/>
                <w:sz w:val="24"/>
                <w:szCs w:val="24"/>
              </w:rPr>
              <w:t>围挡顶端应设置喷雾装置和警示顶灯，喷雾喷头水平间隔不大于5m，喷射水雾方向应向工地内部倾斜</w:t>
            </w:r>
            <w:r>
              <w:rPr>
                <w:rFonts w:cs="Times New Roman"/>
                <w:sz w:val="24"/>
                <w:szCs w:val="24"/>
              </w:rPr>
              <w:t>。</w:t>
            </w:r>
          </w:p>
          <w:p>
            <w:pPr>
              <w:spacing w:line="360" w:lineRule="auto"/>
              <w:ind w:firstLine="480" w:firstLineChars="200"/>
              <w:rPr>
                <w:rFonts w:cs="Times New Roman"/>
                <w:sz w:val="24"/>
                <w:szCs w:val="24"/>
              </w:rPr>
            </w:pPr>
            <w:r>
              <w:rPr>
                <w:rFonts w:hint="eastAsia" w:cs="Times New Roman"/>
                <w:sz w:val="24"/>
                <w:szCs w:val="24"/>
              </w:rPr>
              <w:t>②</w:t>
            </w:r>
            <w:r>
              <w:rPr>
                <w:rFonts w:hint="eastAsia"/>
                <w:sz w:val="24"/>
                <w:szCs w:val="24"/>
              </w:rPr>
              <w:t>施工车辆出入口依托厂区已建车辆轮胎冲洗设施，包括冲洗平台、冲洗设备、挡水带、</w:t>
            </w:r>
            <w:r>
              <w:rPr>
                <w:rFonts w:cs="Times New Roman"/>
                <w:sz w:val="24"/>
                <w:szCs w:val="24"/>
              </w:rPr>
              <w:t>排水沟（沟宽×深≥300×300mm，排水坡度应大于3%）、沉淀池，出场车辆</w:t>
            </w:r>
            <w:r>
              <w:rPr>
                <w:rFonts w:hint="eastAsia" w:cs="Times New Roman"/>
                <w:sz w:val="24"/>
                <w:szCs w:val="24"/>
              </w:rPr>
              <w:t>应冲洗干净，车身外部、车轮、底盘处目视不得粘有污物和泥土，严禁带泥出场</w:t>
            </w:r>
            <w:r>
              <w:rPr>
                <w:rFonts w:cs="Times New Roman"/>
                <w:sz w:val="24"/>
                <w:szCs w:val="24"/>
              </w:rPr>
              <w:t>。</w:t>
            </w:r>
          </w:p>
          <w:p>
            <w:pPr>
              <w:spacing w:line="360" w:lineRule="auto"/>
              <w:ind w:firstLine="480" w:firstLineChars="200"/>
              <w:rPr>
                <w:sz w:val="24"/>
                <w:szCs w:val="24"/>
              </w:rPr>
            </w:pPr>
            <w:r>
              <w:rPr>
                <w:rFonts w:hint="eastAsia"/>
                <w:sz w:val="24"/>
                <w:szCs w:val="24"/>
              </w:rPr>
              <w:t>③施工现场出入口、主要道路、材料堆场等区域应采用（沥青）混凝土硬化，主要道路路面宽度不小于3.5m，并在道路两侧应设置排水沟和路沿石，防止雨水、泥土污染道路；应建立保洁制度，设专人负责卫生保洁，配备洒水车，定时对施工现场路面进行冲洗降尘</w:t>
            </w:r>
            <w:r>
              <w:rPr>
                <w:rFonts w:cs="Times New Roman"/>
                <w:sz w:val="24"/>
                <w:szCs w:val="24"/>
              </w:rPr>
              <w:t>。</w:t>
            </w:r>
          </w:p>
          <w:p>
            <w:pPr>
              <w:spacing w:line="360" w:lineRule="auto"/>
              <w:ind w:firstLine="480" w:firstLineChars="200"/>
              <w:rPr>
                <w:sz w:val="24"/>
                <w:szCs w:val="24"/>
              </w:rPr>
            </w:pPr>
            <w:r>
              <w:rPr>
                <w:rFonts w:hint="eastAsia" w:ascii="宋体" w:hAnsi="宋体" w:cs="宋体"/>
                <w:sz w:val="24"/>
                <w:szCs w:val="24"/>
              </w:rPr>
              <w:t>④</w:t>
            </w:r>
            <w:r>
              <w:rPr>
                <w:rFonts w:hint="eastAsia"/>
                <w:sz w:val="24"/>
                <w:szCs w:val="24"/>
              </w:rPr>
              <w:t>施工现场裸土及施工期易起尘物料均应使用防尘网进行覆盖，覆盖要封闭严密、连接牢固；必须使用商品混凝土，施工现场禁止设置搅拌站。</w:t>
            </w:r>
          </w:p>
          <w:p>
            <w:pPr>
              <w:spacing w:line="360" w:lineRule="auto"/>
              <w:ind w:firstLine="480" w:firstLineChars="200"/>
              <w:rPr>
                <w:rFonts w:cs="Times New Roman"/>
                <w:sz w:val="24"/>
                <w:szCs w:val="24"/>
              </w:rPr>
            </w:pPr>
            <w:r>
              <w:rPr>
                <w:rFonts w:hint="eastAsia"/>
                <w:sz w:val="24"/>
                <w:szCs w:val="24"/>
              </w:rPr>
              <w:t>⑤施工现场进行易产生扬尘的施工作业活动时，应采取喷淋、喷雾等湿法降尘措施，对于固定喷淋装置无法覆盖的区域，应设置移动式雾炮进行降尘</w:t>
            </w:r>
            <w:r>
              <w:rPr>
                <w:rFonts w:cs="Times New Roman"/>
                <w:sz w:val="24"/>
                <w:szCs w:val="24"/>
              </w:rPr>
              <w:t>。</w:t>
            </w:r>
          </w:p>
          <w:p>
            <w:pPr>
              <w:spacing w:line="360" w:lineRule="auto"/>
              <w:ind w:firstLine="480" w:firstLineChars="200"/>
              <w:rPr>
                <w:sz w:val="24"/>
                <w:szCs w:val="24"/>
              </w:rPr>
            </w:pPr>
            <w:r>
              <w:rPr>
                <w:rFonts w:hint="eastAsia"/>
                <w:sz w:val="24"/>
                <w:szCs w:val="24"/>
              </w:rPr>
              <w:t>⑥施工单位应当建立运输扬尘污染防治管理制度和相关措施，加强对渣土运输车辆、人员管理；运输车辆必须采取覆盖措施，采用密闭式运输车辆，装载不得冒出车辆栏板，防止道路遗撒。</w:t>
            </w:r>
          </w:p>
          <w:p>
            <w:pPr>
              <w:spacing w:line="360" w:lineRule="auto"/>
              <w:ind w:firstLine="480" w:firstLineChars="200"/>
              <w:rPr>
                <w:sz w:val="24"/>
                <w:szCs w:val="24"/>
              </w:rPr>
            </w:pPr>
            <w:r>
              <w:rPr>
                <w:rFonts w:hint="eastAsia"/>
                <w:sz w:val="24"/>
                <w:szCs w:val="24"/>
              </w:rPr>
              <w:t>⑦风速大于4m/s时应停止施工；遇重污染天气，施工单位应按照《大竹县重污染天气应急预案（试行）》（竹府办〔2022〕38号）的要求，落实各级预警下应当采取的应急减排措施。</w:t>
            </w:r>
          </w:p>
          <w:p>
            <w:pPr>
              <w:spacing w:line="360" w:lineRule="auto"/>
              <w:ind w:firstLine="482" w:firstLineChars="200"/>
              <w:rPr>
                <w:b/>
                <w:sz w:val="24"/>
                <w:szCs w:val="24"/>
              </w:rPr>
            </w:pPr>
            <w:r>
              <w:rPr>
                <w:rFonts w:hint="eastAsia"/>
                <w:b/>
                <w:sz w:val="24"/>
                <w:szCs w:val="24"/>
              </w:rPr>
              <w:t>同时，施工单位必须严格落实建筑工地现场管理“十必须”、“十不准”要求，即：必须规范打围、保持干净整洁，必须设置出场车辆高压冲洗设施，必须硬化主要施工道路、出入口，必须湿法作业，必须及时清运建筑垃圾，必须使用800目密目网覆盖裸土、建渣，必须分类有序堆码施工材料，必须规范张贴非道路移动机械环保标识，必须安装扬尘在线监测设备，必须安装高清视频监控设备；不准车辆带泥出门，不准运渣车辆冒顶装载，不准使用名录外运渣车，不准现场搅拌混凝土、砂浆，不准露天切割，不准高处抛洒建筑垃圾，不准场地积水、积泥、积尘，不准焚烧废弃物，不准干扰扬尘监测设备运行，不准干扰视频监控设备。同时，施工单位必须严格按照《四川省建筑工程扬尘污染防治技术导则（试行）》（川建发〔2019〕16号）中要求，严格落实“六个百分百”要求，包括：工地周边围挡、物料堆放覆盖、出入车辆轮胎冲洗、施工现场道路及材料堆场硬化、工地湿法作业及渣土车辆密闭运输，确保施工场地扬尘达到《四川省施工场地扬尘排放标准》（DB51/2682-2020）中相关限值要求。</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）施工机械废气</w:t>
            </w:r>
          </w:p>
          <w:p>
            <w:pPr>
              <w:spacing w:line="360" w:lineRule="auto"/>
              <w:ind w:firstLine="480" w:firstLineChars="200"/>
              <w:rPr>
                <w:sz w:val="24"/>
                <w:szCs w:val="24"/>
              </w:rPr>
            </w:pPr>
            <w:r>
              <w:rPr>
                <w:rFonts w:hint="eastAsia"/>
                <w:sz w:val="24"/>
                <w:szCs w:val="24"/>
              </w:rPr>
              <w:t>本项目施工设备和建筑机械设备的运转，会排放一定量的CO、NO</w:t>
            </w:r>
            <w:r>
              <w:rPr>
                <w:rFonts w:hint="eastAsia"/>
                <w:sz w:val="24"/>
                <w:szCs w:val="24"/>
                <w:vertAlign w:val="subscript"/>
              </w:rPr>
              <w:t>x</w:t>
            </w:r>
            <w:r>
              <w:rPr>
                <w:rFonts w:hint="eastAsia"/>
                <w:sz w:val="24"/>
                <w:szCs w:val="24"/>
              </w:rPr>
              <w:t>以及未完全燃烧的THC等，由于其属间断性无组织排放，特点是排放量小，加之施工现场开阔，扩散条件良好，对其不加处理也可达到相应的排放标准。环评要求：建设单位应禁止使用高排放非道路移动机械，制定施工现场非道路移动机械管理制度，加强施工设备维护，采用低污染的燃料，减少废气排放。</w:t>
            </w:r>
          </w:p>
          <w:p>
            <w:pPr>
              <w:spacing w:line="360" w:lineRule="auto"/>
              <w:ind w:firstLine="482" w:firstLineChars="200"/>
              <w:rPr>
                <w:b/>
                <w:sz w:val="24"/>
                <w:szCs w:val="24"/>
              </w:rPr>
            </w:pPr>
            <w:r>
              <w:rPr>
                <w:rFonts w:hint="eastAsia"/>
                <w:b/>
                <w:sz w:val="24"/>
                <w:szCs w:val="24"/>
              </w:rPr>
              <w:t>（3）装修废气</w:t>
            </w:r>
          </w:p>
          <w:p>
            <w:pPr>
              <w:spacing w:line="360" w:lineRule="auto"/>
              <w:ind w:firstLine="480" w:firstLineChars="200"/>
              <w:rPr>
                <w:sz w:val="24"/>
                <w:szCs w:val="24"/>
              </w:rPr>
            </w:pPr>
            <w:r>
              <w:rPr>
                <w:rFonts w:hint="eastAsia"/>
                <w:sz w:val="24"/>
                <w:szCs w:val="24"/>
              </w:rPr>
              <w:t>装修过程中主要污染因子是涂料挥发废气，该废气的排放属无组织排放，项目仅对空压机站、电力室等进行装修，装修废气排放周期短，装修面积较少，装修期间加强通风换气，环评要求：施工期采用优质环保的装修材料，减少废气中有害物质的排放。</w:t>
            </w:r>
          </w:p>
          <w:p>
            <w:pPr>
              <w:spacing w:line="360" w:lineRule="auto"/>
              <w:ind w:firstLine="482" w:firstLineChars="200"/>
              <w:rPr>
                <w:b/>
                <w:sz w:val="24"/>
                <w:szCs w:val="24"/>
              </w:rPr>
            </w:pPr>
            <w:r>
              <w:rPr>
                <w:b/>
                <w:sz w:val="24"/>
                <w:szCs w:val="24"/>
              </w:rPr>
              <w:t>2</w:t>
            </w:r>
            <w:r>
              <w:rPr>
                <w:rFonts w:hint="eastAsia"/>
                <w:b/>
                <w:sz w:val="24"/>
                <w:szCs w:val="24"/>
              </w:rPr>
              <w:t>、废水</w:t>
            </w:r>
          </w:p>
          <w:p>
            <w:pPr>
              <w:spacing w:line="360" w:lineRule="auto"/>
              <w:ind w:firstLine="482" w:firstLineChars="200"/>
              <w:rPr>
                <w:b/>
                <w:sz w:val="24"/>
                <w:szCs w:val="24"/>
              </w:rPr>
            </w:pPr>
            <w:r>
              <w:rPr>
                <w:rFonts w:hint="eastAsia"/>
                <w:b/>
                <w:sz w:val="24"/>
                <w:szCs w:val="24"/>
              </w:rPr>
              <w:t>（1）施工废水</w:t>
            </w:r>
          </w:p>
          <w:p>
            <w:pPr>
              <w:spacing w:line="360" w:lineRule="auto"/>
              <w:ind w:firstLine="480" w:firstLineChars="200"/>
              <w:rPr>
                <w:sz w:val="24"/>
                <w:szCs w:val="24"/>
              </w:rPr>
            </w:pPr>
            <w:r>
              <w:rPr>
                <w:rFonts w:hint="eastAsia"/>
                <w:sz w:val="24"/>
                <w:szCs w:val="24"/>
              </w:rPr>
              <w:t>施工废水中的主要污染物为pH（一般大于7）、SS、COD、石油类，污水中COD浓度值最高约500mg/L、BOD</w:t>
            </w:r>
            <w:r>
              <w:rPr>
                <w:rFonts w:hint="eastAsia"/>
                <w:sz w:val="24"/>
                <w:szCs w:val="24"/>
                <w:vertAlign w:val="subscript"/>
              </w:rPr>
              <w:t>5</w:t>
            </w:r>
            <w:r>
              <w:rPr>
                <w:rFonts w:hint="eastAsia"/>
                <w:sz w:val="24"/>
                <w:szCs w:val="24"/>
              </w:rPr>
              <w:t>约400mg/L、SS 约1000mg/L。经类比分析，项目施工期施工废水预计排放量为2m</w:t>
            </w:r>
            <w:r>
              <w:rPr>
                <w:rFonts w:hint="eastAsia"/>
                <w:sz w:val="24"/>
                <w:szCs w:val="24"/>
                <w:vertAlign w:val="superscript"/>
              </w:rPr>
              <w:t>3</w:t>
            </w:r>
            <w:r>
              <w:rPr>
                <w:rFonts w:hint="eastAsia"/>
                <w:sz w:val="24"/>
                <w:szCs w:val="24"/>
              </w:rPr>
              <w:t>/d，为防止施工废水对区域地表水环境造成影响，环评要求建设单位应采取以下污染防治措施：</w:t>
            </w:r>
          </w:p>
          <w:p>
            <w:pPr>
              <w:spacing w:line="360" w:lineRule="auto"/>
              <w:ind w:firstLine="480" w:firstLineChars="200"/>
              <w:rPr>
                <w:rFonts w:cs="Times New Roman"/>
                <w:sz w:val="24"/>
                <w:szCs w:val="24"/>
              </w:rPr>
            </w:pPr>
            <w:r>
              <w:rPr>
                <w:rFonts w:hint="eastAsia" w:cs="Times New Roman"/>
                <w:sz w:val="24"/>
                <w:szCs w:val="24"/>
              </w:rPr>
              <w:t>①</w:t>
            </w:r>
            <w:r>
              <w:rPr>
                <w:rFonts w:cs="Times New Roman"/>
                <w:sz w:val="24"/>
                <w:szCs w:val="24"/>
              </w:rPr>
              <w:t>施工</w:t>
            </w:r>
            <w:r>
              <w:rPr>
                <w:rFonts w:hint="eastAsia" w:cs="Times New Roman"/>
                <w:sz w:val="24"/>
                <w:szCs w:val="24"/>
              </w:rPr>
              <w:t>现场</w:t>
            </w:r>
            <w:r>
              <w:rPr>
                <w:rFonts w:cs="Times New Roman"/>
                <w:sz w:val="24"/>
                <w:szCs w:val="24"/>
              </w:rPr>
              <w:t>设置排水沟（沟宽×深≥300×300mm，排水坡度应大于3%）和沉淀池，废水经沉淀处理后全部回用。</w:t>
            </w:r>
          </w:p>
          <w:p>
            <w:pPr>
              <w:spacing w:line="360" w:lineRule="auto"/>
              <w:ind w:firstLine="480" w:firstLineChars="200"/>
              <w:rPr>
                <w:sz w:val="24"/>
                <w:szCs w:val="24"/>
              </w:rPr>
            </w:pPr>
            <w:r>
              <w:rPr>
                <w:rFonts w:hint="eastAsia"/>
                <w:sz w:val="24"/>
                <w:szCs w:val="24"/>
              </w:rPr>
              <w:t>②加强施工管理，严格避免超挖、禁止雨天开挖作业。</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）生活污水</w:t>
            </w:r>
          </w:p>
          <w:p>
            <w:pPr>
              <w:spacing w:line="360" w:lineRule="auto"/>
              <w:ind w:firstLine="480" w:firstLineChars="200"/>
              <w:rPr>
                <w:sz w:val="24"/>
                <w:szCs w:val="24"/>
              </w:rPr>
            </w:pPr>
            <w:r>
              <w:rPr>
                <w:rFonts w:hint="eastAsia"/>
                <w:sz w:val="24"/>
                <w:szCs w:val="24"/>
              </w:rPr>
              <w:t>项目施</w:t>
            </w:r>
            <w:r>
              <w:rPr>
                <w:rFonts w:cs="Times New Roman"/>
                <w:sz w:val="24"/>
                <w:szCs w:val="24"/>
              </w:rPr>
              <w:t>工人员预计10人，</w:t>
            </w:r>
            <w:r>
              <w:rPr>
                <w:rFonts w:hint="eastAsia" w:cs="Times New Roman"/>
                <w:sz w:val="24"/>
                <w:szCs w:val="24"/>
              </w:rPr>
              <w:t>根据</w:t>
            </w:r>
            <w:r>
              <w:rPr>
                <w:rFonts w:cs="Times New Roman"/>
                <w:sz w:val="24"/>
                <w:szCs w:val="24"/>
              </w:rPr>
              <w:t>《四川省用水定额》（川府函〔2021〕8号），施工人员生活用水量按</w:t>
            </w:r>
            <w:r>
              <w:rPr>
                <w:rFonts w:hint="eastAsia" w:cs="Times New Roman"/>
                <w:sz w:val="24"/>
                <w:szCs w:val="24"/>
              </w:rPr>
              <w:t>130</w:t>
            </w:r>
            <w:r>
              <w:rPr>
                <w:rFonts w:cs="Times New Roman"/>
                <w:sz w:val="24"/>
                <w:szCs w:val="24"/>
              </w:rPr>
              <w:t>L/人·d计，生活污水产生系数取0.85，则生活污水产生量为</w:t>
            </w:r>
            <w:r>
              <w:rPr>
                <w:rFonts w:hint="eastAsia" w:cs="Times New Roman"/>
                <w:sz w:val="24"/>
                <w:szCs w:val="24"/>
              </w:rPr>
              <w:t>1.105</w:t>
            </w:r>
            <w:r>
              <w:rPr>
                <w:rFonts w:cs="Times New Roman"/>
                <w:sz w:val="24"/>
                <w:szCs w:val="24"/>
              </w:rPr>
              <w:t>m</w:t>
            </w:r>
            <w:r>
              <w:rPr>
                <w:rFonts w:cs="Times New Roman"/>
                <w:sz w:val="24"/>
                <w:szCs w:val="24"/>
                <w:vertAlign w:val="superscript"/>
              </w:rPr>
              <w:t>3</w:t>
            </w:r>
            <w:r>
              <w:rPr>
                <w:rFonts w:cs="Times New Roman"/>
                <w:sz w:val="24"/>
                <w:szCs w:val="24"/>
              </w:rPr>
              <w:t>/d。生活污水</w:t>
            </w:r>
            <w:r>
              <w:rPr>
                <w:rFonts w:hint="eastAsia" w:cs="Times New Roman"/>
                <w:sz w:val="24"/>
                <w:szCs w:val="24"/>
              </w:rPr>
              <w:t>依托厂区已建污水处理设施</w:t>
            </w:r>
            <w:r>
              <w:rPr>
                <w:rFonts w:cs="Times New Roman"/>
                <w:sz w:val="24"/>
                <w:szCs w:val="24"/>
              </w:rPr>
              <w:t>处理后</w:t>
            </w:r>
            <w:r>
              <w:rPr>
                <w:rFonts w:hint="eastAsia" w:cs="Times New Roman"/>
                <w:sz w:val="24"/>
                <w:szCs w:val="24"/>
              </w:rPr>
              <w:t>回用于厂区绿化</w:t>
            </w:r>
            <w:r>
              <w:rPr>
                <w:rFonts w:cs="Times New Roman"/>
                <w:sz w:val="24"/>
                <w:szCs w:val="24"/>
              </w:rPr>
              <w:t>。</w:t>
            </w:r>
          </w:p>
          <w:p>
            <w:pPr>
              <w:spacing w:line="360" w:lineRule="auto"/>
              <w:ind w:firstLine="482" w:firstLineChars="200"/>
              <w:rPr>
                <w:b/>
                <w:sz w:val="24"/>
                <w:szCs w:val="24"/>
              </w:rPr>
            </w:pPr>
            <w:r>
              <w:rPr>
                <w:b/>
                <w:sz w:val="24"/>
                <w:szCs w:val="24"/>
              </w:rPr>
              <w:t>3</w:t>
            </w:r>
            <w:r>
              <w:rPr>
                <w:rFonts w:hint="eastAsia"/>
                <w:b/>
                <w:sz w:val="24"/>
                <w:szCs w:val="24"/>
              </w:rPr>
              <w:t>、噪声</w:t>
            </w:r>
          </w:p>
          <w:p>
            <w:pPr>
              <w:spacing w:line="360" w:lineRule="auto"/>
              <w:ind w:firstLine="480" w:firstLineChars="200"/>
              <w:rPr>
                <w:sz w:val="24"/>
                <w:szCs w:val="24"/>
              </w:rPr>
            </w:pPr>
            <w:r>
              <w:rPr>
                <w:rFonts w:hint="eastAsia"/>
                <w:sz w:val="24"/>
                <w:szCs w:val="24"/>
              </w:rPr>
              <w:t>施工期噪声主要来源于施工现场的各类机械设备噪声，不同施工阶段和不同施工机械发出的噪声水平是不同的，且有大量设备交互作业，各施工阶段主要施工机械设备噪声源强值见下表。</w:t>
            </w:r>
          </w:p>
          <w:p>
            <w:pPr>
              <w:spacing w:line="360" w:lineRule="auto"/>
              <w:jc w:val="center"/>
              <w:rPr>
                <w:rFonts w:eastAsia="黑体" w:cs="Calibri"/>
                <w:szCs w:val="21"/>
              </w:rPr>
            </w:pPr>
            <w:r>
              <w:rPr>
                <w:rFonts w:eastAsia="黑体" w:cs="Calibri"/>
                <w:szCs w:val="21"/>
              </w:rPr>
              <w:t>表4</w:t>
            </w:r>
            <w:r>
              <w:rPr>
                <w:rFonts w:hint="eastAsia" w:eastAsia="黑体" w:cs="Calibri"/>
                <w:szCs w:val="21"/>
              </w:rPr>
              <w:t>-</w:t>
            </w:r>
            <w:r>
              <w:rPr>
                <w:rFonts w:eastAsia="黑体" w:cs="Calibri"/>
                <w:szCs w:val="21"/>
              </w:rPr>
              <w:t>1  主要机械设备源强值</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712"/>
              <w:gridCol w:w="1570"/>
              <w:gridCol w:w="1571"/>
              <w:gridCol w:w="1570"/>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pct"/>
                  <w:gridSpan w:val="2"/>
                  <w:shd w:val="clear" w:color="auto" w:fill="auto"/>
                  <w:vAlign w:val="center"/>
                </w:tcPr>
                <w:p>
                  <w:pPr>
                    <w:jc w:val="center"/>
                    <w:rPr>
                      <w:szCs w:val="21"/>
                    </w:rPr>
                  </w:pPr>
                  <w:r>
                    <w:rPr>
                      <w:rFonts w:hint="eastAsia"/>
                      <w:szCs w:val="21"/>
                    </w:rPr>
                    <w:t>施工设备</w:t>
                  </w:r>
                  <w:r>
                    <w:rPr>
                      <w:szCs w:val="21"/>
                    </w:rPr>
                    <w:t>明</w:t>
                  </w:r>
                  <w:r>
                    <w:rPr>
                      <w:rFonts w:hint="eastAsia"/>
                      <w:szCs w:val="21"/>
                    </w:rPr>
                    <w:t>名称</w:t>
                  </w:r>
                </w:p>
              </w:tc>
              <w:tc>
                <w:tcPr>
                  <w:tcW w:w="858" w:type="pct"/>
                  <w:shd w:val="clear" w:color="auto" w:fill="auto"/>
                  <w:vAlign w:val="center"/>
                </w:tcPr>
                <w:p>
                  <w:pPr>
                    <w:jc w:val="center"/>
                    <w:rPr>
                      <w:szCs w:val="21"/>
                    </w:rPr>
                  </w:pPr>
                  <w:r>
                    <w:rPr>
                      <w:rFonts w:hint="eastAsia"/>
                      <w:szCs w:val="21"/>
                    </w:rPr>
                    <w:t>运输</w:t>
                  </w:r>
                  <w:r>
                    <w:rPr>
                      <w:szCs w:val="21"/>
                    </w:rPr>
                    <w:t>车辆</w:t>
                  </w:r>
                </w:p>
              </w:tc>
              <w:tc>
                <w:tcPr>
                  <w:tcW w:w="859" w:type="pct"/>
                  <w:shd w:val="clear" w:color="auto" w:fill="auto"/>
                  <w:vAlign w:val="center"/>
                </w:tcPr>
                <w:p>
                  <w:pPr>
                    <w:jc w:val="center"/>
                    <w:rPr>
                      <w:szCs w:val="21"/>
                    </w:rPr>
                  </w:pPr>
                  <w:r>
                    <w:rPr>
                      <w:rFonts w:hint="eastAsia"/>
                      <w:szCs w:val="21"/>
                    </w:rPr>
                    <w:t>装载</w:t>
                  </w:r>
                </w:p>
              </w:tc>
              <w:tc>
                <w:tcPr>
                  <w:tcW w:w="858" w:type="pct"/>
                  <w:shd w:val="clear" w:color="auto" w:fill="auto"/>
                  <w:vAlign w:val="center"/>
                </w:tcPr>
                <w:p>
                  <w:pPr>
                    <w:jc w:val="center"/>
                    <w:rPr>
                      <w:szCs w:val="21"/>
                    </w:rPr>
                  </w:pPr>
                  <w:r>
                    <w:rPr>
                      <w:rFonts w:hint="eastAsia"/>
                      <w:szCs w:val="21"/>
                    </w:rPr>
                    <w:t>推土机</w:t>
                  </w:r>
                </w:p>
              </w:tc>
              <w:tc>
                <w:tcPr>
                  <w:tcW w:w="859" w:type="pct"/>
                  <w:shd w:val="clear" w:color="auto" w:fill="auto"/>
                  <w:vAlign w:val="center"/>
                </w:tcPr>
                <w:p>
                  <w:pPr>
                    <w:jc w:val="center"/>
                    <w:rPr>
                      <w:szCs w:val="21"/>
                    </w:rPr>
                  </w:pPr>
                  <w:r>
                    <w:rPr>
                      <w:rFonts w:hint="eastAsia"/>
                      <w:szCs w:val="21"/>
                    </w:rPr>
                    <w:t>挖掘机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Merge w:val="restart"/>
                  <w:shd w:val="clear" w:color="auto" w:fill="auto"/>
                  <w:vAlign w:val="center"/>
                </w:tcPr>
                <w:p>
                  <w:pPr>
                    <w:jc w:val="center"/>
                    <w:rPr>
                      <w:szCs w:val="21"/>
                    </w:rPr>
                  </w:pPr>
                  <w:r>
                    <w:rPr>
                      <w:rFonts w:hint="eastAsia"/>
                      <w:szCs w:val="21"/>
                    </w:rPr>
                    <w:t>噪声值</w:t>
                  </w:r>
                </w:p>
                <w:p>
                  <w:pPr>
                    <w:jc w:val="center"/>
                    <w:rPr>
                      <w:szCs w:val="21"/>
                    </w:rPr>
                  </w:pPr>
                  <w:r>
                    <w:rPr>
                      <w:rFonts w:hint="eastAsia"/>
                      <w:szCs w:val="21"/>
                    </w:rPr>
                    <w:t>dB</w:t>
                  </w:r>
                  <w:r>
                    <w:rPr>
                      <w:szCs w:val="21"/>
                    </w:rPr>
                    <w:t>（A）</w:t>
                  </w:r>
                </w:p>
              </w:tc>
              <w:tc>
                <w:tcPr>
                  <w:tcW w:w="936" w:type="pct"/>
                  <w:shd w:val="clear" w:color="auto" w:fill="auto"/>
                  <w:vAlign w:val="center"/>
                </w:tcPr>
                <w:p>
                  <w:pPr>
                    <w:jc w:val="center"/>
                    <w:rPr>
                      <w:szCs w:val="21"/>
                    </w:rPr>
                  </w:pPr>
                  <w:r>
                    <w:rPr>
                      <w:rFonts w:hint="eastAsia"/>
                      <w:szCs w:val="21"/>
                    </w:rPr>
                    <w:t>距机械5</w:t>
                  </w:r>
                  <w:r>
                    <w:rPr>
                      <w:szCs w:val="21"/>
                    </w:rPr>
                    <w:t>m处</w:t>
                  </w:r>
                </w:p>
              </w:tc>
              <w:tc>
                <w:tcPr>
                  <w:tcW w:w="858" w:type="pct"/>
                  <w:shd w:val="clear" w:color="auto" w:fill="auto"/>
                  <w:vAlign w:val="center"/>
                </w:tcPr>
                <w:p>
                  <w:pPr>
                    <w:jc w:val="center"/>
                    <w:rPr>
                      <w:szCs w:val="21"/>
                    </w:rPr>
                  </w:pPr>
                  <w:r>
                    <w:rPr>
                      <w:szCs w:val="21"/>
                    </w:rPr>
                    <w:t>82~90</w:t>
                  </w:r>
                </w:p>
              </w:tc>
              <w:tc>
                <w:tcPr>
                  <w:tcW w:w="859" w:type="pct"/>
                  <w:shd w:val="clear" w:color="auto" w:fill="auto"/>
                  <w:vAlign w:val="center"/>
                </w:tcPr>
                <w:p>
                  <w:pPr>
                    <w:jc w:val="center"/>
                    <w:rPr>
                      <w:szCs w:val="21"/>
                    </w:rPr>
                  </w:pPr>
                  <w:r>
                    <w:rPr>
                      <w:szCs w:val="21"/>
                    </w:rPr>
                    <w:t>90~95</w:t>
                  </w:r>
                </w:p>
              </w:tc>
              <w:tc>
                <w:tcPr>
                  <w:tcW w:w="858" w:type="pct"/>
                  <w:shd w:val="clear" w:color="auto" w:fill="auto"/>
                  <w:vAlign w:val="center"/>
                </w:tcPr>
                <w:p>
                  <w:pPr>
                    <w:jc w:val="center"/>
                    <w:rPr>
                      <w:szCs w:val="21"/>
                    </w:rPr>
                  </w:pPr>
                  <w:r>
                    <w:rPr>
                      <w:szCs w:val="21"/>
                    </w:rPr>
                    <w:t>83~88</w:t>
                  </w:r>
                </w:p>
              </w:tc>
              <w:tc>
                <w:tcPr>
                  <w:tcW w:w="859" w:type="pct"/>
                  <w:shd w:val="clear" w:color="auto" w:fill="auto"/>
                  <w:vAlign w:val="center"/>
                </w:tcPr>
                <w:p>
                  <w:pPr>
                    <w:jc w:val="center"/>
                    <w:rPr>
                      <w:szCs w:val="21"/>
                    </w:rPr>
                  </w:pPr>
                  <w:r>
                    <w:rPr>
                      <w:szCs w:val="21"/>
                    </w:rPr>
                    <w:t>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Merge w:val="continue"/>
                  <w:shd w:val="clear" w:color="auto" w:fill="auto"/>
                  <w:vAlign w:val="center"/>
                </w:tcPr>
                <w:p>
                  <w:pPr>
                    <w:jc w:val="center"/>
                    <w:rPr>
                      <w:szCs w:val="21"/>
                    </w:rPr>
                  </w:pPr>
                </w:p>
              </w:tc>
              <w:tc>
                <w:tcPr>
                  <w:tcW w:w="936" w:type="pct"/>
                  <w:shd w:val="clear" w:color="auto" w:fill="auto"/>
                  <w:vAlign w:val="center"/>
                </w:tcPr>
                <w:p>
                  <w:pPr>
                    <w:jc w:val="center"/>
                    <w:rPr>
                      <w:szCs w:val="21"/>
                    </w:rPr>
                  </w:pPr>
                  <w:r>
                    <w:rPr>
                      <w:rFonts w:hint="eastAsia"/>
                      <w:szCs w:val="21"/>
                    </w:rPr>
                    <w:t>距机械</w:t>
                  </w:r>
                  <w:r>
                    <w:rPr>
                      <w:szCs w:val="21"/>
                    </w:rPr>
                    <w:t>10m处</w:t>
                  </w:r>
                </w:p>
              </w:tc>
              <w:tc>
                <w:tcPr>
                  <w:tcW w:w="858" w:type="pct"/>
                  <w:shd w:val="clear" w:color="auto" w:fill="auto"/>
                  <w:vAlign w:val="center"/>
                </w:tcPr>
                <w:p>
                  <w:pPr>
                    <w:jc w:val="center"/>
                    <w:rPr>
                      <w:szCs w:val="21"/>
                    </w:rPr>
                  </w:pPr>
                  <w:r>
                    <w:rPr>
                      <w:szCs w:val="21"/>
                    </w:rPr>
                    <w:t>78~86</w:t>
                  </w:r>
                </w:p>
              </w:tc>
              <w:tc>
                <w:tcPr>
                  <w:tcW w:w="859" w:type="pct"/>
                  <w:shd w:val="clear" w:color="auto" w:fill="auto"/>
                  <w:vAlign w:val="center"/>
                </w:tcPr>
                <w:p>
                  <w:pPr>
                    <w:jc w:val="center"/>
                    <w:rPr>
                      <w:szCs w:val="21"/>
                    </w:rPr>
                  </w:pPr>
                  <w:r>
                    <w:rPr>
                      <w:szCs w:val="21"/>
                    </w:rPr>
                    <w:t>85~91</w:t>
                  </w:r>
                </w:p>
              </w:tc>
              <w:tc>
                <w:tcPr>
                  <w:tcW w:w="858" w:type="pct"/>
                  <w:shd w:val="clear" w:color="auto" w:fill="auto"/>
                  <w:vAlign w:val="center"/>
                </w:tcPr>
                <w:p>
                  <w:pPr>
                    <w:jc w:val="center"/>
                    <w:rPr>
                      <w:szCs w:val="21"/>
                    </w:rPr>
                  </w:pPr>
                  <w:r>
                    <w:rPr>
                      <w:szCs w:val="21"/>
                    </w:rPr>
                    <w:t>80~85</w:t>
                  </w:r>
                </w:p>
              </w:tc>
              <w:tc>
                <w:tcPr>
                  <w:tcW w:w="859" w:type="pct"/>
                  <w:shd w:val="clear" w:color="auto" w:fill="auto"/>
                  <w:vAlign w:val="center"/>
                </w:tcPr>
                <w:p>
                  <w:pPr>
                    <w:jc w:val="center"/>
                    <w:rPr>
                      <w:szCs w:val="21"/>
                    </w:rPr>
                  </w:pPr>
                  <w:r>
                    <w:rPr>
                      <w:szCs w:val="21"/>
                    </w:rPr>
                    <w:t>78~86</w:t>
                  </w:r>
                </w:p>
              </w:tc>
            </w:tr>
          </w:tbl>
          <w:p>
            <w:pPr>
              <w:spacing w:line="360" w:lineRule="auto"/>
              <w:ind w:firstLine="480" w:firstLineChars="200"/>
              <w:rPr>
                <w:sz w:val="24"/>
                <w:szCs w:val="24"/>
              </w:rPr>
            </w:pPr>
            <w:r>
              <w:rPr>
                <w:rFonts w:hint="eastAsia"/>
                <w:sz w:val="24"/>
                <w:szCs w:val="24"/>
              </w:rPr>
              <w:t>为实现施工场界噪声达标排放，降低施工噪声对周围环境的影响，根据《中华人民共和国噪声污染防治法》的有关要求，建设单位和施工单位应采取以下噪声防治措施：</w:t>
            </w:r>
          </w:p>
          <w:p>
            <w:pPr>
              <w:spacing w:line="360" w:lineRule="auto"/>
              <w:ind w:firstLine="480" w:firstLineChars="200"/>
              <w:rPr>
                <w:sz w:val="24"/>
                <w:szCs w:val="24"/>
              </w:rPr>
            </w:pPr>
            <w:r>
              <w:rPr>
                <w:rFonts w:hint="eastAsia"/>
                <w:sz w:val="24"/>
                <w:szCs w:val="24"/>
              </w:rPr>
              <w:t>①建设单位应当按照规定将噪声污染防治费用列入工程造价，在施工合同中明确施工单位的噪声污染防治责任。施工单位应结合施工工地现场条件、周边噪声敏感点分布，识别主要噪声污染源，明确噪声污染防治的具体措施，编制噪声污染防治方案。</w:t>
            </w:r>
          </w:p>
          <w:p>
            <w:pPr>
              <w:spacing w:line="360" w:lineRule="auto"/>
              <w:ind w:firstLine="480" w:firstLineChars="200"/>
              <w:rPr>
                <w:sz w:val="24"/>
                <w:szCs w:val="24"/>
              </w:rPr>
            </w:pPr>
            <w:r>
              <w:rPr>
                <w:rFonts w:hint="eastAsia"/>
                <w:sz w:val="24"/>
                <w:szCs w:val="24"/>
              </w:rPr>
              <w:t>②选用低噪声施工工艺，采用符合国家相关标准或经实际监测近场5m处噪声优于《环境噪声与振动控制工程技术导则》（HJ2034）附录A2的低噪声施工设备。</w:t>
            </w:r>
          </w:p>
          <w:p>
            <w:pPr>
              <w:spacing w:line="360" w:lineRule="auto"/>
              <w:ind w:firstLine="480" w:firstLineChars="200"/>
              <w:rPr>
                <w:sz w:val="24"/>
                <w:szCs w:val="24"/>
              </w:rPr>
            </w:pPr>
            <w:r>
              <w:rPr>
                <w:rFonts w:hint="eastAsia"/>
                <w:sz w:val="24"/>
                <w:szCs w:val="24"/>
              </w:rPr>
              <w:t>③建设单位应当按照国家规定，设置噪声自动监测系统，与监督管理部门联网，保存原始监测记录，对监测数据的真实性和准确性负责。</w:t>
            </w:r>
          </w:p>
          <w:p>
            <w:pPr>
              <w:spacing w:line="360" w:lineRule="auto"/>
              <w:ind w:firstLine="480" w:firstLineChars="200"/>
              <w:rPr>
                <w:sz w:val="24"/>
                <w:szCs w:val="24"/>
              </w:rPr>
            </w:pPr>
            <w:r>
              <w:rPr>
                <w:rFonts w:hint="eastAsia"/>
                <w:sz w:val="24"/>
                <w:szCs w:val="24"/>
              </w:rPr>
              <w:t>④禁止夜间（22:00~6:00）进行产生噪声的建筑施工作业。</w:t>
            </w:r>
          </w:p>
          <w:p>
            <w:pPr>
              <w:spacing w:line="360" w:lineRule="auto"/>
              <w:ind w:firstLine="480" w:firstLineChars="200"/>
              <w:rPr>
                <w:sz w:val="24"/>
                <w:szCs w:val="24"/>
              </w:rPr>
            </w:pPr>
            <w:r>
              <w:rPr>
                <w:rFonts w:hint="eastAsia"/>
                <w:sz w:val="24"/>
                <w:szCs w:val="24"/>
              </w:rPr>
              <w:t>⑤合理布局施工平面，应充分考虑不同区域的噪声影响和需求，高噪声施工设备应远离周边噪声敏感建筑物布置。</w:t>
            </w:r>
          </w:p>
          <w:p>
            <w:pPr>
              <w:spacing w:line="360" w:lineRule="auto"/>
              <w:ind w:firstLine="480" w:firstLineChars="200"/>
              <w:rPr>
                <w:sz w:val="24"/>
                <w:szCs w:val="24"/>
              </w:rPr>
            </w:pPr>
            <w:r>
              <w:rPr>
                <w:rFonts w:hint="eastAsia"/>
                <w:sz w:val="24"/>
                <w:szCs w:val="24"/>
              </w:rPr>
              <w:t>⑥加强管理，文明施工。装卸、搬运木材、模具、钢材等严禁抛掷，运输车辆实施限速、禁止鸣笛。运输车辆应按照有关部门同意的运输路线行进，运输时间应避开居民进出高峰期。</w:t>
            </w:r>
          </w:p>
          <w:p>
            <w:pPr>
              <w:spacing w:line="360" w:lineRule="auto"/>
              <w:ind w:firstLine="480" w:firstLineChars="200"/>
              <w:rPr>
                <w:sz w:val="24"/>
                <w:szCs w:val="24"/>
              </w:rPr>
            </w:pPr>
            <w:r>
              <w:rPr>
                <w:rFonts w:hint="eastAsia"/>
                <w:sz w:val="24"/>
                <w:szCs w:val="24"/>
              </w:rPr>
              <w:t>⑦施工前应进行公示，施工单位应在现场张贴通告和投诉电话，建设单位在接到投诉电话后及时与主管部门联系，及时处理各种环境纠纷。</w:t>
            </w:r>
          </w:p>
          <w:p>
            <w:pPr>
              <w:spacing w:line="360" w:lineRule="auto"/>
              <w:ind w:firstLine="482" w:firstLineChars="200"/>
              <w:rPr>
                <w:b/>
                <w:sz w:val="24"/>
                <w:szCs w:val="24"/>
              </w:rPr>
            </w:pPr>
            <w:r>
              <w:rPr>
                <w:b/>
                <w:sz w:val="24"/>
                <w:szCs w:val="24"/>
              </w:rPr>
              <w:t>4</w:t>
            </w:r>
            <w:r>
              <w:rPr>
                <w:rFonts w:hint="eastAsia"/>
                <w:b/>
                <w:sz w:val="24"/>
                <w:szCs w:val="24"/>
              </w:rPr>
              <w:t>、固体废物</w:t>
            </w:r>
          </w:p>
          <w:p>
            <w:pPr>
              <w:spacing w:line="360" w:lineRule="auto"/>
              <w:ind w:firstLine="482" w:firstLineChars="200"/>
              <w:rPr>
                <w:b/>
                <w:sz w:val="24"/>
                <w:szCs w:val="24"/>
              </w:rPr>
            </w:pPr>
            <w:r>
              <w:rPr>
                <w:rFonts w:hint="eastAsia"/>
                <w:b/>
                <w:sz w:val="24"/>
                <w:szCs w:val="24"/>
              </w:rPr>
              <w:t>（1）土石方</w:t>
            </w:r>
          </w:p>
          <w:p>
            <w:pPr>
              <w:spacing w:line="360" w:lineRule="auto"/>
              <w:ind w:firstLine="480" w:firstLineChars="200"/>
              <w:rPr>
                <w:sz w:val="24"/>
                <w:szCs w:val="24"/>
              </w:rPr>
            </w:pPr>
            <w:r>
              <w:rPr>
                <w:rFonts w:hint="eastAsia"/>
                <w:sz w:val="24"/>
                <w:szCs w:val="24"/>
              </w:rPr>
              <w:t>施工期开挖土石方全部用于场地回填、调整场平，避免弃土产生。为防止施工期土石方处置不当对周围环境的影响，环评要求：施工期禁止大风天气和雨天进行土石方开挖作业，开挖的土石方应及时回填，不能及时回填的应设立临时堆土场，</w:t>
            </w:r>
            <w:r>
              <w:rPr>
                <w:rFonts w:hint="eastAsia" w:cs="Times New Roman"/>
                <w:kern w:val="0"/>
                <w:sz w:val="24"/>
                <w:szCs w:val="24"/>
              </w:rPr>
              <w:t>采用防尘防雨布覆盖</w:t>
            </w:r>
            <w:r>
              <w:rPr>
                <w:rFonts w:hint="eastAsia"/>
                <w:sz w:val="24"/>
                <w:szCs w:val="24"/>
              </w:rPr>
              <w:t>；施工完成后，应尽快进行绿化建设，优先选用固沙植物，覆盖的泥土应不超出绿化边界。</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）建筑垃圾</w:t>
            </w:r>
          </w:p>
          <w:p>
            <w:pPr>
              <w:spacing w:line="360" w:lineRule="auto"/>
              <w:ind w:firstLine="480" w:firstLineChars="200"/>
              <w:rPr>
                <w:sz w:val="24"/>
                <w:szCs w:val="24"/>
              </w:rPr>
            </w:pPr>
            <w:r>
              <w:rPr>
                <w:rFonts w:hint="eastAsia"/>
                <w:sz w:val="24"/>
                <w:szCs w:val="24"/>
              </w:rPr>
              <w:t>施工期建筑垃圾包括建筑废料和装修垃圾，预计产生量约2t，环评要求：施工期产生的建筑垃圾，应在48小时内及时清运；建筑垃圾在48小时内</w:t>
            </w:r>
            <w:bookmarkStart w:id="4" w:name="_Hlk92568536"/>
            <w:r>
              <w:rPr>
                <w:rFonts w:hint="eastAsia"/>
                <w:sz w:val="24"/>
                <w:szCs w:val="24"/>
              </w:rPr>
              <w:t>未能清运的，施工现场应设置建筑垃圾临时堆放场，临时堆放场应采取围挡、覆盖等防尘措施</w:t>
            </w:r>
            <w:bookmarkEnd w:id="4"/>
            <w:r>
              <w:rPr>
                <w:rFonts w:hint="eastAsia"/>
                <w:sz w:val="24"/>
                <w:szCs w:val="24"/>
              </w:rPr>
              <w:t>；施工现场建筑垃圾清运时，建设单位或施工单位应与建筑垃圾运输和处置企业依法签订建筑垃圾运输、处置协议。建设单位或施工单位应在施工现场派驻建筑垃圾处置管理员，负责监督建筑垃圾外运时运渣车辆是否密闭运输、冲洗除尘和号牌清晰，做到不带泥出门，不冒顶装载。</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）生活垃圾</w:t>
            </w:r>
          </w:p>
          <w:p>
            <w:pPr>
              <w:spacing w:line="360" w:lineRule="auto"/>
              <w:ind w:firstLine="480" w:firstLineChars="200"/>
              <w:rPr>
                <w:sz w:val="24"/>
                <w:szCs w:val="24"/>
              </w:rPr>
            </w:pPr>
            <w:r>
              <w:rPr>
                <w:rFonts w:hint="eastAsia"/>
                <w:sz w:val="24"/>
                <w:szCs w:val="24"/>
              </w:rPr>
              <w:t>施工期生活垃圾</w:t>
            </w:r>
            <w:r>
              <w:rPr>
                <w:rFonts w:cs="Times New Roman"/>
                <w:sz w:val="24"/>
                <w:szCs w:val="24"/>
              </w:rPr>
              <w:t>主要为施工人员办公生活过程的产生的垃圾，施工人员预计约10人，生活垃圾产生量按0.5kg/人·d计，预计产生量5kg/d，生活垃圾经收集后</w:t>
            </w:r>
            <w:r>
              <w:rPr>
                <w:rFonts w:hint="eastAsia" w:cs="Times New Roman"/>
                <w:sz w:val="24"/>
                <w:szCs w:val="24"/>
              </w:rPr>
              <w:t>送水泥窑焚烧处置</w:t>
            </w:r>
            <w:r>
              <w:rPr>
                <w:rFonts w:cs="Times New Roman"/>
                <w:sz w:val="24"/>
                <w:szCs w:val="24"/>
              </w:rPr>
              <w:t>。</w:t>
            </w:r>
          </w:p>
          <w:p>
            <w:pPr>
              <w:spacing w:line="360" w:lineRule="auto"/>
              <w:ind w:firstLine="482" w:firstLineChars="200"/>
              <w:rPr>
                <w:b/>
                <w:sz w:val="24"/>
                <w:szCs w:val="24"/>
              </w:rPr>
            </w:pPr>
            <w:r>
              <w:rPr>
                <w:rFonts w:hint="eastAsia"/>
                <w:b/>
                <w:sz w:val="24"/>
                <w:szCs w:val="24"/>
              </w:rPr>
              <w:t>5、生态影响</w:t>
            </w:r>
          </w:p>
          <w:p>
            <w:pPr>
              <w:spacing w:line="360" w:lineRule="auto"/>
              <w:ind w:firstLine="480" w:firstLineChars="200"/>
              <w:rPr>
                <w:sz w:val="24"/>
                <w:szCs w:val="24"/>
              </w:rPr>
            </w:pPr>
            <w:r>
              <w:rPr>
                <w:rFonts w:hint="eastAsia"/>
                <w:sz w:val="24"/>
                <w:szCs w:val="24"/>
              </w:rPr>
              <w:t>施工期对生态的影响和破坏的途径主要为土石方填挖、场地平整等使原有土壤结构发生改变，破坏原有植被，在一定时段和一定区域将造成水土流失。为防止施工期水土流失，环评要求施工阶段应采取以下措施：</w:t>
            </w:r>
          </w:p>
          <w:p>
            <w:pPr>
              <w:spacing w:line="360" w:lineRule="auto"/>
              <w:ind w:firstLine="480" w:firstLineChars="200"/>
              <w:rPr>
                <w:sz w:val="24"/>
                <w:szCs w:val="24"/>
              </w:rPr>
            </w:pPr>
            <w:r>
              <w:rPr>
                <w:rFonts w:hint="eastAsia"/>
                <w:sz w:val="24"/>
                <w:szCs w:val="24"/>
              </w:rPr>
              <w:t>①严格遵守环保法律法规，加强施工人员环保意识；科学合理的安排施工进度与时序，严格控制开挖施工作业面。</w:t>
            </w:r>
          </w:p>
          <w:p>
            <w:pPr>
              <w:spacing w:line="360" w:lineRule="auto"/>
              <w:ind w:firstLine="480" w:firstLineChars="200"/>
              <w:rPr>
                <w:sz w:val="24"/>
                <w:szCs w:val="24"/>
              </w:rPr>
            </w:pPr>
            <w:r>
              <w:rPr>
                <w:rFonts w:hint="eastAsia"/>
                <w:sz w:val="24"/>
                <w:szCs w:val="24"/>
              </w:rPr>
              <w:t>②为防止雨水、地表径流对堆料场和渣（土）体的冲刷，应对临时堆土、裸土采取覆盖、拦挡措施，避免雨水冲刷造成水土流失。</w:t>
            </w:r>
          </w:p>
          <w:p>
            <w:pPr>
              <w:spacing w:line="360" w:lineRule="auto"/>
              <w:ind w:firstLine="480" w:firstLineChars="200"/>
              <w:rPr>
                <w:sz w:val="24"/>
                <w:szCs w:val="24"/>
              </w:rPr>
            </w:pPr>
            <w:r>
              <w:rPr>
                <w:rFonts w:hint="eastAsia"/>
                <w:sz w:val="24"/>
                <w:szCs w:val="24"/>
              </w:rPr>
              <w:t>③做好表层土剥离、暂存工作，施工结束后及时进行回铺表土、撒草绿化等，所选草种应为本土物种，最大限度保护和恢复植被。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pPr>
              <w:spacing w:line="360" w:lineRule="auto"/>
              <w:jc w:val="center"/>
              <w:rPr>
                <w:rFonts w:cs="Times New Roman"/>
                <w:sz w:val="24"/>
                <w:szCs w:val="24"/>
              </w:rPr>
            </w:pPr>
            <w:r>
              <w:rPr>
                <w:rFonts w:hint="eastAsia" w:cs="Times New Roman"/>
                <w:sz w:val="24"/>
                <w:szCs w:val="24"/>
              </w:rPr>
              <w:t>运营期环境影响和保护措施</w:t>
            </w:r>
          </w:p>
        </w:tc>
        <w:tc>
          <w:tcPr>
            <w:tcW w:w="4756" w:type="pct"/>
            <w:vAlign w:val="center"/>
          </w:tcPr>
          <w:p>
            <w:pPr>
              <w:spacing w:line="360" w:lineRule="auto"/>
              <w:ind w:firstLine="482" w:firstLineChars="200"/>
              <w:rPr>
                <w:b/>
                <w:sz w:val="24"/>
                <w:szCs w:val="24"/>
              </w:rPr>
            </w:pPr>
            <w:r>
              <w:rPr>
                <w:rFonts w:hint="eastAsia"/>
                <w:b/>
                <w:sz w:val="24"/>
                <w:szCs w:val="24"/>
              </w:rPr>
              <w:t>1、废气</w:t>
            </w:r>
          </w:p>
          <w:p>
            <w:pPr>
              <w:spacing w:line="360" w:lineRule="auto"/>
              <w:ind w:firstLine="482" w:firstLineChars="200"/>
              <w:rPr>
                <w:rFonts w:cs="Times New Roman"/>
                <w:b/>
                <w:bCs/>
                <w:sz w:val="24"/>
                <w:szCs w:val="24"/>
              </w:rPr>
            </w:pPr>
            <w:r>
              <w:rPr>
                <w:rFonts w:hint="eastAsia" w:cs="Times New Roman"/>
                <w:b/>
                <w:bCs/>
                <w:sz w:val="24"/>
                <w:szCs w:val="24"/>
              </w:rPr>
              <w:t>（1）产生源及治理措施</w:t>
            </w:r>
          </w:p>
          <w:p>
            <w:pPr>
              <w:spacing w:line="360" w:lineRule="auto"/>
              <w:ind w:firstLine="482" w:firstLineChars="200"/>
              <w:rPr>
                <w:rFonts w:cs="Times New Roman"/>
                <w:b/>
                <w:bCs/>
                <w:sz w:val="24"/>
                <w:szCs w:val="24"/>
              </w:rPr>
            </w:pPr>
            <w:r>
              <w:rPr>
                <w:rFonts w:hint="eastAsia" w:cs="Times New Roman"/>
                <w:b/>
                <w:bCs/>
                <w:sz w:val="24"/>
                <w:szCs w:val="24"/>
              </w:rPr>
              <w:t>1）制砂、筛分粉尘</w:t>
            </w:r>
          </w:p>
          <w:p>
            <w:pPr>
              <w:spacing w:line="360" w:lineRule="auto"/>
              <w:ind w:firstLine="482" w:firstLineChars="200"/>
              <w:rPr>
                <w:rFonts w:cs="Times New Roman"/>
                <w:b/>
                <w:bCs/>
                <w:sz w:val="24"/>
                <w:szCs w:val="24"/>
              </w:rPr>
            </w:pPr>
            <w:r>
              <w:rPr>
                <w:rFonts w:hint="eastAsia" w:cs="Times New Roman"/>
                <w:b/>
                <w:bCs/>
                <w:sz w:val="24"/>
                <w:szCs w:val="24"/>
              </w:rPr>
              <w:t>①产生情况</w:t>
            </w:r>
          </w:p>
          <w:p>
            <w:pPr>
              <w:spacing w:line="360" w:lineRule="auto"/>
              <w:ind w:firstLine="480" w:firstLineChars="200"/>
              <w:rPr>
                <w:rFonts w:cs="Times New Roman"/>
                <w:sz w:val="24"/>
                <w:szCs w:val="24"/>
              </w:rPr>
            </w:pPr>
            <w:r>
              <w:rPr>
                <w:rFonts w:hint="eastAsia" w:cs="Times New Roman"/>
                <w:sz w:val="24"/>
                <w:szCs w:val="24"/>
              </w:rPr>
              <w:t>项目制砂采用干法生产技术，制砂/筛分设备均为密闭设备，粉尘主要产生源为制砂机、筛分机进、出料口。参考《排放源统计调查产排污核算方法和系数手册》（公告2021年第24号）中“其他非金属矿物制品制造行业系数手册”，制砂、筛分粉尘产生量分别按</w:t>
            </w:r>
            <w:r>
              <w:rPr>
                <w:rFonts w:cs="Times New Roman"/>
                <w:sz w:val="24"/>
                <w:szCs w:val="24"/>
              </w:rPr>
              <w:t>1.13</w:t>
            </w:r>
            <w:r>
              <w:rPr>
                <w:rFonts w:hint="eastAsia" w:cs="Times New Roman"/>
                <w:sz w:val="24"/>
                <w:szCs w:val="24"/>
              </w:rPr>
              <w:t>kg/t-产品计，废气量分别按</w:t>
            </w:r>
            <w:r>
              <w:rPr>
                <w:rFonts w:cs="Times New Roman"/>
                <w:sz w:val="24"/>
                <w:szCs w:val="24"/>
              </w:rPr>
              <w:t>245</w:t>
            </w:r>
            <w:r>
              <w:rPr>
                <w:rFonts w:hint="eastAsia" w:cs="Times New Roman"/>
                <w:sz w:val="24"/>
                <w:szCs w:val="24"/>
              </w:rPr>
              <w:t>m</w:t>
            </w:r>
            <w:r>
              <w:rPr>
                <w:rFonts w:hint="eastAsia" w:cs="Times New Roman"/>
                <w:sz w:val="24"/>
                <w:szCs w:val="24"/>
                <w:vertAlign w:val="superscript"/>
              </w:rPr>
              <w:t>3</w:t>
            </w:r>
            <w:r>
              <w:rPr>
                <w:rFonts w:hint="eastAsia" w:cs="Times New Roman"/>
                <w:sz w:val="24"/>
                <w:szCs w:val="24"/>
              </w:rPr>
              <w:t>/t-产品计，本项目机制砂产量合计约30万t/a，则制砂、筛分粉尘产生量合计约678t</w:t>
            </w:r>
            <w:r>
              <w:rPr>
                <w:rFonts w:cs="Times New Roman"/>
                <w:sz w:val="24"/>
                <w:szCs w:val="24"/>
              </w:rPr>
              <w:t>/a</w:t>
            </w:r>
            <w:r>
              <w:rPr>
                <w:rFonts w:hint="eastAsia" w:cs="Times New Roman"/>
                <w:sz w:val="24"/>
                <w:szCs w:val="24"/>
              </w:rPr>
              <w:t>，废气量约61250m</w:t>
            </w:r>
            <w:r>
              <w:rPr>
                <w:rFonts w:hint="eastAsia" w:cs="Times New Roman"/>
                <w:sz w:val="24"/>
                <w:szCs w:val="24"/>
                <w:vertAlign w:val="superscript"/>
              </w:rPr>
              <w:t>3</w:t>
            </w:r>
            <w:r>
              <w:rPr>
                <w:rFonts w:hint="eastAsia" w:cs="Times New Roman"/>
                <w:sz w:val="24"/>
                <w:szCs w:val="24"/>
              </w:rPr>
              <w:t>/h。</w:t>
            </w:r>
          </w:p>
          <w:p>
            <w:pPr>
              <w:spacing w:line="360" w:lineRule="auto"/>
              <w:ind w:firstLine="482" w:firstLineChars="200"/>
              <w:rPr>
                <w:b/>
                <w:sz w:val="24"/>
                <w:szCs w:val="24"/>
              </w:rPr>
            </w:pPr>
            <w:r>
              <w:rPr>
                <w:rFonts w:hint="eastAsia"/>
                <w:b/>
                <w:sz w:val="24"/>
                <w:szCs w:val="24"/>
              </w:rPr>
              <w:t>②治理措施</w:t>
            </w:r>
          </w:p>
          <w:p>
            <w:pPr>
              <w:spacing w:line="360" w:lineRule="auto"/>
              <w:ind w:firstLine="480" w:firstLineChars="200"/>
              <w:rPr>
                <w:rFonts w:cs="Times New Roman"/>
                <w:sz w:val="24"/>
                <w:szCs w:val="24"/>
              </w:rPr>
            </w:pPr>
            <w:r>
              <w:rPr>
                <w:rFonts w:hint="eastAsia" w:cs="Times New Roman"/>
                <w:sz w:val="24"/>
                <w:szCs w:val="24"/>
              </w:rPr>
              <w:t>根据建设单位提供的资料，</w:t>
            </w:r>
            <w:r>
              <w:rPr>
                <w:rFonts w:hint="eastAsia" w:cs="Times New Roman"/>
                <w:b/>
                <w:bCs/>
                <w:sz w:val="24"/>
                <w:szCs w:val="24"/>
              </w:rPr>
              <w:t>项目制砂楼采用</w:t>
            </w:r>
            <w:r>
              <w:rPr>
                <w:rFonts w:hint="eastAsia" w:cs="Times New Roman"/>
                <w:b/>
                <w:sz w:val="24"/>
                <w:szCs w:val="24"/>
              </w:rPr>
              <w:t>一体化密闭设施，本次拟在制砂机、筛分机进、出料口上方分别设置集气罩（收集效率9</w:t>
            </w:r>
            <w:r>
              <w:rPr>
                <w:rFonts w:cs="Times New Roman"/>
                <w:b/>
                <w:sz w:val="24"/>
                <w:szCs w:val="24"/>
              </w:rPr>
              <w:t>0%</w:t>
            </w:r>
            <w:r>
              <w:rPr>
                <w:rFonts w:hint="eastAsia" w:cs="Times New Roman"/>
                <w:b/>
                <w:sz w:val="24"/>
                <w:szCs w:val="24"/>
              </w:rPr>
              <w:t>，风量不低于6</w:t>
            </w:r>
            <w:r>
              <w:rPr>
                <w:rFonts w:cs="Times New Roman"/>
                <w:b/>
                <w:sz w:val="24"/>
                <w:szCs w:val="24"/>
              </w:rPr>
              <w:t>1250</w:t>
            </w:r>
            <w:r>
              <w:rPr>
                <w:rFonts w:hint="eastAsia" w:cs="Times New Roman"/>
                <w:b/>
                <w:sz w:val="24"/>
                <w:szCs w:val="24"/>
              </w:rPr>
              <w:t>m</w:t>
            </w:r>
            <w:r>
              <w:rPr>
                <w:rFonts w:cs="Times New Roman"/>
                <w:b/>
                <w:sz w:val="24"/>
                <w:szCs w:val="24"/>
                <w:vertAlign w:val="superscript"/>
              </w:rPr>
              <w:t>3</w:t>
            </w:r>
            <w:r>
              <w:rPr>
                <w:rFonts w:cs="Times New Roman"/>
                <w:b/>
                <w:sz w:val="24"/>
                <w:szCs w:val="24"/>
              </w:rPr>
              <w:t>/h</w:t>
            </w:r>
            <w:r>
              <w:rPr>
                <w:rFonts w:hint="eastAsia" w:cs="Times New Roman"/>
                <w:b/>
                <w:sz w:val="24"/>
                <w:szCs w:val="24"/>
              </w:rPr>
              <w:t>），并设1台袋式除尘器（TA151，处理效率参考《水泥工业污染防治可行技术指南（试行）》中除尘效率取值99.9%）+</w:t>
            </w:r>
            <w:r>
              <w:rPr>
                <w:rFonts w:cs="Times New Roman"/>
                <w:b/>
                <w:sz w:val="24"/>
                <w:szCs w:val="24"/>
              </w:rPr>
              <w:t>20</w:t>
            </w:r>
            <w:r>
              <w:rPr>
                <w:rFonts w:hint="eastAsia" w:cs="Times New Roman"/>
                <w:b/>
                <w:sz w:val="24"/>
                <w:szCs w:val="24"/>
              </w:rPr>
              <w:t>m高排气筒（DA</w:t>
            </w:r>
            <w:r>
              <w:rPr>
                <w:rFonts w:cs="Times New Roman"/>
                <w:b/>
                <w:sz w:val="24"/>
                <w:szCs w:val="24"/>
              </w:rPr>
              <w:t>1</w:t>
            </w:r>
            <w:r>
              <w:rPr>
                <w:rFonts w:hint="eastAsia" w:cs="Times New Roman"/>
                <w:b/>
                <w:sz w:val="24"/>
                <w:szCs w:val="24"/>
              </w:rPr>
              <w:t>51）。</w:t>
            </w:r>
            <w:r>
              <w:rPr>
                <w:rFonts w:hint="eastAsia" w:cs="Times New Roman"/>
                <w:sz w:val="24"/>
                <w:szCs w:val="24"/>
              </w:rPr>
              <w:t>粉尘经收集通过袋式除尘器处理后于</w:t>
            </w:r>
            <w:r>
              <w:rPr>
                <w:rFonts w:cs="Times New Roman"/>
                <w:sz w:val="24"/>
                <w:szCs w:val="24"/>
              </w:rPr>
              <w:t>20</w:t>
            </w:r>
            <w:r>
              <w:rPr>
                <w:rFonts w:hint="eastAsia" w:cs="Times New Roman"/>
                <w:sz w:val="24"/>
                <w:szCs w:val="24"/>
              </w:rPr>
              <w:t>m高排气筒排放，</w:t>
            </w:r>
            <w:r>
              <w:rPr>
                <w:rFonts w:hint="eastAsia" w:cs="Times New Roman"/>
                <w:b/>
                <w:bCs/>
                <w:sz w:val="24"/>
                <w:szCs w:val="24"/>
              </w:rPr>
              <w:t>未经收集的粉尘则通过密闭沉降（降尘效率参照《固体物料堆存颗粒物产排污核算系数手册》取值99%）处理后无组织排放</w:t>
            </w:r>
            <w:r>
              <w:rPr>
                <w:rFonts w:hint="eastAsia" w:cs="Times New Roman"/>
                <w:sz w:val="24"/>
                <w:szCs w:val="24"/>
              </w:rPr>
              <w:t>。</w:t>
            </w:r>
          </w:p>
          <w:p>
            <w:pPr>
              <w:spacing w:line="360" w:lineRule="auto"/>
              <w:ind w:firstLine="482" w:firstLineChars="200"/>
              <w:rPr>
                <w:rFonts w:cs="Times New Roman"/>
                <w:bCs/>
                <w:sz w:val="24"/>
                <w:szCs w:val="24"/>
              </w:rPr>
            </w:pPr>
            <w:r>
              <w:rPr>
                <w:rFonts w:hint="eastAsia" w:cs="Times New Roman"/>
                <w:b/>
                <w:sz w:val="24"/>
                <w:szCs w:val="24"/>
              </w:rPr>
              <w:t>集气罩设置要求</w:t>
            </w:r>
            <w:r>
              <w:rPr>
                <w:rFonts w:hint="eastAsia" w:cs="Times New Roman"/>
                <w:bCs/>
                <w:sz w:val="24"/>
                <w:szCs w:val="24"/>
              </w:rPr>
              <w:t>：集气罩设置应符合《集气罩分类及技术要求》（GB</w:t>
            </w:r>
            <w:r>
              <w:rPr>
                <w:rFonts w:cs="Times New Roman"/>
                <w:bCs/>
                <w:sz w:val="24"/>
                <w:szCs w:val="24"/>
              </w:rPr>
              <w:t>/</w:t>
            </w:r>
            <w:r>
              <w:rPr>
                <w:rFonts w:hint="eastAsia" w:cs="Times New Roman"/>
                <w:bCs/>
                <w:sz w:val="24"/>
                <w:szCs w:val="24"/>
              </w:rPr>
              <w:t>T16758）的规定，每个集气罩/吸尘管道上方设风阀，罩口距离产尘点高度不高于3</w:t>
            </w:r>
            <w:r>
              <w:rPr>
                <w:rFonts w:cs="Times New Roman"/>
                <w:bCs/>
                <w:sz w:val="24"/>
                <w:szCs w:val="24"/>
              </w:rPr>
              <w:t>0</w:t>
            </w:r>
            <w:r>
              <w:rPr>
                <w:rFonts w:hint="eastAsia" w:cs="Times New Roman"/>
                <w:bCs/>
                <w:sz w:val="24"/>
                <w:szCs w:val="24"/>
              </w:rPr>
              <w:t>cm，距罩口面最远处测量点控制风速不小于0</w:t>
            </w:r>
            <w:r>
              <w:rPr>
                <w:rFonts w:cs="Times New Roman"/>
                <w:bCs/>
                <w:sz w:val="24"/>
                <w:szCs w:val="24"/>
              </w:rPr>
              <w:t>.5</w:t>
            </w:r>
            <w:r>
              <w:rPr>
                <w:rFonts w:hint="eastAsia" w:cs="Times New Roman"/>
                <w:bCs/>
                <w:sz w:val="24"/>
                <w:szCs w:val="24"/>
              </w:rPr>
              <w:t>m</w:t>
            </w:r>
            <w:r>
              <w:rPr>
                <w:rFonts w:cs="Times New Roman"/>
                <w:bCs/>
                <w:sz w:val="24"/>
                <w:szCs w:val="24"/>
              </w:rPr>
              <w:t>/s</w:t>
            </w:r>
            <w:r>
              <w:rPr>
                <w:rFonts w:hint="eastAsia" w:cs="Times New Roman"/>
                <w:bCs/>
                <w:sz w:val="24"/>
                <w:szCs w:val="24"/>
              </w:rPr>
              <w:t>，确保收集效率达到9</w:t>
            </w:r>
            <w:r>
              <w:rPr>
                <w:rFonts w:cs="Times New Roman"/>
                <w:bCs/>
                <w:sz w:val="24"/>
                <w:szCs w:val="24"/>
              </w:rPr>
              <w:t>0%</w:t>
            </w:r>
            <w:r>
              <w:rPr>
                <w:rFonts w:hint="eastAsia" w:cs="Times New Roman"/>
                <w:bCs/>
                <w:sz w:val="24"/>
                <w:szCs w:val="24"/>
              </w:rPr>
              <w:t>。</w:t>
            </w:r>
          </w:p>
          <w:p>
            <w:pPr>
              <w:spacing w:line="360" w:lineRule="auto"/>
              <w:ind w:firstLine="482" w:firstLineChars="200"/>
              <w:rPr>
                <w:b/>
                <w:sz w:val="24"/>
                <w:szCs w:val="24"/>
              </w:rPr>
            </w:pPr>
            <w:r>
              <w:rPr>
                <w:rFonts w:hint="eastAsia"/>
                <w:b/>
                <w:sz w:val="24"/>
                <w:szCs w:val="24"/>
              </w:rPr>
              <w:t>③排放情况</w:t>
            </w:r>
          </w:p>
          <w:p>
            <w:pPr>
              <w:spacing w:line="360" w:lineRule="auto"/>
              <w:ind w:firstLine="480" w:firstLineChars="200"/>
              <w:rPr>
                <w:rFonts w:cs="Times New Roman"/>
                <w:sz w:val="24"/>
                <w:szCs w:val="24"/>
              </w:rPr>
            </w:pPr>
            <w:r>
              <w:rPr>
                <w:rFonts w:hint="eastAsia" w:cs="Times New Roman"/>
                <w:sz w:val="24"/>
                <w:szCs w:val="24"/>
              </w:rPr>
              <w:t>根据计算，运营期制砂、筛分粉尘排放信息见下表：</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w:t>
            </w:r>
            <w:r>
              <w:rPr>
                <w:rFonts w:eastAsia="黑体" w:cs="Times New Roman"/>
                <w:szCs w:val="21"/>
              </w:rPr>
              <w:t xml:space="preserve">2  </w:t>
            </w:r>
            <w:r>
              <w:rPr>
                <w:rFonts w:hint="eastAsia" w:eastAsia="黑体" w:cs="Times New Roman"/>
                <w:szCs w:val="21"/>
              </w:rPr>
              <w:t>制砂、筛分粉尘排放信息表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77"/>
              <w:gridCol w:w="838"/>
              <w:gridCol w:w="948"/>
              <w:gridCol w:w="840"/>
              <w:gridCol w:w="840"/>
              <w:gridCol w:w="849"/>
              <w:gridCol w:w="838"/>
              <w:gridCol w:w="840"/>
              <w:gridCol w:w="794"/>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jc w:val="center"/>
                    <w:rPr>
                      <w:szCs w:val="21"/>
                    </w:rPr>
                  </w:pPr>
                  <w:r>
                    <w:rPr>
                      <w:szCs w:val="21"/>
                    </w:rPr>
                    <w:t>污染源</w:t>
                  </w:r>
                </w:p>
              </w:tc>
              <w:tc>
                <w:tcPr>
                  <w:tcW w:w="425" w:type="pct"/>
                  <w:vMerge w:val="restart"/>
                  <w:vAlign w:val="center"/>
                </w:tcPr>
                <w:p>
                  <w:pPr>
                    <w:jc w:val="center"/>
                    <w:rPr>
                      <w:szCs w:val="21"/>
                    </w:rPr>
                  </w:pPr>
                  <w:r>
                    <w:rPr>
                      <w:szCs w:val="21"/>
                    </w:rPr>
                    <w:t>污染物种类</w:t>
                  </w:r>
                </w:p>
              </w:tc>
              <w:tc>
                <w:tcPr>
                  <w:tcW w:w="458" w:type="pct"/>
                  <w:vMerge w:val="restart"/>
                  <w:vAlign w:val="center"/>
                </w:tcPr>
                <w:p>
                  <w:pPr>
                    <w:jc w:val="center"/>
                    <w:rPr>
                      <w:szCs w:val="21"/>
                    </w:rPr>
                  </w:pPr>
                  <w:r>
                    <w:rPr>
                      <w:szCs w:val="21"/>
                    </w:rPr>
                    <w:t>污染物产生</w:t>
                  </w:r>
                  <w:r>
                    <w:rPr>
                      <w:rFonts w:hint="eastAsia"/>
                      <w:szCs w:val="21"/>
                    </w:rPr>
                    <w:t>量</w:t>
                  </w:r>
                </w:p>
                <w:p>
                  <w:pPr>
                    <w:jc w:val="center"/>
                    <w:rPr>
                      <w:szCs w:val="21"/>
                    </w:rPr>
                  </w:pPr>
                  <w:r>
                    <w:rPr>
                      <w:szCs w:val="21"/>
                    </w:rPr>
                    <w:t>(</w:t>
                  </w:r>
                  <w:r>
                    <w:rPr>
                      <w:rFonts w:hint="eastAsia"/>
                      <w:szCs w:val="21"/>
                    </w:rPr>
                    <w:t>t</w:t>
                  </w:r>
                  <w:r>
                    <w:rPr>
                      <w:szCs w:val="21"/>
                    </w:rPr>
                    <w:t>/a)</w:t>
                  </w:r>
                </w:p>
              </w:tc>
              <w:tc>
                <w:tcPr>
                  <w:tcW w:w="3250" w:type="pct"/>
                  <w:gridSpan w:val="7"/>
                  <w:vAlign w:val="center"/>
                </w:tcPr>
                <w:p>
                  <w:pPr>
                    <w:jc w:val="center"/>
                    <w:rPr>
                      <w:szCs w:val="21"/>
                    </w:rPr>
                  </w:pPr>
                  <w:r>
                    <w:rPr>
                      <w:szCs w:val="21"/>
                    </w:rPr>
                    <w:t>排放情况</w:t>
                  </w:r>
                </w:p>
              </w:tc>
              <w:tc>
                <w:tcPr>
                  <w:tcW w:w="482" w:type="pct"/>
                  <w:vMerge w:val="restart"/>
                  <w:vAlign w:val="center"/>
                </w:tcPr>
                <w:p>
                  <w:pPr>
                    <w:jc w:val="center"/>
                    <w:rPr>
                      <w:szCs w:val="21"/>
                    </w:rPr>
                  </w:pPr>
                  <w:r>
                    <w:rPr>
                      <w:szCs w:val="21"/>
                    </w:rPr>
                    <w:t>排气筒编号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jc w:val="center"/>
                    <w:rPr>
                      <w:szCs w:val="21"/>
                    </w:rPr>
                  </w:pPr>
                </w:p>
              </w:tc>
              <w:tc>
                <w:tcPr>
                  <w:tcW w:w="425" w:type="pct"/>
                  <w:vMerge w:val="continue"/>
                  <w:vAlign w:val="center"/>
                </w:tcPr>
                <w:p>
                  <w:pPr>
                    <w:jc w:val="center"/>
                    <w:rPr>
                      <w:szCs w:val="21"/>
                    </w:rPr>
                  </w:pPr>
                </w:p>
              </w:tc>
              <w:tc>
                <w:tcPr>
                  <w:tcW w:w="458" w:type="pct"/>
                  <w:vMerge w:val="continue"/>
                  <w:vAlign w:val="center"/>
                </w:tcPr>
                <w:p>
                  <w:pPr>
                    <w:jc w:val="center"/>
                    <w:rPr>
                      <w:szCs w:val="21"/>
                    </w:rPr>
                  </w:pPr>
                </w:p>
              </w:tc>
              <w:tc>
                <w:tcPr>
                  <w:tcW w:w="518" w:type="pct"/>
                  <w:vMerge w:val="restart"/>
                  <w:vAlign w:val="center"/>
                </w:tcPr>
                <w:p>
                  <w:pPr>
                    <w:jc w:val="center"/>
                    <w:rPr>
                      <w:szCs w:val="21"/>
                    </w:rPr>
                  </w:pPr>
                  <w:r>
                    <w:rPr>
                      <w:szCs w:val="21"/>
                    </w:rPr>
                    <w:t>废气量</w:t>
                  </w:r>
                  <w:r>
                    <w:rPr>
                      <w:rFonts w:hint="eastAsia"/>
                      <w:szCs w:val="21"/>
                    </w:rPr>
                    <w:t>(</w:t>
                  </w:r>
                  <w:r>
                    <w:rPr>
                      <w:szCs w:val="21"/>
                    </w:rPr>
                    <w:t>m</w:t>
                  </w:r>
                  <w:r>
                    <w:rPr>
                      <w:szCs w:val="21"/>
                      <w:vertAlign w:val="superscript"/>
                    </w:rPr>
                    <w:t>3</w:t>
                  </w:r>
                  <w:r>
                    <w:rPr>
                      <w:szCs w:val="21"/>
                    </w:rPr>
                    <w:t>/h</w:t>
                  </w:r>
                  <w:r>
                    <w:rPr>
                      <w:rFonts w:hint="eastAsia"/>
                      <w:szCs w:val="21"/>
                    </w:rPr>
                    <w:t>)</w:t>
                  </w:r>
                </w:p>
              </w:tc>
              <w:tc>
                <w:tcPr>
                  <w:tcW w:w="1382" w:type="pct"/>
                  <w:gridSpan w:val="3"/>
                  <w:vAlign w:val="center"/>
                </w:tcPr>
                <w:p>
                  <w:pPr>
                    <w:jc w:val="center"/>
                    <w:rPr>
                      <w:szCs w:val="21"/>
                    </w:rPr>
                  </w:pPr>
                  <w:r>
                    <w:rPr>
                      <w:szCs w:val="21"/>
                    </w:rPr>
                    <w:t>有组织</w:t>
                  </w:r>
                </w:p>
              </w:tc>
              <w:tc>
                <w:tcPr>
                  <w:tcW w:w="917" w:type="pct"/>
                  <w:gridSpan w:val="2"/>
                  <w:vAlign w:val="center"/>
                </w:tcPr>
                <w:p>
                  <w:pPr>
                    <w:jc w:val="center"/>
                    <w:rPr>
                      <w:szCs w:val="21"/>
                    </w:rPr>
                  </w:pPr>
                  <w:r>
                    <w:rPr>
                      <w:szCs w:val="21"/>
                    </w:rPr>
                    <w:t>无组织</w:t>
                  </w:r>
                </w:p>
              </w:tc>
              <w:tc>
                <w:tcPr>
                  <w:tcW w:w="433" w:type="pct"/>
                  <w:vMerge w:val="restart"/>
                  <w:vAlign w:val="center"/>
                </w:tcPr>
                <w:p>
                  <w:pPr>
                    <w:jc w:val="center"/>
                    <w:rPr>
                      <w:szCs w:val="21"/>
                    </w:rPr>
                  </w:pPr>
                  <w:r>
                    <w:rPr>
                      <w:szCs w:val="21"/>
                    </w:rPr>
                    <w:t>排放时间</w:t>
                  </w:r>
                  <w:r>
                    <w:rPr>
                      <w:rFonts w:hint="eastAsia"/>
                      <w:szCs w:val="21"/>
                    </w:rPr>
                    <w:t>(</w:t>
                  </w:r>
                  <w:r>
                    <w:rPr>
                      <w:szCs w:val="21"/>
                    </w:rPr>
                    <w:t>h)</w:t>
                  </w:r>
                </w:p>
              </w:tc>
              <w:tc>
                <w:tcPr>
                  <w:tcW w:w="482"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jc w:val="center"/>
                    <w:rPr>
                      <w:szCs w:val="21"/>
                    </w:rPr>
                  </w:pPr>
                </w:p>
              </w:tc>
              <w:tc>
                <w:tcPr>
                  <w:tcW w:w="425" w:type="pct"/>
                  <w:vMerge w:val="continue"/>
                  <w:vAlign w:val="center"/>
                </w:tcPr>
                <w:p>
                  <w:pPr>
                    <w:jc w:val="center"/>
                    <w:rPr>
                      <w:szCs w:val="21"/>
                    </w:rPr>
                  </w:pPr>
                </w:p>
              </w:tc>
              <w:tc>
                <w:tcPr>
                  <w:tcW w:w="458" w:type="pct"/>
                  <w:vMerge w:val="continue"/>
                  <w:vAlign w:val="center"/>
                </w:tcPr>
                <w:p>
                  <w:pPr>
                    <w:jc w:val="center"/>
                    <w:rPr>
                      <w:szCs w:val="21"/>
                    </w:rPr>
                  </w:pPr>
                </w:p>
              </w:tc>
              <w:tc>
                <w:tcPr>
                  <w:tcW w:w="518" w:type="pct"/>
                  <w:vMerge w:val="continue"/>
                  <w:vAlign w:val="center"/>
                </w:tcPr>
                <w:p>
                  <w:pPr>
                    <w:jc w:val="center"/>
                    <w:rPr>
                      <w:szCs w:val="21"/>
                    </w:rPr>
                  </w:pPr>
                </w:p>
              </w:tc>
              <w:tc>
                <w:tcPr>
                  <w:tcW w:w="459" w:type="pct"/>
                  <w:vAlign w:val="center"/>
                </w:tcPr>
                <w:p>
                  <w:pPr>
                    <w:jc w:val="center"/>
                    <w:rPr>
                      <w:szCs w:val="21"/>
                    </w:rPr>
                  </w:pPr>
                  <w:r>
                    <w:rPr>
                      <w:szCs w:val="21"/>
                    </w:rPr>
                    <w:t>mg/m</w:t>
                  </w:r>
                  <w:r>
                    <w:rPr>
                      <w:szCs w:val="21"/>
                      <w:vertAlign w:val="superscript"/>
                    </w:rPr>
                    <w:t>3</w:t>
                  </w:r>
                </w:p>
              </w:tc>
              <w:tc>
                <w:tcPr>
                  <w:tcW w:w="459" w:type="pct"/>
                  <w:vAlign w:val="center"/>
                </w:tcPr>
                <w:p>
                  <w:pPr>
                    <w:jc w:val="center"/>
                    <w:rPr>
                      <w:szCs w:val="21"/>
                    </w:rPr>
                  </w:pPr>
                  <w:r>
                    <w:rPr>
                      <w:szCs w:val="21"/>
                    </w:rPr>
                    <w:t>kg/h</w:t>
                  </w:r>
                </w:p>
              </w:tc>
              <w:tc>
                <w:tcPr>
                  <w:tcW w:w="464" w:type="pct"/>
                  <w:vAlign w:val="center"/>
                </w:tcPr>
                <w:p>
                  <w:pPr>
                    <w:jc w:val="center"/>
                    <w:rPr>
                      <w:szCs w:val="21"/>
                    </w:rPr>
                  </w:pPr>
                  <w:r>
                    <w:rPr>
                      <w:rFonts w:hint="eastAsia"/>
                      <w:szCs w:val="21"/>
                    </w:rPr>
                    <w:t>t</w:t>
                  </w:r>
                  <w:r>
                    <w:rPr>
                      <w:szCs w:val="21"/>
                    </w:rPr>
                    <w:t>/a</w:t>
                  </w:r>
                </w:p>
              </w:tc>
              <w:tc>
                <w:tcPr>
                  <w:tcW w:w="458" w:type="pct"/>
                  <w:vAlign w:val="center"/>
                </w:tcPr>
                <w:p>
                  <w:pPr>
                    <w:jc w:val="center"/>
                    <w:rPr>
                      <w:szCs w:val="21"/>
                    </w:rPr>
                  </w:pPr>
                  <w:r>
                    <w:rPr>
                      <w:szCs w:val="21"/>
                    </w:rPr>
                    <w:t>kg/h</w:t>
                  </w:r>
                </w:p>
              </w:tc>
              <w:tc>
                <w:tcPr>
                  <w:tcW w:w="458" w:type="pct"/>
                  <w:vAlign w:val="center"/>
                </w:tcPr>
                <w:p>
                  <w:pPr>
                    <w:jc w:val="center"/>
                    <w:rPr>
                      <w:szCs w:val="21"/>
                    </w:rPr>
                  </w:pPr>
                  <w:r>
                    <w:rPr>
                      <w:szCs w:val="21"/>
                    </w:rPr>
                    <w:t>t/a</w:t>
                  </w:r>
                </w:p>
              </w:tc>
              <w:tc>
                <w:tcPr>
                  <w:tcW w:w="433" w:type="pct"/>
                  <w:vMerge w:val="continue"/>
                  <w:vAlign w:val="center"/>
                </w:tcPr>
                <w:p>
                  <w:pPr>
                    <w:jc w:val="center"/>
                    <w:rPr>
                      <w:szCs w:val="21"/>
                    </w:rPr>
                  </w:pPr>
                </w:p>
              </w:tc>
              <w:tc>
                <w:tcPr>
                  <w:tcW w:w="482"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pPr>
                    <w:jc w:val="center"/>
                    <w:rPr>
                      <w:szCs w:val="21"/>
                    </w:rPr>
                  </w:pPr>
                  <w:r>
                    <w:rPr>
                      <w:rFonts w:hint="eastAsia"/>
                      <w:szCs w:val="21"/>
                    </w:rPr>
                    <w:t>制砂、筛分</w:t>
                  </w:r>
                </w:p>
              </w:tc>
              <w:tc>
                <w:tcPr>
                  <w:tcW w:w="425" w:type="pct"/>
                  <w:vAlign w:val="center"/>
                </w:tcPr>
                <w:p>
                  <w:pPr>
                    <w:jc w:val="center"/>
                    <w:rPr>
                      <w:szCs w:val="21"/>
                    </w:rPr>
                  </w:pPr>
                  <w:r>
                    <w:rPr>
                      <w:rFonts w:hint="eastAsia"/>
                      <w:szCs w:val="21"/>
                    </w:rPr>
                    <w:t>颗粒物</w:t>
                  </w:r>
                </w:p>
              </w:tc>
              <w:tc>
                <w:tcPr>
                  <w:tcW w:w="458" w:type="pct"/>
                  <w:vAlign w:val="center"/>
                </w:tcPr>
                <w:p>
                  <w:pPr>
                    <w:widowControl/>
                    <w:jc w:val="center"/>
                    <w:rPr>
                      <w:rFonts w:cs="Times New Roman"/>
                      <w:kern w:val="0"/>
                      <w:szCs w:val="21"/>
                    </w:rPr>
                  </w:pPr>
                  <w:r>
                    <w:rPr>
                      <w:rFonts w:hint="eastAsia" w:cs="Times New Roman"/>
                      <w:kern w:val="0"/>
                      <w:szCs w:val="21"/>
                    </w:rPr>
                    <w:t>6</w:t>
                  </w:r>
                  <w:r>
                    <w:rPr>
                      <w:rFonts w:cs="Times New Roman"/>
                      <w:kern w:val="0"/>
                      <w:szCs w:val="21"/>
                    </w:rPr>
                    <w:t>78</w:t>
                  </w:r>
                </w:p>
              </w:tc>
              <w:tc>
                <w:tcPr>
                  <w:tcW w:w="518" w:type="pct"/>
                  <w:vAlign w:val="center"/>
                </w:tcPr>
                <w:p>
                  <w:pPr>
                    <w:jc w:val="center"/>
                    <w:rPr>
                      <w:rFonts w:cs="Times New Roman"/>
                      <w:szCs w:val="21"/>
                    </w:rPr>
                  </w:pPr>
                  <w:r>
                    <w:rPr>
                      <w:rFonts w:cs="Times New Roman"/>
                      <w:szCs w:val="21"/>
                    </w:rPr>
                    <w:t>61250</w:t>
                  </w:r>
                </w:p>
              </w:tc>
              <w:tc>
                <w:tcPr>
                  <w:tcW w:w="459" w:type="pct"/>
                  <w:vAlign w:val="center"/>
                </w:tcPr>
                <w:p>
                  <w:pPr>
                    <w:jc w:val="center"/>
                    <w:rPr>
                      <w:rFonts w:cs="Times New Roman"/>
                      <w:szCs w:val="21"/>
                    </w:rPr>
                  </w:pPr>
                  <w:r>
                    <w:rPr>
                      <w:rFonts w:hint="eastAsia" w:cs="Times New Roman"/>
                      <w:szCs w:val="21"/>
                    </w:rPr>
                    <w:t>4.151</w:t>
                  </w:r>
                </w:p>
              </w:tc>
              <w:tc>
                <w:tcPr>
                  <w:tcW w:w="459" w:type="pct"/>
                  <w:vAlign w:val="center"/>
                </w:tcPr>
                <w:p>
                  <w:pPr>
                    <w:jc w:val="center"/>
                    <w:rPr>
                      <w:rFonts w:cs="Times New Roman"/>
                      <w:szCs w:val="21"/>
                    </w:rPr>
                  </w:pPr>
                  <w:r>
                    <w:rPr>
                      <w:rFonts w:hint="eastAsia" w:cs="Times New Roman"/>
                      <w:szCs w:val="21"/>
                    </w:rPr>
                    <w:t>0.254</w:t>
                  </w:r>
                </w:p>
              </w:tc>
              <w:tc>
                <w:tcPr>
                  <w:tcW w:w="464" w:type="pct"/>
                  <w:vAlign w:val="center"/>
                </w:tcPr>
                <w:p>
                  <w:pPr>
                    <w:jc w:val="center"/>
                    <w:rPr>
                      <w:rFonts w:cs="Times New Roman"/>
                      <w:szCs w:val="21"/>
                    </w:rPr>
                  </w:pPr>
                  <w:r>
                    <w:rPr>
                      <w:rFonts w:hint="eastAsia" w:cs="Times New Roman"/>
                      <w:szCs w:val="21"/>
                    </w:rPr>
                    <w:t>0.610</w:t>
                  </w:r>
                </w:p>
              </w:tc>
              <w:tc>
                <w:tcPr>
                  <w:tcW w:w="458" w:type="pct"/>
                  <w:vAlign w:val="center"/>
                </w:tcPr>
                <w:p>
                  <w:pPr>
                    <w:jc w:val="center"/>
                    <w:rPr>
                      <w:rFonts w:cs="Times New Roman"/>
                      <w:szCs w:val="21"/>
                    </w:rPr>
                  </w:pPr>
                  <w:r>
                    <w:rPr>
                      <w:rFonts w:hint="eastAsia" w:cs="Times New Roman"/>
                      <w:szCs w:val="21"/>
                    </w:rPr>
                    <w:t>0.283</w:t>
                  </w:r>
                </w:p>
              </w:tc>
              <w:tc>
                <w:tcPr>
                  <w:tcW w:w="458" w:type="pct"/>
                  <w:vAlign w:val="center"/>
                </w:tcPr>
                <w:p>
                  <w:pPr>
                    <w:jc w:val="center"/>
                    <w:rPr>
                      <w:rFonts w:cs="Times New Roman"/>
                      <w:szCs w:val="21"/>
                    </w:rPr>
                  </w:pPr>
                  <w:r>
                    <w:rPr>
                      <w:rFonts w:hint="eastAsia" w:cs="Times New Roman"/>
                      <w:szCs w:val="21"/>
                    </w:rPr>
                    <w:t>0.678</w:t>
                  </w:r>
                </w:p>
              </w:tc>
              <w:tc>
                <w:tcPr>
                  <w:tcW w:w="433" w:type="pct"/>
                  <w:vAlign w:val="center"/>
                </w:tcPr>
                <w:p>
                  <w:pPr>
                    <w:jc w:val="center"/>
                    <w:rPr>
                      <w:szCs w:val="21"/>
                    </w:rPr>
                  </w:pPr>
                  <w:r>
                    <w:rPr>
                      <w:szCs w:val="21"/>
                    </w:rPr>
                    <w:t>2400</w:t>
                  </w:r>
                </w:p>
              </w:tc>
              <w:tc>
                <w:tcPr>
                  <w:tcW w:w="482" w:type="pct"/>
                  <w:vAlign w:val="center"/>
                </w:tcPr>
                <w:p>
                  <w:pPr>
                    <w:jc w:val="center"/>
                    <w:rPr>
                      <w:szCs w:val="21"/>
                    </w:rPr>
                  </w:pPr>
                  <w:r>
                    <w:rPr>
                      <w:rFonts w:hint="eastAsia"/>
                      <w:szCs w:val="21"/>
                    </w:rPr>
                    <w:t>DA151</w:t>
                  </w:r>
                </w:p>
              </w:tc>
            </w:tr>
          </w:tbl>
          <w:p>
            <w:pPr>
              <w:spacing w:line="360" w:lineRule="auto"/>
              <w:ind w:firstLine="480" w:firstLineChars="200"/>
              <w:rPr>
                <w:rFonts w:cs="Times New Roman"/>
                <w:sz w:val="24"/>
                <w:szCs w:val="24"/>
              </w:rPr>
            </w:pPr>
            <w:r>
              <w:rPr>
                <w:rFonts w:hint="eastAsia" w:cs="Times New Roman"/>
                <w:sz w:val="24"/>
                <w:szCs w:val="24"/>
              </w:rPr>
              <w:t>由上表可知，运营期制砂、筛分粉尘经处理后颗粒物排放浓度满足</w:t>
            </w:r>
            <w:r>
              <w:rPr>
                <w:rFonts w:hint="eastAsia"/>
                <w:sz w:val="24"/>
                <w:szCs w:val="24"/>
              </w:rPr>
              <w:t>《四川省水泥工业大气污染物排放标准》（DB51/2864-2021）表1中排放限值</w:t>
            </w:r>
            <w:r>
              <w:rPr>
                <w:rFonts w:hint="eastAsia" w:cs="Times New Roman"/>
                <w:sz w:val="24"/>
                <w:szCs w:val="24"/>
              </w:rPr>
              <w:t>。</w:t>
            </w:r>
          </w:p>
          <w:p>
            <w:pPr>
              <w:spacing w:line="360" w:lineRule="auto"/>
              <w:ind w:firstLine="482" w:firstLineChars="200"/>
              <w:rPr>
                <w:rFonts w:cs="Times New Roman"/>
                <w:b/>
                <w:bCs/>
                <w:sz w:val="24"/>
                <w:szCs w:val="24"/>
              </w:rPr>
            </w:pPr>
            <w:r>
              <w:rPr>
                <w:rFonts w:cs="Times New Roman"/>
                <w:b/>
                <w:bCs/>
                <w:sz w:val="24"/>
                <w:szCs w:val="24"/>
              </w:rPr>
              <w:t>2</w:t>
            </w:r>
            <w:r>
              <w:rPr>
                <w:rFonts w:hint="eastAsia" w:cs="Times New Roman"/>
                <w:b/>
                <w:bCs/>
                <w:sz w:val="24"/>
                <w:szCs w:val="24"/>
              </w:rPr>
              <w:t>）物料输送粉尘</w:t>
            </w:r>
          </w:p>
          <w:p>
            <w:pPr>
              <w:spacing w:line="360" w:lineRule="auto"/>
              <w:ind w:firstLine="482" w:firstLineChars="200"/>
              <w:rPr>
                <w:rFonts w:cs="Times New Roman"/>
                <w:b/>
                <w:bCs/>
                <w:sz w:val="24"/>
                <w:szCs w:val="24"/>
              </w:rPr>
            </w:pPr>
            <w:r>
              <w:rPr>
                <w:rFonts w:hint="eastAsia" w:cs="Times New Roman"/>
                <w:b/>
                <w:bCs/>
                <w:sz w:val="24"/>
                <w:szCs w:val="24"/>
              </w:rPr>
              <w:t>①产生情况</w:t>
            </w:r>
          </w:p>
          <w:p>
            <w:pPr>
              <w:spacing w:line="360" w:lineRule="auto"/>
              <w:ind w:firstLine="480" w:firstLineChars="200"/>
              <w:rPr>
                <w:rFonts w:cs="Times New Roman"/>
                <w:sz w:val="24"/>
                <w:szCs w:val="24"/>
              </w:rPr>
            </w:pPr>
            <w:r>
              <w:rPr>
                <w:rFonts w:hint="eastAsia" w:cs="Times New Roman"/>
                <w:sz w:val="24"/>
                <w:szCs w:val="24"/>
              </w:rPr>
              <w:t>骨料、机制砂、微粉采用密闭输送廊道输送，物料输送过程粉尘产生环节主要为输送机头、尾和中间转换点，其中输送机头、尾部一般计入贮仓或生产设施废气中统一处理收集装置，主要考虑输送机中间转换点产生的粉尘。根据现场调查，现有物料输送过程转换点已采取收尘和除尘措施，本次改建不改变现有骨料生产线输送量，不涉及粉尘排放量变化。</w:t>
            </w:r>
          </w:p>
          <w:p>
            <w:pPr>
              <w:spacing w:line="360" w:lineRule="auto"/>
              <w:ind w:firstLine="480" w:firstLineChars="200"/>
              <w:rPr>
                <w:rFonts w:cs="Times New Roman"/>
                <w:sz w:val="24"/>
                <w:szCs w:val="24"/>
              </w:rPr>
            </w:pPr>
            <w:r>
              <w:rPr>
                <w:rFonts w:hint="eastAsia" w:cs="Times New Roman"/>
                <w:sz w:val="24"/>
                <w:szCs w:val="24"/>
              </w:rPr>
              <w:t>本次改建项目新增0-5mm粉料至制砂楼输送廊道、制砂楼至成品库房/微粉库输送廊道和现有筛分机至新建钢板仓输送廊道，其中仅现有筛分机至新建钢板仓输送廊道有1处中间转换点，其余输送廊道无中间转换点。新增中间转换点粉尘产生量参考《排放源统计调查产排污核算方法和系数手册》（公告2021年第24号）中“水泥制品制造行业系数手册”取值，输送粉尘产生量分别按</w:t>
            </w:r>
            <w:r>
              <w:rPr>
                <w:rFonts w:cs="Times New Roman"/>
                <w:sz w:val="24"/>
                <w:szCs w:val="24"/>
              </w:rPr>
              <w:t>0.12</w:t>
            </w:r>
            <w:r>
              <w:rPr>
                <w:rFonts w:hint="eastAsia" w:cs="Times New Roman"/>
                <w:sz w:val="24"/>
                <w:szCs w:val="24"/>
              </w:rPr>
              <w:t>kg/t-产品计，废气量按</w:t>
            </w:r>
            <w:r>
              <w:rPr>
                <w:rFonts w:cs="Times New Roman"/>
                <w:sz w:val="24"/>
                <w:szCs w:val="24"/>
              </w:rPr>
              <w:t>22</w:t>
            </w:r>
            <w:r>
              <w:rPr>
                <w:rFonts w:hint="eastAsia" w:cs="Times New Roman"/>
                <w:sz w:val="24"/>
                <w:szCs w:val="24"/>
              </w:rPr>
              <w:t>m</w:t>
            </w:r>
            <w:r>
              <w:rPr>
                <w:rFonts w:hint="eastAsia" w:cs="Times New Roman"/>
                <w:sz w:val="24"/>
                <w:szCs w:val="24"/>
                <w:vertAlign w:val="superscript"/>
              </w:rPr>
              <w:t>3</w:t>
            </w:r>
            <w:r>
              <w:rPr>
                <w:rFonts w:hint="eastAsia" w:cs="Times New Roman"/>
                <w:sz w:val="24"/>
                <w:szCs w:val="24"/>
              </w:rPr>
              <w:t>/t-产品计，项目25-40mm骨料产量约33万t/a，则物料输送粉尘产生量约39.6t</w:t>
            </w:r>
            <w:r>
              <w:rPr>
                <w:rFonts w:cs="Times New Roman"/>
                <w:sz w:val="24"/>
                <w:szCs w:val="24"/>
              </w:rPr>
              <w:t>/a</w:t>
            </w:r>
            <w:r>
              <w:rPr>
                <w:rFonts w:hint="eastAsia" w:cs="Times New Roman"/>
                <w:sz w:val="24"/>
                <w:szCs w:val="24"/>
              </w:rPr>
              <w:t>，废气量约3025m</w:t>
            </w:r>
            <w:r>
              <w:rPr>
                <w:rFonts w:hint="eastAsia" w:cs="Times New Roman"/>
                <w:sz w:val="24"/>
                <w:szCs w:val="24"/>
                <w:vertAlign w:val="superscript"/>
              </w:rPr>
              <w:t>3</w:t>
            </w:r>
            <w:r>
              <w:rPr>
                <w:rFonts w:hint="eastAsia" w:cs="Times New Roman"/>
                <w:sz w:val="24"/>
                <w:szCs w:val="24"/>
              </w:rPr>
              <w:t>/h。</w:t>
            </w:r>
          </w:p>
          <w:p>
            <w:pPr>
              <w:spacing w:line="360" w:lineRule="auto"/>
              <w:ind w:firstLine="482" w:firstLineChars="200"/>
              <w:rPr>
                <w:b/>
                <w:sz w:val="24"/>
                <w:szCs w:val="24"/>
              </w:rPr>
            </w:pPr>
            <w:r>
              <w:rPr>
                <w:rFonts w:hint="eastAsia"/>
                <w:b/>
                <w:sz w:val="24"/>
                <w:szCs w:val="24"/>
              </w:rPr>
              <w:t>②治理措施</w:t>
            </w:r>
          </w:p>
          <w:p>
            <w:pPr>
              <w:spacing w:line="360" w:lineRule="auto"/>
              <w:ind w:firstLine="480" w:firstLineChars="200"/>
              <w:rPr>
                <w:rFonts w:cs="Times New Roman"/>
                <w:sz w:val="24"/>
                <w:szCs w:val="24"/>
              </w:rPr>
            </w:pPr>
            <w:r>
              <w:rPr>
                <w:rFonts w:hint="eastAsia" w:cs="Times New Roman"/>
                <w:sz w:val="24"/>
                <w:szCs w:val="24"/>
              </w:rPr>
              <w:t>根据建设单位提供的资料，</w:t>
            </w:r>
            <w:r>
              <w:rPr>
                <w:rFonts w:hint="eastAsia" w:cs="Times New Roman"/>
                <w:b/>
                <w:bCs/>
                <w:sz w:val="24"/>
                <w:szCs w:val="24"/>
              </w:rPr>
              <w:t>项目输送廊道为封闭式，拟在25-40mm骨料输送廊道中间转换点设集气罩</w:t>
            </w:r>
            <w:r>
              <w:rPr>
                <w:rFonts w:hint="eastAsia" w:cs="Times New Roman"/>
                <w:b/>
                <w:sz w:val="24"/>
                <w:szCs w:val="24"/>
              </w:rPr>
              <w:t>（收集效率9</w:t>
            </w:r>
            <w:r>
              <w:rPr>
                <w:rFonts w:cs="Times New Roman"/>
                <w:b/>
                <w:sz w:val="24"/>
                <w:szCs w:val="24"/>
              </w:rPr>
              <w:t>0%</w:t>
            </w:r>
            <w:r>
              <w:rPr>
                <w:rFonts w:hint="eastAsia" w:cs="Times New Roman"/>
                <w:b/>
                <w:sz w:val="24"/>
                <w:szCs w:val="24"/>
              </w:rPr>
              <w:t>，风量不低于3025m</w:t>
            </w:r>
            <w:r>
              <w:rPr>
                <w:rFonts w:cs="Times New Roman"/>
                <w:b/>
                <w:sz w:val="24"/>
                <w:szCs w:val="24"/>
                <w:vertAlign w:val="superscript"/>
              </w:rPr>
              <w:t>3</w:t>
            </w:r>
            <w:r>
              <w:rPr>
                <w:rFonts w:cs="Times New Roman"/>
                <w:b/>
                <w:sz w:val="24"/>
                <w:szCs w:val="24"/>
              </w:rPr>
              <w:t>/</w:t>
            </w:r>
            <w:r>
              <w:rPr>
                <w:rFonts w:hint="eastAsia" w:cs="Times New Roman"/>
                <w:b/>
                <w:sz w:val="24"/>
                <w:szCs w:val="24"/>
              </w:rPr>
              <w:t>h），并设1台袋式除尘器（TA152，处理效率按9</w:t>
            </w:r>
            <w:r>
              <w:rPr>
                <w:rFonts w:cs="Times New Roman"/>
                <w:b/>
                <w:sz w:val="24"/>
                <w:szCs w:val="24"/>
              </w:rPr>
              <w:t>9.</w:t>
            </w:r>
            <w:r>
              <w:rPr>
                <w:rFonts w:hint="eastAsia" w:cs="Times New Roman"/>
                <w:b/>
                <w:sz w:val="24"/>
                <w:szCs w:val="24"/>
              </w:rPr>
              <w:t>9</w:t>
            </w:r>
            <w:r>
              <w:rPr>
                <w:rFonts w:cs="Times New Roman"/>
                <w:b/>
                <w:sz w:val="24"/>
                <w:szCs w:val="24"/>
              </w:rPr>
              <w:t>%</w:t>
            </w:r>
            <w:r>
              <w:rPr>
                <w:rFonts w:hint="eastAsia" w:cs="Times New Roman"/>
                <w:b/>
                <w:sz w:val="24"/>
                <w:szCs w:val="24"/>
              </w:rPr>
              <w:t>计）+</w:t>
            </w:r>
            <w:r>
              <w:rPr>
                <w:rFonts w:cs="Times New Roman"/>
                <w:b/>
                <w:sz w:val="24"/>
                <w:szCs w:val="24"/>
              </w:rPr>
              <w:t>20</w:t>
            </w:r>
            <w:r>
              <w:rPr>
                <w:rFonts w:hint="eastAsia" w:cs="Times New Roman"/>
                <w:b/>
                <w:sz w:val="24"/>
                <w:szCs w:val="24"/>
              </w:rPr>
              <w:t>m高排气筒（DA152）</w:t>
            </w:r>
            <w:r>
              <w:rPr>
                <w:rFonts w:hint="eastAsia" w:cs="Times New Roman"/>
                <w:sz w:val="24"/>
                <w:szCs w:val="24"/>
              </w:rPr>
              <w:t>。粉尘经收集通过袋式除尘器处理后于</w:t>
            </w:r>
            <w:r>
              <w:rPr>
                <w:rFonts w:cs="Times New Roman"/>
                <w:sz w:val="24"/>
                <w:szCs w:val="24"/>
              </w:rPr>
              <w:t>20</w:t>
            </w:r>
            <w:r>
              <w:rPr>
                <w:rFonts w:hint="eastAsia" w:cs="Times New Roman"/>
                <w:sz w:val="24"/>
                <w:szCs w:val="24"/>
              </w:rPr>
              <w:t>m高排气筒排放，未经收集的粉尘则通过密闭沉降（降尘效率按99%计）处理后无组织排放。</w:t>
            </w:r>
          </w:p>
          <w:p>
            <w:pPr>
              <w:spacing w:line="360" w:lineRule="auto"/>
              <w:ind w:firstLine="482" w:firstLineChars="200"/>
              <w:rPr>
                <w:b/>
                <w:sz w:val="24"/>
                <w:szCs w:val="24"/>
              </w:rPr>
            </w:pPr>
            <w:r>
              <w:rPr>
                <w:rFonts w:hint="eastAsia"/>
                <w:b/>
                <w:sz w:val="24"/>
                <w:szCs w:val="24"/>
              </w:rPr>
              <w:t>③排放情况</w:t>
            </w:r>
          </w:p>
          <w:p>
            <w:pPr>
              <w:spacing w:line="360" w:lineRule="auto"/>
              <w:ind w:firstLine="480" w:firstLineChars="200"/>
              <w:rPr>
                <w:rFonts w:cs="Times New Roman"/>
                <w:sz w:val="24"/>
                <w:szCs w:val="24"/>
              </w:rPr>
            </w:pPr>
            <w:r>
              <w:rPr>
                <w:rFonts w:hint="eastAsia" w:cs="Times New Roman"/>
                <w:sz w:val="24"/>
                <w:szCs w:val="24"/>
              </w:rPr>
              <w:t>根据计算，运营期物料输送粉尘排放信息见下表：</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w:t>
            </w:r>
            <w:r>
              <w:rPr>
                <w:rFonts w:eastAsia="黑体" w:cs="Times New Roman"/>
                <w:szCs w:val="21"/>
              </w:rPr>
              <w:t xml:space="preserve">3  </w:t>
            </w:r>
            <w:r>
              <w:rPr>
                <w:rFonts w:hint="eastAsia" w:eastAsia="黑体" w:cs="Times New Roman"/>
                <w:szCs w:val="21"/>
              </w:rPr>
              <w:t>物料输送粉尘排放信息表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77"/>
              <w:gridCol w:w="838"/>
              <w:gridCol w:w="948"/>
              <w:gridCol w:w="840"/>
              <w:gridCol w:w="840"/>
              <w:gridCol w:w="849"/>
              <w:gridCol w:w="838"/>
              <w:gridCol w:w="840"/>
              <w:gridCol w:w="794"/>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jc w:val="center"/>
                    <w:rPr>
                      <w:szCs w:val="21"/>
                    </w:rPr>
                  </w:pPr>
                  <w:r>
                    <w:rPr>
                      <w:szCs w:val="21"/>
                    </w:rPr>
                    <w:t>污染源</w:t>
                  </w:r>
                </w:p>
              </w:tc>
              <w:tc>
                <w:tcPr>
                  <w:tcW w:w="425" w:type="pct"/>
                  <w:vMerge w:val="restart"/>
                  <w:vAlign w:val="center"/>
                </w:tcPr>
                <w:p>
                  <w:pPr>
                    <w:jc w:val="center"/>
                    <w:rPr>
                      <w:szCs w:val="21"/>
                    </w:rPr>
                  </w:pPr>
                  <w:r>
                    <w:rPr>
                      <w:szCs w:val="21"/>
                    </w:rPr>
                    <w:t>污染物种类</w:t>
                  </w:r>
                </w:p>
              </w:tc>
              <w:tc>
                <w:tcPr>
                  <w:tcW w:w="458" w:type="pct"/>
                  <w:vMerge w:val="restart"/>
                  <w:vAlign w:val="center"/>
                </w:tcPr>
                <w:p>
                  <w:pPr>
                    <w:jc w:val="center"/>
                    <w:rPr>
                      <w:szCs w:val="21"/>
                    </w:rPr>
                  </w:pPr>
                  <w:r>
                    <w:rPr>
                      <w:szCs w:val="21"/>
                    </w:rPr>
                    <w:t>污染物产生</w:t>
                  </w:r>
                  <w:r>
                    <w:rPr>
                      <w:rFonts w:hint="eastAsia"/>
                      <w:szCs w:val="21"/>
                    </w:rPr>
                    <w:t>量</w:t>
                  </w:r>
                </w:p>
                <w:p>
                  <w:pPr>
                    <w:jc w:val="center"/>
                    <w:rPr>
                      <w:szCs w:val="21"/>
                    </w:rPr>
                  </w:pPr>
                  <w:r>
                    <w:rPr>
                      <w:szCs w:val="21"/>
                    </w:rPr>
                    <w:t>(</w:t>
                  </w:r>
                  <w:r>
                    <w:rPr>
                      <w:rFonts w:hint="eastAsia"/>
                      <w:szCs w:val="21"/>
                    </w:rPr>
                    <w:t>t</w:t>
                  </w:r>
                  <w:r>
                    <w:rPr>
                      <w:szCs w:val="21"/>
                    </w:rPr>
                    <w:t>/a)</w:t>
                  </w:r>
                </w:p>
              </w:tc>
              <w:tc>
                <w:tcPr>
                  <w:tcW w:w="3250" w:type="pct"/>
                  <w:gridSpan w:val="7"/>
                  <w:vAlign w:val="center"/>
                </w:tcPr>
                <w:p>
                  <w:pPr>
                    <w:jc w:val="center"/>
                    <w:rPr>
                      <w:szCs w:val="21"/>
                    </w:rPr>
                  </w:pPr>
                  <w:r>
                    <w:rPr>
                      <w:szCs w:val="21"/>
                    </w:rPr>
                    <w:t>排放情况</w:t>
                  </w:r>
                </w:p>
              </w:tc>
              <w:tc>
                <w:tcPr>
                  <w:tcW w:w="482" w:type="pct"/>
                  <w:vMerge w:val="restart"/>
                  <w:vAlign w:val="center"/>
                </w:tcPr>
                <w:p>
                  <w:pPr>
                    <w:jc w:val="center"/>
                    <w:rPr>
                      <w:szCs w:val="21"/>
                    </w:rPr>
                  </w:pPr>
                  <w:r>
                    <w:rPr>
                      <w:szCs w:val="21"/>
                    </w:rPr>
                    <w:t>排气筒编号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jc w:val="center"/>
                    <w:rPr>
                      <w:szCs w:val="21"/>
                    </w:rPr>
                  </w:pPr>
                </w:p>
              </w:tc>
              <w:tc>
                <w:tcPr>
                  <w:tcW w:w="425" w:type="pct"/>
                  <w:vMerge w:val="continue"/>
                  <w:vAlign w:val="center"/>
                </w:tcPr>
                <w:p>
                  <w:pPr>
                    <w:jc w:val="center"/>
                    <w:rPr>
                      <w:szCs w:val="21"/>
                    </w:rPr>
                  </w:pPr>
                </w:p>
              </w:tc>
              <w:tc>
                <w:tcPr>
                  <w:tcW w:w="458" w:type="pct"/>
                  <w:vMerge w:val="continue"/>
                  <w:vAlign w:val="center"/>
                </w:tcPr>
                <w:p>
                  <w:pPr>
                    <w:jc w:val="center"/>
                    <w:rPr>
                      <w:szCs w:val="21"/>
                    </w:rPr>
                  </w:pPr>
                </w:p>
              </w:tc>
              <w:tc>
                <w:tcPr>
                  <w:tcW w:w="518" w:type="pct"/>
                  <w:vMerge w:val="restart"/>
                  <w:vAlign w:val="center"/>
                </w:tcPr>
                <w:p>
                  <w:pPr>
                    <w:jc w:val="center"/>
                    <w:rPr>
                      <w:szCs w:val="21"/>
                    </w:rPr>
                  </w:pPr>
                  <w:r>
                    <w:rPr>
                      <w:szCs w:val="21"/>
                    </w:rPr>
                    <w:t>废气量</w:t>
                  </w:r>
                  <w:r>
                    <w:rPr>
                      <w:rFonts w:hint="eastAsia"/>
                      <w:szCs w:val="21"/>
                    </w:rPr>
                    <w:t>(</w:t>
                  </w:r>
                  <w:r>
                    <w:rPr>
                      <w:szCs w:val="21"/>
                    </w:rPr>
                    <w:t>m</w:t>
                  </w:r>
                  <w:r>
                    <w:rPr>
                      <w:szCs w:val="21"/>
                      <w:vertAlign w:val="superscript"/>
                    </w:rPr>
                    <w:t>3</w:t>
                  </w:r>
                  <w:r>
                    <w:rPr>
                      <w:szCs w:val="21"/>
                    </w:rPr>
                    <w:t>/h</w:t>
                  </w:r>
                  <w:r>
                    <w:rPr>
                      <w:rFonts w:hint="eastAsia"/>
                      <w:szCs w:val="21"/>
                    </w:rPr>
                    <w:t>)</w:t>
                  </w:r>
                </w:p>
              </w:tc>
              <w:tc>
                <w:tcPr>
                  <w:tcW w:w="1382" w:type="pct"/>
                  <w:gridSpan w:val="3"/>
                  <w:vAlign w:val="center"/>
                </w:tcPr>
                <w:p>
                  <w:pPr>
                    <w:jc w:val="center"/>
                    <w:rPr>
                      <w:szCs w:val="21"/>
                    </w:rPr>
                  </w:pPr>
                  <w:r>
                    <w:rPr>
                      <w:szCs w:val="21"/>
                    </w:rPr>
                    <w:t>有组织</w:t>
                  </w:r>
                </w:p>
              </w:tc>
              <w:tc>
                <w:tcPr>
                  <w:tcW w:w="917" w:type="pct"/>
                  <w:gridSpan w:val="2"/>
                  <w:vAlign w:val="center"/>
                </w:tcPr>
                <w:p>
                  <w:pPr>
                    <w:jc w:val="center"/>
                    <w:rPr>
                      <w:szCs w:val="21"/>
                    </w:rPr>
                  </w:pPr>
                  <w:r>
                    <w:rPr>
                      <w:szCs w:val="21"/>
                    </w:rPr>
                    <w:t>无组织</w:t>
                  </w:r>
                </w:p>
              </w:tc>
              <w:tc>
                <w:tcPr>
                  <w:tcW w:w="433" w:type="pct"/>
                  <w:vMerge w:val="restart"/>
                  <w:vAlign w:val="center"/>
                </w:tcPr>
                <w:p>
                  <w:pPr>
                    <w:jc w:val="center"/>
                    <w:rPr>
                      <w:szCs w:val="21"/>
                    </w:rPr>
                  </w:pPr>
                  <w:r>
                    <w:rPr>
                      <w:szCs w:val="21"/>
                    </w:rPr>
                    <w:t>排放时间</w:t>
                  </w:r>
                  <w:r>
                    <w:rPr>
                      <w:rFonts w:hint="eastAsia"/>
                      <w:szCs w:val="21"/>
                    </w:rPr>
                    <w:t>(</w:t>
                  </w:r>
                  <w:r>
                    <w:rPr>
                      <w:szCs w:val="21"/>
                    </w:rPr>
                    <w:t>h)</w:t>
                  </w:r>
                </w:p>
              </w:tc>
              <w:tc>
                <w:tcPr>
                  <w:tcW w:w="482"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4" w:type="pct"/>
                  <w:vMerge w:val="continue"/>
                  <w:vAlign w:val="center"/>
                </w:tcPr>
                <w:p>
                  <w:pPr>
                    <w:jc w:val="center"/>
                    <w:rPr>
                      <w:szCs w:val="21"/>
                    </w:rPr>
                  </w:pPr>
                </w:p>
              </w:tc>
              <w:tc>
                <w:tcPr>
                  <w:tcW w:w="425" w:type="pct"/>
                  <w:vMerge w:val="continue"/>
                  <w:vAlign w:val="center"/>
                </w:tcPr>
                <w:p>
                  <w:pPr>
                    <w:jc w:val="center"/>
                    <w:rPr>
                      <w:szCs w:val="21"/>
                    </w:rPr>
                  </w:pPr>
                </w:p>
              </w:tc>
              <w:tc>
                <w:tcPr>
                  <w:tcW w:w="458" w:type="pct"/>
                  <w:vMerge w:val="continue"/>
                  <w:vAlign w:val="center"/>
                </w:tcPr>
                <w:p>
                  <w:pPr>
                    <w:jc w:val="center"/>
                    <w:rPr>
                      <w:szCs w:val="21"/>
                    </w:rPr>
                  </w:pPr>
                </w:p>
              </w:tc>
              <w:tc>
                <w:tcPr>
                  <w:tcW w:w="518" w:type="pct"/>
                  <w:vMerge w:val="continue"/>
                  <w:vAlign w:val="center"/>
                </w:tcPr>
                <w:p>
                  <w:pPr>
                    <w:jc w:val="center"/>
                    <w:rPr>
                      <w:szCs w:val="21"/>
                    </w:rPr>
                  </w:pPr>
                </w:p>
              </w:tc>
              <w:tc>
                <w:tcPr>
                  <w:tcW w:w="459" w:type="pct"/>
                  <w:vAlign w:val="center"/>
                </w:tcPr>
                <w:p>
                  <w:pPr>
                    <w:jc w:val="center"/>
                    <w:rPr>
                      <w:szCs w:val="21"/>
                    </w:rPr>
                  </w:pPr>
                  <w:r>
                    <w:rPr>
                      <w:szCs w:val="21"/>
                    </w:rPr>
                    <w:t>mg/m</w:t>
                  </w:r>
                  <w:r>
                    <w:rPr>
                      <w:szCs w:val="21"/>
                      <w:vertAlign w:val="superscript"/>
                    </w:rPr>
                    <w:t>3</w:t>
                  </w:r>
                </w:p>
              </w:tc>
              <w:tc>
                <w:tcPr>
                  <w:tcW w:w="459" w:type="pct"/>
                  <w:vAlign w:val="center"/>
                </w:tcPr>
                <w:p>
                  <w:pPr>
                    <w:jc w:val="center"/>
                    <w:rPr>
                      <w:szCs w:val="21"/>
                    </w:rPr>
                  </w:pPr>
                  <w:r>
                    <w:rPr>
                      <w:szCs w:val="21"/>
                    </w:rPr>
                    <w:t>kg/h</w:t>
                  </w:r>
                </w:p>
              </w:tc>
              <w:tc>
                <w:tcPr>
                  <w:tcW w:w="464" w:type="pct"/>
                  <w:vAlign w:val="center"/>
                </w:tcPr>
                <w:p>
                  <w:pPr>
                    <w:jc w:val="center"/>
                    <w:rPr>
                      <w:szCs w:val="21"/>
                    </w:rPr>
                  </w:pPr>
                  <w:r>
                    <w:rPr>
                      <w:rFonts w:hint="eastAsia"/>
                      <w:szCs w:val="21"/>
                    </w:rPr>
                    <w:t>t</w:t>
                  </w:r>
                  <w:r>
                    <w:rPr>
                      <w:szCs w:val="21"/>
                    </w:rPr>
                    <w:t>/a</w:t>
                  </w:r>
                </w:p>
              </w:tc>
              <w:tc>
                <w:tcPr>
                  <w:tcW w:w="458" w:type="pct"/>
                  <w:vAlign w:val="center"/>
                </w:tcPr>
                <w:p>
                  <w:pPr>
                    <w:jc w:val="center"/>
                    <w:rPr>
                      <w:szCs w:val="21"/>
                    </w:rPr>
                  </w:pPr>
                  <w:r>
                    <w:rPr>
                      <w:szCs w:val="21"/>
                    </w:rPr>
                    <w:t>kg/h</w:t>
                  </w:r>
                </w:p>
              </w:tc>
              <w:tc>
                <w:tcPr>
                  <w:tcW w:w="458" w:type="pct"/>
                  <w:vAlign w:val="center"/>
                </w:tcPr>
                <w:p>
                  <w:pPr>
                    <w:jc w:val="center"/>
                    <w:rPr>
                      <w:szCs w:val="21"/>
                    </w:rPr>
                  </w:pPr>
                  <w:r>
                    <w:rPr>
                      <w:szCs w:val="21"/>
                    </w:rPr>
                    <w:t>t/a</w:t>
                  </w:r>
                </w:p>
              </w:tc>
              <w:tc>
                <w:tcPr>
                  <w:tcW w:w="433" w:type="pct"/>
                  <w:vMerge w:val="continue"/>
                  <w:vAlign w:val="center"/>
                </w:tcPr>
                <w:p>
                  <w:pPr>
                    <w:jc w:val="center"/>
                    <w:rPr>
                      <w:szCs w:val="21"/>
                    </w:rPr>
                  </w:pPr>
                </w:p>
              </w:tc>
              <w:tc>
                <w:tcPr>
                  <w:tcW w:w="482"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4" w:type="pct"/>
                  <w:vAlign w:val="center"/>
                </w:tcPr>
                <w:p>
                  <w:pPr>
                    <w:jc w:val="center"/>
                    <w:rPr>
                      <w:szCs w:val="21"/>
                    </w:rPr>
                  </w:pPr>
                  <w:r>
                    <w:rPr>
                      <w:rFonts w:hint="eastAsia"/>
                      <w:szCs w:val="21"/>
                    </w:rPr>
                    <w:t>物料输送</w:t>
                  </w:r>
                </w:p>
              </w:tc>
              <w:tc>
                <w:tcPr>
                  <w:tcW w:w="425" w:type="pct"/>
                  <w:vAlign w:val="center"/>
                </w:tcPr>
                <w:p>
                  <w:pPr>
                    <w:jc w:val="center"/>
                    <w:rPr>
                      <w:szCs w:val="21"/>
                    </w:rPr>
                  </w:pPr>
                  <w:r>
                    <w:rPr>
                      <w:rFonts w:hint="eastAsia"/>
                      <w:szCs w:val="21"/>
                    </w:rPr>
                    <w:t>颗粒物</w:t>
                  </w:r>
                </w:p>
              </w:tc>
              <w:tc>
                <w:tcPr>
                  <w:tcW w:w="458" w:type="pct"/>
                  <w:vAlign w:val="center"/>
                </w:tcPr>
                <w:p>
                  <w:pPr>
                    <w:widowControl/>
                    <w:jc w:val="center"/>
                    <w:rPr>
                      <w:rFonts w:cs="Times New Roman"/>
                      <w:kern w:val="0"/>
                      <w:szCs w:val="21"/>
                    </w:rPr>
                  </w:pPr>
                  <w:r>
                    <w:rPr>
                      <w:rFonts w:hint="eastAsia" w:cs="Times New Roman"/>
                      <w:kern w:val="0"/>
                      <w:szCs w:val="21"/>
                    </w:rPr>
                    <w:t>39.6</w:t>
                  </w:r>
                </w:p>
              </w:tc>
              <w:tc>
                <w:tcPr>
                  <w:tcW w:w="518" w:type="pct"/>
                  <w:vAlign w:val="center"/>
                </w:tcPr>
                <w:p>
                  <w:pPr>
                    <w:jc w:val="center"/>
                    <w:rPr>
                      <w:rFonts w:cs="Times New Roman"/>
                      <w:szCs w:val="21"/>
                    </w:rPr>
                  </w:pPr>
                  <w:r>
                    <w:rPr>
                      <w:rFonts w:hint="eastAsia" w:cs="Times New Roman"/>
                      <w:szCs w:val="21"/>
                    </w:rPr>
                    <w:t>3025</w:t>
                  </w:r>
                </w:p>
              </w:tc>
              <w:tc>
                <w:tcPr>
                  <w:tcW w:w="459" w:type="pct"/>
                  <w:vAlign w:val="center"/>
                </w:tcPr>
                <w:p>
                  <w:pPr>
                    <w:jc w:val="center"/>
                    <w:rPr>
                      <w:rFonts w:cs="Times New Roman"/>
                      <w:szCs w:val="21"/>
                    </w:rPr>
                  </w:pPr>
                  <w:r>
                    <w:rPr>
                      <w:rFonts w:hint="eastAsia" w:cs="Times New Roman"/>
                      <w:szCs w:val="21"/>
                    </w:rPr>
                    <w:t>4.909</w:t>
                  </w:r>
                </w:p>
              </w:tc>
              <w:tc>
                <w:tcPr>
                  <w:tcW w:w="459" w:type="pct"/>
                  <w:vAlign w:val="center"/>
                </w:tcPr>
                <w:p>
                  <w:pPr>
                    <w:jc w:val="center"/>
                    <w:rPr>
                      <w:rFonts w:cs="Times New Roman"/>
                      <w:szCs w:val="21"/>
                    </w:rPr>
                  </w:pPr>
                  <w:r>
                    <w:rPr>
                      <w:rFonts w:hint="eastAsia" w:cs="Times New Roman"/>
                      <w:szCs w:val="21"/>
                    </w:rPr>
                    <w:t>0.015</w:t>
                  </w:r>
                </w:p>
              </w:tc>
              <w:tc>
                <w:tcPr>
                  <w:tcW w:w="464" w:type="pct"/>
                  <w:vAlign w:val="center"/>
                </w:tcPr>
                <w:p>
                  <w:pPr>
                    <w:jc w:val="center"/>
                    <w:rPr>
                      <w:rFonts w:cs="Times New Roman"/>
                      <w:szCs w:val="21"/>
                    </w:rPr>
                  </w:pPr>
                  <w:r>
                    <w:rPr>
                      <w:rFonts w:hint="eastAsia" w:cs="Times New Roman"/>
                      <w:szCs w:val="21"/>
                    </w:rPr>
                    <w:t>0.036</w:t>
                  </w:r>
                </w:p>
              </w:tc>
              <w:tc>
                <w:tcPr>
                  <w:tcW w:w="458" w:type="pct"/>
                  <w:vAlign w:val="center"/>
                </w:tcPr>
                <w:p>
                  <w:pPr>
                    <w:jc w:val="center"/>
                    <w:rPr>
                      <w:rFonts w:cs="Times New Roman"/>
                      <w:szCs w:val="21"/>
                    </w:rPr>
                  </w:pPr>
                  <w:r>
                    <w:rPr>
                      <w:rFonts w:hint="eastAsia" w:cs="Times New Roman"/>
                      <w:szCs w:val="21"/>
                    </w:rPr>
                    <w:t>0.017</w:t>
                  </w:r>
                </w:p>
              </w:tc>
              <w:tc>
                <w:tcPr>
                  <w:tcW w:w="458" w:type="pct"/>
                  <w:vAlign w:val="center"/>
                </w:tcPr>
                <w:p>
                  <w:pPr>
                    <w:jc w:val="center"/>
                    <w:rPr>
                      <w:rFonts w:cs="Times New Roman"/>
                      <w:szCs w:val="21"/>
                    </w:rPr>
                  </w:pPr>
                  <w:r>
                    <w:rPr>
                      <w:rFonts w:hint="eastAsia" w:cs="Times New Roman"/>
                      <w:szCs w:val="21"/>
                    </w:rPr>
                    <w:t>0.040</w:t>
                  </w:r>
                </w:p>
              </w:tc>
              <w:tc>
                <w:tcPr>
                  <w:tcW w:w="433" w:type="pct"/>
                  <w:vAlign w:val="center"/>
                </w:tcPr>
                <w:p>
                  <w:pPr>
                    <w:jc w:val="center"/>
                    <w:rPr>
                      <w:szCs w:val="21"/>
                    </w:rPr>
                  </w:pPr>
                  <w:r>
                    <w:rPr>
                      <w:szCs w:val="21"/>
                    </w:rPr>
                    <w:t>2400</w:t>
                  </w:r>
                </w:p>
              </w:tc>
              <w:tc>
                <w:tcPr>
                  <w:tcW w:w="482" w:type="pct"/>
                  <w:vAlign w:val="center"/>
                </w:tcPr>
                <w:p>
                  <w:pPr>
                    <w:jc w:val="center"/>
                    <w:rPr>
                      <w:szCs w:val="21"/>
                    </w:rPr>
                  </w:pPr>
                  <w:r>
                    <w:rPr>
                      <w:rFonts w:hint="eastAsia"/>
                      <w:szCs w:val="21"/>
                    </w:rPr>
                    <w:t>DA</w:t>
                  </w:r>
                  <w:r>
                    <w:rPr>
                      <w:szCs w:val="21"/>
                    </w:rPr>
                    <w:t>1</w:t>
                  </w:r>
                  <w:r>
                    <w:rPr>
                      <w:rFonts w:hint="eastAsia"/>
                      <w:szCs w:val="21"/>
                    </w:rPr>
                    <w:t>52</w:t>
                  </w:r>
                </w:p>
              </w:tc>
            </w:tr>
          </w:tbl>
          <w:p>
            <w:pPr>
              <w:spacing w:line="360" w:lineRule="auto"/>
              <w:ind w:firstLine="480" w:firstLineChars="200"/>
              <w:rPr>
                <w:rFonts w:cs="Times New Roman"/>
                <w:sz w:val="24"/>
                <w:szCs w:val="24"/>
              </w:rPr>
            </w:pPr>
            <w:r>
              <w:rPr>
                <w:rFonts w:hint="eastAsia" w:cs="Times New Roman"/>
                <w:sz w:val="24"/>
                <w:szCs w:val="24"/>
              </w:rPr>
              <w:t>由上表可知，运营期物料输送粉尘经处理后颗粒物排放浓度满足</w:t>
            </w:r>
            <w:r>
              <w:rPr>
                <w:rFonts w:hint="eastAsia"/>
                <w:sz w:val="24"/>
                <w:szCs w:val="24"/>
              </w:rPr>
              <w:t>《四川省水泥工业大气污染物排放标准》（DB51/2864-2021）表1中排放限值</w:t>
            </w:r>
            <w:r>
              <w:rPr>
                <w:rFonts w:hint="eastAsia" w:cs="Times New Roman"/>
                <w:sz w:val="24"/>
                <w:szCs w:val="24"/>
              </w:rPr>
              <w:t>。</w:t>
            </w:r>
          </w:p>
          <w:p>
            <w:pPr>
              <w:spacing w:line="360" w:lineRule="auto"/>
              <w:ind w:firstLine="482" w:firstLineChars="200"/>
              <w:rPr>
                <w:rFonts w:cs="Times New Roman"/>
                <w:b/>
                <w:bCs/>
                <w:sz w:val="24"/>
                <w:szCs w:val="24"/>
              </w:rPr>
            </w:pPr>
            <w:r>
              <w:rPr>
                <w:rFonts w:cs="Times New Roman"/>
                <w:b/>
                <w:bCs/>
                <w:sz w:val="24"/>
                <w:szCs w:val="24"/>
              </w:rPr>
              <w:t>3</w:t>
            </w:r>
            <w:r>
              <w:rPr>
                <w:rFonts w:hint="eastAsia" w:cs="Times New Roman"/>
                <w:b/>
                <w:bCs/>
                <w:sz w:val="24"/>
                <w:szCs w:val="24"/>
              </w:rPr>
              <w:t>）贮仓和装车粉尘</w:t>
            </w:r>
          </w:p>
          <w:p>
            <w:pPr>
              <w:spacing w:line="360" w:lineRule="auto"/>
              <w:ind w:firstLine="482" w:firstLineChars="200"/>
              <w:rPr>
                <w:rFonts w:cs="Times New Roman"/>
                <w:b/>
                <w:bCs/>
                <w:sz w:val="24"/>
                <w:szCs w:val="24"/>
              </w:rPr>
            </w:pPr>
            <w:r>
              <w:rPr>
                <w:rFonts w:hint="eastAsia" w:cs="Times New Roman"/>
                <w:b/>
                <w:bCs/>
                <w:sz w:val="24"/>
                <w:szCs w:val="24"/>
              </w:rPr>
              <w:t>①产生情况</w:t>
            </w:r>
          </w:p>
          <w:p>
            <w:pPr>
              <w:spacing w:line="360" w:lineRule="auto"/>
              <w:ind w:firstLine="480" w:firstLineChars="200"/>
              <w:rPr>
                <w:rFonts w:cs="Times New Roman"/>
                <w:sz w:val="24"/>
                <w:szCs w:val="24"/>
              </w:rPr>
            </w:pPr>
            <w:r>
              <w:rPr>
                <w:rFonts w:hint="eastAsia" w:cs="Times New Roman"/>
                <w:sz w:val="24"/>
                <w:szCs w:val="24"/>
              </w:rPr>
              <w:t>本次改建涉及现有骨料仓贮存物料粒径的调整，改建后现有砂石骨料生产线分离出的0-5mm粉料送入现有钢板仓，5-10mm、10-25mm骨料送入现有骨料仓，25-40mm骨料送入新建钢板仓，制砂系统分离出的0</w:t>
            </w:r>
            <w:r>
              <w:rPr>
                <w:rFonts w:cs="Times New Roman"/>
                <w:sz w:val="24"/>
                <w:szCs w:val="24"/>
              </w:rPr>
              <w:t>.075-4.75</w:t>
            </w:r>
            <w:r>
              <w:rPr>
                <w:rFonts w:hint="eastAsia" w:cs="Times New Roman"/>
                <w:sz w:val="24"/>
                <w:szCs w:val="24"/>
              </w:rPr>
              <w:t>mm机制砂送入成品砂库，</w:t>
            </w:r>
            <w:r>
              <w:rPr>
                <w:rFonts w:cs="Times New Roman"/>
                <w:sz w:val="24"/>
                <w:szCs w:val="24"/>
              </w:rPr>
              <w:t>0-0.075</w:t>
            </w:r>
            <w:r>
              <w:rPr>
                <w:rFonts w:hint="eastAsia" w:cs="Times New Roman"/>
                <w:sz w:val="24"/>
                <w:szCs w:val="24"/>
              </w:rPr>
              <w:t>mm微粉送入微粉库。</w:t>
            </w:r>
          </w:p>
          <w:p>
            <w:pPr>
              <w:spacing w:line="360" w:lineRule="auto"/>
              <w:ind w:firstLine="482" w:firstLineChars="200"/>
              <w:rPr>
                <w:rFonts w:cs="Times New Roman"/>
                <w:sz w:val="24"/>
                <w:szCs w:val="24"/>
              </w:rPr>
            </w:pPr>
            <w:r>
              <w:rPr>
                <w:rFonts w:hint="eastAsia" w:cs="Times New Roman"/>
                <w:b/>
                <w:bCs/>
                <w:sz w:val="24"/>
                <w:szCs w:val="24"/>
              </w:rPr>
              <w:t>贮仓粉尘</w:t>
            </w:r>
            <w:r>
              <w:rPr>
                <w:rFonts w:hint="eastAsia" w:cs="Times New Roman"/>
                <w:sz w:val="24"/>
                <w:szCs w:val="24"/>
              </w:rPr>
              <w:t>：由于《排放源统计调查产排污核算方法和系数手册》（公告2021年第24号）中无相应工序产污系数，本次环评参考《逸散性工业粉尘控制技术》，贮仓粉尘产生量按0.12kg/t计，则各类贮存粉尘产生量见下表。</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w:t>
            </w:r>
            <w:r>
              <w:rPr>
                <w:rFonts w:eastAsia="黑体" w:cs="Times New Roman"/>
                <w:szCs w:val="21"/>
              </w:rPr>
              <w:t xml:space="preserve">4  </w:t>
            </w:r>
            <w:r>
              <w:rPr>
                <w:rFonts w:hint="eastAsia" w:eastAsia="黑体" w:cs="Times New Roman"/>
                <w:szCs w:val="21"/>
              </w:rPr>
              <w:t>贮仓粉尘核算表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1743"/>
              <w:gridCol w:w="1087"/>
              <w:gridCol w:w="1090"/>
              <w:gridCol w:w="1306"/>
              <w:gridCol w:w="1246"/>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vMerge w:val="restart"/>
                  <w:vAlign w:val="center"/>
                </w:tcPr>
                <w:p>
                  <w:pPr>
                    <w:jc w:val="center"/>
                    <w:rPr>
                      <w:rFonts w:cs="Times New Roman"/>
                      <w:szCs w:val="21"/>
                    </w:rPr>
                  </w:pPr>
                  <w:r>
                    <w:rPr>
                      <w:rFonts w:hint="eastAsia" w:cs="Times New Roman"/>
                      <w:szCs w:val="21"/>
                    </w:rPr>
                    <w:t>贮仓名称</w:t>
                  </w:r>
                </w:p>
              </w:tc>
              <w:tc>
                <w:tcPr>
                  <w:tcW w:w="953" w:type="pct"/>
                  <w:vMerge w:val="restart"/>
                  <w:vAlign w:val="center"/>
                </w:tcPr>
                <w:p>
                  <w:pPr>
                    <w:jc w:val="center"/>
                    <w:rPr>
                      <w:rFonts w:cs="Times New Roman"/>
                      <w:szCs w:val="21"/>
                    </w:rPr>
                  </w:pPr>
                  <w:r>
                    <w:rPr>
                      <w:rFonts w:hint="eastAsia" w:cs="Times New Roman"/>
                      <w:szCs w:val="21"/>
                    </w:rPr>
                    <w:t>贮存物料</w:t>
                  </w:r>
                </w:p>
              </w:tc>
              <w:tc>
                <w:tcPr>
                  <w:tcW w:w="1190" w:type="pct"/>
                  <w:gridSpan w:val="2"/>
                  <w:vAlign w:val="center"/>
                </w:tcPr>
                <w:p>
                  <w:pPr>
                    <w:jc w:val="center"/>
                    <w:rPr>
                      <w:rFonts w:cs="Times New Roman"/>
                      <w:szCs w:val="21"/>
                    </w:rPr>
                  </w:pPr>
                  <w:r>
                    <w:rPr>
                      <w:rFonts w:hint="eastAsia" w:cs="Times New Roman"/>
                      <w:szCs w:val="21"/>
                    </w:rPr>
                    <w:t>物料总量（t</w:t>
                  </w:r>
                  <w:r>
                    <w:rPr>
                      <w:rFonts w:cs="Times New Roman"/>
                      <w:szCs w:val="21"/>
                    </w:rPr>
                    <w:t>/a</w:t>
                  </w:r>
                  <w:r>
                    <w:rPr>
                      <w:rFonts w:hint="eastAsia" w:cs="Times New Roman"/>
                      <w:szCs w:val="21"/>
                    </w:rPr>
                    <w:t>）</w:t>
                  </w:r>
                </w:p>
              </w:tc>
              <w:tc>
                <w:tcPr>
                  <w:tcW w:w="714" w:type="pct"/>
                  <w:vMerge w:val="restart"/>
                  <w:vAlign w:val="center"/>
                </w:tcPr>
                <w:p>
                  <w:pPr>
                    <w:jc w:val="center"/>
                    <w:rPr>
                      <w:rFonts w:cs="Times New Roman"/>
                      <w:szCs w:val="21"/>
                    </w:rPr>
                  </w:pPr>
                  <w:r>
                    <w:rPr>
                      <w:rFonts w:hint="eastAsia" w:cs="Times New Roman"/>
                      <w:szCs w:val="21"/>
                    </w:rPr>
                    <w:t>产污系数（kg/</w:t>
                  </w:r>
                  <w:r>
                    <w:rPr>
                      <w:rFonts w:cs="Times New Roman"/>
                      <w:szCs w:val="21"/>
                    </w:rPr>
                    <w:t>t</w:t>
                  </w:r>
                  <w:r>
                    <w:rPr>
                      <w:rFonts w:hint="eastAsia" w:cs="Times New Roman"/>
                      <w:szCs w:val="21"/>
                    </w:rPr>
                    <w:t>）</w:t>
                  </w:r>
                </w:p>
              </w:tc>
              <w:tc>
                <w:tcPr>
                  <w:tcW w:w="1363" w:type="pct"/>
                  <w:gridSpan w:val="2"/>
                  <w:vAlign w:val="center"/>
                </w:tcPr>
                <w:p>
                  <w:pPr>
                    <w:jc w:val="center"/>
                    <w:rPr>
                      <w:rFonts w:cs="Times New Roman"/>
                      <w:szCs w:val="21"/>
                    </w:rPr>
                  </w:pPr>
                  <w:r>
                    <w:rPr>
                      <w:rFonts w:hint="eastAsia" w:cs="Times New Roman"/>
                      <w:szCs w:val="21"/>
                    </w:rPr>
                    <w:t>贮仓粉尘产生量（t</w:t>
                  </w:r>
                  <w:r>
                    <w:rPr>
                      <w:rFonts w:cs="Times New Roman"/>
                      <w:szCs w:val="21"/>
                    </w:rPr>
                    <w:t>/a</w:t>
                  </w: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vMerge w:val="continue"/>
                  <w:vAlign w:val="center"/>
                </w:tcPr>
                <w:p>
                  <w:pPr>
                    <w:jc w:val="center"/>
                    <w:rPr>
                      <w:rFonts w:cs="Times New Roman"/>
                      <w:szCs w:val="21"/>
                    </w:rPr>
                  </w:pPr>
                </w:p>
              </w:tc>
              <w:tc>
                <w:tcPr>
                  <w:tcW w:w="953" w:type="pct"/>
                  <w:vMerge w:val="continue"/>
                  <w:vAlign w:val="center"/>
                </w:tcPr>
                <w:p>
                  <w:pPr>
                    <w:jc w:val="center"/>
                    <w:rPr>
                      <w:rFonts w:cs="Times New Roman"/>
                      <w:szCs w:val="21"/>
                    </w:rPr>
                  </w:pPr>
                </w:p>
              </w:tc>
              <w:tc>
                <w:tcPr>
                  <w:tcW w:w="594" w:type="pct"/>
                  <w:vAlign w:val="center"/>
                </w:tcPr>
                <w:p>
                  <w:pPr>
                    <w:jc w:val="center"/>
                    <w:rPr>
                      <w:rFonts w:cs="Times New Roman"/>
                      <w:szCs w:val="21"/>
                    </w:rPr>
                  </w:pPr>
                  <w:r>
                    <w:rPr>
                      <w:rFonts w:hint="eastAsia" w:cs="Times New Roman"/>
                      <w:szCs w:val="21"/>
                    </w:rPr>
                    <w:t>现有项目</w:t>
                  </w:r>
                </w:p>
              </w:tc>
              <w:tc>
                <w:tcPr>
                  <w:tcW w:w="596" w:type="pct"/>
                  <w:vAlign w:val="center"/>
                </w:tcPr>
                <w:p>
                  <w:pPr>
                    <w:jc w:val="center"/>
                    <w:rPr>
                      <w:rFonts w:cs="Times New Roman"/>
                      <w:szCs w:val="21"/>
                    </w:rPr>
                  </w:pPr>
                  <w:r>
                    <w:rPr>
                      <w:rFonts w:hint="eastAsia" w:cs="Times New Roman"/>
                      <w:szCs w:val="21"/>
                    </w:rPr>
                    <w:t>改建后</w:t>
                  </w:r>
                </w:p>
              </w:tc>
              <w:tc>
                <w:tcPr>
                  <w:tcW w:w="714" w:type="pct"/>
                  <w:vMerge w:val="continue"/>
                  <w:vAlign w:val="center"/>
                </w:tcPr>
                <w:p>
                  <w:pPr>
                    <w:jc w:val="center"/>
                    <w:rPr>
                      <w:rFonts w:cs="Times New Roman"/>
                      <w:szCs w:val="21"/>
                    </w:rPr>
                  </w:pPr>
                </w:p>
              </w:tc>
              <w:tc>
                <w:tcPr>
                  <w:tcW w:w="681" w:type="pct"/>
                  <w:vAlign w:val="center"/>
                </w:tcPr>
                <w:p>
                  <w:pPr>
                    <w:jc w:val="center"/>
                    <w:rPr>
                      <w:rFonts w:cs="Times New Roman"/>
                      <w:szCs w:val="21"/>
                    </w:rPr>
                  </w:pPr>
                  <w:r>
                    <w:rPr>
                      <w:rFonts w:hint="eastAsia" w:cs="Times New Roman"/>
                      <w:szCs w:val="21"/>
                    </w:rPr>
                    <w:t>现有项目</w:t>
                  </w:r>
                </w:p>
              </w:tc>
              <w:tc>
                <w:tcPr>
                  <w:tcW w:w="682" w:type="pct"/>
                  <w:vAlign w:val="center"/>
                </w:tcPr>
                <w:p>
                  <w:pPr>
                    <w:jc w:val="center"/>
                    <w:rPr>
                      <w:rFonts w:cs="Times New Roman"/>
                      <w:szCs w:val="21"/>
                    </w:rPr>
                  </w:pPr>
                  <w:r>
                    <w:rPr>
                      <w:rFonts w:hint="eastAsia" w:cs="Times New Roman"/>
                      <w:szCs w:val="21"/>
                    </w:rPr>
                    <w:t>改建后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80" w:type="pct"/>
                  <w:vAlign w:val="center"/>
                </w:tcPr>
                <w:p>
                  <w:pPr>
                    <w:jc w:val="center"/>
                    <w:rPr>
                      <w:rFonts w:cs="Times New Roman"/>
                      <w:szCs w:val="21"/>
                    </w:rPr>
                  </w:pPr>
                  <w:r>
                    <w:rPr>
                      <w:rFonts w:hint="eastAsia" w:cs="Times New Roman"/>
                      <w:szCs w:val="21"/>
                    </w:rPr>
                    <w:t>现有钢板仓</w:t>
                  </w:r>
                </w:p>
              </w:tc>
              <w:tc>
                <w:tcPr>
                  <w:tcW w:w="953" w:type="pct"/>
                  <w:vAlign w:val="center"/>
                </w:tcPr>
                <w:p>
                  <w:pPr>
                    <w:jc w:val="center"/>
                    <w:rPr>
                      <w:rFonts w:cs="Times New Roman"/>
                      <w:szCs w:val="21"/>
                    </w:rPr>
                  </w:pPr>
                  <w:r>
                    <w:rPr>
                      <w:rFonts w:hint="eastAsia" w:cs="Times New Roman"/>
                      <w:szCs w:val="21"/>
                    </w:rPr>
                    <w:t>0</w:t>
                  </w:r>
                  <w:r>
                    <w:rPr>
                      <w:rFonts w:cs="Times New Roman"/>
                      <w:szCs w:val="21"/>
                    </w:rPr>
                    <w:t>-5</w:t>
                  </w:r>
                  <w:r>
                    <w:rPr>
                      <w:rFonts w:hint="eastAsia" w:cs="Times New Roman"/>
                      <w:szCs w:val="21"/>
                    </w:rPr>
                    <w:t>mm粉料</w:t>
                  </w:r>
                </w:p>
              </w:tc>
              <w:tc>
                <w:tcPr>
                  <w:tcW w:w="594" w:type="pct"/>
                  <w:vAlign w:val="center"/>
                </w:tcPr>
                <w:p>
                  <w:pPr>
                    <w:jc w:val="center"/>
                    <w:rPr>
                      <w:rFonts w:cs="Times New Roman"/>
                      <w:szCs w:val="21"/>
                    </w:rPr>
                  </w:pPr>
                  <w:r>
                    <w:rPr>
                      <w:rFonts w:hint="eastAsia" w:cs="Times New Roman"/>
                      <w:szCs w:val="21"/>
                    </w:rPr>
                    <w:t>3</w:t>
                  </w:r>
                  <w:r>
                    <w:rPr>
                      <w:rFonts w:cs="Times New Roman"/>
                      <w:szCs w:val="21"/>
                    </w:rPr>
                    <w:t>30000</w:t>
                  </w:r>
                </w:p>
              </w:tc>
              <w:tc>
                <w:tcPr>
                  <w:tcW w:w="596" w:type="pct"/>
                  <w:vAlign w:val="center"/>
                </w:tcPr>
                <w:p>
                  <w:pPr>
                    <w:jc w:val="center"/>
                    <w:rPr>
                      <w:rFonts w:cs="Times New Roman"/>
                      <w:szCs w:val="21"/>
                    </w:rPr>
                  </w:pPr>
                  <w:r>
                    <w:rPr>
                      <w:rFonts w:hint="eastAsia" w:cs="Times New Roman"/>
                      <w:szCs w:val="21"/>
                    </w:rPr>
                    <w:t>3</w:t>
                  </w:r>
                  <w:r>
                    <w:rPr>
                      <w:rFonts w:cs="Times New Roman"/>
                      <w:szCs w:val="21"/>
                    </w:rPr>
                    <w:t>30000</w:t>
                  </w:r>
                </w:p>
              </w:tc>
              <w:tc>
                <w:tcPr>
                  <w:tcW w:w="714" w:type="pct"/>
                  <w:vMerge w:val="restart"/>
                  <w:vAlign w:val="center"/>
                </w:tcPr>
                <w:p>
                  <w:pPr>
                    <w:jc w:val="center"/>
                    <w:rPr>
                      <w:rFonts w:cs="Times New Roman"/>
                      <w:szCs w:val="21"/>
                    </w:rPr>
                  </w:pPr>
                  <w:r>
                    <w:rPr>
                      <w:rFonts w:hint="eastAsia" w:cs="Times New Roman"/>
                      <w:szCs w:val="21"/>
                    </w:rPr>
                    <w:t>0</w:t>
                  </w:r>
                  <w:r>
                    <w:rPr>
                      <w:rFonts w:cs="Times New Roman"/>
                      <w:szCs w:val="21"/>
                    </w:rPr>
                    <w:t>.</w:t>
                  </w:r>
                  <w:r>
                    <w:rPr>
                      <w:rFonts w:hint="eastAsia" w:cs="Times New Roman"/>
                      <w:szCs w:val="21"/>
                    </w:rPr>
                    <w:t>1</w:t>
                  </w:r>
                  <w:r>
                    <w:rPr>
                      <w:rFonts w:cs="Times New Roman"/>
                      <w:szCs w:val="21"/>
                    </w:rPr>
                    <w:t>2</w:t>
                  </w:r>
                </w:p>
              </w:tc>
              <w:tc>
                <w:tcPr>
                  <w:tcW w:w="681" w:type="pct"/>
                  <w:vAlign w:val="center"/>
                </w:tcPr>
                <w:p>
                  <w:pPr>
                    <w:jc w:val="center"/>
                    <w:rPr>
                      <w:rFonts w:cs="Times New Roman"/>
                      <w:szCs w:val="21"/>
                    </w:rPr>
                  </w:pPr>
                  <w:r>
                    <w:rPr>
                      <w:rFonts w:hint="eastAsia" w:cs="Times New Roman"/>
                      <w:szCs w:val="21"/>
                    </w:rPr>
                    <w:t>39.6</w:t>
                  </w:r>
                </w:p>
              </w:tc>
              <w:tc>
                <w:tcPr>
                  <w:tcW w:w="682" w:type="pct"/>
                  <w:vAlign w:val="center"/>
                </w:tcPr>
                <w:p>
                  <w:pPr>
                    <w:jc w:val="center"/>
                    <w:rPr>
                      <w:rFonts w:cs="Times New Roman"/>
                      <w:szCs w:val="21"/>
                    </w:rPr>
                  </w:pPr>
                  <w:r>
                    <w:rPr>
                      <w:rFonts w:hint="eastAsia" w:cs="Times New Roman"/>
                      <w:szCs w:val="21"/>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vMerge w:val="restart"/>
                  <w:vAlign w:val="center"/>
                </w:tcPr>
                <w:p>
                  <w:pPr>
                    <w:jc w:val="center"/>
                    <w:rPr>
                      <w:rFonts w:cs="Times New Roman"/>
                      <w:szCs w:val="21"/>
                    </w:rPr>
                  </w:pPr>
                  <w:r>
                    <w:rPr>
                      <w:rFonts w:hint="eastAsia" w:cs="Times New Roman"/>
                      <w:szCs w:val="21"/>
                    </w:rPr>
                    <w:t>1</w:t>
                  </w:r>
                  <w:r>
                    <w:rPr>
                      <w:rFonts w:cs="Times New Roman"/>
                      <w:szCs w:val="21"/>
                    </w:rPr>
                    <w:t>#</w:t>
                  </w:r>
                  <w:r>
                    <w:rPr>
                      <w:rFonts w:hint="eastAsia" w:cs="Times New Roman"/>
                      <w:szCs w:val="21"/>
                    </w:rPr>
                    <w:t>骨料仓</w:t>
                  </w:r>
                </w:p>
              </w:tc>
              <w:tc>
                <w:tcPr>
                  <w:tcW w:w="953" w:type="pct"/>
                  <w:vAlign w:val="center"/>
                </w:tcPr>
                <w:p>
                  <w:pPr>
                    <w:jc w:val="center"/>
                    <w:rPr>
                      <w:rFonts w:cs="Times New Roman"/>
                      <w:szCs w:val="21"/>
                    </w:rPr>
                  </w:pPr>
                  <w:r>
                    <w:rPr>
                      <w:rFonts w:hint="eastAsia" w:cs="Times New Roman"/>
                      <w:szCs w:val="21"/>
                    </w:rPr>
                    <w:t>5</w:t>
                  </w:r>
                  <w:r>
                    <w:rPr>
                      <w:rFonts w:cs="Times New Roman"/>
                      <w:szCs w:val="21"/>
                    </w:rPr>
                    <w:t>-10</w:t>
                  </w:r>
                  <w:r>
                    <w:rPr>
                      <w:rFonts w:hint="eastAsia" w:cs="Times New Roman"/>
                      <w:szCs w:val="21"/>
                    </w:rPr>
                    <w:t>mm骨料</w:t>
                  </w:r>
                </w:p>
              </w:tc>
              <w:tc>
                <w:tcPr>
                  <w:tcW w:w="594" w:type="pct"/>
                  <w:vAlign w:val="center"/>
                </w:tcPr>
                <w:p>
                  <w:pPr>
                    <w:jc w:val="center"/>
                    <w:rPr>
                      <w:rFonts w:cs="Times New Roman"/>
                      <w:szCs w:val="21"/>
                    </w:rPr>
                  </w:pPr>
                  <w:r>
                    <w:rPr>
                      <w:rFonts w:hint="eastAsia" w:cs="Times New Roman"/>
                      <w:szCs w:val="21"/>
                    </w:rPr>
                    <w:t>0</w:t>
                  </w:r>
                </w:p>
              </w:tc>
              <w:tc>
                <w:tcPr>
                  <w:tcW w:w="596" w:type="pct"/>
                  <w:vAlign w:val="center"/>
                </w:tcPr>
                <w:p>
                  <w:pPr>
                    <w:jc w:val="center"/>
                    <w:rPr>
                      <w:rFonts w:cs="Times New Roman"/>
                      <w:szCs w:val="21"/>
                    </w:rPr>
                  </w:pPr>
                  <w:r>
                    <w:rPr>
                      <w:rFonts w:cs="Times New Roman"/>
                      <w:szCs w:val="21"/>
                    </w:rPr>
                    <w:t>330000</w:t>
                  </w:r>
                </w:p>
              </w:tc>
              <w:tc>
                <w:tcPr>
                  <w:tcW w:w="714" w:type="pct"/>
                  <w:vMerge w:val="continue"/>
                  <w:vAlign w:val="center"/>
                </w:tcPr>
                <w:p>
                  <w:pPr>
                    <w:jc w:val="center"/>
                    <w:rPr>
                      <w:rFonts w:cs="Times New Roman"/>
                      <w:szCs w:val="21"/>
                    </w:rPr>
                  </w:pPr>
                </w:p>
              </w:tc>
              <w:tc>
                <w:tcPr>
                  <w:tcW w:w="681" w:type="pct"/>
                  <w:vAlign w:val="center"/>
                </w:tcPr>
                <w:p>
                  <w:pPr>
                    <w:jc w:val="center"/>
                    <w:rPr>
                      <w:rFonts w:cs="Times New Roman"/>
                      <w:szCs w:val="21"/>
                    </w:rPr>
                  </w:pPr>
                  <w:r>
                    <w:rPr>
                      <w:rFonts w:hint="eastAsia" w:cs="Times New Roman"/>
                      <w:szCs w:val="21"/>
                    </w:rPr>
                    <w:t>0</w:t>
                  </w:r>
                </w:p>
              </w:tc>
              <w:tc>
                <w:tcPr>
                  <w:tcW w:w="682" w:type="pct"/>
                  <w:vAlign w:val="center"/>
                </w:tcPr>
                <w:p>
                  <w:pPr>
                    <w:jc w:val="center"/>
                    <w:rPr>
                      <w:rFonts w:cs="Times New Roman"/>
                      <w:szCs w:val="21"/>
                    </w:rPr>
                  </w:pPr>
                  <w:r>
                    <w:rPr>
                      <w:rFonts w:hint="eastAsia" w:cs="Times New Roman"/>
                      <w:szCs w:val="21"/>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vMerge w:val="continue"/>
                  <w:vAlign w:val="center"/>
                </w:tcPr>
                <w:p>
                  <w:pPr>
                    <w:jc w:val="center"/>
                    <w:rPr>
                      <w:rFonts w:cs="Times New Roman"/>
                      <w:szCs w:val="21"/>
                    </w:rPr>
                  </w:pPr>
                </w:p>
              </w:tc>
              <w:tc>
                <w:tcPr>
                  <w:tcW w:w="953" w:type="pct"/>
                  <w:vAlign w:val="center"/>
                </w:tcPr>
                <w:p>
                  <w:pPr>
                    <w:jc w:val="center"/>
                    <w:rPr>
                      <w:rFonts w:cs="Times New Roman"/>
                      <w:szCs w:val="21"/>
                    </w:rPr>
                  </w:pPr>
                  <w:r>
                    <w:rPr>
                      <w:rFonts w:hint="eastAsia" w:cs="Times New Roman"/>
                      <w:szCs w:val="21"/>
                    </w:rPr>
                    <w:t>5-25mm骨料</w:t>
                  </w:r>
                </w:p>
              </w:tc>
              <w:tc>
                <w:tcPr>
                  <w:tcW w:w="594" w:type="pct"/>
                  <w:vAlign w:val="center"/>
                </w:tcPr>
                <w:p>
                  <w:pPr>
                    <w:jc w:val="center"/>
                    <w:rPr>
                      <w:rFonts w:cs="Times New Roman"/>
                      <w:szCs w:val="21"/>
                    </w:rPr>
                  </w:pPr>
                  <w:r>
                    <w:rPr>
                      <w:rFonts w:hint="eastAsia" w:cs="Times New Roman"/>
                      <w:szCs w:val="21"/>
                    </w:rPr>
                    <w:t>670000</w:t>
                  </w:r>
                </w:p>
              </w:tc>
              <w:tc>
                <w:tcPr>
                  <w:tcW w:w="596" w:type="pct"/>
                  <w:vAlign w:val="center"/>
                </w:tcPr>
                <w:p>
                  <w:pPr>
                    <w:jc w:val="center"/>
                    <w:rPr>
                      <w:rFonts w:cs="Times New Roman"/>
                      <w:szCs w:val="21"/>
                    </w:rPr>
                  </w:pPr>
                  <w:r>
                    <w:rPr>
                      <w:rFonts w:hint="eastAsia" w:cs="Times New Roman"/>
                      <w:szCs w:val="21"/>
                    </w:rPr>
                    <w:t>0</w:t>
                  </w:r>
                </w:p>
              </w:tc>
              <w:tc>
                <w:tcPr>
                  <w:tcW w:w="714" w:type="pct"/>
                  <w:vMerge w:val="continue"/>
                  <w:vAlign w:val="center"/>
                </w:tcPr>
                <w:p>
                  <w:pPr>
                    <w:jc w:val="center"/>
                    <w:rPr>
                      <w:rFonts w:cs="Times New Roman"/>
                      <w:szCs w:val="21"/>
                    </w:rPr>
                  </w:pPr>
                </w:p>
              </w:tc>
              <w:tc>
                <w:tcPr>
                  <w:tcW w:w="681" w:type="pct"/>
                  <w:vAlign w:val="center"/>
                </w:tcPr>
                <w:p>
                  <w:pPr>
                    <w:jc w:val="center"/>
                    <w:rPr>
                      <w:rFonts w:cs="Times New Roman"/>
                      <w:szCs w:val="21"/>
                    </w:rPr>
                  </w:pPr>
                  <w:r>
                    <w:rPr>
                      <w:rFonts w:hint="eastAsia" w:cs="Times New Roman"/>
                      <w:szCs w:val="21"/>
                    </w:rPr>
                    <w:t>80.4</w:t>
                  </w:r>
                </w:p>
              </w:tc>
              <w:tc>
                <w:tcPr>
                  <w:tcW w:w="682" w:type="pct"/>
                  <w:vAlign w:val="center"/>
                </w:tcPr>
                <w:p>
                  <w:pPr>
                    <w:jc w:val="center"/>
                    <w:rPr>
                      <w:rFonts w:cs="Times New Roman"/>
                      <w:szCs w:val="21"/>
                    </w:rPr>
                  </w:pPr>
                  <w:r>
                    <w:rPr>
                      <w:rFonts w:hint="eastAsia"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vMerge w:val="restart"/>
                  <w:vAlign w:val="center"/>
                </w:tcPr>
                <w:p>
                  <w:pPr>
                    <w:jc w:val="center"/>
                    <w:rPr>
                      <w:rFonts w:cs="Times New Roman"/>
                      <w:szCs w:val="21"/>
                    </w:rPr>
                  </w:pPr>
                  <w:r>
                    <w:rPr>
                      <w:rFonts w:hint="eastAsia" w:cs="Times New Roman"/>
                      <w:szCs w:val="21"/>
                    </w:rPr>
                    <w:t>2</w:t>
                  </w:r>
                  <w:r>
                    <w:rPr>
                      <w:rFonts w:cs="Times New Roman"/>
                      <w:szCs w:val="21"/>
                    </w:rPr>
                    <w:t>#</w:t>
                  </w:r>
                  <w:r>
                    <w:rPr>
                      <w:rFonts w:hint="eastAsia" w:cs="Times New Roman"/>
                      <w:szCs w:val="21"/>
                    </w:rPr>
                    <w:t>骨料仓</w:t>
                  </w:r>
                </w:p>
              </w:tc>
              <w:tc>
                <w:tcPr>
                  <w:tcW w:w="953" w:type="pct"/>
                  <w:vAlign w:val="center"/>
                </w:tcPr>
                <w:p>
                  <w:pPr>
                    <w:jc w:val="center"/>
                    <w:rPr>
                      <w:rFonts w:cs="Times New Roman"/>
                      <w:szCs w:val="21"/>
                    </w:rPr>
                  </w:pPr>
                  <w:r>
                    <w:rPr>
                      <w:rFonts w:hint="eastAsia" w:cs="Times New Roman"/>
                      <w:szCs w:val="21"/>
                    </w:rPr>
                    <w:t>1</w:t>
                  </w:r>
                  <w:r>
                    <w:rPr>
                      <w:rFonts w:cs="Times New Roman"/>
                      <w:szCs w:val="21"/>
                    </w:rPr>
                    <w:t>0-25</w:t>
                  </w:r>
                  <w:r>
                    <w:rPr>
                      <w:rFonts w:hint="eastAsia" w:cs="Times New Roman"/>
                      <w:szCs w:val="21"/>
                    </w:rPr>
                    <w:t>mm骨料</w:t>
                  </w:r>
                </w:p>
              </w:tc>
              <w:tc>
                <w:tcPr>
                  <w:tcW w:w="594" w:type="pct"/>
                  <w:vAlign w:val="center"/>
                </w:tcPr>
                <w:p>
                  <w:pPr>
                    <w:jc w:val="center"/>
                    <w:rPr>
                      <w:rFonts w:cs="Times New Roman"/>
                      <w:szCs w:val="21"/>
                    </w:rPr>
                  </w:pPr>
                  <w:r>
                    <w:rPr>
                      <w:rFonts w:hint="eastAsia" w:cs="Times New Roman"/>
                      <w:szCs w:val="21"/>
                    </w:rPr>
                    <w:t>0</w:t>
                  </w:r>
                </w:p>
              </w:tc>
              <w:tc>
                <w:tcPr>
                  <w:tcW w:w="596" w:type="pct"/>
                  <w:vAlign w:val="center"/>
                </w:tcPr>
                <w:p>
                  <w:pPr>
                    <w:jc w:val="center"/>
                    <w:rPr>
                      <w:rFonts w:cs="Times New Roman"/>
                      <w:szCs w:val="21"/>
                    </w:rPr>
                  </w:pPr>
                  <w:r>
                    <w:rPr>
                      <w:rFonts w:hint="eastAsia" w:cs="Times New Roman"/>
                      <w:szCs w:val="21"/>
                    </w:rPr>
                    <w:t>3</w:t>
                  </w:r>
                  <w:r>
                    <w:rPr>
                      <w:rFonts w:cs="Times New Roman"/>
                      <w:szCs w:val="21"/>
                    </w:rPr>
                    <w:t>40000</w:t>
                  </w:r>
                </w:p>
              </w:tc>
              <w:tc>
                <w:tcPr>
                  <w:tcW w:w="714" w:type="pct"/>
                  <w:vMerge w:val="continue"/>
                  <w:vAlign w:val="center"/>
                </w:tcPr>
                <w:p>
                  <w:pPr>
                    <w:jc w:val="center"/>
                    <w:rPr>
                      <w:rFonts w:cs="Times New Roman"/>
                      <w:szCs w:val="21"/>
                    </w:rPr>
                  </w:pPr>
                </w:p>
              </w:tc>
              <w:tc>
                <w:tcPr>
                  <w:tcW w:w="681" w:type="pct"/>
                  <w:vAlign w:val="center"/>
                </w:tcPr>
                <w:p>
                  <w:pPr>
                    <w:jc w:val="center"/>
                    <w:rPr>
                      <w:rFonts w:cs="Times New Roman"/>
                      <w:szCs w:val="21"/>
                    </w:rPr>
                  </w:pPr>
                  <w:r>
                    <w:rPr>
                      <w:rFonts w:hint="eastAsia" w:cs="Times New Roman"/>
                      <w:szCs w:val="21"/>
                    </w:rPr>
                    <w:t>0</w:t>
                  </w:r>
                </w:p>
              </w:tc>
              <w:tc>
                <w:tcPr>
                  <w:tcW w:w="682" w:type="pct"/>
                  <w:vAlign w:val="center"/>
                </w:tcPr>
                <w:p>
                  <w:pPr>
                    <w:jc w:val="center"/>
                    <w:rPr>
                      <w:rFonts w:cs="Times New Roman"/>
                      <w:szCs w:val="21"/>
                    </w:rPr>
                  </w:pPr>
                  <w:r>
                    <w:rPr>
                      <w:rFonts w:hint="eastAsia" w:cs="Times New Roman"/>
                      <w:szCs w:val="21"/>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vMerge w:val="continue"/>
                  <w:vAlign w:val="center"/>
                </w:tcPr>
                <w:p>
                  <w:pPr>
                    <w:jc w:val="center"/>
                    <w:rPr>
                      <w:rFonts w:cs="Times New Roman"/>
                      <w:szCs w:val="21"/>
                    </w:rPr>
                  </w:pPr>
                </w:p>
              </w:tc>
              <w:tc>
                <w:tcPr>
                  <w:tcW w:w="953" w:type="pct"/>
                  <w:vAlign w:val="center"/>
                </w:tcPr>
                <w:p>
                  <w:pPr>
                    <w:jc w:val="center"/>
                    <w:rPr>
                      <w:rFonts w:cs="Times New Roman"/>
                      <w:szCs w:val="21"/>
                    </w:rPr>
                  </w:pPr>
                  <w:r>
                    <w:rPr>
                      <w:rFonts w:hint="eastAsia" w:cs="Times New Roman"/>
                      <w:szCs w:val="21"/>
                    </w:rPr>
                    <w:t>25-40mm骨料</w:t>
                  </w:r>
                </w:p>
              </w:tc>
              <w:tc>
                <w:tcPr>
                  <w:tcW w:w="594" w:type="pct"/>
                  <w:vAlign w:val="center"/>
                </w:tcPr>
                <w:p>
                  <w:pPr>
                    <w:jc w:val="center"/>
                    <w:rPr>
                      <w:rFonts w:cs="Times New Roman"/>
                      <w:szCs w:val="21"/>
                    </w:rPr>
                  </w:pPr>
                  <w:r>
                    <w:rPr>
                      <w:rFonts w:hint="eastAsia" w:cs="Times New Roman"/>
                      <w:szCs w:val="21"/>
                    </w:rPr>
                    <w:t>330000</w:t>
                  </w:r>
                </w:p>
              </w:tc>
              <w:tc>
                <w:tcPr>
                  <w:tcW w:w="596" w:type="pct"/>
                  <w:vAlign w:val="center"/>
                </w:tcPr>
                <w:p>
                  <w:pPr>
                    <w:jc w:val="center"/>
                    <w:rPr>
                      <w:rFonts w:cs="Times New Roman"/>
                      <w:szCs w:val="21"/>
                    </w:rPr>
                  </w:pPr>
                  <w:r>
                    <w:rPr>
                      <w:rFonts w:hint="eastAsia" w:cs="Times New Roman"/>
                      <w:szCs w:val="21"/>
                    </w:rPr>
                    <w:t>0</w:t>
                  </w:r>
                </w:p>
              </w:tc>
              <w:tc>
                <w:tcPr>
                  <w:tcW w:w="714" w:type="pct"/>
                  <w:vMerge w:val="continue"/>
                  <w:vAlign w:val="center"/>
                </w:tcPr>
                <w:p>
                  <w:pPr>
                    <w:jc w:val="center"/>
                    <w:rPr>
                      <w:rFonts w:cs="Times New Roman"/>
                      <w:szCs w:val="21"/>
                    </w:rPr>
                  </w:pPr>
                </w:p>
              </w:tc>
              <w:tc>
                <w:tcPr>
                  <w:tcW w:w="681" w:type="pct"/>
                  <w:vAlign w:val="center"/>
                </w:tcPr>
                <w:p>
                  <w:pPr>
                    <w:jc w:val="center"/>
                    <w:rPr>
                      <w:rFonts w:cs="Times New Roman"/>
                      <w:szCs w:val="21"/>
                    </w:rPr>
                  </w:pPr>
                  <w:r>
                    <w:rPr>
                      <w:rFonts w:hint="eastAsia" w:cs="Times New Roman"/>
                      <w:szCs w:val="21"/>
                    </w:rPr>
                    <w:t>39.6</w:t>
                  </w:r>
                </w:p>
              </w:tc>
              <w:tc>
                <w:tcPr>
                  <w:tcW w:w="682" w:type="pct"/>
                  <w:vAlign w:val="center"/>
                </w:tcPr>
                <w:p>
                  <w:pPr>
                    <w:jc w:val="center"/>
                    <w:rPr>
                      <w:rFonts w:cs="Times New Roman"/>
                      <w:szCs w:val="21"/>
                    </w:rPr>
                  </w:pPr>
                  <w:r>
                    <w:rPr>
                      <w:rFonts w:hint="eastAsia"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vAlign w:val="center"/>
                </w:tcPr>
                <w:p>
                  <w:pPr>
                    <w:jc w:val="center"/>
                    <w:rPr>
                      <w:rFonts w:cs="Times New Roman"/>
                      <w:szCs w:val="21"/>
                    </w:rPr>
                  </w:pPr>
                  <w:r>
                    <w:rPr>
                      <w:rFonts w:hint="eastAsia" w:cs="Times New Roman"/>
                      <w:szCs w:val="21"/>
                    </w:rPr>
                    <w:t>新建钢板仓</w:t>
                  </w:r>
                </w:p>
              </w:tc>
              <w:tc>
                <w:tcPr>
                  <w:tcW w:w="953" w:type="pct"/>
                  <w:vAlign w:val="center"/>
                </w:tcPr>
                <w:p>
                  <w:pPr>
                    <w:jc w:val="center"/>
                    <w:rPr>
                      <w:rFonts w:cs="Times New Roman"/>
                      <w:szCs w:val="21"/>
                    </w:rPr>
                  </w:pPr>
                  <w:r>
                    <w:rPr>
                      <w:rFonts w:hint="eastAsia" w:cs="Times New Roman"/>
                      <w:szCs w:val="21"/>
                    </w:rPr>
                    <w:t>2</w:t>
                  </w:r>
                  <w:r>
                    <w:rPr>
                      <w:rFonts w:cs="Times New Roman"/>
                      <w:szCs w:val="21"/>
                    </w:rPr>
                    <w:t>5-40</w:t>
                  </w:r>
                  <w:r>
                    <w:rPr>
                      <w:rFonts w:hint="eastAsia" w:cs="Times New Roman"/>
                      <w:szCs w:val="21"/>
                    </w:rPr>
                    <w:t>mm骨料</w:t>
                  </w:r>
                </w:p>
              </w:tc>
              <w:tc>
                <w:tcPr>
                  <w:tcW w:w="594" w:type="pct"/>
                  <w:vAlign w:val="center"/>
                </w:tcPr>
                <w:p>
                  <w:pPr>
                    <w:jc w:val="center"/>
                    <w:rPr>
                      <w:rFonts w:cs="Times New Roman"/>
                      <w:szCs w:val="21"/>
                    </w:rPr>
                  </w:pPr>
                  <w:r>
                    <w:rPr>
                      <w:rFonts w:hint="eastAsia" w:cs="Times New Roman"/>
                      <w:szCs w:val="21"/>
                    </w:rPr>
                    <w:t>0</w:t>
                  </w:r>
                </w:p>
              </w:tc>
              <w:tc>
                <w:tcPr>
                  <w:tcW w:w="596" w:type="pct"/>
                  <w:vAlign w:val="center"/>
                </w:tcPr>
                <w:p>
                  <w:pPr>
                    <w:jc w:val="center"/>
                    <w:rPr>
                      <w:rFonts w:cs="Times New Roman"/>
                      <w:szCs w:val="21"/>
                    </w:rPr>
                  </w:pPr>
                  <w:r>
                    <w:rPr>
                      <w:rFonts w:cs="Times New Roman"/>
                      <w:szCs w:val="21"/>
                    </w:rPr>
                    <w:t>330000</w:t>
                  </w:r>
                </w:p>
              </w:tc>
              <w:tc>
                <w:tcPr>
                  <w:tcW w:w="714" w:type="pct"/>
                  <w:vMerge w:val="continue"/>
                  <w:vAlign w:val="center"/>
                </w:tcPr>
                <w:p>
                  <w:pPr>
                    <w:jc w:val="center"/>
                    <w:rPr>
                      <w:rFonts w:cs="Times New Roman"/>
                      <w:szCs w:val="21"/>
                    </w:rPr>
                  </w:pPr>
                </w:p>
              </w:tc>
              <w:tc>
                <w:tcPr>
                  <w:tcW w:w="681" w:type="pct"/>
                  <w:vAlign w:val="center"/>
                </w:tcPr>
                <w:p>
                  <w:pPr>
                    <w:jc w:val="center"/>
                    <w:rPr>
                      <w:rFonts w:cs="Times New Roman"/>
                      <w:szCs w:val="21"/>
                    </w:rPr>
                  </w:pPr>
                  <w:r>
                    <w:rPr>
                      <w:rFonts w:hint="eastAsia" w:cs="Times New Roman"/>
                      <w:szCs w:val="21"/>
                    </w:rPr>
                    <w:t>0</w:t>
                  </w:r>
                </w:p>
              </w:tc>
              <w:tc>
                <w:tcPr>
                  <w:tcW w:w="682" w:type="pct"/>
                  <w:vAlign w:val="center"/>
                </w:tcPr>
                <w:p>
                  <w:pPr>
                    <w:jc w:val="center"/>
                    <w:rPr>
                      <w:rFonts w:cs="Times New Roman"/>
                      <w:szCs w:val="21"/>
                    </w:rPr>
                  </w:pPr>
                  <w:r>
                    <w:rPr>
                      <w:rFonts w:hint="eastAsia" w:cs="Times New Roman"/>
                      <w:szCs w:val="21"/>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vAlign w:val="center"/>
                </w:tcPr>
                <w:p>
                  <w:pPr>
                    <w:jc w:val="center"/>
                    <w:rPr>
                      <w:rFonts w:cs="Times New Roman"/>
                      <w:szCs w:val="21"/>
                    </w:rPr>
                  </w:pPr>
                  <w:r>
                    <w:rPr>
                      <w:rFonts w:hint="eastAsia" w:cs="Times New Roman"/>
                      <w:szCs w:val="21"/>
                    </w:rPr>
                    <w:t>成品砂库</w:t>
                  </w:r>
                </w:p>
              </w:tc>
              <w:tc>
                <w:tcPr>
                  <w:tcW w:w="953" w:type="pct"/>
                  <w:vAlign w:val="center"/>
                </w:tcPr>
                <w:p>
                  <w:pPr>
                    <w:jc w:val="center"/>
                    <w:rPr>
                      <w:rFonts w:cs="Times New Roman"/>
                      <w:szCs w:val="21"/>
                    </w:rPr>
                  </w:pPr>
                  <w:r>
                    <w:rPr>
                      <w:rFonts w:hint="eastAsia" w:cs="Times New Roman"/>
                      <w:szCs w:val="21"/>
                    </w:rPr>
                    <w:t>0</w:t>
                  </w:r>
                  <w:r>
                    <w:rPr>
                      <w:rFonts w:cs="Times New Roman"/>
                      <w:szCs w:val="21"/>
                    </w:rPr>
                    <w:t>.075-4.75</w:t>
                  </w:r>
                  <w:r>
                    <w:rPr>
                      <w:rFonts w:hint="eastAsia" w:cs="Times New Roman"/>
                      <w:szCs w:val="21"/>
                    </w:rPr>
                    <w:t>mm机制砂</w:t>
                  </w:r>
                </w:p>
              </w:tc>
              <w:tc>
                <w:tcPr>
                  <w:tcW w:w="594" w:type="pct"/>
                  <w:vAlign w:val="center"/>
                </w:tcPr>
                <w:p>
                  <w:pPr>
                    <w:jc w:val="center"/>
                    <w:rPr>
                      <w:rFonts w:cs="Times New Roman"/>
                      <w:szCs w:val="21"/>
                    </w:rPr>
                  </w:pPr>
                  <w:r>
                    <w:rPr>
                      <w:rFonts w:hint="eastAsia" w:cs="Times New Roman"/>
                      <w:szCs w:val="21"/>
                    </w:rPr>
                    <w:t>0</w:t>
                  </w:r>
                </w:p>
              </w:tc>
              <w:tc>
                <w:tcPr>
                  <w:tcW w:w="596" w:type="pct"/>
                  <w:vAlign w:val="center"/>
                </w:tcPr>
                <w:p>
                  <w:pPr>
                    <w:jc w:val="center"/>
                    <w:rPr>
                      <w:rFonts w:cs="Times New Roman"/>
                      <w:szCs w:val="21"/>
                    </w:rPr>
                  </w:pPr>
                  <w:r>
                    <w:rPr>
                      <w:rFonts w:hint="eastAsia" w:cs="Times New Roman"/>
                      <w:szCs w:val="21"/>
                    </w:rPr>
                    <w:t>3</w:t>
                  </w:r>
                  <w:r>
                    <w:rPr>
                      <w:rFonts w:cs="Times New Roman"/>
                      <w:szCs w:val="21"/>
                    </w:rPr>
                    <w:t>00000</w:t>
                  </w:r>
                </w:p>
              </w:tc>
              <w:tc>
                <w:tcPr>
                  <w:tcW w:w="714" w:type="pct"/>
                  <w:vMerge w:val="continue"/>
                  <w:vAlign w:val="center"/>
                </w:tcPr>
                <w:p>
                  <w:pPr>
                    <w:jc w:val="center"/>
                    <w:rPr>
                      <w:rFonts w:cs="Times New Roman"/>
                      <w:szCs w:val="21"/>
                    </w:rPr>
                  </w:pPr>
                </w:p>
              </w:tc>
              <w:tc>
                <w:tcPr>
                  <w:tcW w:w="681" w:type="pct"/>
                  <w:vAlign w:val="center"/>
                </w:tcPr>
                <w:p>
                  <w:pPr>
                    <w:jc w:val="center"/>
                    <w:rPr>
                      <w:rFonts w:cs="Times New Roman"/>
                      <w:szCs w:val="21"/>
                    </w:rPr>
                  </w:pPr>
                  <w:r>
                    <w:rPr>
                      <w:rFonts w:hint="eastAsia" w:cs="Times New Roman"/>
                      <w:szCs w:val="21"/>
                    </w:rPr>
                    <w:t>0</w:t>
                  </w:r>
                </w:p>
              </w:tc>
              <w:tc>
                <w:tcPr>
                  <w:tcW w:w="682" w:type="pct"/>
                  <w:vAlign w:val="center"/>
                </w:tcPr>
                <w:p>
                  <w:pPr>
                    <w:jc w:val="center"/>
                    <w:rPr>
                      <w:rFonts w:cs="Times New Roman"/>
                      <w:szCs w:val="21"/>
                    </w:rPr>
                  </w:pPr>
                  <w:r>
                    <w:rPr>
                      <w:rFonts w:hint="eastAsia" w:cs="Times New Roman"/>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vAlign w:val="center"/>
                </w:tcPr>
                <w:p>
                  <w:pPr>
                    <w:jc w:val="center"/>
                    <w:rPr>
                      <w:rFonts w:cs="Times New Roman"/>
                      <w:szCs w:val="21"/>
                    </w:rPr>
                  </w:pPr>
                  <w:r>
                    <w:rPr>
                      <w:rFonts w:hint="eastAsia" w:cs="Times New Roman"/>
                      <w:szCs w:val="21"/>
                    </w:rPr>
                    <w:t>微粉库</w:t>
                  </w:r>
                </w:p>
              </w:tc>
              <w:tc>
                <w:tcPr>
                  <w:tcW w:w="953" w:type="pct"/>
                  <w:vAlign w:val="center"/>
                </w:tcPr>
                <w:p>
                  <w:pPr>
                    <w:jc w:val="center"/>
                    <w:rPr>
                      <w:rFonts w:cs="Times New Roman"/>
                      <w:szCs w:val="21"/>
                    </w:rPr>
                  </w:pPr>
                  <w:r>
                    <w:rPr>
                      <w:rFonts w:hint="eastAsia" w:cs="Times New Roman"/>
                      <w:szCs w:val="21"/>
                    </w:rPr>
                    <w:t>0</w:t>
                  </w:r>
                  <w:r>
                    <w:rPr>
                      <w:rFonts w:cs="Times New Roman"/>
                      <w:szCs w:val="21"/>
                    </w:rPr>
                    <w:t>-0.075</w:t>
                  </w:r>
                  <w:r>
                    <w:rPr>
                      <w:rFonts w:hint="eastAsia" w:cs="Times New Roman"/>
                      <w:szCs w:val="21"/>
                    </w:rPr>
                    <w:t>mm微粉</w:t>
                  </w:r>
                </w:p>
              </w:tc>
              <w:tc>
                <w:tcPr>
                  <w:tcW w:w="594" w:type="pct"/>
                  <w:vAlign w:val="center"/>
                </w:tcPr>
                <w:p>
                  <w:pPr>
                    <w:jc w:val="center"/>
                    <w:rPr>
                      <w:rFonts w:cs="Times New Roman"/>
                      <w:szCs w:val="21"/>
                    </w:rPr>
                  </w:pPr>
                  <w:r>
                    <w:rPr>
                      <w:rFonts w:hint="eastAsia" w:cs="Times New Roman"/>
                      <w:szCs w:val="21"/>
                    </w:rPr>
                    <w:t>0</w:t>
                  </w:r>
                </w:p>
              </w:tc>
              <w:tc>
                <w:tcPr>
                  <w:tcW w:w="596" w:type="pct"/>
                  <w:vAlign w:val="center"/>
                </w:tcPr>
                <w:p>
                  <w:pPr>
                    <w:jc w:val="center"/>
                    <w:rPr>
                      <w:rFonts w:cs="Times New Roman"/>
                      <w:szCs w:val="21"/>
                    </w:rPr>
                  </w:pPr>
                  <w:r>
                    <w:rPr>
                      <w:rFonts w:hint="eastAsia" w:cs="Times New Roman"/>
                      <w:szCs w:val="21"/>
                    </w:rPr>
                    <w:t>3</w:t>
                  </w:r>
                  <w:r>
                    <w:rPr>
                      <w:rFonts w:cs="Times New Roman"/>
                      <w:szCs w:val="21"/>
                    </w:rPr>
                    <w:t>0000</w:t>
                  </w:r>
                </w:p>
              </w:tc>
              <w:tc>
                <w:tcPr>
                  <w:tcW w:w="714" w:type="pct"/>
                  <w:vMerge w:val="continue"/>
                  <w:vAlign w:val="center"/>
                </w:tcPr>
                <w:p>
                  <w:pPr>
                    <w:jc w:val="center"/>
                    <w:rPr>
                      <w:rFonts w:cs="Times New Roman"/>
                      <w:szCs w:val="21"/>
                    </w:rPr>
                  </w:pPr>
                </w:p>
              </w:tc>
              <w:tc>
                <w:tcPr>
                  <w:tcW w:w="681" w:type="pct"/>
                  <w:vAlign w:val="center"/>
                </w:tcPr>
                <w:p>
                  <w:pPr>
                    <w:jc w:val="center"/>
                    <w:rPr>
                      <w:rFonts w:cs="Times New Roman"/>
                      <w:szCs w:val="21"/>
                    </w:rPr>
                  </w:pPr>
                  <w:r>
                    <w:rPr>
                      <w:rFonts w:hint="eastAsia" w:cs="Times New Roman"/>
                      <w:szCs w:val="21"/>
                    </w:rPr>
                    <w:t>0</w:t>
                  </w:r>
                </w:p>
              </w:tc>
              <w:tc>
                <w:tcPr>
                  <w:tcW w:w="682" w:type="pct"/>
                  <w:vAlign w:val="center"/>
                </w:tcPr>
                <w:p>
                  <w:pPr>
                    <w:jc w:val="center"/>
                    <w:rPr>
                      <w:rFonts w:cs="Times New Roman"/>
                      <w:szCs w:val="21"/>
                    </w:rPr>
                  </w:pPr>
                  <w:r>
                    <w:rPr>
                      <w:rFonts w:hint="eastAsia" w:cs="Times New Roman"/>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7" w:type="pct"/>
                  <w:gridSpan w:val="5"/>
                  <w:vAlign w:val="center"/>
                </w:tcPr>
                <w:p>
                  <w:pPr>
                    <w:jc w:val="center"/>
                    <w:rPr>
                      <w:rFonts w:cs="Times New Roman"/>
                      <w:szCs w:val="21"/>
                    </w:rPr>
                  </w:pPr>
                  <w:r>
                    <w:rPr>
                      <w:rFonts w:hint="eastAsia" w:cs="Times New Roman"/>
                      <w:szCs w:val="21"/>
                    </w:rPr>
                    <w:t>合计</w:t>
                  </w:r>
                </w:p>
              </w:tc>
              <w:tc>
                <w:tcPr>
                  <w:tcW w:w="681" w:type="pct"/>
                  <w:vAlign w:val="center"/>
                </w:tcPr>
                <w:p>
                  <w:pPr>
                    <w:jc w:val="center"/>
                    <w:rPr>
                      <w:rFonts w:cs="Times New Roman"/>
                      <w:szCs w:val="21"/>
                    </w:rPr>
                  </w:pPr>
                  <w:r>
                    <w:rPr>
                      <w:rFonts w:hint="eastAsia" w:cs="Times New Roman"/>
                      <w:szCs w:val="21"/>
                    </w:rPr>
                    <w:t>159.6</w:t>
                  </w:r>
                </w:p>
              </w:tc>
              <w:tc>
                <w:tcPr>
                  <w:tcW w:w="682" w:type="pct"/>
                  <w:vAlign w:val="center"/>
                </w:tcPr>
                <w:p>
                  <w:pPr>
                    <w:jc w:val="center"/>
                    <w:rPr>
                      <w:rFonts w:cs="Times New Roman"/>
                      <w:szCs w:val="21"/>
                    </w:rPr>
                  </w:pPr>
                  <w:r>
                    <w:rPr>
                      <w:rFonts w:hint="eastAsia" w:cs="Times New Roman"/>
                      <w:szCs w:val="21"/>
                    </w:rPr>
                    <w:t>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7" w:type="pct"/>
                  <w:gridSpan w:val="5"/>
                  <w:vAlign w:val="center"/>
                </w:tcPr>
                <w:p>
                  <w:pPr>
                    <w:jc w:val="center"/>
                    <w:rPr>
                      <w:rFonts w:cs="Times New Roman"/>
                      <w:szCs w:val="21"/>
                    </w:rPr>
                  </w:pPr>
                  <w:r>
                    <w:rPr>
                      <w:rFonts w:hint="eastAsia" w:cs="Times New Roman"/>
                      <w:szCs w:val="21"/>
                    </w:rPr>
                    <w:t>本次改建新增贮仓粉尘产生量</w:t>
                  </w:r>
                </w:p>
              </w:tc>
              <w:tc>
                <w:tcPr>
                  <w:tcW w:w="1363" w:type="pct"/>
                  <w:gridSpan w:val="2"/>
                  <w:vAlign w:val="center"/>
                </w:tcPr>
                <w:p>
                  <w:pPr>
                    <w:jc w:val="center"/>
                    <w:rPr>
                      <w:rFonts w:cs="Times New Roman"/>
                      <w:szCs w:val="21"/>
                    </w:rPr>
                  </w:pPr>
                  <w:r>
                    <w:rPr>
                      <w:rFonts w:hint="eastAsia" w:cs="Times New Roman"/>
                      <w:szCs w:val="21"/>
                    </w:rPr>
                    <w:t>39.6</w:t>
                  </w:r>
                </w:p>
              </w:tc>
            </w:tr>
          </w:tbl>
          <w:p>
            <w:pPr>
              <w:spacing w:line="360" w:lineRule="auto"/>
              <w:ind w:firstLine="482" w:firstLineChars="200"/>
              <w:rPr>
                <w:rFonts w:cs="Times New Roman"/>
                <w:sz w:val="24"/>
                <w:szCs w:val="24"/>
              </w:rPr>
            </w:pPr>
            <w:r>
              <w:rPr>
                <w:rFonts w:hint="eastAsia" w:cs="Times New Roman"/>
                <w:b/>
                <w:bCs/>
                <w:sz w:val="24"/>
                <w:szCs w:val="24"/>
              </w:rPr>
              <w:t>装车粉尘</w:t>
            </w:r>
            <w:r>
              <w:rPr>
                <w:rFonts w:hint="eastAsia" w:cs="Times New Roman"/>
                <w:sz w:val="24"/>
                <w:szCs w:val="24"/>
              </w:rPr>
              <w:t>：项目微粉采用输送带送至水泥生产线作为辅材使用，仅骨料、成品砂通过汽车装车外售。装车过程中粉尘产生量参考《逸散性工业粉尘控制技术》取值0.02kg/t（装料），则装车粉尘产生量见下表。</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-5</w:t>
            </w:r>
            <w:r>
              <w:rPr>
                <w:rFonts w:eastAsia="黑体" w:cs="Times New Roman"/>
                <w:szCs w:val="21"/>
              </w:rPr>
              <w:t xml:space="preserve">  </w:t>
            </w:r>
            <w:r>
              <w:rPr>
                <w:rFonts w:hint="eastAsia" w:eastAsia="黑体" w:cs="Times New Roman"/>
                <w:szCs w:val="21"/>
              </w:rPr>
              <w:t>装车粉尘核算表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741"/>
              <w:gridCol w:w="1085"/>
              <w:gridCol w:w="1087"/>
              <w:gridCol w:w="1270"/>
              <w:gridCol w:w="126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Merge w:val="restart"/>
                  <w:vAlign w:val="center"/>
                </w:tcPr>
                <w:p>
                  <w:pPr>
                    <w:jc w:val="center"/>
                    <w:rPr>
                      <w:rFonts w:cs="Times New Roman"/>
                      <w:szCs w:val="21"/>
                    </w:rPr>
                  </w:pPr>
                  <w:r>
                    <w:rPr>
                      <w:rFonts w:hint="eastAsia" w:cs="Times New Roman"/>
                      <w:szCs w:val="21"/>
                    </w:rPr>
                    <w:t>贮仓名称</w:t>
                  </w:r>
                </w:p>
              </w:tc>
              <w:tc>
                <w:tcPr>
                  <w:tcW w:w="952" w:type="pct"/>
                  <w:vMerge w:val="restart"/>
                  <w:vAlign w:val="center"/>
                </w:tcPr>
                <w:p>
                  <w:pPr>
                    <w:jc w:val="center"/>
                    <w:rPr>
                      <w:rFonts w:cs="Times New Roman"/>
                      <w:szCs w:val="21"/>
                    </w:rPr>
                  </w:pPr>
                  <w:r>
                    <w:rPr>
                      <w:rFonts w:hint="eastAsia" w:cs="Times New Roman"/>
                      <w:szCs w:val="21"/>
                    </w:rPr>
                    <w:t>贮存物料</w:t>
                  </w:r>
                </w:p>
              </w:tc>
              <w:tc>
                <w:tcPr>
                  <w:tcW w:w="1187" w:type="pct"/>
                  <w:gridSpan w:val="2"/>
                  <w:vAlign w:val="center"/>
                </w:tcPr>
                <w:p>
                  <w:pPr>
                    <w:jc w:val="center"/>
                    <w:rPr>
                      <w:rFonts w:cs="Times New Roman"/>
                      <w:szCs w:val="21"/>
                    </w:rPr>
                  </w:pPr>
                  <w:r>
                    <w:rPr>
                      <w:rFonts w:hint="eastAsia" w:cs="Times New Roman"/>
                      <w:szCs w:val="21"/>
                    </w:rPr>
                    <w:t>物料总量（t</w:t>
                  </w:r>
                  <w:r>
                    <w:rPr>
                      <w:rFonts w:cs="Times New Roman"/>
                      <w:szCs w:val="21"/>
                    </w:rPr>
                    <w:t>/a</w:t>
                  </w:r>
                  <w:r>
                    <w:rPr>
                      <w:rFonts w:hint="eastAsia" w:cs="Times New Roman"/>
                      <w:szCs w:val="21"/>
                    </w:rPr>
                    <w:t>）</w:t>
                  </w:r>
                </w:p>
              </w:tc>
              <w:tc>
                <w:tcPr>
                  <w:tcW w:w="694" w:type="pct"/>
                  <w:vMerge w:val="restart"/>
                  <w:vAlign w:val="center"/>
                </w:tcPr>
                <w:p>
                  <w:pPr>
                    <w:jc w:val="center"/>
                    <w:rPr>
                      <w:rFonts w:cs="Times New Roman"/>
                      <w:szCs w:val="21"/>
                    </w:rPr>
                  </w:pPr>
                  <w:r>
                    <w:rPr>
                      <w:rFonts w:hint="eastAsia" w:cs="Times New Roman"/>
                      <w:szCs w:val="21"/>
                    </w:rPr>
                    <w:t>产污系数（kg/</w:t>
                  </w:r>
                  <w:r>
                    <w:rPr>
                      <w:rFonts w:cs="Times New Roman"/>
                      <w:szCs w:val="21"/>
                    </w:rPr>
                    <w:t>t</w:t>
                  </w:r>
                  <w:r>
                    <w:rPr>
                      <w:rFonts w:hint="eastAsia" w:cs="Times New Roman"/>
                      <w:szCs w:val="21"/>
                    </w:rPr>
                    <w:t>）</w:t>
                  </w:r>
                </w:p>
              </w:tc>
              <w:tc>
                <w:tcPr>
                  <w:tcW w:w="1386" w:type="pct"/>
                  <w:gridSpan w:val="2"/>
                  <w:vAlign w:val="center"/>
                </w:tcPr>
                <w:p>
                  <w:pPr>
                    <w:jc w:val="center"/>
                    <w:rPr>
                      <w:rFonts w:cs="Times New Roman"/>
                      <w:szCs w:val="21"/>
                    </w:rPr>
                  </w:pPr>
                  <w:r>
                    <w:rPr>
                      <w:rFonts w:hint="eastAsia" w:cs="Times New Roman"/>
                      <w:szCs w:val="21"/>
                    </w:rPr>
                    <w:t>装车粉尘产生量（t</w:t>
                  </w:r>
                  <w:r>
                    <w:rPr>
                      <w:rFonts w:cs="Times New Roman"/>
                      <w:szCs w:val="21"/>
                    </w:rPr>
                    <w:t>/a</w:t>
                  </w: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Merge w:val="continue"/>
                  <w:vAlign w:val="center"/>
                </w:tcPr>
                <w:p>
                  <w:pPr>
                    <w:jc w:val="center"/>
                    <w:rPr>
                      <w:rFonts w:cs="Times New Roman"/>
                      <w:szCs w:val="21"/>
                    </w:rPr>
                  </w:pPr>
                </w:p>
              </w:tc>
              <w:tc>
                <w:tcPr>
                  <w:tcW w:w="952" w:type="pct"/>
                  <w:vMerge w:val="continue"/>
                  <w:vAlign w:val="center"/>
                </w:tcPr>
                <w:p>
                  <w:pPr>
                    <w:jc w:val="center"/>
                    <w:rPr>
                      <w:rFonts w:cs="Times New Roman"/>
                      <w:szCs w:val="21"/>
                    </w:rPr>
                  </w:pPr>
                </w:p>
              </w:tc>
              <w:tc>
                <w:tcPr>
                  <w:tcW w:w="593" w:type="pct"/>
                  <w:vAlign w:val="center"/>
                </w:tcPr>
                <w:p>
                  <w:pPr>
                    <w:jc w:val="center"/>
                    <w:rPr>
                      <w:rFonts w:cs="Times New Roman"/>
                      <w:szCs w:val="21"/>
                    </w:rPr>
                  </w:pPr>
                  <w:r>
                    <w:rPr>
                      <w:rFonts w:hint="eastAsia" w:cs="Times New Roman"/>
                      <w:szCs w:val="21"/>
                    </w:rPr>
                    <w:t>现有项目</w:t>
                  </w:r>
                </w:p>
              </w:tc>
              <w:tc>
                <w:tcPr>
                  <w:tcW w:w="594" w:type="pct"/>
                  <w:vAlign w:val="center"/>
                </w:tcPr>
                <w:p>
                  <w:pPr>
                    <w:jc w:val="center"/>
                    <w:rPr>
                      <w:rFonts w:cs="Times New Roman"/>
                      <w:szCs w:val="21"/>
                    </w:rPr>
                  </w:pPr>
                  <w:r>
                    <w:rPr>
                      <w:rFonts w:hint="eastAsia" w:cs="Times New Roman"/>
                      <w:szCs w:val="21"/>
                    </w:rPr>
                    <w:t>改建后</w:t>
                  </w:r>
                </w:p>
              </w:tc>
              <w:tc>
                <w:tcPr>
                  <w:tcW w:w="694" w:type="pct"/>
                  <w:vMerge w:val="continue"/>
                  <w:vAlign w:val="center"/>
                </w:tcPr>
                <w:p>
                  <w:pPr>
                    <w:jc w:val="center"/>
                    <w:rPr>
                      <w:rFonts w:cs="Times New Roman"/>
                      <w:szCs w:val="21"/>
                    </w:rPr>
                  </w:pPr>
                </w:p>
              </w:tc>
              <w:tc>
                <w:tcPr>
                  <w:tcW w:w="693" w:type="pct"/>
                  <w:vAlign w:val="center"/>
                </w:tcPr>
                <w:p>
                  <w:pPr>
                    <w:jc w:val="center"/>
                    <w:rPr>
                      <w:rFonts w:cs="Times New Roman"/>
                      <w:szCs w:val="21"/>
                    </w:rPr>
                  </w:pPr>
                  <w:r>
                    <w:rPr>
                      <w:rFonts w:hint="eastAsia" w:cs="Times New Roman"/>
                      <w:szCs w:val="21"/>
                    </w:rPr>
                    <w:t>现有项目</w:t>
                  </w:r>
                </w:p>
              </w:tc>
              <w:tc>
                <w:tcPr>
                  <w:tcW w:w="693" w:type="pct"/>
                  <w:vAlign w:val="center"/>
                </w:tcPr>
                <w:p>
                  <w:pPr>
                    <w:jc w:val="center"/>
                    <w:rPr>
                      <w:rFonts w:cs="Times New Roman"/>
                      <w:szCs w:val="21"/>
                    </w:rPr>
                  </w:pPr>
                  <w:r>
                    <w:rPr>
                      <w:rFonts w:hint="eastAsia" w:cs="Times New Roman"/>
                      <w:szCs w:val="21"/>
                    </w:rPr>
                    <w:t>改建后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Merge w:val="restart"/>
                  <w:vAlign w:val="center"/>
                </w:tcPr>
                <w:p>
                  <w:pPr>
                    <w:jc w:val="center"/>
                    <w:rPr>
                      <w:rFonts w:cs="Times New Roman"/>
                      <w:szCs w:val="21"/>
                    </w:rPr>
                  </w:pPr>
                  <w:r>
                    <w:rPr>
                      <w:rFonts w:hint="eastAsia" w:cs="Times New Roman"/>
                      <w:szCs w:val="21"/>
                    </w:rPr>
                    <w:t>1</w:t>
                  </w:r>
                  <w:r>
                    <w:rPr>
                      <w:rFonts w:cs="Times New Roman"/>
                      <w:szCs w:val="21"/>
                    </w:rPr>
                    <w:t>#</w:t>
                  </w:r>
                  <w:r>
                    <w:rPr>
                      <w:rFonts w:hint="eastAsia" w:cs="Times New Roman"/>
                      <w:szCs w:val="21"/>
                    </w:rPr>
                    <w:t>骨料仓</w:t>
                  </w:r>
                </w:p>
              </w:tc>
              <w:tc>
                <w:tcPr>
                  <w:tcW w:w="952" w:type="pct"/>
                  <w:vAlign w:val="center"/>
                </w:tcPr>
                <w:p>
                  <w:pPr>
                    <w:jc w:val="center"/>
                    <w:rPr>
                      <w:rFonts w:cs="Times New Roman"/>
                      <w:szCs w:val="21"/>
                    </w:rPr>
                  </w:pPr>
                  <w:r>
                    <w:rPr>
                      <w:rFonts w:hint="eastAsia" w:cs="Times New Roman"/>
                      <w:szCs w:val="21"/>
                    </w:rPr>
                    <w:t>5</w:t>
                  </w:r>
                  <w:r>
                    <w:rPr>
                      <w:rFonts w:cs="Times New Roman"/>
                      <w:szCs w:val="21"/>
                    </w:rPr>
                    <w:t>-10</w:t>
                  </w:r>
                  <w:r>
                    <w:rPr>
                      <w:rFonts w:hint="eastAsia" w:cs="Times New Roman"/>
                      <w:szCs w:val="21"/>
                    </w:rPr>
                    <w:t>mm骨料</w:t>
                  </w:r>
                </w:p>
              </w:tc>
              <w:tc>
                <w:tcPr>
                  <w:tcW w:w="593" w:type="pct"/>
                  <w:vAlign w:val="center"/>
                </w:tcPr>
                <w:p>
                  <w:pPr>
                    <w:jc w:val="center"/>
                    <w:rPr>
                      <w:rFonts w:cs="Times New Roman"/>
                      <w:szCs w:val="21"/>
                    </w:rPr>
                  </w:pPr>
                  <w:r>
                    <w:rPr>
                      <w:rFonts w:hint="eastAsia" w:cs="Times New Roman"/>
                      <w:szCs w:val="21"/>
                    </w:rPr>
                    <w:t>0</w:t>
                  </w:r>
                </w:p>
              </w:tc>
              <w:tc>
                <w:tcPr>
                  <w:tcW w:w="594" w:type="pct"/>
                  <w:vAlign w:val="center"/>
                </w:tcPr>
                <w:p>
                  <w:pPr>
                    <w:jc w:val="center"/>
                    <w:rPr>
                      <w:rFonts w:cs="Times New Roman"/>
                      <w:szCs w:val="21"/>
                    </w:rPr>
                  </w:pPr>
                  <w:r>
                    <w:rPr>
                      <w:rFonts w:cs="Times New Roman"/>
                      <w:szCs w:val="21"/>
                    </w:rPr>
                    <w:t>330000</w:t>
                  </w:r>
                </w:p>
              </w:tc>
              <w:tc>
                <w:tcPr>
                  <w:tcW w:w="694" w:type="pct"/>
                  <w:vMerge w:val="restart"/>
                  <w:vAlign w:val="center"/>
                </w:tcPr>
                <w:p>
                  <w:pPr>
                    <w:jc w:val="center"/>
                    <w:rPr>
                      <w:rFonts w:cs="Times New Roman"/>
                      <w:szCs w:val="21"/>
                    </w:rPr>
                  </w:pPr>
                  <w:r>
                    <w:rPr>
                      <w:rFonts w:hint="eastAsia" w:cs="Times New Roman"/>
                      <w:szCs w:val="21"/>
                    </w:rPr>
                    <w:t>0</w:t>
                  </w:r>
                  <w:r>
                    <w:rPr>
                      <w:rFonts w:cs="Times New Roman"/>
                      <w:szCs w:val="21"/>
                    </w:rPr>
                    <w:t>.02</w:t>
                  </w:r>
                </w:p>
              </w:tc>
              <w:tc>
                <w:tcPr>
                  <w:tcW w:w="693" w:type="pct"/>
                  <w:vAlign w:val="center"/>
                </w:tcPr>
                <w:p>
                  <w:pPr>
                    <w:jc w:val="center"/>
                    <w:rPr>
                      <w:rFonts w:cs="Times New Roman"/>
                      <w:szCs w:val="21"/>
                    </w:rPr>
                  </w:pPr>
                  <w:r>
                    <w:rPr>
                      <w:rFonts w:hint="eastAsia" w:cs="Times New Roman"/>
                      <w:szCs w:val="21"/>
                    </w:rPr>
                    <w:t>0</w:t>
                  </w:r>
                </w:p>
              </w:tc>
              <w:tc>
                <w:tcPr>
                  <w:tcW w:w="693" w:type="pct"/>
                  <w:vAlign w:val="center"/>
                </w:tcPr>
                <w:p>
                  <w:pPr>
                    <w:jc w:val="center"/>
                    <w:rPr>
                      <w:rFonts w:cs="Times New Roman"/>
                      <w:szCs w:val="21"/>
                    </w:rPr>
                  </w:pPr>
                  <w:r>
                    <w:rPr>
                      <w:rFonts w:hint="eastAsia" w:cs="Times New Roman"/>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Merge w:val="continue"/>
                  <w:vAlign w:val="center"/>
                </w:tcPr>
                <w:p>
                  <w:pPr>
                    <w:jc w:val="center"/>
                    <w:rPr>
                      <w:rFonts w:cs="Times New Roman"/>
                      <w:szCs w:val="21"/>
                    </w:rPr>
                  </w:pPr>
                </w:p>
              </w:tc>
              <w:tc>
                <w:tcPr>
                  <w:tcW w:w="952" w:type="pct"/>
                  <w:vAlign w:val="center"/>
                </w:tcPr>
                <w:p>
                  <w:pPr>
                    <w:jc w:val="center"/>
                    <w:rPr>
                      <w:rFonts w:cs="Times New Roman"/>
                      <w:szCs w:val="21"/>
                    </w:rPr>
                  </w:pPr>
                  <w:r>
                    <w:rPr>
                      <w:rFonts w:hint="eastAsia" w:cs="Times New Roman"/>
                      <w:szCs w:val="21"/>
                    </w:rPr>
                    <w:t>5-25mm骨料</w:t>
                  </w:r>
                </w:p>
              </w:tc>
              <w:tc>
                <w:tcPr>
                  <w:tcW w:w="593" w:type="pct"/>
                  <w:vAlign w:val="center"/>
                </w:tcPr>
                <w:p>
                  <w:pPr>
                    <w:jc w:val="center"/>
                    <w:rPr>
                      <w:rFonts w:cs="Times New Roman"/>
                      <w:szCs w:val="21"/>
                    </w:rPr>
                  </w:pPr>
                  <w:r>
                    <w:rPr>
                      <w:rFonts w:hint="eastAsia" w:cs="Times New Roman"/>
                      <w:szCs w:val="21"/>
                    </w:rPr>
                    <w:t>670000</w:t>
                  </w:r>
                </w:p>
              </w:tc>
              <w:tc>
                <w:tcPr>
                  <w:tcW w:w="594" w:type="pct"/>
                  <w:vAlign w:val="center"/>
                </w:tcPr>
                <w:p>
                  <w:pPr>
                    <w:jc w:val="center"/>
                    <w:rPr>
                      <w:rFonts w:cs="Times New Roman"/>
                      <w:szCs w:val="21"/>
                    </w:rPr>
                  </w:pPr>
                  <w:r>
                    <w:rPr>
                      <w:rFonts w:hint="eastAsia" w:cs="Times New Roman"/>
                      <w:szCs w:val="21"/>
                    </w:rPr>
                    <w:t>0</w:t>
                  </w:r>
                </w:p>
              </w:tc>
              <w:tc>
                <w:tcPr>
                  <w:tcW w:w="694" w:type="pct"/>
                  <w:vMerge w:val="continue"/>
                  <w:vAlign w:val="center"/>
                </w:tcPr>
                <w:p>
                  <w:pPr>
                    <w:jc w:val="center"/>
                    <w:rPr>
                      <w:rFonts w:cs="Times New Roman"/>
                      <w:szCs w:val="21"/>
                    </w:rPr>
                  </w:pPr>
                </w:p>
              </w:tc>
              <w:tc>
                <w:tcPr>
                  <w:tcW w:w="693" w:type="pct"/>
                  <w:vAlign w:val="center"/>
                </w:tcPr>
                <w:p>
                  <w:pPr>
                    <w:jc w:val="center"/>
                    <w:rPr>
                      <w:rFonts w:cs="Times New Roman"/>
                      <w:szCs w:val="21"/>
                    </w:rPr>
                  </w:pPr>
                  <w:r>
                    <w:rPr>
                      <w:rFonts w:hint="eastAsia" w:cs="Times New Roman"/>
                      <w:szCs w:val="21"/>
                    </w:rPr>
                    <w:t>13.4</w:t>
                  </w:r>
                </w:p>
              </w:tc>
              <w:tc>
                <w:tcPr>
                  <w:tcW w:w="693" w:type="pct"/>
                  <w:vAlign w:val="center"/>
                </w:tcPr>
                <w:p>
                  <w:pPr>
                    <w:jc w:val="center"/>
                    <w:rPr>
                      <w:rFonts w:cs="Times New Roman"/>
                      <w:szCs w:val="21"/>
                    </w:rPr>
                  </w:pPr>
                  <w:r>
                    <w:rPr>
                      <w:rFonts w:hint="eastAsia"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Merge w:val="restart"/>
                  <w:vAlign w:val="center"/>
                </w:tcPr>
                <w:p>
                  <w:pPr>
                    <w:jc w:val="center"/>
                    <w:rPr>
                      <w:rFonts w:cs="Times New Roman"/>
                      <w:szCs w:val="21"/>
                    </w:rPr>
                  </w:pPr>
                  <w:r>
                    <w:rPr>
                      <w:rFonts w:hint="eastAsia" w:cs="Times New Roman"/>
                      <w:szCs w:val="21"/>
                    </w:rPr>
                    <w:t>2</w:t>
                  </w:r>
                  <w:r>
                    <w:rPr>
                      <w:rFonts w:cs="Times New Roman"/>
                      <w:szCs w:val="21"/>
                    </w:rPr>
                    <w:t>#</w:t>
                  </w:r>
                  <w:r>
                    <w:rPr>
                      <w:rFonts w:hint="eastAsia" w:cs="Times New Roman"/>
                      <w:szCs w:val="21"/>
                    </w:rPr>
                    <w:t>骨料仓</w:t>
                  </w:r>
                </w:p>
              </w:tc>
              <w:tc>
                <w:tcPr>
                  <w:tcW w:w="952" w:type="pct"/>
                  <w:vAlign w:val="center"/>
                </w:tcPr>
                <w:p>
                  <w:pPr>
                    <w:jc w:val="center"/>
                    <w:rPr>
                      <w:rFonts w:cs="Times New Roman"/>
                      <w:szCs w:val="21"/>
                    </w:rPr>
                  </w:pPr>
                  <w:r>
                    <w:rPr>
                      <w:rFonts w:hint="eastAsia" w:cs="Times New Roman"/>
                      <w:szCs w:val="21"/>
                    </w:rPr>
                    <w:t>1</w:t>
                  </w:r>
                  <w:r>
                    <w:rPr>
                      <w:rFonts w:cs="Times New Roman"/>
                      <w:szCs w:val="21"/>
                    </w:rPr>
                    <w:t>0-25</w:t>
                  </w:r>
                  <w:r>
                    <w:rPr>
                      <w:rFonts w:hint="eastAsia" w:cs="Times New Roman"/>
                      <w:szCs w:val="21"/>
                    </w:rPr>
                    <w:t>mm骨料</w:t>
                  </w:r>
                </w:p>
              </w:tc>
              <w:tc>
                <w:tcPr>
                  <w:tcW w:w="593" w:type="pct"/>
                  <w:vAlign w:val="center"/>
                </w:tcPr>
                <w:p>
                  <w:pPr>
                    <w:jc w:val="center"/>
                    <w:rPr>
                      <w:rFonts w:cs="Times New Roman"/>
                      <w:szCs w:val="21"/>
                    </w:rPr>
                  </w:pPr>
                  <w:r>
                    <w:rPr>
                      <w:rFonts w:hint="eastAsia" w:cs="Times New Roman"/>
                      <w:szCs w:val="21"/>
                    </w:rPr>
                    <w:t>0</w:t>
                  </w:r>
                </w:p>
              </w:tc>
              <w:tc>
                <w:tcPr>
                  <w:tcW w:w="594" w:type="pct"/>
                  <w:vAlign w:val="center"/>
                </w:tcPr>
                <w:p>
                  <w:pPr>
                    <w:jc w:val="center"/>
                    <w:rPr>
                      <w:rFonts w:cs="Times New Roman"/>
                      <w:szCs w:val="21"/>
                    </w:rPr>
                  </w:pPr>
                  <w:r>
                    <w:rPr>
                      <w:rFonts w:hint="eastAsia" w:cs="Times New Roman"/>
                      <w:szCs w:val="21"/>
                    </w:rPr>
                    <w:t>3</w:t>
                  </w:r>
                  <w:r>
                    <w:rPr>
                      <w:rFonts w:cs="Times New Roman"/>
                      <w:szCs w:val="21"/>
                    </w:rPr>
                    <w:t>40000</w:t>
                  </w:r>
                </w:p>
              </w:tc>
              <w:tc>
                <w:tcPr>
                  <w:tcW w:w="694" w:type="pct"/>
                  <w:vMerge w:val="continue"/>
                  <w:vAlign w:val="center"/>
                </w:tcPr>
                <w:p>
                  <w:pPr>
                    <w:jc w:val="center"/>
                    <w:rPr>
                      <w:rFonts w:cs="Times New Roman"/>
                      <w:szCs w:val="21"/>
                    </w:rPr>
                  </w:pPr>
                </w:p>
              </w:tc>
              <w:tc>
                <w:tcPr>
                  <w:tcW w:w="693" w:type="pct"/>
                  <w:vAlign w:val="center"/>
                </w:tcPr>
                <w:p>
                  <w:pPr>
                    <w:jc w:val="center"/>
                    <w:rPr>
                      <w:rFonts w:cs="Times New Roman"/>
                      <w:szCs w:val="21"/>
                    </w:rPr>
                  </w:pPr>
                  <w:r>
                    <w:rPr>
                      <w:rFonts w:hint="eastAsia" w:cs="Times New Roman"/>
                      <w:szCs w:val="21"/>
                    </w:rPr>
                    <w:t>0</w:t>
                  </w:r>
                </w:p>
              </w:tc>
              <w:tc>
                <w:tcPr>
                  <w:tcW w:w="693" w:type="pct"/>
                  <w:vAlign w:val="center"/>
                </w:tcPr>
                <w:p>
                  <w:pPr>
                    <w:jc w:val="center"/>
                    <w:rPr>
                      <w:rFonts w:cs="Times New Roman"/>
                      <w:szCs w:val="21"/>
                    </w:rPr>
                  </w:pPr>
                  <w:r>
                    <w:rPr>
                      <w:rFonts w:hint="eastAsia" w:cs="Times New Roman"/>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Merge w:val="continue"/>
                  <w:vAlign w:val="center"/>
                </w:tcPr>
                <w:p>
                  <w:pPr>
                    <w:jc w:val="center"/>
                    <w:rPr>
                      <w:rFonts w:cs="Times New Roman"/>
                      <w:szCs w:val="21"/>
                    </w:rPr>
                  </w:pPr>
                </w:p>
              </w:tc>
              <w:tc>
                <w:tcPr>
                  <w:tcW w:w="952" w:type="pct"/>
                  <w:vAlign w:val="center"/>
                </w:tcPr>
                <w:p>
                  <w:pPr>
                    <w:jc w:val="center"/>
                    <w:rPr>
                      <w:rFonts w:cs="Times New Roman"/>
                      <w:szCs w:val="21"/>
                    </w:rPr>
                  </w:pPr>
                  <w:r>
                    <w:rPr>
                      <w:rFonts w:hint="eastAsia" w:cs="Times New Roman"/>
                      <w:szCs w:val="21"/>
                    </w:rPr>
                    <w:t>25-40mm骨料</w:t>
                  </w:r>
                </w:p>
              </w:tc>
              <w:tc>
                <w:tcPr>
                  <w:tcW w:w="593" w:type="pct"/>
                  <w:vAlign w:val="center"/>
                </w:tcPr>
                <w:p>
                  <w:pPr>
                    <w:jc w:val="center"/>
                    <w:rPr>
                      <w:rFonts w:cs="Times New Roman"/>
                      <w:szCs w:val="21"/>
                    </w:rPr>
                  </w:pPr>
                  <w:r>
                    <w:rPr>
                      <w:rFonts w:hint="eastAsia" w:cs="Times New Roman"/>
                      <w:szCs w:val="21"/>
                    </w:rPr>
                    <w:t>330000</w:t>
                  </w:r>
                </w:p>
              </w:tc>
              <w:tc>
                <w:tcPr>
                  <w:tcW w:w="594" w:type="pct"/>
                  <w:vAlign w:val="center"/>
                </w:tcPr>
                <w:p>
                  <w:pPr>
                    <w:jc w:val="center"/>
                    <w:rPr>
                      <w:rFonts w:cs="Times New Roman"/>
                      <w:szCs w:val="21"/>
                    </w:rPr>
                  </w:pPr>
                  <w:r>
                    <w:rPr>
                      <w:rFonts w:hint="eastAsia" w:cs="Times New Roman"/>
                      <w:szCs w:val="21"/>
                    </w:rPr>
                    <w:t>0</w:t>
                  </w:r>
                </w:p>
              </w:tc>
              <w:tc>
                <w:tcPr>
                  <w:tcW w:w="694" w:type="pct"/>
                  <w:vMerge w:val="continue"/>
                  <w:vAlign w:val="center"/>
                </w:tcPr>
                <w:p>
                  <w:pPr>
                    <w:jc w:val="center"/>
                    <w:rPr>
                      <w:rFonts w:cs="Times New Roman"/>
                      <w:szCs w:val="21"/>
                    </w:rPr>
                  </w:pPr>
                </w:p>
              </w:tc>
              <w:tc>
                <w:tcPr>
                  <w:tcW w:w="693" w:type="pct"/>
                  <w:vAlign w:val="center"/>
                </w:tcPr>
                <w:p>
                  <w:pPr>
                    <w:jc w:val="center"/>
                    <w:rPr>
                      <w:rFonts w:cs="Times New Roman"/>
                      <w:szCs w:val="21"/>
                    </w:rPr>
                  </w:pPr>
                  <w:r>
                    <w:rPr>
                      <w:rFonts w:hint="eastAsia" w:cs="Times New Roman"/>
                      <w:szCs w:val="21"/>
                    </w:rPr>
                    <w:t>6.6</w:t>
                  </w:r>
                </w:p>
              </w:tc>
              <w:tc>
                <w:tcPr>
                  <w:tcW w:w="693" w:type="pct"/>
                  <w:vAlign w:val="center"/>
                </w:tcPr>
                <w:p>
                  <w:pPr>
                    <w:jc w:val="center"/>
                    <w:rPr>
                      <w:rFonts w:cs="Times New Roman"/>
                      <w:szCs w:val="21"/>
                    </w:rPr>
                  </w:pPr>
                  <w:r>
                    <w:rPr>
                      <w:rFonts w:hint="eastAsia"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pPr>
                    <w:jc w:val="center"/>
                    <w:rPr>
                      <w:rFonts w:cs="Times New Roman"/>
                      <w:szCs w:val="21"/>
                    </w:rPr>
                  </w:pPr>
                  <w:r>
                    <w:rPr>
                      <w:rFonts w:hint="eastAsia" w:cs="Times New Roman"/>
                      <w:szCs w:val="21"/>
                    </w:rPr>
                    <w:t>新建钢板仓</w:t>
                  </w:r>
                </w:p>
              </w:tc>
              <w:tc>
                <w:tcPr>
                  <w:tcW w:w="952" w:type="pct"/>
                  <w:vAlign w:val="center"/>
                </w:tcPr>
                <w:p>
                  <w:pPr>
                    <w:jc w:val="center"/>
                    <w:rPr>
                      <w:rFonts w:cs="Times New Roman"/>
                      <w:szCs w:val="21"/>
                    </w:rPr>
                  </w:pPr>
                  <w:r>
                    <w:rPr>
                      <w:rFonts w:hint="eastAsia" w:cs="Times New Roman"/>
                      <w:szCs w:val="21"/>
                    </w:rPr>
                    <w:t>2</w:t>
                  </w:r>
                  <w:r>
                    <w:rPr>
                      <w:rFonts w:cs="Times New Roman"/>
                      <w:szCs w:val="21"/>
                    </w:rPr>
                    <w:t>5-40</w:t>
                  </w:r>
                  <w:r>
                    <w:rPr>
                      <w:rFonts w:hint="eastAsia" w:cs="Times New Roman"/>
                      <w:szCs w:val="21"/>
                    </w:rPr>
                    <w:t>mm骨料</w:t>
                  </w:r>
                </w:p>
              </w:tc>
              <w:tc>
                <w:tcPr>
                  <w:tcW w:w="593" w:type="pct"/>
                  <w:vAlign w:val="center"/>
                </w:tcPr>
                <w:p>
                  <w:pPr>
                    <w:jc w:val="center"/>
                    <w:rPr>
                      <w:rFonts w:cs="Times New Roman"/>
                      <w:szCs w:val="21"/>
                    </w:rPr>
                  </w:pPr>
                  <w:r>
                    <w:rPr>
                      <w:rFonts w:hint="eastAsia" w:cs="Times New Roman"/>
                      <w:szCs w:val="21"/>
                    </w:rPr>
                    <w:t>0</w:t>
                  </w:r>
                </w:p>
              </w:tc>
              <w:tc>
                <w:tcPr>
                  <w:tcW w:w="594" w:type="pct"/>
                  <w:vAlign w:val="center"/>
                </w:tcPr>
                <w:p>
                  <w:pPr>
                    <w:jc w:val="center"/>
                    <w:rPr>
                      <w:rFonts w:cs="Times New Roman"/>
                      <w:szCs w:val="21"/>
                    </w:rPr>
                  </w:pPr>
                  <w:r>
                    <w:rPr>
                      <w:rFonts w:cs="Times New Roman"/>
                      <w:szCs w:val="21"/>
                    </w:rPr>
                    <w:t>330000</w:t>
                  </w:r>
                </w:p>
              </w:tc>
              <w:tc>
                <w:tcPr>
                  <w:tcW w:w="694" w:type="pct"/>
                  <w:vMerge w:val="continue"/>
                  <w:vAlign w:val="center"/>
                </w:tcPr>
                <w:p>
                  <w:pPr>
                    <w:jc w:val="center"/>
                    <w:rPr>
                      <w:rFonts w:cs="Times New Roman"/>
                      <w:szCs w:val="21"/>
                    </w:rPr>
                  </w:pPr>
                </w:p>
              </w:tc>
              <w:tc>
                <w:tcPr>
                  <w:tcW w:w="693" w:type="pct"/>
                  <w:vAlign w:val="center"/>
                </w:tcPr>
                <w:p>
                  <w:pPr>
                    <w:jc w:val="center"/>
                    <w:rPr>
                      <w:rFonts w:cs="Times New Roman"/>
                      <w:szCs w:val="21"/>
                    </w:rPr>
                  </w:pPr>
                  <w:r>
                    <w:rPr>
                      <w:rFonts w:hint="eastAsia" w:cs="Times New Roman"/>
                      <w:szCs w:val="21"/>
                    </w:rPr>
                    <w:t>0</w:t>
                  </w:r>
                </w:p>
              </w:tc>
              <w:tc>
                <w:tcPr>
                  <w:tcW w:w="693" w:type="pct"/>
                  <w:vAlign w:val="center"/>
                </w:tcPr>
                <w:p>
                  <w:pPr>
                    <w:jc w:val="center"/>
                    <w:rPr>
                      <w:rFonts w:cs="Times New Roman"/>
                      <w:szCs w:val="21"/>
                    </w:rPr>
                  </w:pPr>
                  <w:r>
                    <w:rPr>
                      <w:rFonts w:hint="eastAsia" w:cs="Times New Roman"/>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pPr>
                    <w:jc w:val="center"/>
                    <w:rPr>
                      <w:rFonts w:cs="Times New Roman"/>
                      <w:szCs w:val="21"/>
                    </w:rPr>
                  </w:pPr>
                  <w:r>
                    <w:rPr>
                      <w:rFonts w:hint="eastAsia" w:cs="Times New Roman"/>
                      <w:szCs w:val="21"/>
                    </w:rPr>
                    <w:t>成品砂库</w:t>
                  </w:r>
                </w:p>
              </w:tc>
              <w:tc>
                <w:tcPr>
                  <w:tcW w:w="952" w:type="pct"/>
                  <w:vAlign w:val="center"/>
                </w:tcPr>
                <w:p>
                  <w:pPr>
                    <w:jc w:val="center"/>
                    <w:rPr>
                      <w:rFonts w:cs="Times New Roman"/>
                      <w:szCs w:val="21"/>
                    </w:rPr>
                  </w:pPr>
                  <w:r>
                    <w:rPr>
                      <w:rFonts w:hint="eastAsia" w:cs="Times New Roman"/>
                      <w:szCs w:val="21"/>
                    </w:rPr>
                    <w:t>0</w:t>
                  </w:r>
                  <w:r>
                    <w:rPr>
                      <w:rFonts w:cs="Times New Roman"/>
                      <w:szCs w:val="21"/>
                    </w:rPr>
                    <w:t>.075-4.75</w:t>
                  </w:r>
                  <w:r>
                    <w:rPr>
                      <w:rFonts w:hint="eastAsia" w:cs="Times New Roman"/>
                      <w:szCs w:val="21"/>
                    </w:rPr>
                    <w:t>mm机制砂</w:t>
                  </w:r>
                </w:p>
              </w:tc>
              <w:tc>
                <w:tcPr>
                  <w:tcW w:w="593" w:type="pct"/>
                  <w:vAlign w:val="center"/>
                </w:tcPr>
                <w:p>
                  <w:pPr>
                    <w:jc w:val="center"/>
                    <w:rPr>
                      <w:rFonts w:cs="Times New Roman"/>
                      <w:szCs w:val="21"/>
                    </w:rPr>
                  </w:pPr>
                  <w:r>
                    <w:rPr>
                      <w:rFonts w:hint="eastAsia" w:cs="Times New Roman"/>
                      <w:szCs w:val="21"/>
                    </w:rPr>
                    <w:t>0</w:t>
                  </w:r>
                </w:p>
              </w:tc>
              <w:tc>
                <w:tcPr>
                  <w:tcW w:w="594" w:type="pct"/>
                  <w:vAlign w:val="center"/>
                </w:tcPr>
                <w:p>
                  <w:pPr>
                    <w:jc w:val="center"/>
                    <w:rPr>
                      <w:rFonts w:cs="Times New Roman"/>
                      <w:szCs w:val="21"/>
                    </w:rPr>
                  </w:pPr>
                  <w:r>
                    <w:rPr>
                      <w:rFonts w:hint="eastAsia" w:cs="Times New Roman"/>
                      <w:szCs w:val="21"/>
                    </w:rPr>
                    <w:t>3</w:t>
                  </w:r>
                  <w:r>
                    <w:rPr>
                      <w:rFonts w:cs="Times New Roman"/>
                      <w:szCs w:val="21"/>
                    </w:rPr>
                    <w:t>00000</w:t>
                  </w:r>
                </w:p>
              </w:tc>
              <w:tc>
                <w:tcPr>
                  <w:tcW w:w="694" w:type="pct"/>
                  <w:vMerge w:val="continue"/>
                  <w:vAlign w:val="center"/>
                </w:tcPr>
                <w:p>
                  <w:pPr>
                    <w:jc w:val="center"/>
                    <w:rPr>
                      <w:rFonts w:cs="Times New Roman"/>
                      <w:szCs w:val="21"/>
                    </w:rPr>
                  </w:pPr>
                </w:p>
              </w:tc>
              <w:tc>
                <w:tcPr>
                  <w:tcW w:w="693" w:type="pct"/>
                  <w:vAlign w:val="center"/>
                </w:tcPr>
                <w:p>
                  <w:pPr>
                    <w:jc w:val="center"/>
                    <w:rPr>
                      <w:rFonts w:cs="Times New Roman"/>
                      <w:szCs w:val="21"/>
                    </w:rPr>
                  </w:pPr>
                  <w:r>
                    <w:rPr>
                      <w:rFonts w:hint="eastAsia" w:cs="Times New Roman"/>
                      <w:szCs w:val="21"/>
                    </w:rPr>
                    <w:t>0</w:t>
                  </w:r>
                </w:p>
              </w:tc>
              <w:tc>
                <w:tcPr>
                  <w:tcW w:w="693" w:type="pct"/>
                  <w:vAlign w:val="center"/>
                </w:tcPr>
                <w:p>
                  <w:pPr>
                    <w:jc w:val="center"/>
                    <w:rPr>
                      <w:rFonts w:cs="Times New Roman"/>
                      <w:szCs w:val="21"/>
                    </w:rPr>
                  </w:pPr>
                  <w:r>
                    <w:rPr>
                      <w:rFonts w:hint="eastAsia"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4" w:type="pct"/>
                  <w:gridSpan w:val="5"/>
                  <w:vAlign w:val="center"/>
                </w:tcPr>
                <w:p>
                  <w:pPr>
                    <w:jc w:val="center"/>
                    <w:rPr>
                      <w:rFonts w:cs="Times New Roman"/>
                      <w:szCs w:val="21"/>
                    </w:rPr>
                  </w:pPr>
                  <w:r>
                    <w:rPr>
                      <w:rFonts w:hint="eastAsia" w:cs="Times New Roman"/>
                      <w:szCs w:val="21"/>
                    </w:rPr>
                    <w:t>合计</w:t>
                  </w:r>
                </w:p>
              </w:tc>
              <w:tc>
                <w:tcPr>
                  <w:tcW w:w="693" w:type="pct"/>
                  <w:vAlign w:val="center"/>
                </w:tcPr>
                <w:p>
                  <w:pPr>
                    <w:jc w:val="center"/>
                    <w:rPr>
                      <w:rFonts w:cs="Times New Roman"/>
                      <w:szCs w:val="21"/>
                    </w:rPr>
                  </w:pPr>
                  <w:r>
                    <w:rPr>
                      <w:rFonts w:hint="eastAsia" w:cs="Times New Roman"/>
                      <w:szCs w:val="21"/>
                    </w:rPr>
                    <w:t>20</w:t>
                  </w:r>
                </w:p>
              </w:tc>
              <w:tc>
                <w:tcPr>
                  <w:tcW w:w="693" w:type="pct"/>
                  <w:vAlign w:val="center"/>
                </w:tcPr>
                <w:p>
                  <w:pPr>
                    <w:jc w:val="center"/>
                    <w:rPr>
                      <w:rFonts w:cs="Times New Roman"/>
                      <w:szCs w:val="21"/>
                    </w:rPr>
                  </w:pPr>
                  <w:r>
                    <w:rPr>
                      <w:rFonts w:hint="eastAsia" w:cs="Times New Roman"/>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3614" w:type="pct"/>
                  <w:gridSpan w:val="5"/>
                  <w:vAlign w:val="center"/>
                </w:tcPr>
                <w:p>
                  <w:pPr>
                    <w:jc w:val="center"/>
                    <w:rPr>
                      <w:rFonts w:cs="Times New Roman"/>
                      <w:szCs w:val="21"/>
                    </w:rPr>
                  </w:pPr>
                  <w:r>
                    <w:rPr>
                      <w:rFonts w:hint="eastAsia" w:cs="Times New Roman"/>
                      <w:szCs w:val="21"/>
                    </w:rPr>
                    <w:t>本次改建新增装车粉尘产生量</w:t>
                  </w:r>
                </w:p>
              </w:tc>
              <w:tc>
                <w:tcPr>
                  <w:tcW w:w="1386" w:type="pct"/>
                  <w:gridSpan w:val="2"/>
                  <w:vAlign w:val="center"/>
                </w:tcPr>
                <w:p>
                  <w:pPr>
                    <w:jc w:val="center"/>
                    <w:rPr>
                      <w:rFonts w:cs="Times New Roman"/>
                      <w:szCs w:val="21"/>
                    </w:rPr>
                  </w:pPr>
                  <w:r>
                    <w:rPr>
                      <w:rFonts w:hint="eastAsia" w:cs="Times New Roman"/>
                      <w:szCs w:val="21"/>
                    </w:rPr>
                    <w:t>6</w:t>
                  </w:r>
                </w:p>
              </w:tc>
            </w:tr>
          </w:tbl>
          <w:p>
            <w:pPr>
              <w:spacing w:line="360" w:lineRule="auto"/>
              <w:ind w:firstLine="480" w:firstLineChars="200"/>
              <w:rPr>
                <w:bCs/>
                <w:sz w:val="24"/>
                <w:szCs w:val="24"/>
              </w:rPr>
            </w:pPr>
            <w:r>
              <w:rPr>
                <w:rFonts w:hint="eastAsia"/>
                <w:bCs/>
                <w:sz w:val="24"/>
                <w:szCs w:val="24"/>
              </w:rPr>
              <w:t>综上所述，项目各贮仓和装车过程粉尘产生量见下表。</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-6</w:t>
            </w:r>
            <w:r>
              <w:rPr>
                <w:rFonts w:eastAsia="黑体" w:cs="Times New Roman"/>
                <w:szCs w:val="21"/>
              </w:rPr>
              <w:t xml:space="preserve">  </w:t>
            </w:r>
            <w:r>
              <w:rPr>
                <w:rFonts w:hint="eastAsia" w:eastAsia="黑体" w:cs="Times New Roman"/>
                <w:szCs w:val="21"/>
              </w:rPr>
              <w:t>贮仓和装车粉尘核算结果表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2378"/>
              <w:gridCol w:w="2378"/>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pct"/>
                  <w:vMerge w:val="restart"/>
                  <w:vAlign w:val="center"/>
                </w:tcPr>
                <w:p>
                  <w:pPr>
                    <w:jc w:val="center"/>
                    <w:rPr>
                      <w:rFonts w:cs="Times New Roman"/>
                      <w:szCs w:val="21"/>
                    </w:rPr>
                  </w:pPr>
                  <w:r>
                    <w:rPr>
                      <w:rFonts w:hint="eastAsia" w:cs="Times New Roman"/>
                      <w:szCs w:val="21"/>
                    </w:rPr>
                    <w:t>贮仓名称</w:t>
                  </w:r>
                </w:p>
              </w:tc>
              <w:tc>
                <w:tcPr>
                  <w:tcW w:w="3902" w:type="pct"/>
                  <w:gridSpan w:val="3"/>
                  <w:vAlign w:val="center"/>
                </w:tcPr>
                <w:p>
                  <w:pPr>
                    <w:jc w:val="center"/>
                    <w:rPr>
                      <w:rFonts w:cs="Times New Roman"/>
                      <w:szCs w:val="21"/>
                    </w:rPr>
                  </w:pPr>
                  <w:r>
                    <w:rPr>
                      <w:rFonts w:hint="eastAsia" w:cs="Times New Roman"/>
                      <w:szCs w:val="21"/>
                    </w:rPr>
                    <w:t>粉尘产生量（t</w:t>
                  </w:r>
                  <w:r>
                    <w:rPr>
                      <w:rFonts w:cs="Times New Roman"/>
                      <w:szCs w:val="21"/>
                    </w:rPr>
                    <w:t>/a</w:t>
                  </w: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pct"/>
                  <w:vMerge w:val="continue"/>
                  <w:vAlign w:val="center"/>
                </w:tcPr>
                <w:p>
                  <w:pPr>
                    <w:jc w:val="center"/>
                    <w:rPr>
                      <w:rFonts w:cs="Times New Roman"/>
                      <w:szCs w:val="21"/>
                    </w:rPr>
                  </w:pPr>
                </w:p>
              </w:tc>
              <w:tc>
                <w:tcPr>
                  <w:tcW w:w="1300" w:type="pct"/>
                  <w:vAlign w:val="center"/>
                </w:tcPr>
                <w:p>
                  <w:pPr>
                    <w:jc w:val="center"/>
                    <w:rPr>
                      <w:rFonts w:cs="Times New Roman"/>
                      <w:szCs w:val="21"/>
                    </w:rPr>
                  </w:pPr>
                  <w:r>
                    <w:rPr>
                      <w:rFonts w:hint="eastAsia" w:cs="Times New Roman"/>
                      <w:szCs w:val="21"/>
                    </w:rPr>
                    <w:t>现有项目</w:t>
                  </w:r>
                </w:p>
              </w:tc>
              <w:tc>
                <w:tcPr>
                  <w:tcW w:w="1300" w:type="pct"/>
                  <w:vAlign w:val="center"/>
                </w:tcPr>
                <w:p>
                  <w:pPr>
                    <w:jc w:val="center"/>
                    <w:rPr>
                      <w:rFonts w:cs="Times New Roman"/>
                      <w:szCs w:val="21"/>
                    </w:rPr>
                  </w:pPr>
                  <w:r>
                    <w:rPr>
                      <w:rFonts w:hint="eastAsia" w:cs="Times New Roman"/>
                      <w:szCs w:val="21"/>
                    </w:rPr>
                    <w:t>改建后</w:t>
                  </w:r>
                </w:p>
              </w:tc>
              <w:tc>
                <w:tcPr>
                  <w:tcW w:w="1302" w:type="pct"/>
                </w:tcPr>
                <w:p>
                  <w:pPr>
                    <w:jc w:val="center"/>
                    <w:rPr>
                      <w:rFonts w:cs="Times New Roman"/>
                      <w:szCs w:val="21"/>
                    </w:rPr>
                  </w:pPr>
                  <w:r>
                    <w:rPr>
                      <w:rFonts w:hint="eastAsia" w:cs="Times New Roman"/>
                      <w:szCs w:val="21"/>
                    </w:rPr>
                    <w:t>本次改建变化量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98" w:type="pct"/>
                  <w:vAlign w:val="center"/>
                </w:tcPr>
                <w:p>
                  <w:pPr>
                    <w:jc w:val="center"/>
                    <w:rPr>
                      <w:rFonts w:cs="Times New Roman"/>
                      <w:szCs w:val="21"/>
                    </w:rPr>
                  </w:pPr>
                  <w:r>
                    <w:rPr>
                      <w:rFonts w:hint="eastAsia" w:cs="Times New Roman"/>
                      <w:szCs w:val="21"/>
                    </w:rPr>
                    <w:t>现有钢板仓</w:t>
                  </w:r>
                </w:p>
              </w:tc>
              <w:tc>
                <w:tcPr>
                  <w:tcW w:w="1300" w:type="pct"/>
                  <w:vAlign w:val="center"/>
                </w:tcPr>
                <w:p>
                  <w:pPr>
                    <w:jc w:val="center"/>
                    <w:rPr>
                      <w:rFonts w:cs="Times New Roman"/>
                      <w:szCs w:val="21"/>
                    </w:rPr>
                  </w:pPr>
                  <w:r>
                    <w:rPr>
                      <w:rFonts w:hint="eastAsia" w:cs="Times New Roman"/>
                      <w:szCs w:val="21"/>
                    </w:rPr>
                    <w:t>39.6</w:t>
                  </w:r>
                </w:p>
              </w:tc>
              <w:tc>
                <w:tcPr>
                  <w:tcW w:w="1300" w:type="pct"/>
                  <w:vAlign w:val="center"/>
                </w:tcPr>
                <w:p>
                  <w:pPr>
                    <w:jc w:val="center"/>
                    <w:rPr>
                      <w:rFonts w:cs="Times New Roman"/>
                      <w:szCs w:val="21"/>
                    </w:rPr>
                  </w:pPr>
                  <w:r>
                    <w:rPr>
                      <w:rFonts w:hint="eastAsia" w:cs="Times New Roman"/>
                      <w:szCs w:val="21"/>
                    </w:rPr>
                    <w:t>39.6</w:t>
                  </w:r>
                </w:p>
              </w:tc>
              <w:tc>
                <w:tcPr>
                  <w:tcW w:w="1302" w:type="pct"/>
                  <w:vAlign w:val="center"/>
                </w:tcPr>
                <w:p>
                  <w:pPr>
                    <w:jc w:val="center"/>
                    <w:rPr>
                      <w:rFonts w:cs="Times New Roman" w:eastAsiaTheme="majorEastAsia"/>
                      <w:szCs w:val="21"/>
                    </w:rPr>
                  </w:pPr>
                  <w:r>
                    <w:rPr>
                      <w:rFonts w:cs="Times New Roman" w:eastAsiaTheme="maj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pct"/>
                  <w:vAlign w:val="center"/>
                </w:tcPr>
                <w:p>
                  <w:pPr>
                    <w:jc w:val="center"/>
                    <w:rPr>
                      <w:rFonts w:cs="Times New Roman"/>
                      <w:szCs w:val="21"/>
                    </w:rPr>
                  </w:pPr>
                  <w:r>
                    <w:rPr>
                      <w:rFonts w:hint="eastAsia" w:cs="Times New Roman"/>
                      <w:szCs w:val="21"/>
                    </w:rPr>
                    <w:t>1</w:t>
                  </w:r>
                  <w:r>
                    <w:rPr>
                      <w:rFonts w:cs="Times New Roman"/>
                      <w:szCs w:val="21"/>
                    </w:rPr>
                    <w:t>#</w:t>
                  </w:r>
                  <w:r>
                    <w:rPr>
                      <w:rFonts w:hint="eastAsia" w:cs="Times New Roman"/>
                      <w:szCs w:val="21"/>
                    </w:rPr>
                    <w:t>骨料仓</w:t>
                  </w:r>
                </w:p>
              </w:tc>
              <w:tc>
                <w:tcPr>
                  <w:tcW w:w="1300" w:type="pct"/>
                  <w:vAlign w:val="center"/>
                </w:tcPr>
                <w:p>
                  <w:pPr>
                    <w:jc w:val="center"/>
                    <w:rPr>
                      <w:rFonts w:cs="Times New Roman"/>
                      <w:szCs w:val="21"/>
                    </w:rPr>
                  </w:pPr>
                  <w:r>
                    <w:rPr>
                      <w:rFonts w:hint="eastAsia"/>
                      <w:szCs w:val="21"/>
                    </w:rPr>
                    <w:t>93.8</w:t>
                  </w:r>
                </w:p>
              </w:tc>
              <w:tc>
                <w:tcPr>
                  <w:tcW w:w="1300" w:type="pct"/>
                  <w:vAlign w:val="center"/>
                </w:tcPr>
                <w:p>
                  <w:pPr>
                    <w:jc w:val="center"/>
                    <w:rPr>
                      <w:rFonts w:cs="Times New Roman"/>
                      <w:szCs w:val="21"/>
                    </w:rPr>
                  </w:pPr>
                  <w:r>
                    <w:rPr>
                      <w:rFonts w:hint="eastAsia"/>
                      <w:szCs w:val="21"/>
                    </w:rPr>
                    <w:t>46.2</w:t>
                  </w:r>
                </w:p>
              </w:tc>
              <w:tc>
                <w:tcPr>
                  <w:tcW w:w="1302" w:type="pct"/>
                  <w:vAlign w:val="center"/>
                </w:tcPr>
                <w:p>
                  <w:pPr>
                    <w:jc w:val="center"/>
                    <w:rPr>
                      <w:rFonts w:cs="Times New Roman" w:eastAsiaTheme="majorEastAsia"/>
                      <w:szCs w:val="21"/>
                    </w:rPr>
                  </w:pPr>
                  <w:r>
                    <w:rPr>
                      <w:rFonts w:cs="Times New Roman" w:eastAsiaTheme="majorEastAsia"/>
                      <w:szCs w:val="21"/>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pct"/>
                  <w:vAlign w:val="center"/>
                </w:tcPr>
                <w:p>
                  <w:pPr>
                    <w:jc w:val="center"/>
                    <w:rPr>
                      <w:rFonts w:cs="Times New Roman"/>
                      <w:szCs w:val="21"/>
                    </w:rPr>
                  </w:pPr>
                  <w:r>
                    <w:rPr>
                      <w:rFonts w:hint="eastAsia" w:cs="Times New Roman"/>
                      <w:szCs w:val="21"/>
                    </w:rPr>
                    <w:t>2</w:t>
                  </w:r>
                  <w:r>
                    <w:rPr>
                      <w:rFonts w:cs="Times New Roman"/>
                      <w:szCs w:val="21"/>
                    </w:rPr>
                    <w:t>#</w:t>
                  </w:r>
                  <w:r>
                    <w:rPr>
                      <w:rFonts w:hint="eastAsia" w:cs="Times New Roman"/>
                      <w:szCs w:val="21"/>
                    </w:rPr>
                    <w:t>骨料仓</w:t>
                  </w:r>
                </w:p>
              </w:tc>
              <w:tc>
                <w:tcPr>
                  <w:tcW w:w="1300" w:type="pct"/>
                  <w:vAlign w:val="center"/>
                </w:tcPr>
                <w:p>
                  <w:pPr>
                    <w:jc w:val="center"/>
                    <w:rPr>
                      <w:rFonts w:cs="Times New Roman"/>
                      <w:szCs w:val="21"/>
                    </w:rPr>
                  </w:pPr>
                  <w:r>
                    <w:rPr>
                      <w:rFonts w:hint="eastAsia"/>
                      <w:szCs w:val="21"/>
                    </w:rPr>
                    <w:t>46.2</w:t>
                  </w:r>
                </w:p>
              </w:tc>
              <w:tc>
                <w:tcPr>
                  <w:tcW w:w="1300" w:type="pct"/>
                  <w:vAlign w:val="center"/>
                </w:tcPr>
                <w:p>
                  <w:pPr>
                    <w:jc w:val="center"/>
                    <w:rPr>
                      <w:rFonts w:cs="Times New Roman"/>
                      <w:szCs w:val="21"/>
                    </w:rPr>
                  </w:pPr>
                  <w:r>
                    <w:rPr>
                      <w:rFonts w:hint="eastAsia"/>
                      <w:szCs w:val="21"/>
                    </w:rPr>
                    <w:t>47.6</w:t>
                  </w:r>
                </w:p>
              </w:tc>
              <w:tc>
                <w:tcPr>
                  <w:tcW w:w="1302" w:type="pct"/>
                  <w:vAlign w:val="center"/>
                </w:tcPr>
                <w:p>
                  <w:pPr>
                    <w:jc w:val="center"/>
                    <w:rPr>
                      <w:rFonts w:cs="Times New Roman" w:eastAsiaTheme="majorEastAsia"/>
                      <w:szCs w:val="21"/>
                    </w:rPr>
                  </w:pPr>
                  <w:r>
                    <w:rPr>
                      <w:rFonts w:cs="Times New Roman" w:eastAsiaTheme="majorEastAsia"/>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pct"/>
                  <w:vAlign w:val="center"/>
                </w:tcPr>
                <w:p>
                  <w:pPr>
                    <w:jc w:val="center"/>
                    <w:rPr>
                      <w:rFonts w:cs="Times New Roman"/>
                      <w:szCs w:val="21"/>
                    </w:rPr>
                  </w:pPr>
                  <w:r>
                    <w:rPr>
                      <w:rFonts w:hint="eastAsia" w:cs="Times New Roman"/>
                      <w:szCs w:val="21"/>
                    </w:rPr>
                    <w:t>新建钢板仓</w:t>
                  </w:r>
                </w:p>
              </w:tc>
              <w:tc>
                <w:tcPr>
                  <w:tcW w:w="1300" w:type="pct"/>
                  <w:vAlign w:val="center"/>
                </w:tcPr>
                <w:p>
                  <w:pPr>
                    <w:jc w:val="center"/>
                    <w:rPr>
                      <w:rFonts w:cs="Times New Roman"/>
                      <w:szCs w:val="21"/>
                    </w:rPr>
                  </w:pPr>
                  <w:r>
                    <w:rPr>
                      <w:rFonts w:hint="eastAsia" w:cs="Times New Roman"/>
                      <w:szCs w:val="21"/>
                    </w:rPr>
                    <w:t>0</w:t>
                  </w:r>
                </w:p>
              </w:tc>
              <w:tc>
                <w:tcPr>
                  <w:tcW w:w="1300" w:type="pct"/>
                  <w:vAlign w:val="center"/>
                </w:tcPr>
                <w:p>
                  <w:pPr>
                    <w:jc w:val="center"/>
                    <w:rPr>
                      <w:rFonts w:cs="Times New Roman"/>
                      <w:szCs w:val="21"/>
                    </w:rPr>
                  </w:pPr>
                  <w:r>
                    <w:rPr>
                      <w:rFonts w:hint="eastAsia"/>
                      <w:szCs w:val="21"/>
                    </w:rPr>
                    <w:t>46.2</w:t>
                  </w:r>
                </w:p>
              </w:tc>
              <w:tc>
                <w:tcPr>
                  <w:tcW w:w="1302" w:type="pct"/>
                  <w:vAlign w:val="center"/>
                </w:tcPr>
                <w:p>
                  <w:pPr>
                    <w:jc w:val="center"/>
                    <w:rPr>
                      <w:rFonts w:cs="Times New Roman" w:eastAsiaTheme="majorEastAsia"/>
                      <w:szCs w:val="21"/>
                    </w:rPr>
                  </w:pPr>
                  <w:r>
                    <w:rPr>
                      <w:rFonts w:cs="Times New Roman" w:eastAsiaTheme="majorEastAsia"/>
                      <w:szCs w:val="21"/>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098" w:type="pct"/>
                  <w:vAlign w:val="center"/>
                </w:tcPr>
                <w:p>
                  <w:pPr>
                    <w:jc w:val="center"/>
                    <w:rPr>
                      <w:rFonts w:cs="Times New Roman"/>
                      <w:szCs w:val="21"/>
                    </w:rPr>
                  </w:pPr>
                  <w:r>
                    <w:rPr>
                      <w:rFonts w:hint="eastAsia" w:cs="Times New Roman"/>
                      <w:szCs w:val="21"/>
                    </w:rPr>
                    <w:t>成品砂库</w:t>
                  </w:r>
                </w:p>
              </w:tc>
              <w:tc>
                <w:tcPr>
                  <w:tcW w:w="1300" w:type="pct"/>
                  <w:vAlign w:val="center"/>
                </w:tcPr>
                <w:p>
                  <w:pPr>
                    <w:jc w:val="center"/>
                    <w:rPr>
                      <w:rFonts w:cs="Times New Roman"/>
                      <w:szCs w:val="21"/>
                    </w:rPr>
                  </w:pPr>
                  <w:r>
                    <w:rPr>
                      <w:rFonts w:hint="eastAsia" w:cs="Times New Roman"/>
                      <w:szCs w:val="21"/>
                    </w:rPr>
                    <w:t>0</w:t>
                  </w:r>
                </w:p>
              </w:tc>
              <w:tc>
                <w:tcPr>
                  <w:tcW w:w="1300" w:type="pct"/>
                  <w:vAlign w:val="center"/>
                </w:tcPr>
                <w:p>
                  <w:pPr>
                    <w:jc w:val="center"/>
                    <w:rPr>
                      <w:rFonts w:cs="Times New Roman"/>
                      <w:szCs w:val="21"/>
                    </w:rPr>
                  </w:pPr>
                  <w:r>
                    <w:rPr>
                      <w:rFonts w:hint="eastAsia" w:cs="Times New Roman"/>
                      <w:szCs w:val="21"/>
                    </w:rPr>
                    <w:t>42</w:t>
                  </w:r>
                </w:p>
              </w:tc>
              <w:tc>
                <w:tcPr>
                  <w:tcW w:w="1302" w:type="pct"/>
                  <w:vAlign w:val="center"/>
                </w:tcPr>
                <w:p>
                  <w:pPr>
                    <w:jc w:val="center"/>
                    <w:rPr>
                      <w:rFonts w:cs="Times New Roman" w:eastAsiaTheme="majorEastAsia"/>
                      <w:szCs w:val="21"/>
                    </w:rPr>
                  </w:pPr>
                  <w:r>
                    <w:rPr>
                      <w:rFonts w:cs="Times New Roman" w:eastAsiaTheme="majorEastAsia"/>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098" w:type="pct"/>
                  <w:vAlign w:val="center"/>
                </w:tcPr>
                <w:p>
                  <w:pPr>
                    <w:jc w:val="center"/>
                    <w:rPr>
                      <w:rFonts w:cs="Times New Roman"/>
                      <w:szCs w:val="21"/>
                    </w:rPr>
                  </w:pPr>
                  <w:r>
                    <w:rPr>
                      <w:rFonts w:hint="eastAsia" w:cs="Times New Roman"/>
                      <w:szCs w:val="21"/>
                    </w:rPr>
                    <w:t>微粉库</w:t>
                  </w:r>
                </w:p>
              </w:tc>
              <w:tc>
                <w:tcPr>
                  <w:tcW w:w="1300" w:type="pct"/>
                  <w:vAlign w:val="center"/>
                </w:tcPr>
                <w:p>
                  <w:pPr>
                    <w:jc w:val="center"/>
                    <w:rPr>
                      <w:rFonts w:cs="Times New Roman"/>
                      <w:szCs w:val="21"/>
                    </w:rPr>
                  </w:pPr>
                  <w:r>
                    <w:rPr>
                      <w:rFonts w:hint="eastAsia" w:cs="Times New Roman"/>
                      <w:szCs w:val="21"/>
                    </w:rPr>
                    <w:t>0</w:t>
                  </w:r>
                </w:p>
              </w:tc>
              <w:tc>
                <w:tcPr>
                  <w:tcW w:w="1300" w:type="pct"/>
                  <w:vAlign w:val="center"/>
                </w:tcPr>
                <w:p>
                  <w:pPr>
                    <w:jc w:val="center"/>
                    <w:rPr>
                      <w:rFonts w:cs="Times New Roman"/>
                      <w:szCs w:val="21"/>
                    </w:rPr>
                  </w:pPr>
                  <w:r>
                    <w:rPr>
                      <w:rFonts w:hint="eastAsia" w:cs="Times New Roman"/>
                      <w:szCs w:val="21"/>
                    </w:rPr>
                    <w:t>3.6</w:t>
                  </w:r>
                </w:p>
              </w:tc>
              <w:tc>
                <w:tcPr>
                  <w:tcW w:w="1302" w:type="pct"/>
                  <w:vAlign w:val="center"/>
                </w:tcPr>
                <w:p>
                  <w:pPr>
                    <w:jc w:val="center"/>
                    <w:rPr>
                      <w:rFonts w:cs="Times New Roman" w:eastAsiaTheme="majorEastAsia"/>
                      <w:szCs w:val="21"/>
                    </w:rPr>
                  </w:pPr>
                  <w:r>
                    <w:rPr>
                      <w:rFonts w:cs="Times New Roman" w:eastAsiaTheme="majorEastAsia"/>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098" w:type="pct"/>
                  <w:vAlign w:val="center"/>
                </w:tcPr>
                <w:p>
                  <w:pPr>
                    <w:jc w:val="center"/>
                    <w:rPr>
                      <w:rFonts w:cs="Times New Roman"/>
                      <w:szCs w:val="21"/>
                    </w:rPr>
                  </w:pPr>
                  <w:r>
                    <w:rPr>
                      <w:rFonts w:hint="eastAsia" w:cs="Times New Roman"/>
                      <w:szCs w:val="21"/>
                    </w:rPr>
                    <w:t>合计</w:t>
                  </w:r>
                </w:p>
              </w:tc>
              <w:tc>
                <w:tcPr>
                  <w:tcW w:w="1300" w:type="pct"/>
                  <w:vAlign w:val="center"/>
                </w:tcPr>
                <w:p>
                  <w:pPr>
                    <w:jc w:val="center"/>
                    <w:rPr>
                      <w:rFonts w:cs="Times New Roman"/>
                      <w:szCs w:val="21"/>
                    </w:rPr>
                  </w:pPr>
                  <w:r>
                    <w:rPr>
                      <w:rFonts w:cs="Times New Roman"/>
                      <w:szCs w:val="21"/>
                    </w:rPr>
                    <w:t>179.6</w:t>
                  </w:r>
                </w:p>
              </w:tc>
              <w:tc>
                <w:tcPr>
                  <w:tcW w:w="1300" w:type="pct"/>
                  <w:vAlign w:val="center"/>
                </w:tcPr>
                <w:p>
                  <w:pPr>
                    <w:jc w:val="center"/>
                    <w:rPr>
                      <w:rFonts w:cs="Times New Roman"/>
                      <w:szCs w:val="21"/>
                    </w:rPr>
                  </w:pPr>
                  <w:r>
                    <w:rPr>
                      <w:rFonts w:cs="Times New Roman"/>
                      <w:szCs w:val="21"/>
                    </w:rPr>
                    <w:t>225.2</w:t>
                  </w:r>
                </w:p>
              </w:tc>
              <w:tc>
                <w:tcPr>
                  <w:tcW w:w="1302" w:type="pct"/>
                </w:tcPr>
                <w:p>
                  <w:pPr>
                    <w:jc w:val="center"/>
                    <w:rPr>
                      <w:rFonts w:cs="Times New Roman"/>
                      <w:szCs w:val="21"/>
                    </w:rPr>
                  </w:pPr>
                  <w:r>
                    <w:rPr>
                      <w:rFonts w:hint="eastAsia" w:cs="Times New Roman"/>
                      <w:szCs w:val="21"/>
                    </w:rPr>
                    <w:t>45.6</w:t>
                  </w:r>
                </w:p>
              </w:tc>
            </w:tr>
          </w:tbl>
          <w:p>
            <w:pPr>
              <w:spacing w:line="360" w:lineRule="auto"/>
              <w:ind w:firstLine="482" w:firstLineChars="200"/>
              <w:rPr>
                <w:b/>
                <w:sz w:val="24"/>
                <w:szCs w:val="24"/>
              </w:rPr>
            </w:pPr>
            <w:r>
              <w:rPr>
                <w:rFonts w:hint="eastAsia"/>
                <w:b/>
                <w:sz w:val="24"/>
                <w:szCs w:val="24"/>
              </w:rPr>
              <w:t>②治理措施</w:t>
            </w:r>
          </w:p>
          <w:p>
            <w:pPr>
              <w:spacing w:line="360" w:lineRule="auto"/>
              <w:ind w:firstLine="482" w:firstLineChars="200"/>
              <w:rPr>
                <w:rFonts w:cs="Times New Roman"/>
                <w:b/>
                <w:sz w:val="24"/>
                <w:szCs w:val="24"/>
              </w:rPr>
            </w:pPr>
            <w:r>
              <w:rPr>
                <w:rFonts w:hint="eastAsia" w:cs="Times New Roman"/>
                <w:b/>
                <w:sz w:val="24"/>
                <w:szCs w:val="24"/>
              </w:rPr>
              <w:t>贮仓粉尘</w:t>
            </w:r>
            <w:r>
              <w:rPr>
                <w:rFonts w:hint="eastAsia" w:cs="Times New Roman"/>
                <w:bCs/>
                <w:sz w:val="24"/>
                <w:szCs w:val="24"/>
              </w:rPr>
              <w:t>：根据</w:t>
            </w:r>
            <w:r>
              <w:rPr>
                <w:rFonts w:hint="eastAsia"/>
                <w:sz w:val="24"/>
                <w:szCs w:val="24"/>
              </w:rPr>
              <w:t>企业取得的《排污许可证》（编号：</w:t>
            </w:r>
            <w:r>
              <w:rPr>
                <w:sz w:val="24"/>
                <w:szCs w:val="24"/>
              </w:rPr>
              <w:t>91511724675778849K001P</w:t>
            </w:r>
            <w:r>
              <w:rPr>
                <w:rFonts w:hint="eastAsia"/>
                <w:sz w:val="24"/>
                <w:szCs w:val="24"/>
              </w:rPr>
              <w:t>）</w:t>
            </w:r>
            <w:r>
              <w:rPr>
                <w:rFonts w:hint="eastAsia" w:cs="Times New Roman"/>
                <w:bCs/>
                <w:sz w:val="24"/>
                <w:szCs w:val="24"/>
              </w:rPr>
              <w:t>，</w:t>
            </w:r>
            <w:r>
              <w:rPr>
                <w:rFonts w:hint="eastAsia" w:cs="Times New Roman"/>
                <w:b/>
                <w:sz w:val="24"/>
                <w:szCs w:val="24"/>
              </w:rPr>
              <w:t>现有钢板仓、骨料仓顶部、底部产尘点均设密闭管道收尘，其中：钢板仓设1台袋式除尘器（TA122，处理效率按9</w:t>
            </w:r>
            <w:r>
              <w:rPr>
                <w:rFonts w:cs="Times New Roman"/>
                <w:b/>
                <w:sz w:val="24"/>
                <w:szCs w:val="24"/>
              </w:rPr>
              <w:t>9.</w:t>
            </w:r>
            <w:r>
              <w:rPr>
                <w:rFonts w:hint="eastAsia" w:cs="Times New Roman"/>
                <w:b/>
                <w:sz w:val="24"/>
                <w:szCs w:val="24"/>
              </w:rPr>
              <w:t>9</w:t>
            </w:r>
            <w:r>
              <w:rPr>
                <w:rFonts w:cs="Times New Roman"/>
                <w:b/>
                <w:sz w:val="24"/>
                <w:szCs w:val="24"/>
              </w:rPr>
              <w:t>%</w:t>
            </w:r>
            <w:r>
              <w:rPr>
                <w:rFonts w:hint="eastAsia" w:cs="Times New Roman"/>
                <w:b/>
                <w:sz w:val="24"/>
                <w:szCs w:val="24"/>
              </w:rPr>
              <w:t>计）+31.2m高排气筒（DA</w:t>
            </w:r>
            <w:r>
              <w:rPr>
                <w:rFonts w:cs="Times New Roman"/>
                <w:b/>
                <w:sz w:val="24"/>
                <w:szCs w:val="24"/>
              </w:rPr>
              <w:t>115</w:t>
            </w:r>
            <w:r>
              <w:rPr>
                <w:rFonts w:hint="eastAsia" w:cs="Times New Roman"/>
                <w:b/>
                <w:sz w:val="24"/>
                <w:szCs w:val="24"/>
              </w:rPr>
              <w:t>），1#骨料仓设1台袋式除尘器（TA138，处理效率按9</w:t>
            </w:r>
            <w:r>
              <w:rPr>
                <w:rFonts w:cs="Times New Roman"/>
                <w:b/>
                <w:sz w:val="24"/>
                <w:szCs w:val="24"/>
              </w:rPr>
              <w:t>9.</w:t>
            </w:r>
            <w:r>
              <w:rPr>
                <w:rFonts w:hint="eastAsia" w:cs="Times New Roman"/>
                <w:b/>
                <w:sz w:val="24"/>
                <w:szCs w:val="24"/>
              </w:rPr>
              <w:t>9</w:t>
            </w:r>
            <w:r>
              <w:rPr>
                <w:rFonts w:cs="Times New Roman"/>
                <w:b/>
                <w:sz w:val="24"/>
                <w:szCs w:val="24"/>
              </w:rPr>
              <w:t>%</w:t>
            </w:r>
            <w:r>
              <w:rPr>
                <w:rFonts w:hint="eastAsia" w:cs="Times New Roman"/>
                <w:b/>
                <w:sz w:val="24"/>
                <w:szCs w:val="24"/>
              </w:rPr>
              <w:t>计）+16m高排气筒（DA090），2#骨料仓设1台袋式除尘器（TA137，处理效率按9</w:t>
            </w:r>
            <w:r>
              <w:rPr>
                <w:rFonts w:cs="Times New Roman"/>
                <w:b/>
                <w:sz w:val="24"/>
                <w:szCs w:val="24"/>
              </w:rPr>
              <w:t>9.</w:t>
            </w:r>
            <w:r>
              <w:rPr>
                <w:rFonts w:hint="eastAsia" w:cs="Times New Roman"/>
                <w:b/>
                <w:sz w:val="24"/>
                <w:szCs w:val="24"/>
              </w:rPr>
              <w:t>9</w:t>
            </w:r>
            <w:r>
              <w:rPr>
                <w:rFonts w:cs="Times New Roman"/>
                <w:b/>
                <w:sz w:val="24"/>
                <w:szCs w:val="24"/>
              </w:rPr>
              <w:t>%</w:t>
            </w:r>
            <w:r>
              <w:rPr>
                <w:rFonts w:hint="eastAsia" w:cs="Times New Roman"/>
                <w:b/>
                <w:sz w:val="24"/>
                <w:szCs w:val="24"/>
              </w:rPr>
              <w:t>计）+22m高排气筒（DA097）。</w:t>
            </w:r>
          </w:p>
          <w:p>
            <w:pPr>
              <w:spacing w:line="360" w:lineRule="auto"/>
              <w:ind w:firstLine="482" w:firstLineChars="200"/>
              <w:rPr>
                <w:rFonts w:cs="Times New Roman"/>
                <w:sz w:val="24"/>
                <w:szCs w:val="24"/>
              </w:rPr>
            </w:pPr>
            <w:r>
              <w:rPr>
                <w:rFonts w:hint="eastAsia" w:cs="Times New Roman"/>
                <w:b/>
                <w:sz w:val="24"/>
                <w:szCs w:val="24"/>
              </w:rPr>
              <w:t>本次改建将依托上述治理设施，同时新建钢板仓、成品砂库、微粉库顶部、底部产尘点设密闭管道收尘装置（设计风量根据《达州海螺水泥有限责任公司年产3</w:t>
            </w:r>
            <w:r>
              <w:rPr>
                <w:rFonts w:cs="Times New Roman"/>
                <w:b/>
                <w:sz w:val="24"/>
                <w:szCs w:val="24"/>
              </w:rPr>
              <w:t>0</w:t>
            </w:r>
            <w:r>
              <w:rPr>
                <w:rFonts w:hint="eastAsia" w:cs="Times New Roman"/>
                <w:b/>
                <w:sz w:val="24"/>
                <w:szCs w:val="24"/>
              </w:rPr>
              <w:t>万吨机制砂建设项目可行性研究报告》分别取4</w:t>
            </w:r>
            <w:r>
              <w:rPr>
                <w:rFonts w:cs="Times New Roman"/>
                <w:b/>
                <w:sz w:val="24"/>
                <w:szCs w:val="24"/>
              </w:rPr>
              <w:t>320</w:t>
            </w:r>
            <w:r>
              <w:rPr>
                <w:rFonts w:hint="eastAsia" w:cs="Times New Roman"/>
                <w:b/>
                <w:sz w:val="24"/>
                <w:szCs w:val="24"/>
              </w:rPr>
              <w:t>m</w:t>
            </w:r>
            <w:r>
              <w:rPr>
                <w:rFonts w:cs="Times New Roman"/>
                <w:b/>
                <w:sz w:val="24"/>
                <w:szCs w:val="24"/>
                <w:vertAlign w:val="superscript"/>
              </w:rPr>
              <w:t>3</w:t>
            </w:r>
            <w:r>
              <w:rPr>
                <w:rFonts w:cs="Times New Roman"/>
                <w:b/>
                <w:sz w:val="24"/>
                <w:szCs w:val="24"/>
              </w:rPr>
              <w:t>/h</w:t>
            </w:r>
            <w:r>
              <w:rPr>
                <w:rFonts w:hint="eastAsia" w:cs="Times New Roman"/>
                <w:b/>
                <w:sz w:val="24"/>
                <w:szCs w:val="24"/>
              </w:rPr>
              <w:t>、1</w:t>
            </w:r>
            <w:r>
              <w:rPr>
                <w:rFonts w:cs="Times New Roman"/>
                <w:b/>
                <w:sz w:val="24"/>
                <w:szCs w:val="24"/>
              </w:rPr>
              <w:t>3248</w:t>
            </w:r>
            <w:r>
              <w:rPr>
                <w:rFonts w:hint="eastAsia" w:cs="Times New Roman"/>
                <w:b/>
                <w:sz w:val="24"/>
                <w:szCs w:val="24"/>
              </w:rPr>
              <w:t>m</w:t>
            </w:r>
            <w:r>
              <w:rPr>
                <w:rFonts w:cs="Times New Roman"/>
                <w:b/>
                <w:sz w:val="24"/>
                <w:szCs w:val="24"/>
                <w:vertAlign w:val="superscript"/>
              </w:rPr>
              <w:t>3</w:t>
            </w:r>
            <w:r>
              <w:rPr>
                <w:rFonts w:cs="Times New Roman"/>
                <w:b/>
                <w:sz w:val="24"/>
                <w:szCs w:val="24"/>
              </w:rPr>
              <w:t>/h</w:t>
            </w:r>
            <w:r>
              <w:rPr>
                <w:rFonts w:hint="eastAsia" w:cs="Times New Roman"/>
                <w:b/>
                <w:sz w:val="24"/>
                <w:szCs w:val="24"/>
              </w:rPr>
              <w:t>、4</w:t>
            </w:r>
            <w:r>
              <w:rPr>
                <w:rFonts w:cs="Times New Roman"/>
                <w:b/>
                <w:sz w:val="24"/>
                <w:szCs w:val="24"/>
              </w:rPr>
              <w:t>320</w:t>
            </w:r>
            <w:r>
              <w:rPr>
                <w:rFonts w:hint="eastAsia" w:cs="Times New Roman"/>
                <w:b/>
                <w:sz w:val="24"/>
                <w:szCs w:val="24"/>
              </w:rPr>
              <w:t>m</w:t>
            </w:r>
            <w:r>
              <w:rPr>
                <w:rFonts w:cs="Times New Roman"/>
                <w:b/>
                <w:sz w:val="24"/>
                <w:szCs w:val="24"/>
                <w:vertAlign w:val="superscript"/>
              </w:rPr>
              <w:t>3</w:t>
            </w:r>
            <w:r>
              <w:rPr>
                <w:rFonts w:cs="Times New Roman"/>
                <w:b/>
                <w:sz w:val="24"/>
                <w:szCs w:val="24"/>
              </w:rPr>
              <w:t>/h</w:t>
            </w:r>
            <w:r>
              <w:rPr>
                <w:rFonts w:hint="eastAsia" w:cs="Times New Roman"/>
                <w:b/>
                <w:sz w:val="24"/>
                <w:szCs w:val="24"/>
              </w:rPr>
              <w:t>），各设1台袋式除尘器（TA153~TA155，处理效率按9</w:t>
            </w:r>
            <w:r>
              <w:rPr>
                <w:rFonts w:cs="Times New Roman"/>
                <w:b/>
                <w:sz w:val="24"/>
                <w:szCs w:val="24"/>
              </w:rPr>
              <w:t>9.</w:t>
            </w:r>
            <w:r>
              <w:rPr>
                <w:rFonts w:hint="eastAsia" w:cs="Times New Roman"/>
                <w:b/>
                <w:sz w:val="24"/>
                <w:szCs w:val="24"/>
              </w:rPr>
              <w:t>9</w:t>
            </w:r>
            <w:r>
              <w:rPr>
                <w:rFonts w:cs="Times New Roman"/>
                <w:b/>
                <w:sz w:val="24"/>
                <w:szCs w:val="24"/>
              </w:rPr>
              <w:t>%</w:t>
            </w:r>
            <w:r>
              <w:rPr>
                <w:rFonts w:hint="eastAsia" w:cs="Times New Roman"/>
                <w:b/>
                <w:sz w:val="24"/>
                <w:szCs w:val="24"/>
              </w:rPr>
              <w:t>计）+</w:t>
            </w:r>
            <w:r>
              <w:rPr>
                <w:rFonts w:cs="Times New Roman"/>
                <w:b/>
                <w:sz w:val="24"/>
                <w:szCs w:val="24"/>
              </w:rPr>
              <w:t>20</w:t>
            </w:r>
            <w:r>
              <w:rPr>
                <w:rFonts w:hint="eastAsia" w:cs="Times New Roman"/>
                <w:b/>
                <w:sz w:val="24"/>
                <w:szCs w:val="24"/>
              </w:rPr>
              <w:t>m高排气筒（DA153~DA</w:t>
            </w:r>
            <w:r>
              <w:rPr>
                <w:rFonts w:cs="Times New Roman"/>
                <w:b/>
                <w:sz w:val="24"/>
                <w:szCs w:val="24"/>
              </w:rPr>
              <w:t>1</w:t>
            </w:r>
            <w:r>
              <w:rPr>
                <w:rFonts w:hint="eastAsia" w:cs="Times New Roman"/>
                <w:b/>
                <w:sz w:val="24"/>
                <w:szCs w:val="24"/>
              </w:rPr>
              <w:t>55）。</w:t>
            </w:r>
            <w:r>
              <w:rPr>
                <w:rFonts w:hint="eastAsia" w:cs="Times New Roman"/>
                <w:bCs/>
                <w:sz w:val="24"/>
                <w:szCs w:val="24"/>
              </w:rPr>
              <w:t>各贮仓</w:t>
            </w:r>
            <w:r>
              <w:rPr>
                <w:rFonts w:hint="eastAsia" w:cs="Times New Roman"/>
                <w:sz w:val="24"/>
                <w:szCs w:val="24"/>
              </w:rPr>
              <w:t>粉尘通过袋式除尘器处理后有组织排放。</w:t>
            </w:r>
          </w:p>
          <w:p>
            <w:pPr>
              <w:spacing w:line="360" w:lineRule="auto"/>
              <w:ind w:firstLine="482" w:firstLineChars="200"/>
              <w:rPr>
                <w:rFonts w:cs="Times New Roman"/>
                <w:b/>
                <w:sz w:val="24"/>
                <w:szCs w:val="24"/>
              </w:rPr>
            </w:pPr>
            <w:r>
              <w:rPr>
                <w:rFonts w:hint="eastAsia" w:cs="Times New Roman"/>
                <w:b/>
                <w:sz w:val="24"/>
                <w:szCs w:val="24"/>
              </w:rPr>
              <w:t>装车粉尘</w:t>
            </w:r>
            <w:r>
              <w:rPr>
                <w:rFonts w:hint="eastAsia" w:cs="Times New Roman"/>
                <w:bCs/>
                <w:sz w:val="24"/>
                <w:szCs w:val="24"/>
              </w:rPr>
              <w:t>：根据</w:t>
            </w:r>
            <w:r>
              <w:rPr>
                <w:rFonts w:hint="eastAsia"/>
                <w:sz w:val="24"/>
                <w:szCs w:val="24"/>
              </w:rPr>
              <w:t>现场调查</w:t>
            </w:r>
            <w:r>
              <w:rPr>
                <w:rFonts w:hint="eastAsia" w:cs="Times New Roman"/>
                <w:bCs/>
                <w:sz w:val="24"/>
                <w:szCs w:val="24"/>
              </w:rPr>
              <w:t>，</w:t>
            </w:r>
            <w:r>
              <w:rPr>
                <w:rFonts w:hint="eastAsia" w:cs="Times New Roman"/>
                <w:b/>
                <w:sz w:val="24"/>
                <w:szCs w:val="24"/>
              </w:rPr>
              <w:t>现有钢板仓、骨料仓设封闭式装车区，配套自动卷帘门，装车过程封闭作业，装卸口设集气罩（收集效率按90%计）接入现有骨料仓袋式除尘器（TA137~TA138）。同时本次新建钢板仓、成品砂库设封闭式装车区，配套自动卷帘门，采取封闭装车作业，装卸口设集气罩（收集效率按90%计）接入骨料仓袋式除尘器（TA153~TA154）。</w:t>
            </w:r>
            <w:r>
              <w:rPr>
                <w:rFonts w:hint="eastAsia" w:cs="Times New Roman"/>
                <w:bCs/>
                <w:sz w:val="24"/>
                <w:szCs w:val="24"/>
              </w:rPr>
              <w:t>装车</w:t>
            </w:r>
            <w:r>
              <w:rPr>
                <w:rFonts w:hint="eastAsia" w:cs="Times New Roman"/>
                <w:sz w:val="24"/>
                <w:szCs w:val="24"/>
              </w:rPr>
              <w:t>粉尘经收集通过袋式除尘器处理后有组织排放，</w:t>
            </w:r>
            <w:r>
              <w:rPr>
                <w:rFonts w:hint="eastAsia" w:cs="Times New Roman"/>
                <w:b/>
                <w:bCs/>
                <w:sz w:val="24"/>
                <w:szCs w:val="24"/>
              </w:rPr>
              <w:t>未经收集的粉尘则通过密闭沉降（降尘效率参照《固体物料堆存颗粒物产排污核算系数手册》取值99%）处理后无组织排放</w:t>
            </w:r>
            <w:r>
              <w:rPr>
                <w:rFonts w:hint="eastAsia" w:cs="Times New Roman"/>
                <w:sz w:val="24"/>
                <w:szCs w:val="24"/>
              </w:rPr>
              <w:t>。</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31"/>
              <w:gridCol w:w="4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1" w:type="dxa"/>
                  <w:vAlign w:val="center"/>
                </w:tcPr>
                <w:p>
                  <w:pPr>
                    <w:jc w:val="center"/>
                    <w:rPr>
                      <w:rFonts w:cs="Times New Roman"/>
                      <w:szCs w:val="21"/>
                    </w:rPr>
                  </w:pPr>
                  <w:r>
                    <w:drawing>
                      <wp:inline distT="0" distB="0" distL="0" distR="0">
                        <wp:extent cx="2219325" cy="1665605"/>
                        <wp:effectExtent l="0" t="0" r="0" b="0"/>
                        <wp:docPr id="2106859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59961" name="图片 1"/>
                                <pic:cNvPicPr>
                                  <a:picLocks noChangeAspect="1"/>
                                </pic:cNvPicPr>
                              </pic:nvPicPr>
                              <pic:blipFill>
                                <a:blip r:embed="rId36"/>
                                <a:stretch>
                                  <a:fillRect/>
                                </a:stretch>
                              </pic:blipFill>
                              <pic:spPr>
                                <a:xfrm>
                                  <a:off x="0" y="0"/>
                                  <a:ext cx="2237465" cy="1679375"/>
                                </a:xfrm>
                                <a:prstGeom prst="rect">
                                  <a:avLst/>
                                </a:prstGeom>
                              </pic:spPr>
                            </pic:pic>
                          </a:graphicData>
                        </a:graphic>
                      </wp:inline>
                    </w:drawing>
                  </w:r>
                </w:p>
              </w:tc>
              <w:tc>
                <w:tcPr>
                  <w:tcW w:w="4331" w:type="dxa"/>
                  <w:vAlign w:val="center"/>
                </w:tcPr>
                <w:p>
                  <w:pPr>
                    <w:jc w:val="center"/>
                    <w:rPr>
                      <w:rFonts w:cs="Times New Roman"/>
                      <w:szCs w:val="21"/>
                    </w:rPr>
                  </w:pPr>
                  <w:r>
                    <w:drawing>
                      <wp:inline distT="0" distB="0" distL="0" distR="0">
                        <wp:extent cx="2271395" cy="1705610"/>
                        <wp:effectExtent l="0" t="0" r="0" b="8890"/>
                        <wp:docPr id="485414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14842" name="图片 1"/>
                                <pic:cNvPicPr>
                                  <a:picLocks noChangeAspect="1"/>
                                </pic:cNvPicPr>
                              </pic:nvPicPr>
                              <pic:blipFill>
                                <a:blip r:embed="rId32"/>
                                <a:stretch>
                                  <a:fillRect/>
                                </a:stretch>
                              </pic:blipFill>
                              <pic:spPr>
                                <a:xfrm>
                                  <a:off x="0" y="0"/>
                                  <a:ext cx="2282833" cy="171413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62" w:type="dxa"/>
                  <w:gridSpan w:val="2"/>
                  <w:vAlign w:val="center"/>
                </w:tcPr>
                <w:p>
                  <w:pPr>
                    <w:spacing w:line="360" w:lineRule="auto"/>
                    <w:jc w:val="center"/>
                    <w:rPr>
                      <w:rFonts w:cs="Times New Roman"/>
                      <w:szCs w:val="21"/>
                    </w:rPr>
                  </w:pPr>
                  <w:r>
                    <w:rPr>
                      <w:rFonts w:eastAsia="黑体" w:cs="Times New Roman"/>
                    </w:rPr>
                    <w:t>图</w:t>
                  </w:r>
                  <w:r>
                    <w:rPr>
                      <w:rFonts w:hint="eastAsia" w:eastAsia="黑体" w:cs="Times New Roman"/>
                    </w:rPr>
                    <w:t>4-1</w:t>
                  </w:r>
                  <w:r>
                    <w:rPr>
                      <w:rFonts w:eastAsia="黑体" w:cs="Times New Roman"/>
                    </w:rPr>
                    <w:t xml:space="preserve">  </w:t>
                  </w:r>
                  <w:r>
                    <w:rPr>
                      <w:rFonts w:hint="eastAsia" w:eastAsia="黑体" w:cs="Times New Roman"/>
                    </w:rPr>
                    <w:t>贮仓封闭式装车区</w:t>
                  </w:r>
                </w:p>
              </w:tc>
            </w:tr>
          </w:tbl>
          <w:p>
            <w:pPr>
              <w:spacing w:line="360" w:lineRule="auto"/>
              <w:ind w:firstLine="482" w:firstLineChars="200"/>
              <w:rPr>
                <w:b/>
                <w:sz w:val="24"/>
                <w:szCs w:val="24"/>
              </w:rPr>
            </w:pPr>
            <w:r>
              <w:rPr>
                <w:rFonts w:hint="eastAsia"/>
                <w:b/>
                <w:sz w:val="24"/>
                <w:szCs w:val="24"/>
              </w:rPr>
              <w:t>③排放情况</w:t>
            </w:r>
          </w:p>
          <w:p>
            <w:pPr>
              <w:spacing w:line="360" w:lineRule="auto"/>
              <w:ind w:firstLine="480" w:firstLineChars="200"/>
              <w:rPr>
                <w:rFonts w:cs="Times New Roman"/>
                <w:sz w:val="24"/>
                <w:szCs w:val="24"/>
              </w:rPr>
            </w:pPr>
            <w:r>
              <w:rPr>
                <w:rFonts w:hint="eastAsia" w:cs="Times New Roman"/>
                <w:sz w:val="24"/>
                <w:szCs w:val="24"/>
              </w:rPr>
              <w:t>根据计算，本次改建前后贮仓和装车粉尘排放信息见下表：</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-7</w:t>
            </w:r>
            <w:r>
              <w:rPr>
                <w:rFonts w:eastAsia="黑体" w:cs="Times New Roman"/>
                <w:szCs w:val="21"/>
              </w:rPr>
              <w:t xml:space="preserve">  </w:t>
            </w:r>
            <w:r>
              <w:rPr>
                <w:rFonts w:hint="eastAsia" w:eastAsia="黑体" w:cs="Times New Roman"/>
                <w:szCs w:val="21"/>
              </w:rPr>
              <w:t>改建前贮仓和装车粉尘排放信息表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777"/>
              <w:gridCol w:w="838"/>
              <w:gridCol w:w="948"/>
              <w:gridCol w:w="840"/>
              <w:gridCol w:w="840"/>
              <w:gridCol w:w="849"/>
              <w:gridCol w:w="838"/>
              <w:gridCol w:w="840"/>
              <w:gridCol w:w="792"/>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restart"/>
                  <w:vAlign w:val="center"/>
                </w:tcPr>
                <w:p>
                  <w:pPr>
                    <w:jc w:val="center"/>
                    <w:rPr>
                      <w:szCs w:val="21"/>
                    </w:rPr>
                  </w:pPr>
                  <w:r>
                    <w:rPr>
                      <w:szCs w:val="21"/>
                    </w:rPr>
                    <w:t>污染源</w:t>
                  </w:r>
                </w:p>
              </w:tc>
              <w:tc>
                <w:tcPr>
                  <w:tcW w:w="425" w:type="pct"/>
                  <w:vMerge w:val="restart"/>
                  <w:vAlign w:val="center"/>
                </w:tcPr>
                <w:p>
                  <w:pPr>
                    <w:jc w:val="center"/>
                    <w:rPr>
                      <w:szCs w:val="21"/>
                    </w:rPr>
                  </w:pPr>
                  <w:r>
                    <w:rPr>
                      <w:szCs w:val="21"/>
                    </w:rPr>
                    <w:t>污染物种类</w:t>
                  </w:r>
                </w:p>
              </w:tc>
              <w:tc>
                <w:tcPr>
                  <w:tcW w:w="458" w:type="pct"/>
                  <w:vMerge w:val="restart"/>
                  <w:vAlign w:val="center"/>
                </w:tcPr>
                <w:p>
                  <w:pPr>
                    <w:jc w:val="center"/>
                    <w:rPr>
                      <w:szCs w:val="21"/>
                    </w:rPr>
                  </w:pPr>
                  <w:r>
                    <w:rPr>
                      <w:szCs w:val="21"/>
                    </w:rPr>
                    <w:t>污染物产生</w:t>
                  </w:r>
                  <w:r>
                    <w:rPr>
                      <w:rFonts w:hint="eastAsia"/>
                      <w:szCs w:val="21"/>
                    </w:rPr>
                    <w:t>量</w:t>
                  </w:r>
                </w:p>
                <w:p>
                  <w:pPr>
                    <w:jc w:val="center"/>
                    <w:rPr>
                      <w:szCs w:val="21"/>
                    </w:rPr>
                  </w:pPr>
                  <w:r>
                    <w:rPr>
                      <w:szCs w:val="21"/>
                    </w:rPr>
                    <w:t>(</w:t>
                  </w:r>
                  <w:r>
                    <w:rPr>
                      <w:rFonts w:hint="eastAsia"/>
                      <w:szCs w:val="21"/>
                    </w:rPr>
                    <w:t>t</w:t>
                  </w:r>
                  <w:r>
                    <w:rPr>
                      <w:szCs w:val="21"/>
                    </w:rPr>
                    <w:t>/a)</w:t>
                  </w:r>
                </w:p>
              </w:tc>
              <w:tc>
                <w:tcPr>
                  <w:tcW w:w="3250" w:type="pct"/>
                  <w:gridSpan w:val="7"/>
                  <w:vAlign w:val="center"/>
                </w:tcPr>
                <w:p>
                  <w:pPr>
                    <w:jc w:val="center"/>
                    <w:rPr>
                      <w:szCs w:val="21"/>
                    </w:rPr>
                  </w:pPr>
                  <w:r>
                    <w:rPr>
                      <w:szCs w:val="21"/>
                    </w:rPr>
                    <w:t>排放情况</w:t>
                  </w:r>
                </w:p>
              </w:tc>
              <w:tc>
                <w:tcPr>
                  <w:tcW w:w="482" w:type="pct"/>
                  <w:vMerge w:val="restart"/>
                  <w:vAlign w:val="center"/>
                </w:tcPr>
                <w:p>
                  <w:pPr>
                    <w:jc w:val="center"/>
                    <w:rPr>
                      <w:szCs w:val="21"/>
                    </w:rPr>
                  </w:pPr>
                  <w:r>
                    <w:rPr>
                      <w:szCs w:val="21"/>
                    </w:rPr>
                    <w:t>排气筒编号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continue"/>
                  <w:vAlign w:val="center"/>
                </w:tcPr>
                <w:p>
                  <w:pPr>
                    <w:jc w:val="center"/>
                    <w:rPr>
                      <w:szCs w:val="21"/>
                    </w:rPr>
                  </w:pPr>
                </w:p>
              </w:tc>
              <w:tc>
                <w:tcPr>
                  <w:tcW w:w="425" w:type="pct"/>
                  <w:vMerge w:val="continue"/>
                  <w:vAlign w:val="center"/>
                </w:tcPr>
                <w:p>
                  <w:pPr>
                    <w:jc w:val="center"/>
                    <w:rPr>
                      <w:szCs w:val="21"/>
                    </w:rPr>
                  </w:pPr>
                </w:p>
              </w:tc>
              <w:tc>
                <w:tcPr>
                  <w:tcW w:w="458" w:type="pct"/>
                  <w:vMerge w:val="continue"/>
                  <w:vAlign w:val="center"/>
                </w:tcPr>
                <w:p>
                  <w:pPr>
                    <w:jc w:val="center"/>
                    <w:rPr>
                      <w:szCs w:val="21"/>
                    </w:rPr>
                  </w:pPr>
                </w:p>
              </w:tc>
              <w:tc>
                <w:tcPr>
                  <w:tcW w:w="518" w:type="pct"/>
                  <w:vMerge w:val="restart"/>
                  <w:vAlign w:val="center"/>
                </w:tcPr>
                <w:p>
                  <w:pPr>
                    <w:jc w:val="center"/>
                    <w:rPr>
                      <w:szCs w:val="21"/>
                    </w:rPr>
                  </w:pPr>
                  <w:r>
                    <w:rPr>
                      <w:szCs w:val="21"/>
                    </w:rPr>
                    <w:t>废气量</w:t>
                  </w:r>
                  <w:r>
                    <w:rPr>
                      <w:rFonts w:hint="eastAsia"/>
                      <w:szCs w:val="21"/>
                    </w:rPr>
                    <w:t>(</w:t>
                  </w:r>
                  <w:r>
                    <w:rPr>
                      <w:szCs w:val="21"/>
                    </w:rPr>
                    <w:t>m</w:t>
                  </w:r>
                  <w:r>
                    <w:rPr>
                      <w:szCs w:val="21"/>
                      <w:vertAlign w:val="superscript"/>
                    </w:rPr>
                    <w:t>3</w:t>
                  </w:r>
                  <w:r>
                    <w:rPr>
                      <w:szCs w:val="21"/>
                    </w:rPr>
                    <w:t>/h</w:t>
                  </w:r>
                  <w:r>
                    <w:rPr>
                      <w:rFonts w:hint="eastAsia"/>
                      <w:szCs w:val="21"/>
                    </w:rPr>
                    <w:t>)</w:t>
                  </w:r>
                </w:p>
              </w:tc>
              <w:tc>
                <w:tcPr>
                  <w:tcW w:w="1382" w:type="pct"/>
                  <w:gridSpan w:val="3"/>
                  <w:vAlign w:val="center"/>
                </w:tcPr>
                <w:p>
                  <w:pPr>
                    <w:jc w:val="center"/>
                    <w:rPr>
                      <w:szCs w:val="21"/>
                    </w:rPr>
                  </w:pPr>
                  <w:r>
                    <w:rPr>
                      <w:szCs w:val="21"/>
                    </w:rPr>
                    <w:t>有组织</w:t>
                  </w:r>
                </w:p>
              </w:tc>
              <w:tc>
                <w:tcPr>
                  <w:tcW w:w="917" w:type="pct"/>
                  <w:gridSpan w:val="2"/>
                  <w:vAlign w:val="center"/>
                </w:tcPr>
                <w:p>
                  <w:pPr>
                    <w:jc w:val="center"/>
                    <w:rPr>
                      <w:szCs w:val="21"/>
                    </w:rPr>
                  </w:pPr>
                  <w:r>
                    <w:rPr>
                      <w:szCs w:val="21"/>
                    </w:rPr>
                    <w:t>无组织</w:t>
                  </w:r>
                </w:p>
              </w:tc>
              <w:tc>
                <w:tcPr>
                  <w:tcW w:w="433" w:type="pct"/>
                  <w:vMerge w:val="restart"/>
                  <w:vAlign w:val="center"/>
                </w:tcPr>
                <w:p>
                  <w:pPr>
                    <w:jc w:val="center"/>
                    <w:rPr>
                      <w:szCs w:val="21"/>
                    </w:rPr>
                  </w:pPr>
                  <w:r>
                    <w:rPr>
                      <w:szCs w:val="21"/>
                    </w:rPr>
                    <w:t>排放时间</w:t>
                  </w:r>
                  <w:r>
                    <w:rPr>
                      <w:rFonts w:hint="eastAsia"/>
                      <w:szCs w:val="21"/>
                    </w:rPr>
                    <w:t>(</w:t>
                  </w:r>
                  <w:r>
                    <w:rPr>
                      <w:szCs w:val="21"/>
                    </w:rPr>
                    <w:t>h)</w:t>
                  </w:r>
                </w:p>
              </w:tc>
              <w:tc>
                <w:tcPr>
                  <w:tcW w:w="482"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continue"/>
                  <w:vAlign w:val="center"/>
                </w:tcPr>
                <w:p>
                  <w:pPr>
                    <w:jc w:val="center"/>
                    <w:rPr>
                      <w:szCs w:val="21"/>
                    </w:rPr>
                  </w:pPr>
                </w:p>
              </w:tc>
              <w:tc>
                <w:tcPr>
                  <w:tcW w:w="425" w:type="pct"/>
                  <w:vMerge w:val="continue"/>
                  <w:vAlign w:val="center"/>
                </w:tcPr>
                <w:p>
                  <w:pPr>
                    <w:jc w:val="center"/>
                    <w:rPr>
                      <w:szCs w:val="21"/>
                    </w:rPr>
                  </w:pPr>
                </w:p>
              </w:tc>
              <w:tc>
                <w:tcPr>
                  <w:tcW w:w="458" w:type="pct"/>
                  <w:vMerge w:val="continue"/>
                  <w:vAlign w:val="center"/>
                </w:tcPr>
                <w:p>
                  <w:pPr>
                    <w:jc w:val="center"/>
                    <w:rPr>
                      <w:szCs w:val="21"/>
                    </w:rPr>
                  </w:pPr>
                </w:p>
              </w:tc>
              <w:tc>
                <w:tcPr>
                  <w:tcW w:w="518" w:type="pct"/>
                  <w:vMerge w:val="continue"/>
                  <w:vAlign w:val="center"/>
                </w:tcPr>
                <w:p>
                  <w:pPr>
                    <w:jc w:val="center"/>
                    <w:rPr>
                      <w:szCs w:val="21"/>
                    </w:rPr>
                  </w:pPr>
                </w:p>
              </w:tc>
              <w:tc>
                <w:tcPr>
                  <w:tcW w:w="459" w:type="pct"/>
                  <w:vAlign w:val="center"/>
                </w:tcPr>
                <w:p>
                  <w:pPr>
                    <w:jc w:val="center"/>
                    <w:rPr>
                      <w:szCs w:val="21"/>
                    </w:rPr>
                  </w:pPr>
                  <w:r>
                    <w:rPr>
                      <w:szCs w:val="21"/>
                    </w:rPr>
                    <w:t>mg/m</w:t>
                  </w:r>
                  <w:r>
                    <w:rPr>
                      <w:szCs w:val="21"/>
                      <w:vertAlign w:val="superscript"/>
                    </w:rPr>
                    <w:t>3</w:t>
                  </w:r>
                </w:p>
              </w:tc>
              <w:tc>
                <w:tcPr>
                  <w:tcW w:w="459" w:type="pct"/>
                  <w:vAlign w:val="center"/>
                </w:tcPr>
                <w:p>
                  <w:pPr>
                    <w:jc w:val="center"/>
                    <w:rPr>
                      <w:szCs w:val="21"/>
                    </w:rPr>
                  </w:pPr>
                  <w:r>
                    <w:rPr>
                      <w:szCs w:val="21"/>
                    </w:rPr>
                    <w:t>kg/h</w:t>
                  </w:r>
                </w:p>
              </w:tc>
              <w:tc>
                <w:tcPr>
                  <w:tcW w:w="464" w:type="pct"/>
                  <w:vAlign w:val="center"/>
                </w:tcPr>
                <w:p>
                  <w:pPr>
                    <w:jc w:val="center"/>
                    <w:rPr>
                      <w:szCs w:val="21"/>
                    </w:rPr>
                  </w:pPr>
                  <w:r>
                    <w:rPr>
                      <w:rFonts w:hint="eastAsia"/>
                      <w:szCs w:val="21"/>
                    </w:rPr>
                    <w:t>t</w:t>
                  </w:r>
                  <w:r>
                    <w:rPr>
                      <w:szCs w:val="21"/>
                    </w:rPr>
                    <w:t>/a</w:t>
                  </w:r>
                </w:p>
              </w:tc>
              <w:tc>
                <w:tcPr>
                  <w:tcW w:w="458" w:type="pct"/>
                  <w:vAlign w:val="center"/>
                </w:tcPr>
                <w:p>
                  <w:pPr>
                    <w:jc w:val="center"/>
                    <w:rPr>
                      <w:szCs w:val="21"/>
                    </w:rPr>
                  </w:pPr>
                  <w:r>
                    <w:rPr>
                      <w:szCs w:val="21"/>
                    </w:rPr>
                    <w:t>kg/h</w:t>
                  </w:r>
                </w:p>
              </w:tc>
              <w:tc>
                <w:tcPr>
                  <w:tcW w:w="459" w:type="pct"/>
                  <w:vAlign w:val="center"/>
                </w:tcPr>
                <w:p>
                  <w:pPr>
                    <w:jc w:val="center"/>
                    <w:rPr>
                      <w:szCs w:val="21"/>
                    </w:rPr>
                  </w:pPr>
                  <w:r>
                    <w:rPr>
                      <w:szCs w:val="21"/>
                    </w:rPr>
                    <w:t>t/a</w:t>
                  </w:r>
                </w:p>
              </w:tc>
              <w:tc>
                <w:tcPr>
                  <w:tcW w:w="433" w:type="pct"/>
                  <w:vMerge w:val="continue"/>
                  <w:vAlign w:val="center"/>
                </w:tcPr>
                <w:p>
                  <w:pPr>
                    <w:jc w:val="center"/>
                    <w:rPr>
                      <w:szCs w:val="21"/>
                    </w:rPr>
                  </w:pPr>
                </w:p>
              </w:tc>
              <w:tc>
                <w:tcPr>
                  <w:tcW w:w="482"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pPr>
                    <w:jc w:val="center"/>
                    <w:rPr>
                      <w:szCs w:val="21"/>
                    </w:rPr>
                  </w:pPr>
                  <w:r>
                    <w:rPr>
                      <w:rFonts w:hint="eastAsia"/>
                      <w:szCs w:val="21"/>
                    </w:rPr>
                    <w:t>粉料钢板仓</w:t>
                  </w:r>
                </w:p>
              </w:tc>
              <w:tc>
                <w:tcPr>
                  <w:tcW w:w="425" w:type="pct"/>
                  <w:vAlign w:val="center"/>
                </w:tcPr>
                <w:p>
                  <w:pPr>
                    <w:jc w:val="center"/>
                    <w:rPr>
                      <w:szCs w:val="21"/>
                    </w:rPr>
                  </w:pPr>
                  <w:r>
                    <w:rPr>
                      <w:rFonts w:hint="eastAsia"/>
                      <w:szCs w:val="21"/>
                    </w:rPr>
                    <w:t>颗粒物</w:t>
                  </w:r>
                </w:p>
              </w:tc>
              <w:tc>
                <w:tcPr>
                  <w:tcW w:w="458" w:type="pct"/>
                  <w:vAlign w:val="center"/>
                </w:tcPr>
                <w:p>
                  <w:pPr>
                    <w:widowControl/>
                    <w:jc w:val="center"/>
                    <w:rPr>
                      <w:rFonts w:cs="Times New Roman"/>
                      <w:kern w:val="0"/>
                      <w:szCs w:val="21"/>
                    </w:rPr>
                  </w:pPr>
                  <w:r>
                    <w:rPr>
                      <w:rFonts w:hint="eastAsia" w:cs="Times New Roman"/>
                      <w:szCs w:val="21"/>
                    </w:rPr>
                    <w:t>39.6</w:t>
                  </w:r>
                </w:p>
              </w:tc>
              <w:tc>
                <w:tcPr>
                  <w:tcW w:w="518" w:type="pct"/>
                  <w:vAlign w:val="center"/>
                </w:tcPr>
                <w:p>
                  <w:pPr>
                    <w:jc w:val="center"/>
                    <w:rPr>
                      <w:rFonts w:cs="Times New Roman"/>
                      <w:szCs w:val="21"/>
                    </w:rPr>
                  </w:pPr>
                  <w:r>
                    <w:rPr>
                      <w:rFonts w:cs="Times New Roman"/>
                      <w:szCs w:val="21"/>
                    </w:rPr>
                    <w:t>8000</w:t>
                  </w:r>
                </w:p>
              </w:tc>
              <w:tc>
                <w:tcPr>
                  <w:tcW w:w="459" w:type="pct"/>
                  <w:vAlign w:val="center"/>
                </w:tcPr>
                <w:p>
                  <w:pPr>
                    <w:jc w:val="center"/>
                    <w:rPr>
                      <w:rFonts w:cs="Times New Roman"/>
                      <w:szCs w:val="21"/>
                    </w:rPr>
                  </w:pPr>
                  <w:r>
                    <w:rPr>
                      <w:rFonts w:cs="Times New Roman"/>
                      <w:szCs w:val="21"/>
                    </w:rPr>
                    <w:t>2.062</w:t>
                  </w:r>
                </w:p>
              </w:tc>
              <w:tc>
                <w:tcPr>
                  <w:tcW w:w="459" w:type="pct"/>
                  <w:vAlign w:val="center"/>
                </w:tcPr>
                <w:p>
                  <w:pPr>
                    <w:jc w:val="center"/>
                    <w:rPr>
                      <w:rFonts w:cs="Times New Roman"/>
                      <w:szCs w:val="21"/>
                    </w:rPr>
                  </w:pPr>
                  <w:r>
                    <w:rPr>
                      <w:rFonts w:cs="Times New Roman"/>
                      <w:szCs w:val="21"/>
                    </w:rPr>
                    <w:t>0.016</w:t>
                  </w:r>
                </w:p>
              </w:tc>
              <w:tc>
                <w:tcPr>
                  <w:tcW w:w="464" w:type="pct"/>
                  <w:vAlign w:val="center"/>
                </w:tcPr>
                <w:p>
                  <w:pPr>
                    <w:jc w:val="center"/>
                    <w:rPr>
                      <w:rFonts w:cs="Times New Roman"/>
                      <w:szCs w:val="21"/>
                    </w:rPr>
                  </w:pPr>
                  <w:r>
                    <w:rPr>
                      <w:rFonts w:cs="Times New Roman"/>
                      <w:szCs w:val="21"/>
                    </w:rPr>
                    <w:t>0.040</w:t>
                  </w:r>
                </w:p>
              </w:tc>
              <w:tc>
                <w:tcPr>
                  <w:tcW w:w="458" w:type="pct"/>
                  <w:vAlign w:val="center"/>
                </w:tcPr>
                <w:p>
                  <w:pPr>
                    <w:jc w:val="center"/>
                    <w:rPr>
                      <w:rFonts w:cs="Times New Roman"/>
                      <w:szCs w:val="21"/>
                    </w:rPr>
                  </w:pPr>
                  <w:r>
                    <w:rPr>
                      <w:rFonts w:hint="eastAsia" w:cs="Times New Roman"/>
                      <w:szCs w:val="21"/>
                    </w:rPr>
                    <w:t>/</w:t>
                  </w:r>
                </w:p>
              </w:tc>
              <w:tc>
                <w:tcPr>
                  <w:tcW w:w="459" w:type="pct"/>
                  <w:vAlign w:val="center"/>
                </w:tcPr>
                <w:p>
                  <w:pPr>
                    <w:jc w:val="center"/>
                    <w:rPr>
                      <w:rFonts w:cs="Times New Roman"/>
                      <w:szCs w:val="21"/>
                    </w:rPr>
                  </w:pPr>
                  <w:r>
                    <w:rPr>
                      <w:rFonts w:hint="eastAsia" w:cs="Times New Roman"/>
                      <w:szCs w:val="21"/>
                    </w:rPr>
                    <w:t>/</w:t>
                  </w:r>
                </w:p>
              </w:tc>
              <w:tc>
                <w:tcPr>
                  <w:tcW w:w="433" w:type="pct"/>
                  <w:vAlign w:val="center"/>
                </w:tcPr>
                <w:p>
                  <w:pPr>
                    <w:jc w:val="center"/>
                    <w:rPr>
                      <w:szCs w:val="21"/>
                    </w:rPr>
                  </w:pPr>
                  <w:r>
                    <w:rPr>
                      <w:rFonts w:cs="Times New Roman"/>
                      <w:szCs w:val="21"/>
                    </w:rPr>
                    <w:t>2400</w:t>
                  </w:r>
                </w:p>
              </w:tc>
              <w:tc>
                <w:tcPr>
                  <w:tcW w:w="482" w:type="pct"/>
                  <w:vAlign w:val="center"/>
                </w:tcPr>
                <w:p>
                  <w:pPr>
                    <w:jc w:val="center"/>
                    <w:rPr>
                      <w:szCs w:val="21"/>
                    </w:rPr>
                  </w:pPr>
                  <w:r>
                    <w:rPr>
                      <w:rFonts w:cs="Times New Roman"/>
                      <w:szCs w:val="21"/>
                    </w:rPr>
                    <w:t>DA115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pPr>
                    <w:jc w:val="center"/>
                    <w:rPr>
                      <w:szCs w:val="21"/>
                    </w:rPr>
                  </w:pPr>
                  <w:r>
                    <w:rPr>
                      <w:rFonts w:hint="eastAsia"/>
                      <w:szCs w:val="21"/>
                    </w:rPr>
                    <w:t>1</w:t>
                  </w:r>
                  <w:r>
                    <w:rPr>
                      <w:szCs w:val="21"/>
                    </w:rPr>
                    <w:t>#</w:t>
                  </w:r>
                  <w:r>
                    <w:rPr>
                      <w:rFonts w:hint="eastAsia"/>
                      <w:szCs w:val="21"/>
                    </w:rPr>
                    <w:t>骨料仓</w:t>
                  </w:r>
                </w:p>
              </w:tc>
              <w:tc>
                <w:tcPr>
                  <w:tcW w:w="425" w:type="pct"/>
                </w:tcPr>
                <w:p>
                  <w:pPr>
                    <w:jc w:val="center"/>
                    <w:rPr>
                      <w:szCs w:val="21"/>
                    </w:rPr>
                  </w:pPr>
                  <w:r>
                    <w:rPr>
                      <w:rFonts w:hint="eastAsia"/>
                      <w:szCs w:val="21"/>
                    </w:rPr>
                    <w:t>颗粒物</w:t>
                  </w:r>
                </w:p>
              </w:tc>
              <w:tc>
                <w:tcPr>
                  <w:tcW w:w="458" w:type="pct"/>
                  <w:vAlign w:val="center"/>
                </w:tcPr>
                <w:p>
                  <w:pPr>
                    <w:widowControl/>
                    <w:jc w:val="center"/>
                    <w:rPr>
                      <w:rFonts w:cs="Times New Roman"/>
                      <w:kern w:val="0"/>
                      <w:szCs w:val="21"/>
                    </w:rPr>
                  </w:pPr>
                  <w:r>
                    <w:rPr>
                      <w:rFonts w:hint="eastAsia"/>
                      <w:szCs w:val="21"/>
                    </w:rPr>
                    <w:t>93.8</w:t>
                  </w:r>
                </w:p>
              </w:tc>
              <w:tc>
                <w:tcPr>
                  <w:tcW w:w="518" w:type="pct"/>
                  <w:vAlign w:val="center"/>
                </w:tcPr>
                <w:p>
                  <w:pPr>
                    <w:jc w:val="center"/>
                    <w:rPr>
                      <w:rFonts w:cs="Times New Roman"/>
                      <w:szCs w:val="21"/>
                    </w:rPr>
                  </w:pPr>
                  <w:r>
                    <w:rPr>
                      <w:rFonts w:cs="Times New Roman"/>
                      <w:szCs w:val="21"/>
                    </w:rPr>
                    <w:t>8000</w:t>
                  </w:r>
                </w:p>
              </w:tc>
              <w:tc>
                <w:tcPr>
                  <w:tcW w:w="459" w:type="pct"/>
                  <w:vAlign w:val="center"/>
                </w:tcPr>
                <w:p>
                  <w:pPr>
                    <w:jc w:val="center"/>
                    <w:rPr>
                      <w:rFonts w:cs="Times New Roman"/>
                      <w:szCs w:val="21"/>
                    </w:rPr>
                  </w:pPr>
                  <w:r>
                    <w:rPr>
                      <w:rFonts w:cs="Times New Roman"/>
                      <w:szCs w:val="21"/>
                    </w:rPr>
                    <w:t>4.816</w:t>
                  </w:r>
                </w:p>
              </w:tc>
              <w:tc>
                <w:tcPr>
                  <w:tcW w:w="459" w:type="pct"/>
                  <w:vAlign w:val="center"/>
                </w:tcPr>
                <w:p>
                  <w:pPr>
                    <w:jc w:val="center"/>
                    <w:rPr>
                      <w:rFonts w:cs="Times New Roman"/>
                      <w:szCs w:val="21"/>
                    </w:rPr>
                  </w:pPr>
                  <w:r>
                    <w:rPr>
                      <w:rFonts w:cs="Times New Roman"/>
                      <w:szCs w:val="21"/>
                    </w:rPr>
                    <w:t>0.039</w:t>
                  </w:r>
                </w:p>
              </w:tc>
              <w:tc>
                <w:tcPr>
                  <w:tcW w:w="464" w:type="pct"/>
                  <w:vAlign w:val="center"/>
                </w:tcPr>
                <w:p>
                  <w:pPr>
                    <w:jc w:val="center"/>
                    <w:rPr>
                      <w:rFonts w:cs="Times New Roman"/>
                      <w:szCs w:val="21"/>
                    </w:rPr>
                  </w:pPr>
                  <w:r>
                    <w:rPr>
                      <w:rFonts w:cs="Times New Roman"/>
                      <w:szCs w:val="21"/>
                    </w:rPr>
                    <w:t>0.092</w:t>
                  </w:r>
                </w:p>
              </w:tc>
              <w:tc>
                <w:tcPr>
                  <w:tcW w:w="458" w:type="pct"/>
                  <w:vAlign w:val="center"/>
                </w:tcPr>
                <w:p>
                  <w:pPr>
                    <w:jc w:val="center"/>
                    <w:rPr>
                      <w:rFonts w:cs="Times New Roman"/>
                      <w:szCs w:val="21"/>
                    </w:rPr>
                  </w:pPr>
                  <w:r>
                    <w:rPr>
                      <w:rFonts w:cs="Times New Roman"/>
                      <w:szCs w:val="21"/>
                    </w:rPr>
                    <w:t>0.006</w:t>
                  </w:r>
                </w:p>
              </w:tc>
              <w:tc>
                <w:tcPr>
                  <w:tcW w:w="459" w:type="pct"/>
                  <w:vAlign w:val="center"/>
                </w:tcPr>
                <w:p>
                  <w:pPr>
                    <w:jc w:val="center"/>
                    <w:rPr>
                      <w:rFonts w:cs="Times New Roman"/>
                      <w:szCs w:val="21"/>
                    </w:rPr>
                  </w:pPr>
                  <w:r>
                    <w:rPr>
                      <w:rFonts w:cs="Times New Roman"/>
                      <w:szCs w:val="21"/>
                    </w:rPr>
                    <w:t>0.013</w:t>
                  </w:r>
                </w:p>
              </w:tc>
              <w:tc>
                <w:tcPr>
                  <w:tcW w:w="433" w:type="pct"/>
                  <w:vAlign w:val="center"/>
                </w:tcPr>
                <w:p>
                  <w:pPr>
                    <w:jc w:val="center"/>
                    <w:rPr>
                      <w:szCs w:val="21"/>
                    </w:rPr>
                  </w:pPr>
                  <w:r>
                    <w:rPr>
                      <w:rFonts w:cs="Times New Roman"/>
                      <w:szCs w:val="21"/>
                    </w:rPr>
                    <w:t>2400</w:t>
                  </w:r>
                </w:p>
              </w:tc>
              <w:tc>
                <w:tcPr>
                  <w:tcW w:w="482" w:type="pct"/>
                  <w:vAlign w:val="center"/>
                </w:tcPr>
                <w:p>
                  <w:pPr>
                    <w:jc w:val="center"/>
                    <w:rPr>
                      <w:szCs w:val="21"/>
                    </w:rPr>
                  </w:pPr>
                  <w:r>
                    <w:rPr>
                      <w:rFonts w:cs="Times New Roman"/>
                      <w:szCs w:val="21"/>
                    </w:rPr>
                    <w:t>DA090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pPr>
                    <w:jc w:val="center"/>
                    <w:rPr>
                      <w:szCs w:val="21"/>
                    </w:rPr>
                  </w:pPr>
                  <w:r>
                    <w:rPr>
                      <w:rFonts w:hint="eastAsia"/>
                      <w:szCs w:val="21"/>
                    </w:rPr>
                    <w:t>2</w:t>
                  </w:r>
                  <w:r>
                    <w:rPr>
                      <w:szCs w:val="21"/>
                    </w:rPr>
                    <w:t>#</w:t>
                  </w:r>
                  <w:r>
                    <w:rPr>
                      <w:rFonts w:hint="eastAsia"/>
                      <w:szCs w:val="21"/>
                    </w:rPr>
                    <w:t>骨料仓</w:t>
                  </w:r>
                </w:p>
              </w:tc>
              <w:tc>
                <w:tcPr>
                  <w:tcW w:w="425" w:type="pct"/>
                </w:tcPr>
                <w:p>
                  <w:pPr>
                    <w:jc w:val="center"/>
                    <w:rPr>
                      <w:szCs w:val="21"/>
                    </w:rPr>
                  </w:pPr>
                  <w:r>
                    <w:rPr>
                      <w:rFonts w:hint="eastAsia"/>
                      <w:szCs w:val="21"/>
                    </w:rPr>
                    <w:t>颗粒物</w:t>
                  </w:r>
                </w:p>
              </w:tc>
              <w:tc>
                <w:tcPr>
                  <w:tcW w:w="458" w:type="pct"/>
                  <w:vAlign w:val="center"/>
                </w:tcPr>
                <w:p>
                  <w:pPr>
                    <w:widowControl/>
                    <w:jc w:val="center"/>
                    <w:rPr>
                      <w:rFonts w:cs="Times New Roman"/>
                      <w:kern w:val="0"/>
                      <w:szCs w:val="21"/>
                    </w:rPr>
                  </w:pPr>
                  <w:r>
                    <w:rPr>
                      <w:rFonts w:hint="eastAsia"/>
                      <w:szCs w:val="21"/>
                    </w:rPr>
                    <w:t>46.2</w:t>
                  </w:r>
                </w:p>
              </w:tc>
              <w:tc>
                <w:tcPr>
                  <w:tcW w:w="518" w:type="pct"/>
                  <w:vAlign w:val="center"/>
                </w:tcPr>
                <w:p>
                  <w:pPr>
                    <w:jc w:val="center"/>
                    <w:rPr>
                      <w:rFonts w:cs="Times New Roman"/>
                      <w:szCs w:val="21"/>
                    </w:rPr>
                  </w:pPr>
                  <w:r>
                    <w:rPr>
                      <w:rFonts w:cs="Times New Roman"/>
                      <w:szCs w:val="21"/>
                    </w:rPr>
                    <w:t>8000</w:t>
                  </w:r>
                </w:p>
              </w:tc>
              <w:tc>
                <w:tcPr>
                  <w:tcW w:w="459" w:type="pct"/>
                  <w:vAlign w:val="center"/>
                </w:tcPr>
                <w:p>
                  <w:pPr>
                    <w:jc w:val="center"/>
                    <w:rPr>
                      <w:rFonts w:cs="Times New Roman"/>
                      <w:szCs w:val="21"/>
                    </w:rPr>
                  </w:pPr>
                  <w:r>
                    <w:rPr>
                      <w:rFonts w:cs="Times New Roman"/>
                      <w:szCs w:val="21"/>
                    </w:rPr>
                    <w:t>2.372</w:t>
                  </w:r>
                </w:p>
              </w:tc>
              <w:tc>
                <w:tcPr>
                  <w:tcW w:w="459" w:type="pct"/>
                  <w:vAlign w:val="center"/>
                </w:tcPr>
                <w:p>
                  <w:pPr>
                    <w:jc w:val="center"/>
                    <w:rPr>
                      <w:rFonts w:cs="Times New Roman"/>
                      <w:szCs w:val="21"/>
                    </w:rPr>
                  </w:pPr>
                  <w:r>
                    <w:rPr>
                      <w:rFonts w:cs="Times New Roman"/>
                      <w:szCs w:val="21"/>
                    </w:rPr>
                    <w:t>0.019</w:t>
                  </w:r>
                </w:p>
              </w:tc>
              <w:tc>
                <w:tcPr>
                  <w:tcW w:w="464" w:type="pct"/>
                  <w:vAlign w:val="center"/>
                </w:tcPr>
                <w:p>
                  <w:pPr>
                    <w:jc w:val="center"/>
                    <w:rPr>
                      <w:rFonts w:cs="Times New Roman"/>
                      <w:szCs w:val="21"/>
                    </w:rPr>
                  </w:pPr>
                  <w:r>
                    <w:rPr>
                      <w:rFonts w:cs="Times New Roman"/>
                      <w:szCs w:val="21"/>
                    </w:rPr>
                    <w:t>0.046</w:t>
                  </w:r>
                </w:p>
              </w:tc>
              <w:tc>
                <w:tcPr>
                  <w:tcW w:w="458" w:type="pct"/>
                  <w:vAlign w:val="center"/>
                </w:tcPr>
                <w:p>
                  <w:pPr>
                    <w:jc w:val="center"/>
                    <w:rPr>
                      <w:rFonts w:cs="Times New Roman"/>
                      <w:szCs w:val="21"/>
                    </w:rPr>
                  </w:pPr>
                  <w:r>
                    <w:rPr>
                      <w:rFonts w:cs="Times New Roman"/>
                      <w:szCs w:val="21"/>
                    </w:rPr>
                    <w:t>0.003</w:t>
                  </w:r>
                </w:p>
              </w:tc>
              <w:tc>
                <w:tcPr>
                  <w:tcW w:w="459" w:type="pct"/>
                  <w:vAlign w:val="center"/>
                </w:tcPr>
                <w:p>
                  <w:pPr>
                    <w:jc w:val="center"/>
                    <w:rPr>
                      <w:rFonts w:cs="Times New Roman"/>
                      <w:szCs w:val="21"/>
                    </w:rPr>
                  </w:pPr>
                  <w:r>
                    <w:rPr>
                      <w:rFonts w:cs="Times New Roman"/>
                      <w:szCs w:val="21"/>
                    </w:rPr>
                    <w:t>0.007</w:t>
                  </w:r>
                </w:p>
              </w:tc>
              <w:tc>
                <w:tcPr>
                  <w:tcW w:w="433" w:type="pct"/>
                  <w:vAlign w:val="center"/>
                </w:tcPr>
                <w:p>
                  <w:pPr>
                    <w:jc w:val="center"/>
                    <w:rPr>
                      <w:szCs w:val="21"/>
                    </w:rPr>
                  </w:pPr>
                  <w:r>
                    <w:rPr>
                      <w:rFonts w:cs="Times New Roman"/>
                      <w:szCs w:val="21"/>
                    </w:rPr>
                    <w:t>2400</w:t>
                  </w:r>
                </w:p>
              </w:tc>
              <w:tc>
                <w:tcPr>
                  <w:tcW w:w="482" w:type="pct"/>
                  <w:vAlign w:val="center"/>
                </w:tcPr>
                <w:p>
                  <w:pPr>
                    <w:jc w:val="center"/>
                    <w:rPr>
                      <w:szCs w:val="21"/>
                    </w:rPr>
                  </w:pPr>
                  <w:r>
                    <w:rPr>
                      <w:rFonts w:cs="Times New Roman"/>
                      <w:szCs w:val="21"/>
                    </w:rPr>
                    <w:t>DA097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pPr>
                    <w:jc w:val="center"/>
                    <w:rPr>
                      <w:szCs w:val="21"/>
                    </w:rPr>
                  </w:pPr>
                  <w:r>
                    <w:rPr>
                      <w:rFonts w:hint="eastAsia"/>
                      <w:szCs w:val="21"/>
                    </w:rPr>
                    <w:t>合计</w:t>
                  </w:r>
                </w:p>
              </w:tc>
              <w:tc>
                <w:tcPr>
                  <w:tcW w:w="425" w:type="pct"/>
                </w:tcPr>
                <w:p>
                  <w:pPr>
                    <w:jc w:val="center"/>
                    <w:rPr>
                      <w:szCs w:val="21"/>
                    </w:rPr>
                  </w:pPr>
                  <w:r>
                    <w:rPr>
                      <w:rFonts w:hint="eastAsia"/>
                      <w:szCs w:val="21"/>
                    </w:rPr>
                    <w:t>颗粒物</w:t>
                  </w:r>
                </w:p>
              </w:tc>
              <w:tc>
                <w:tcPr>
                  <w:tcW w:w="458" w:type="pct"/>
                  <w:vAlign w:val="center"/>
                </w:tcPr>
                <w:p>
                  <w:pPr>
                    <w:widowControl/>
                    <w:jc w:val="center"/>
                    <w:rPr>
                      <w:szCs w:val="21"/>
                    </w:rPr>
                  </w:pPr>
                  <w:r>
                    <w:rPr>
                      <w:rFonts w:hint="eastAsia"/>
                      <w:szCs w:val="21"/>
                    </w:rPr>
                    <w:t>179.6</w:t>
                  </w:r>
                </w:p>
              </w:tc>
              <w:tc>
                <w:tcPr>
                  <w:tcW w:w="518" w:type="pct"/>
                  <w:vAlign w:val="center"/>
                </w:tcPr>
                <w:p>
                  <w:pPr>
                    <w:jc w:val="center"/>
                    <w:rPr>
                      <w:rFonts w:cs="Times New Roman"/>
                      <w:szCs w:val="21"/>
                    </w:rPr>
                  </w:pPr>
                  <w:r>
                    <w:rPr>
                      <w:rFonts w:hint="eastAsia" w:cs="Times New Roman"/>
                      <w:szCs w:val="21"/>
                    </w:rPr>
                    <w:t>/</w:t>
                  </w:r>
                </w:p>
              </w:tc>
              <w:tc>
                <w:tcPr>
                  <w:tcW w:w="459" w:type="pct"/>
                  <w:vAlign w:val="center"/>
                </w:tcPr>
                <w:p>
                  <w:pPr>
                    <w:jc w:val="center"/>
                    <w:rPr>
                      <w:rFonts w:cs="Times New Roman"/>
                      <w:szCs w:val="21"/>
                    </w:rPr>
                  </w:pPr>
                  <w:r>
                    <w:rPr>
                      <w:rFonts w:hint="eastAsia" w:cs="Times New Roman"/>
                      <w:szCs w:val="21"/>
                    </w:rPr>
                    <w:t>/</w:t>
                  </w:r>
                </w:p>
              </w:tc>
              <w:tc>
                <w:tcPr>
                  <w:tcW w:w="459" w:type="pct"/>
                  <w:vAlign w:val="center"/>
                </w:tcPr>
                <w:p>
                  <w:pPr>
                    <w:jc w:val="center"/>
                    <w:rPr>
                      <w:rFonts w:cs="Times New Roman"/>
                      <w:szCs w:val="21"/>
                    </w:rPr>
                  </w:pPr>
                  <w:r>
                    <w:rPr>
                      <w:rFonts w:hint="eastAsia" w:cs="Times New Roman"/>
                      <w:szCs w:val="21"/>
                    </w:rPr>
                    <w:t>/</w:t>
                  </w:r>
                </w:p>
              </w:tc>
              <w:tc>
                <w:tcPr>
                  <w:tcW w:w="464" w:type="pct"/>
                  <w:vAlign w:val="center"/>
                </w:tcPr>
                <w:p>
                  <w:pPr>
                    <w:jc w:val="center"/>
                    <w:rPr>
                      <w:rFonts w:cs="Times New Roman"/>
                      <w:szCs w:val="21"/>
                    </w:rPr>
                  </w:pPr>
                  <w:r>
                    <w:rPr>
                      <w:rFonts w:hint="eastAsia" w:cs="Times New Roman"/>
                      <w:szCs w:val="21"/>
                    </w:rPr>
                    <w:t>0.178</w:t>
                  </w:r>
                </w:p>
              </w:tc>
              <w:tc>
                <w:tcPr>
                  <w:tcW w:w="458" w:type="pct"/>
                  <w:vAlign w:val="center"/>
                </w:tcPr>
                <w:p>
                  <w:pPr>
                    <w:jc w:val="center"/>
                    <w:rPr>
                      <w:rFonts w:cs="Times New Roman"/>
                      <w:szCs w:val="21"/>
                    </w:rPr>
                  </w:pPr>
                  <w:r>
                    <w:rPr>
                      <w:rFonts w:hint="eastAsia" w:cs="Times New Roman"/>
                      <w:szCs w:val="21"/>
                    </w:rPr>
                    <w:t>/</w:t>
                  </w:r>
                </w:p>
              </w:tc>
              <w:tc>
                <w:tcPr>
                  <w:tcW w:w="459" w:type="pct"/>
                  <w:vAlign w:val="center"/>
                </w:tcPr>
                <w:p>
                  <w:pPr>
                    <w:jc w:val="center"/>
                    <w:rPr>
                      <w:rFonts w:cs="Times New Roman"/>
                      <w:szCs w:val="21"/>
                    </w:rPr>
                  </w:pPr>
                  <w:r>
                    <w:rPr>
                      <w:rFonts w:hint="eastAsia" w:cs="Times New Roman"/>
                      <w:szCs w:val="21"/>
                    </w:rPr>
                    <w:t>0.020</w:t>
                  </w:r>
                </w:p>
              </w:tc>
              <w:tc>
                <w:tcPr>
                  <w:tcW w:w="433" w:type="pct"/>
                  <w:vAlign w:val="center"/>
                </w:tcPr>
                <w:p>
                  <w:pPr>
                    <w:jc w:val="center"/>
                    <w:rPr>
                      <w:rFonts w:cs="Times New Roman"/>
                      <w:szCs w:val="21"/>
                    </w:rPr>
                  </w:pPr>
                  <w:r>
                    <w:rPr>
                      <w:rFonts w:hint="eastAsia" w:cs="Times New Roman"/>
                      <w:szCs w:val="21"/>
                    </w:rPr>
                    <w:t>/</w:t>
                  </w:r>
                </w:p>
              </w:tc>
              <w:tc>
                <w:tcPr>
                  <w:tcW w:w="482" w:type="pct"/>
                  <w:vAlign w:val="center"/>
                </w:tcPr>
                <w:p>
                  <w:pPr>
                    <w:jc w:val="center"/>
                    <w:rPr>
                      <w:rFonts w:cs="Times New Roman"/>
                      <w:szCs w:val="21"/>
                    </w:rPr>
                  </w:pPr>
                  <w:r>
                    <w:rPr>
                      <w:rFonts w:hint="eastAsia" w:cs="Times New Roman"/>
                      <w:szCs w:val="21"/>
                    </w:rPr>
                    <w:t>/</w:t>
                  </w:r>
                </w:p>
              </w:tc>
            </w:tr>
          </w:tbl>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-8</w:t>
            </w:r>
            <w:r>
              <w:rPr>
                <w:rFonts w:eastAsia="黑体" w:cs="Times New Roman"/>
                <w:szCs w:val="21"/>
              </w:rPr>
              <w:t xml:space="preserve">  </w:t>
            </w:r>
            <w:r>
              <w:rPr>
                <w:rFonts w:hint="eastAsia" w:eastAsia="黑体" w:cs="Times New Roman"/>
                <w:szCs w:val="21"/>
              </w:rPr>
              <w:t>改建后贮仓和装车粉尘排放信息表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775"/>
              <w:gridCol w:w="836"/>
              <w:gridCol w:w="948"/>
              <w:gridCol w:w="842"/>
              <w:gridCol w:w="840"/>
              <w:gridCol w:w="851"/>
              <w:gridCol w:w="838"/>
              <w:gridCol w:w="842"/>
              <w:gridCol w:w="792"/>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restart"/>
                  <w:vAlign w:val="center"/>
                </w:tcPr>
                <w:p>
                  <w:pPr>
                    <w:jc w:val="center"/>
                    <w:rPr>
                      <w:szCs w:val="21"/>
                    </w:rPr>
                  </w:pPr>
                  <w:r>
                    <w:rPr>
                      <w:szCs w:val="21"/>
                    </w:rPr>
                    <w:t>污染源</w:t>
                  </w:r>
                </w:p>
              </w:tc>
              <w:tc>
                <w:tcPr>
                  <w:tcW w:w="424" w:type="pct"/>
                  <w:vMerge w:val="restart"/>
                  <w:vAlign w:val="center"/>
                </w:tcPr>
                <w:p>
                  <w:pPr>
                    <w:jc w:val="center"/>
                    <w:rPr>
                      <w:szCs w:val="21"/>
                    </w:rPr>
                  </w:pPr>
                  <w:r>
                    <w:rPr>
                      <w:szCs w:val="21"/>
                    </w:rPr>
                    <w:t>污染物种类</w:t>
                  </w:r>
                </w:p>
              </w:tc>
              <w:tc>
                <w:tcPr>
                  <w:tcW w:w="457" w:type="pct"/>
                  <w:vMerge w:val="restart"/>
                  <w:vAlign w:val="center"/>
                </w:tcPr>
                <w:p>
                  <w:pPr>
                    <w:jc w:val="center"/>
                    <w:rPr>
                      <w:szCs w:val="21"/>
                    </w:rPr>
                  </w:pPr>
                  <w:r>
                    <w:rPr>
                      <w:szCs w:val="21"/>
                    </w:rPr>
                    <w:t>污染物产生</w:t>
                  </w:r>
                  <w:r>
                    <w:rPr>
                      <w:rFonts w:hint="eastAsia"/>
                      <w:szCs w:val="21"/>
                    </w:rPr>
                    <w:t>量</w:t>
                  </w:r>
                </w:p>
                <w:p>
                  <w:pPr>
                    <w:jc w:val="center"/>
                    <w:rPr>
                      <w:szCs w:val="21"/>
                    </w:rPr>
                  </w:pPr>
                  <w:r>
                    <w:rPr>
                      <w:szCs w:val="21"/>
                    </w:rPr>
                    <w:t>(</w:t>
                  </w:r>
                  <w:r>
                    <w:rPr>
                      <w:rFonts w:hint="eastAsia"/>
                      <w:szCs w:val="21"/>
                    </w:rPr>
                    <w:t>t</w:t>
                  </w:r>
                  <w:r>
                    <w:rPr>
                      <w:szCs w:val="21"/>
                    </w:rPr>
                    <w:t>/a)</w:t>
                  </w:r>
                </w:p>
              </w:tc>
              <w:tc>
                <w:tcPr>
                  <w:tcW w:w="3253" w:type="pct"/>
                  <w:gridSpan w:val="7"/>
                  <w:vAlign w:val="center"/>
                </w:tcPr>
                <w:p>
                  <w:pPr>
                    <w:jc w:val="center"/>
                    <w:rPr>
                      <w:szCs w:val="21"/>
                    </w:rPr>
                  </w:pPr>
                  <w:r>
                    <w:rPr>
                      <w:szCs w:val="21"/>
                    </w:rPr>
                    <w:t>排放情况</w:t>
                  </w:r>
                </w:p>
              </w:tc>
              <w:tc>
                <w:tcPr>
                  <w:tcW w:w="481" w:type="pct"/>
                  <w:vMerge w:val="restart"/>
                  <w:vAlign w:val="center"/>
                </w:tcPr>
                <w:p>
                  <w:pPr>
                    <w:jc w:val="center"/>
                    <w:rPr>
                      <w:szCs w:val="21"/>
                    </w:rPr>
                  </w:pPr>
                  <w:r>
                    <w:rPr>
                      <w:szCs w:val="21"/>
                    </w:rPr>
                    <w:t>排气筒编号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continue"/>
                  <w:vAlign w:val="center"/>
                </w:tcPr>
                <w:p>
                  <w:pPr>
                    <w:jc w:val="center"/>
                    <w:rPr>
                      <w:szCs w:val="21"/>
                    </w:rPr>
                  </w:pPr>
                </w:p>
              </w:tc>
              <w:tc>
                <w:tcPr>
                  <w:tcW w:w="424" w:type="pct"/>
                  <w:vMerge w:val="continue"/>
                  <w:vAlign w:val="center"/>
                </w:tcPr>
                <w:p>
                  <w:pPr>
                    <w:jc w:val="center"/>
                    <w:rPr>
                      <w:szCs w:val="21"/>
                    </w:rPr>
                  </w:pPr>
                </w:p>
              </w:tc>
              <w:tc>
                <w:tcPr>
                  <w:tcW w:w="457" w:type="pct"/>
                  <w:vMerge w:val="continue"/>
                  <w:vAlign w:val="center"/>
                </w:tcPr>
                <w:p>
                  <w:pPr>
                    <w:jc w:val="center"/>
                    <w:rPr>
                      <w:szCs w:val="21"/>
                    </w:rPr>
                  </w:pPr>
                </w:p>
              </w:tc>
              <w:tc>
                <w:tcPr>
                  <w:tcW w:w="518" w:type="pct"/>
                  <w:vMerge w:val="restart"/>
                  <w:vAlign w:val="center"/>
                </w:tcPr>
                <w:p>
                  <w:pPr>
                    <w:jc w:val="center"/>
                    <w:rPr>
                      <w:szCs w:val="21"/>
                    </w:rPr>
                  </w:pPr>
                  <w:r>
                    <w:rPr>
                      <w:szCs w:val="21"/>
                    </w:rPr>
                    <w:t>废气量</w:t>
                  </w:r>
                  <w:r>
                    <w:rPr>
                      <w:rFonts w:hint="eastAsia"/>
                      <w:szCs w:val="21"/>
                    </w:rPr>
                    <w:t>(</w:t>
                  </w:r>
                  <w:r>
                    <w:rPr>
                      <w:szCs w:val="21"/>
                    </w:rPr>
                    <w:t>m</w:t>
                  </w:r>
                  <w:r>
                    <w:rPr>
                      <w:szCs w:val="21"/>
                      <w:vertAlign w:val="superscript"/>
                    </w:rPr>
                    <w:t>3</w:t>
                  </w:r>
                  <w:r>
                    <w:rPr>
                      <w:szCs w:val="21"/>
                    </w:rPr>
                    <w:t>/h</w:t>
                  </w:r>
                  <w:r>
                    <w:rPr>
                      <w:rFonts w:hint="eastAsia"/>
                      <w:szCs w:val="21"/>
                    </w:rPr>
                    <w:t>)</w:t>
                  </w:r>
                </w:p>
              </w:tc>
              <w:tc>
                <w:tcPr>
                  <w:tcW w:w="1384" w:type="pct"/>
                  <w:gridSpan w:val="3"/>
                  <w:vAlign w:val="center"/>
                </w:tcPr>
                <w:p>
                  <w:pPr>
                    <w:jc w:val="center"/>
                    <w:rPr>
                      <w:szCs w:val="21"/>
                    </w:rPr>
                  </w:pPr>
                  <w:r>
                    <w:rPr>
                      <w:szCs w:val="21"/>
                    </w:rPr>
                    <w:t>有组织</w:t>
                  </w:r>
                </w:p>
              </w:tc>
              <w:tc>
                <w:tcPr>
                  <w:tcW w:w="918" w:type="pct"/>
                  <w:gridSpan w:val="2"/>
                  <w:vAlign w:val="center"/>
                </w:tcPr>
                <w:p>
                  <w:pPr>
                    <w:jc w:val="center"/>
                    <w:rPr>
                      <w:szCs w:val="21"/>
                    </w:rPr>
                  </w:pPr>
                  <w:r>
                    <w:rPr>
                      <w:szCs w:val="21"/>
                    </w:rPr>
                    <w:t>无组织</w:t>
                  </w:r>
                </w:p>
              </w:tc>
              <w:tc>
                <w:tcPr>
                  <w:tcW w:w="433" w:type="pct"/>
                  <w:vMerge w:val="restart"/>
                  <w:vAlign w:val="center"/>
                </w:tcPr>
                <w:p>
                  <w:pPr>
                    <w:jc w:val="center"/>
                    <w:rPr>
                      <w:szCs w:val="21"/>
                    </w:rPr>
                  </w:pPr>
                  <w:r>
                    <w:rPr>
                      <w:szCs w:val="21"/>
                    </w:rPr>
                    <w:t>排放时间</w:t>
                  </w:r>
                  <w:r>
                    <w:rPr>
                      <w:rFonts w:hint="eastAsia"/>
                      <w:szCs w:val="21"/>
                    </w:rPr>
                    <w:t>(</w:t>
                  </w:r>
                  <w:r>
                    <w:rPr>
                      <w:szCs w:val="21"/>
                    </w:rPr>
                    <w:t>h)</w:t>
                  </w:r>
                </w:p>
              </w:tc>
              <w:tc>
                <w:tcPr>
                  <w:tcW w:w="4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continue"/>
                  <w:vAlign w:val="center"/>
                </w:tcPr>
                <w:p>
                  <w:pPr>
                    <w:jc w:val="center"/>
                    <w:rPr>
                      <w:szCs w:val="21"/>
                    </w:rPr>
                  </w:pPr>
                </w:p>
              </w:tc>
              <w:tc>
                <w:tcPr>
                  <w:tcW w:w="424" w:type="pct"/>
                  <w:vMerge w:val="continue"/>
                  <w:vAlign w:val="center"/>
                </w:tcPr>
                <w:p>
                  <w:pPr>
                    <w:jc w:val="center"/>
                    <w:rPr>
                      <w:szCs w:val="21"/>
                    </w:rPr>
                  </w:pPr>
                </w:p>
              </w:tc>
              <w:tc>
                <w:tcPr>
                  <w:tcW w:w="457" w:type="pct"/>
                  <w:vMerge w:val="continue"/>
                  <w:vAlign w:val="center"/>
                </w:tcPr>
                <w:p>
                  <w:pPr>
                    <w:jc w:val="center"/>
                    <w:rPr>
                      <w:szCs w:val="21"/>
                    </w:rPr>
                  </w:pPr>
                </w:p>
              </w:tc>
              <w:tc>
                <w:tcPr>
                  <w:tcW w:w="518" w:type="pct"/>
                  <w:vMerge w:val="continue"/>
                  <w:vAlign w:val="center"/>
                </w:tcPr>
                <w:p>
                  <w:pPr>
                    <w:jc w:val="center"/>
                    <w:rPr>
                      <w:szCs w:val="21"/>
                    </w:rPr>
                  </w:pPr>
                </w:p>
              </w:tc>
              <w:tc>
                <w:tcPr>
                  <w:tcW w:w="460" w:type="pct"/>
                  <w:vAlign w:val="center"/>
                </w:tcPr>
                <w:p>
                  <w:pPr>
                    <w:jc w:val="center"/>
                    <w:rPr>
                      <w:szCs w:val="21"/>
                    </w:rPr>
                  </w:pPr>
                  <w:r>
                    <w:rPr>
                      <w:szCs w:val="21"/>
                    </w:rPr>
                    <w:t>mg/m</w:t>
                  </w:r>
                  <w:r>
                    <w:rPr>
                      <w:szCs w:val="21"/>
                      <w:vertAlign w:val="superscript"/>
                    </w:rPr>
                    <w:t>3</w:t>
                  </w:r>
                </w:p>
              </w:tc>
              <w:tc>
                <w:tcPr>
                  <w:tcW w:w="459" w:type="pct"/>
                  <w:vAlign w:val="center"/>
                </w:tcPr>
                <w:p>
                  <w:pPr>
                    <w:jc w:val="center"/>
                    <w:rPr>
                      <w:szCs w:val="21"/>
                    </w:rPr>
                  </w:pPr>
                  <w:r>
                    <w:rPr>
                      <w:szCs w:val="21"/>
                    </w:rPr>
                    <w:t>kg/h</w:t>
                  </w:r>
                </w:p>
              </w:tc>
              <w:tc>
                <w:tcPr>
                  <w:tcW w:w="465" w:type="pct"/>
                  <w:vAlign w:val="center"/>
                </w:tcPr>
                <w:p>
                  <w:pPr>
                    <w:jc w:val="center"/>
                    <w:rPr>
                      <w:szCs w:val="21"/>
                    </w:rPr>
                  </w:pPr>
                  <w:r>
                    <w:rPr>
                      <w:rFonts w:hint="eastAsia"/>
                      <w:szCs w:val="21"/>
                    </w:rPr>
                    <w:t>t</w:t>
                  </w:r>
                  <w:r>
                    <w:rPr>
                      <w:szCs w:val="21"/>
                    </w:rPr>
                    <w:t>/a</w:t>
                  </w:r>
                </w:p>
              </w:tc>
              <w:tc>
                <w:tcPr>
                  <w:tcW w:w="458" w:type="pct"/>
                  <w:vAlign w:val="center"/>
                </w:tcPr>
                <w:p>
                  <w:pPr>
                    <w:jc w:val="center"/>
                    <w:rPr>
                      <w:szCs w:val="21"/>
                    </w:rPr>
                  </w:pPr>
                  <w:r>
                    <w:rPr>
                      <w:szCs w:val="21"/>
                    </w:rPr>
                    <w:t>kg/h</w:t>
                  </w:r>
                </w:p>
              </w:tc>
              <w:tc>
                <w:tcPr>
                  <w:tcW w:w="460" w:type="pct"/>
                  <w:vAlign w:val="center"/>
                </w:tcPr>
                <w:p>
                  <w:pPr>
                    <w:jc w:val="center"/>
                    <w:rPr>
                      <w:szCs w:val="21"/>
                    </w:rPr>
                  </w:pPr>
                  <w:r>
                    <w:rPr>
                      <w:szCs w:val="21"/>
                    </w:rPr>
                    <w:t>t/a</w:t>
                  </w:r>
                </w:p>
              </w:tc>
              <w:tc>
                <w:tcPr>
                  <w:tcW w:w="433" w:type="pct"/>
                  <w:vMerge w:val="continue"/>
                  <w:vAlign w:val="center"/>
                </w:tcPr>
                <w:p>
                  <w:pPr>
                    <w:jc w:val="center"/>
                    <w:rPr>
                      <w:szCs w:val="21"/>
                    </w:rPr>
                  </w:pPr>
                </w:p>
              </w:tc>
              <w:tc>
                <w:tcPr>
                  <w:tcW w:w="4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pPr>
                    <w:jc w:val="center"/>
                    <w:rPr>
                      <w:szCs w:val="21"/>
                    </w:rPr>
                  </w:pPr>
                  <w:r>
                    <w:rPr>
                      <w:rFonts w:hint="eastAsia"/>
                      <w:szCs w:val="21"/>
                    </w:rPr>
                    <w:t>粉料钢板仓</w:t>
                  </w:r>
                </w:p>
              </w:tc>
              <w:tc>
                <w:tcPr>
                  <w:tcW w:w="424" w:type="pct"/>
                  <w:vAlign w:val="center"/>
                </w:tcPr>
                <w:p>
                  <w:pPr>
                    <w:jc w:val="center"/>
                    <w:rPr>
                      <w:szCs w:val="21"/>
                    </w:rPr>
                  </w:pPr>
                  <w:r>
                    <w:rPr>
                      <w:rFonts w:hint="eastAsia"/>
                      <w:szCs w:val="21"/>
                    </w:rPr>
                    <w:t>颗粒物</w:t>
                  </w:r>
                </w:p>
              </w:tc>
              <w:tc>
                <w:tcPr>
                  <w:tcW w:w="457" w:type="pct"/>
                  <w:vAlign w:val="center"/>
                </w:tcPr>
                <w:p>
                  <w:pPr>
                    <w:widowControl/>
                    <w:jc w:val="center"/>
                    <w:rPr>
                      <w:rFonts w:cs="Times New Roman"/>
                      <w:kern w:val="0"/>
                      <w:szCs w:val="21"/>
                    </w:rPr>
                  </w:pPr>
                  <w:r>
                    <w:rPr>
                      <w:rFonts w:hint="eastAsia" w:cs="Times New Roman"/>
                      <w:szCs w:val="21"/>
                    </w:rPr>
                    <w:t>39.6</w:t>
                  </w:r>
                </w:p>
              </w:tc>
              <w:tc>
                <w:tcPr>
                  <w:tcW w:w="518" w:type="pct"/>
                  <w:vAlign w:val="center"/>
                </w:tcPr>
                <w:p>
                  <w:pPr>
                    <w:jc w:val="center"/>
                    <w:rPr>
                      <w:rFonts w:cs="Times New Roman"/>
                      <w:szCs w:val="21"/>
                    </w:rPr>
                  </w:pPr>
                  <w:r>
                    <w:rPr>
                      <w:rFonts w:cs="Times New Roman"/>
                      <w:szCs w:val="21"/>
                    </w:rPr>
                    <w:t>8000</w:t>
                  </w:r>
                </w:p>
              </w:tc>
              <w:tc>
                <w:tcPr>
                  <w:tcW w:w="460" w:type="pct"/>
                  <w:vAlign w:val="center"/>
                </w:tcPr>
                <w:p>
                  <w:pPr>
                    <w:jc w:val="center"/>
                    <w:rPr>
                      <w:rFonts w:cs="Times New Roman"/>
                      <w:szCs w:val="21"/>
                    </w:rPr>
                  </w:pPr>
                  <w:r>
                    <w:rPr>
                      <w:rFonts w:cs="Times New Roman"/>
                      <w:szCs w:val="21"/>
                    </w:rPr>
                    <w:t>2.062</w:t>
                  </w:r>
                </w:p>
              </w:tc>
              <w:tc>
                <w:tcPr>
                  <w:tcW w:w="459" w:type="pct"/>
                  <w:vAlign w:val="center"/>
                </w:tcPr>
                <w:p>
                  <w:pPr>
                    <w:jc w:val="center"/>
                    <w:rPr>
                      <w:rFonts w:cs="Times New Roman"/>
                      <w:szCs w:val="21"/>
                    </w:rPr>
                  </w:pPr>
                  <w:r>
                    <w:rPr>
                      <w:rFonts w:cs="Times New Roman"/>
                      <w:szCs w:val="21"/>
                    </w:rPr>
                    <w:t>0.016</w:t>
                  </w:r>
                </w:p>
              </w:tc>
              <w:tc>
                <w:tcPr>
                  <w:tcW w:w="465" w:type="pct"/>
                  <w:vAlign w:val="center"/>
                </w:tcPr>
                <w:p>
                  <w:pPr>
                    <w:jc w:val="center"/>
                    <w:rPr>
                      <w:rFonts w:cs="Times New Roman"/>
                      <w:szCs w:val="21"/>
                    </w:rPr>
                  </w:pPr>
                  <w:r>
                    <w:rPr>
                      <w:rFonts w:cs="Times New Roman"/>
                      <w:szCs w:val="21"/>
                    </w:rPr>
                    <w:t>0.040</w:t>
                  </w:r>
                </w:p>
              </w:tc>
              <w:tc>
                <w:tcPr>
                  <w:tcW w:w="458" w:type="pct"/>
                  <w:vAlign w:val="center"/>
                </w:tcPr>
                <w:p>
                  <w:pPr>
                    <w:jc w:val="center"/>
                    <w:rPr>
                      <w:rFonts w:cs="Times New Roman"/>
                      <w:szCs w:val="21"/>
                    </w:rPr>
                  </w:pPr>
                  <w:r>
                    <w:rPr>
                      <w:rFonts w:hint="eastAsia" w:cs="Times New Roman"/>
                      <w:szCs w:val="21"/>
                    </w:rPr>
                    <w:t>/</w:t>
                  </w:r>
                </w:p>
              </w:tc>
              <w:tc>
                <w:tcPr>
                  <w:tcW w:w="460" w:type="pct"/>
                  <w:vAlign w:val="center"/>
                </w:tcPr>
                <w:p>
                  <w:pPr>
                    <w:jc w:val="center"/>
                    <w:rPr>
                      <w:rFonts w:cs="Times New Roman"/>
                      <w:szCs w:val="21"/>
                    </w:rPr>
                  </w:pPr>
                  <w:r>
                    <w:rPr>
                      <w:rFonts w:hint="eastAsia" w:cs="Times New Roman"/>
                      <w:szCs w:val="21"/>
                    </w:rPr>
                    <w:t>/</w:t>
                  </w:r>
                </w:p>
              </w:tc>
              <w:tc>
                <w:tcPr>
                  <w:tcW w:w="433" w:type="pct"/>
                  <w:vAlign w:val="center"/>
                </w:tcPr>
                <w:p>
                  <w:pPr>
                    <w:jc w:val="center"/>
                    <w:rPr>
                      <w:szCs w:val="21"/>
                    </w:rPr>
                  </w:pPr>
                  <w:r>
                    <w:rPr>
                      <w:rFonts w:cs="Times New Roman"/>
                      <w:szCs w:val="21"/>
                    </w:rPr>
                    <w:t>2400</w:t>
                  </w:r>
                </w:p>
              </w:tc>
              <w:tc>
                <w:tcPr>
                  <w:tcW w:w="481" w:type="pct"/>
                  <w:vAlign w:val="center"/>
                </w:tcPr>
                <w:p>
                  <w:pPr>
                    <w:jc w:val="center"/>
                    <w:rPr>
                      <w:szCs w:val="21"/>
                    </w:rPr>
                  </w:pPr>
                  <w:r>
                    <w:rPr>
                      <w:rFonts w:cs="Times New Roman"/>
                      <w:szCs w:val="21"/>
                    </w:rPr>
                    <w:t>DA115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pPr>
                    <w:jc w:val="center"/>
                    <w:rPr>
                      <w:szCs w:val="21"/>
                    </w:rPr>
                  </w:pPr>
                  <w:r>
                    <w:rPr>
                      <w:rFonts w:hint="eastAsia"/>
                      <w:szCs w:val="21"/>
                    </w:rPr>
                    <w:t>1</w:t>
                  </w:r>
                  <w:r>
                    <w:rPr>
                      <w:szCs w:val="21"/>
                    </w:rPr>
                    <w:t>#</w:t>
                  </w:r>
                  <w:r>
                    <w:rPr>
                      <w:rFonts w:hint="eastAsia"/>
                      <w:szCs w:val="21"/>
                    </w:rPr>
                    <w:t>骨料仓</w:t>
                  </w:r>
                </w:p>
              </w:tc>
              <w:tc>
                <w:tcPr>
                  <w:tcW w:w="424" w:type="pct"/>
                </w:tcPr>
                <w:p>
                  <w:pPr>
                    <w:jc w:val="center"/>
                    <w:rPr>
                      <w:szCs w:val="21"/>
                    </w:rPr>
                  </w:pPr>
                  <w:r>
                    <w:rPr>
                      <w:rFonts w:hint="eastAsia"/>
                      <w:szCs w:val="21"/>
                    </w:rPr>
                    <w:t>颗粒物</w:t>
                  </w:r>
                </w:p>
              </w:tc>
              <w:tc>
                <w:tcPr>
                  <w:tcW w:w="457" w:type="pct"/>
                  <w:vAlign w:val="center"/>
                </w:tcPr>
                <w:p>
                  <w:pPr>
                    <w:widowControl/>
                    <w:jc w:val="center"/>
                    <w:rPr>
                      <w:rFonts w:cs="Times New Roman"/>
                      <w:kern w:val="0"/>
                      <w:szCs w:val="21"/>
                    </w:rPr>
                  </w:pPr>
                  <w:r>
                    <w:rPr>
                      <w:rFonts w:hint="eastAsia"/>
                      <w:szCs w:val="21"/>
                    </w:rPr>
                    <w:t>46.2</w:t>
                  </w:r>
                </w:p>
              </w:tc>
              <w:tc>
                <w:tcPr>
                  <w:tcW w:w="518" w:type="pct"/>
                  <w:vAlign w:val="center"/>
                </w:tcPr>
                <w:p>
                  <w:pPr>
                    <w:jc w:val="center"/>
                    <w:rPr>
                      <w:rFonts w:cs="Times New Roman"/>
                      <w:szCs w:val="21"/>
                    </w:rPr>
                  </w:pPr>
                  <w:r>
                    <w:rPr>
                      <w:rFonts w:cs="Times New Roman"/>
                      <w:szCs w:val="21"/>
                    </w:rPr>
                    <w:t>8000</w:t>
                  </w:r>
                </w:p>
              </w:tc>
              <w:tc>
                <w:tcPr>
                  <w:tcW w:w="460" w:type="pct"/>
                  <w:vAlign w:val="center"/>
                </w:tcPr>
                <w:p>
                  <w:pPr>
                    <w:jc w:val="center"/>
                    <w:rPr>
                      <w:rFonts w:cs="Times New Roman"/>
                      <w:szCs w:val="21"/>
                    </w:rPr>
                  </w:pPr>
                  <w:r>
                    <w:rPr>
                      <w:rFonts w:cs="Times New Roman"/>
                      <w:szCs w:val="21"/>
                    </w:rPr>
                    <w:t>2.372</w:t>
                  </w:r>
                </w:p>
              </w:tc>
              <w:tc>
                <w:tcPr>
                  <w:tcW w:w="459" w:type="pct"/>
                  <w:vAlign w:val="center"/>
                </w:tcPr>
                <w:p>
                  <w:pPr>
                    <w:jc w:val="center"/>
                    <w:rPr>
                      <w:rFonts w:cs="Times New Roman"/>
                      <w:szCs w:val="21"/>
                    </w:rPr>
                  </w:pPr>
                  <w:r>
                    <w:rPr>
                      <w:rFonts w:cs="Times New Roman"/>
                      <w:szCs w:val="21"/>
                    </w:rPr>
                    <w:t>0.019</w:t>
                  </w:r>
                </w:p>
              </w:tc>
              <w:tc>
                <w:tcPr>
                  <w:tcW w:w="465" w:type="pct"/>
                  <w:vAlign w:val="center"/>
                </w:tcPr>
                <w:p>
                  <w:pPr>
                    <w:jc w:val="center"/>
                    <w:rPr>
                      <w:rFonts w:cs="Times New Roman"/>
                      <w:szCs w:val="21"/>
                    </w:rPr>
                  </w:pPr>
                  <w:r>
                    <w:rPr>
                      <w:rFonts w:cs="Times New Roman"/>
                      <w:szCs w:val="21"/>
                    </w:rPr>
                    <w:t>0.046</w:t>
                  </w:r>
                </w:p>
              </w:tc>
              <w:tc>
                <w:tcPr>
                  <w:tcW w:w="458" w:type="pct"/>
                  <w:vAlign w:val="center"/>
                </w:tcPr>
                <w:p>
                  <w:pPr>
                    <w:jc w:val="center"/>
                    <w:rPr>
                      <w:rFonts w:cs="Times New Roman"/>
                      <w:szCs w:val="21"/>
                    </w:rPr>
                  </w:pPr>
                  <w:r>
                    <w:rPr>
                      <w:rFonts w:cs="Times New Roman"/>
                      <w:szCs w:val="21"/>
                    </w:rPr>
                    <w:t>0.003</w:t>
                  </w:r>
                </w:p>
              </w:tc>
              <w:tc>
                <w:tcPr>
                  <w:tcW w:w="460" w:type="pct"/>
                  <w:vAlign w:val="center"/>
                </w:tcPr>
                <w:p>
                  <w:pPr>
                    <w:jc w:val="center"/>
                    <w:rPr>
                      <w:rFonts w:cs="Times New Roman"/>
                      <w:szCs w:val="21"/>
                    </w:rPr>
                  </w:pPr>
                  <w:r>
                    <w:rPr>
                      <w:rFonts w:cs="Times New Roman"/>
                      <w:szCs w:val="21"/>
                    </w:rPr>
                    <w:t>0.007</w:t>
                  </w:r>
                </w:p>
              </w:tc>
              <w:tc>
                <w:tcPr>
                  <w:tcW w:w="433" w:type="pct"/>
                  <w:vAlign w:val="center"/>
                </w:tcPr>
                <w:p>
                  <w:pPr>
                    <w:jc w:val="center"/>
                    <w:rPr>
                      <w:szCs w:val="21"/>
                    </w:rPr>
                  </w:pPr>
                  <w:r>
                    <w:rPr>
                      <w:rFonts w:cs="Times New Roman"/>
                      <w:szCs w:val="21"/>
                    </w:rPr>
                    <w:t>2400</w:t>
                  </w:r>
                </w:p>
              </w:tc>
              <w:tc>
                <w:tcPr>
                  <w:tcW w:w="481" w:type="pct"/>
                  <w:vAlign w:val="center"/>
                </w:tcPr>
                <w:p>
                  <w:pPr>
                    <w:jc w:val="center"/>
                    <w:rPr>
                      <w:szCs w:val="21"/>
                    </w:rPr>
                  </w:pPr>
                  <w:r>
                    <w:rPr>
                      <w:rFonts w:cs="Times New Roman"/>
                      <w:szCs w:val="21"/>
                    </w:rPr>
                    <w:t>DA090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pPr>
                    <w:jc w:val="center"/>
                    <w:rPr>
                      <w:szCs w:val="21"/>
                    </w:rPr>
                  </w:pPr>
                  <w:r>
                    <w:rPr>
                      <w:rFonts w:hint="eastAsia"/>
                      <w:szCs w:val="21"/>
                    </w:rPr>
                    <w:t>2</w:t>
                  </w:r>
                  <w:r>
                    <w:rPr>
                      <w:szCs w:val="21"/>
                    </w:rPr>
                    <w:t>#</w:t>
                  </w:r>
                  <w:r>
                    <w:rPr>
                      <w:rFonts w:hint="eastAsia"/>
                      <w:szCs w:val="21"/>
                    </w:rPr>
                    <w:t>骨料仓</w:t>
                  </w:r>
                </w:p>
              </w:tc>
              <w:tc>
                <w:tcPr>
                  <w:tcW w:w="424" w:type="pct"/>
                </w:tcPr>
                <w:p>
                  <w:pPr>
                    <w:jc w:val="center"/>
                    <w:rPr>
                      <w:szCs w:val="21"/>
                    </w:rPr>
                  </w:pPr>
                  <w:r>
                    <w:rPr>
                      <w:rFonts w:hint="eastAsia"/>
                      <w:szCs w:val="21"/>
                    </w:rPr>
                    <w:t>颗粒物</w:t>
                  </w:r>
                </w:p>
              </w:tc>
              <w:tc>
                <w:tcPr>
                  <w:tcW w:w="457" w:type="pct"/>
                  <w:vAlign w:val="center"/>
                </w:tcPr>
                <w:p>
                  <w:pPr>
                    <w:widowControl/>
                    <w:jc w:val="center"/>
                    <w:rPr>
                      <w:rFonts w:cs="Times New Roman"/>
                      <w:kern w:val="0"/>
                      <w:szCs w:val="21"/>
                    </w:rPr>
                  </w:pPr>
                  <w:r>
                    <w:rPr>
                      <w:rFonts w:hint="eastAsia"/>
                      <w:szCs w:val="21"/>
                    </w:rPr>
                    <w:t>47.6</w:t>
                  </w:r>
                </w:p>
              </w:tc>
              <w:tc>
                <w:tcPr>
                  <w:tcW w:w="518" w:type="pct"/>
                  <w:vAlign w:val="center"/>
                </w:tcPr>
                <w:p>
                  <w:pPr>
                    <w:jc w:val="center"/>
                    <w:rPr>
                      <w:rFonts w:cs="Times New Roman"/>
                      <w:szCs w:val="21"/>
                    </w:rPr>
                  </w:pPr>
                  <w:r>
                    <w:rPr>
                      <w:rFonts w:cs="Times New Roman"/>
                      <w:szCs w:val="21"/>
                    </w:rPr>
                    <w:t>8000</w:t>
                  </w:r>
                </w:p>
              </w:tc>
              <w:tc>
                <w:tcPr>
                  <w:tcW w:w="460" w:type="pct"/>
                  <w:vAlign w:val="center"/>
                </w:tcPr>
                <w:p>
                  <w:pPr>
                    <w:jc w:val="center"/>
                    <w:rPr>
                      <w:rFonts w:cs="Times New Roman"/>
                      <w:szCs w:val="21"/>
                    </w:rPr>
                  </w:pPr>
                  <w:r>
                    <w:rPr>
                      <w:rFonts w:cs="Times New Roman"/>
                      <w:szCs w:val="21"/>
                    </w:rPr>
                    <w:t>2.444</w:t>
                  </w:r>
                </w:p>
              </w:tc>
              <w:tc>
                <w:tcPr>
                  <w:tcW w:w="459" w:type="pct"/>
                  <w:vAlign w:val="center"/>
                </w:tcPr>
                <w:p>
                  <w:pPr>
                    <w:jc w:val="center"/>
                    <w:rPr>
                      <w:rFonts w:cs="Times New Roman"/>
                      <w:szCs w:val="21"/>
                    </w:rPr>
                  </w:pPr>
                  <w:r>
                    <w:rPr>
                      <w:rFonts w:cs="Times New Roman"/>
                      <w:szCs w:val="21"/>
                    </w:rPr>
                    <w:t>0.020</w:t>
                  </w:r>
                </w:p>
              </w:tc>
              <w:tc>
                <w:tcPr>
                  <w:tcW w:w="465" w:type="pct"/>
                  <w:vAlign w:val="center"/>
                </w:tcPr>
                <w:p>
                  <w:pPr>
                    <w:jc w:val="center"/>
                    <w:rPr>
                      <w:rFonts w:cs="Times New Roman"/>
                      <w:szCs w:val="21"/>
                    </w:rPr>
                  </w:pPr>
                  <w:r>
                    <w:rPr>
                      <w:rFonts w:cs="Times New Roman"/>
                      <w:szCs w:val="21"/>
                    </w:rPr>
                    <w:t>0.047</w:t>
                  </w:r>
                </w:p>
              </w:tc>
              <w:tc>
                <w:tcPr>
                  <w:tcW w:w="458" w:type="pct"/>
                  <w:vAlign w:val="center"/>
                </w:tcPr>
                <w:p>
                  <w:pPr>
                    <w:jc w:val="center"/>
                    <w:rPr>
                      <w:rFonts w:cs="Times New Roman"/>
                      <w:szCs w:val="21"/>
                    </w:rPr>
                  </w:pPr>
                  <w:r>
                    <w:rPr>
                      <w:rFonts w:cs="Times New Roman"/>
                      <w:szCs w:val="21"/>
                    </w:rPr>
                    <w:t>0.003</w:t>
                  </w:r>
                </w:p>
              </w:tc>
              <w:tc>
                <w:tcPr>
                  <w:tcW w:w="460" w:type="pct"/>
                  <w:vAlign w:val="center"/>
                </w:tcPr>
                <w:p>
                  <w:pPr>
                    <w:jc w:val="center"/>
                    <w:rPr>
                      <w:rFonts w:cs="Times New Roman"/>
                      <w:szCs w:val="21"/>
                    </w:rPr>
                  </w:pPr>
                  <w:r>
                    <w:rPr>
                      <w:rFonts w:cs="Times New Roman"/>
                      <w:szCs w:val="21"/>
                    </w:rPr>
                    <w:t>0.007</w:t>
                  </w:r>
                </w:p>
              </w:tc>
              <w:tc>
                <w:tcPr>
                  <w:tcW w:w="433" w:type="pct"/>
                  <w:vAlign w:val="center"/>
                </w:tcPr>
                <w:p>
                  <w:pPr>
                    <w:jc w:val="center"/>
                    <w:rPr>
                      <w:szCs w:val="21"/>
                    </w:rPr>
                  </w:pPr>
                  <w:r>
                    <w:rPr>
                      <w:rFonts w:cs="Times New Roman"/>
                      <w:szCs w:val="21"/>
                    </w:rPr>
                    <w:t>2400</w:t>
                  </w:r>
                </w:p>
              </w:tc>
              <w:tc>
                <w:tcPr>
                  <w:tcW w:w="481" w:type="pct"/>
                  <w:vAlign w:val="center"/>
                </w:tcPr>
                <w:p>
                  <w:pPr>
                    <w:jc w:val="center"/>
                    <w:rPr>
                      <w:szCs w:val="21"/>
                    </w:rPr>
                  </w:pPr>
                  <w:r>
                    <w:rPr>
                      <w:rFonts w:cs="Times New Roman"/>
                      <w:szCs w:val="21"/>
                    </w:rPr>
                    <w:t>DA097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pPr>
                    <w:jc w:val="center"/>
                    <w:rPr>
                      <w:szCs w:val="21"/>
                    </w:rPr>
                  </w:pPr>
                  <w:r>
                    <w:rPr>
                      <w:rFonts w:hint="eastAsia"/>
                      <w:szCs w:val="21"/>
                    </w:rPr>
                    <w:t>新建钢板仓</w:t>
                  </w:r>
                </w:p>
              </w:tc>
              <w:tc>
                <w:tcPr>
                  <w:tcW w:w="424" w:type="pct"/>
                  <w:vAlign w:val="center"/>
                </w:tcPr>
                <w:p>
                  <w:pPr>
                    <w:jc w:val="center"/>
                    <w:rPr>
                      <w:szCs w:val="21"/>
                    </w:rPr>
                  </w:pPr>
                  <w:r>
                    <w:rPr>
                      <w:rFonts w:hint="eastAsia"/>
                      <w:szCs w:val="21"/>
                    </w:rPr>
                    <w:t>颗粒物</w:t>
                  </w:r>
                </w:p>
              </w:tc>
              <w:tc>
                <w:tcPr>
                  <w:tcW w:w="457" w:type="pct"/>
                  <w:vAlign w:val="center"/>
                </w:tcPr>
                <w:p>
                  <w:pPr>
                    <w:widowControl/>
                    <w:jc w:val="center"/>
                    <w:rPr>
                      <w:szCs w:val="21"/>
                    </w:rPr>
                  </w:pPr>
                  <w:r>
                    <w:rPr>
                      <w:rFonts w:hint="eastAsia"/>
                      <w:szCs w:val="21"/>
                    </w:rPr>
                    <w:t>46.2</w:t>
                  </w:r>
                </w:p>
              </w:tc>
              <w:tc>
                <w:tcPr>
                  <w:tcW w:w="518" w:type="pct"/>
                  <w:vAlign w:val="center"/>
                </w:tcPr>
                <w:p>
                  <w:pPr>
                    <w:jc w:val="center"/>
                    <w:rPr>
                      <w:rFonts w:cs="Times New Roman"/>
                      <w:szCs w:val="21"/>
                    </w:rPr>
                  </w:pPr>
                  <w:r>
                    <w:rPr>
                      <w:rFonts w:cs="Times New Roman"/>
                      <w:szCs w:val="21"/>
                    </w:rPr>
                    <w:t>4320</w:t>
                  </w:r>
                </w:p>
              </w:tc>
              <w:tc>
                <w:tcPr>
                  <w:tcW w:w="460" w:type="pct"/>
                  <w:vAlign w:val="center"/>
                </w:tcPr>
                <w:p>
                  <w:pPr>
                    <w:jc w:val="center"/>
                    <w:rPr>
                      <w:rFonts w:cs="Times New Roman"/>
                      <w:szCs w:val="21"/>
                    </w:rPr>
                  </w:pPr>
                  <w:r>
                    <w:rPr>
                      <w:rFonts w:cs="Times New Roman"/>
                      <w:szCs w:val="21"/>
                    </w:rPr>
                    <w:t>4.392</w:t>
                  </w:r>
                </w:p>
              </w:tc>
              <w:tc>
                <w:tcPr>
                  <w:tcW w:w="459" w:type="pct"/>
                  <w:vAlign w:val="center"/>
                </w:tcPr>
                <w:p>
                  <w:pPr>
                    <w:jc w:val="center"/>
                    <w:rPr>
                      <w:rFonts w:cs="Times New Roman"/>
                      <w:szCs w:val="21"/>
                    </w:rPr>
                  </w:pPr>
                  <w:r>
                    <w:rPr>
                      <w:rFonts w:cs="Times New Roman"/>
                      <w:szCs w:val="21"/>
                    </w:rPr>
                    <w:t>0.019</w:t>
                  </w:r>
                </w:p>
              </w:tc>
              <w:tc>
                <w:tcPr>
                  <w:tcW w:w="465" w:type="pct"/>
                  <w:vAlign w:val="center"/>
                </w:tcPr>
                <w:p>
                  <w:pPr>
                    <w:jc w:val="center"/>
                    <w:rPr>
                      <w:rFonts w:cs="Times New Roman"/>
                      <w:szCs w:val="21"/>
                    </w:rPr>
                  </w:pPr>
                  <w:r>
                    <w:rPr>
                      <w:rFonts w:cs="Times New Roman"/>
                      <w:szCs w:val="21"/>
                    </w:rPr>
                    <w:t>0.046</w:t>
                  </w:r>
                </w:p>
              </w:tc>
              <w:tc>
                <w:tcPr>
                  <w:tcW w:w="458" w:type="pct"/>
                  <w:vAlign w:val="center"/>
                </w:tcPr>
                <w:p>
                  <w:pPr>
                    <w:jc w:val="center"/>
                    <w:rPr>
                      <w:rFonts w:cs="Times New Roman"/>
                      <w:szCs w:val="21"/>
                    </w:rPr>
                  </w:pPr>
                  <w:r>
                    <w:rPr>
                      <w:rFonts w:cs="Times New Roman"/>
                      <w:szCs w:val="21"/>
                    </w:rPr>
                    <w:t>0.003</w:t>
                  </w:r>
                </w:p>
              </w:tc>
              <w:tc>
                <w:tcPr>
                  <w:tcW w:w="460" w:type="pct"/>
                  <w:vAlign w:val="center"/>
                </w:tcPr>
                <w:p>
                  <w:pPr>
                    <w:jc w:val="center"/>
                    <w:rPr>
                      <w:rFonts w:cs="Times New Roman"/>
                      <w:szCs w:val="21"/>
                    </w:rPr>
                  </w:pPr>
                  <w:r>
                    <w:rPr>
                      <w:rFonts w:cs="Times New Roman"/>
                      <w:szCs w:val="21"/>
                    </w:rPr>
                    <w:t>0.007</w:t>
                  </w:r>
                </w:p>
              </w:tc>
              <w:tc>
                <w:tcPr>
                  <w:tcW w:w="433" w:type="pct"/>
                  <w:vAlign w:val="center"/>
                </w:tcPr>
                <w:p>
                  <w:pPr>
                    <w:jc w:val="center"/>
                    <w:rPr>
                      <w:rFonts w:cs="Times New Roman"/>
                      <w:szCs w:val="21"/>
                    </w:rPr>
                  </w:pPr>
                  <w:r>
                    <w:rPr>
                      <w:rFonts w:cs="Times New Roman"/>
                      <w:szCs w:val="21"/>
                    </w:rPr>
                    <w:t>2400</w:t>
                  </w:r>
                </w:p>
              </w:tc>
              <w:tc>
                <w:tcPr>
                  <w:tcW w:w="481" w:type="pct"/>
                  <w:vAlign w:val="center"/>
                </w:tcPr>
                <w:p>
                  <w:pPr>
                    <w:jc w:val="center"/>
                    <w:rPr>
                      <w:rFonts w:cs="Times New Roman"/>
                      <w:szCs w:val="21"/>
                    </w:rPr>
                  </w:pPr>
                  <w:r>
                    <w:rPr>
                      <w:rFonts w:cs="Times New Roman"/>
                      <w:szCs w:val="21"/>
                    </w:rPr>
                    <w:t>DA</w:t>
                  </w:r>
                  <w:r>
                    <w:rPr>
                      <w:rFonts w:hint="eastAsia" w:cs="Times New Roman"/>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pPr>
                    <w:jc w:val="center"/>
                    <w:rPr>
                      <w:szCs w:val="21"/>
                    </w:rPr>
                  </w:pPr>
                  <w:r>
                    <w:rPr>
                      <w:rFonts w:hint="eastAsia"/>
                      <w:szCs w:val="21"/>
                    </w:rPr>
                    <w:t>成品砂库</w:t>
                  </w:r>
                </w:p>
              </w:tc>
              <w:tc>
                <w:tcPr>
                  <w:tcW w:w="424" w:type="pct"/>
                  <w:vAlign w:val="center"/>
                </w:tcPr>
                <w:p>
                  <w:pPr>
                    <w:jc w:val="center"/>
                    <w:rPr>
                      <w:szCs w:val="21"/>
                    </w:rPr>
                  </w:pPr>
                  <w:r>
                    <w:rPr>
                      <w:rFonts w:hint="eastAsia"/>
                      <w:szCs w:val="21"/>
                    </w:rPr>
                    <w:t>颗粒物</w:t>
                  </w:r>
                </w:p>
              </w:tc>
              <w:tc>
                <w:tcPr>
                  <w:tcW w:w="457" w:type="pct"/>
                  <w:vAlign w:val="center"/>
                </w:tcPr>
                <w:p>
                  <w:pPr>
                    <w:widowControl/>
                    <w:jc w:val="center"/>
                    <w:rPr>
                      <w:szCs w:val="21"/>
                    </w:rPr>
                  </w:pPr>
                  <w:r>
                    <w:rPr>
                      <w:rFonts w:hint="eastAsia" w:cs="Times New Roman"/>
                      <w:szCs w:val="21"/>
                    </w:rPr>
                    <w:t>42</w:t>
                  </w:r>
                </w:p>
              </w:tc>
              <w:tc>
                <w:tcPr>
                  <w:tcW w:w="518" w:type="pct"/>
                  <w:vAlign w:val="center"/>
                </w:tcPr>
                <w:p>
                  <w:pPr>
                    <w:jc w:val="center"/>
                    <w:rPr>
                      <w:rFonts w:cs="Times New Roman"/>
                      <w:szCs w:val="21"/>
                    </w:rPr>
                  </w:pPr>
                  <w:r>
                    <w:rPr>
                      <w:rFonts w:cs="Times New Roman"/>
                      <w:szCs w:val="21"/>
                    </w:rPr>
                    <w:t>13248</w:t>
                  </w:r>
                </w:p>
              </w:tc>
              <w:tc>
                <w:tcPr>
                  <w:tcW w:w="460" w:type="pct"/>
                  <w:vAlign w:val="center"/>
                </w:tcPr>
                <w:p>
                  <w:pPr>
                    <w:jc w:val="center"/>
                    <w:rPr>
                      <w:rFonts w:cs="Times New Roman"/>
                      <w:szCs w:val="21"/>
                    </w:rPr>
                  </w:pPr>
                  <w:r>
                    <w:rPr>
                      <w:rFonts w:cs="Times New Roman"/>
                      <w:szCs w:val="21"/>
                    </w:rPr>
                    <w:t>1.302</w:t>
                  </w:r>
                </w:p>
              </w:tc>
              <w:tc>
                <w:tcPr>
                  <w:tcW w:w="459" w:type="pct"/>
                  <w:vAlign w:val="center"/>
                </w:tcPr>
                <w:p>
                  <w:pPr>
                    <w:jc w:val="center"/>
                    <w:rPr>
                      <w:rFonts w:cs="Times New Roman"/>
                      <w:szCs w:val="21"/>
                    </w:rPr>
                  </w:pPr>
                  <w:r>
                    <w:rPr>
                      <w:rFonts w:cs="Times New Roman"/>
                      <w:szCs w:val="21"/>
                    </w:rPr>
                    <w:t>0.017</w:t>
                  </w:r>
                </w:p>
              </w:tc>
              <w:tc>
                <w:tcPr>
                  <w:tcW w:w="465" w:type="pct"/>
                  <w:vAlign w:val="center"/>
                </w:tcPr>
                <w:p>
                  <w:pPr>
                    <w:jc w:val="center"/>
                    <w:rPr>
                      <w:rFonts w:cs="Times New Roman"/>
                      <w:szCs w:val="21"/>
                    </w:rPr>
                  </w:pPr>
                  <w:r>
                    <w:rPr>
                      <w:rFonts w:cs="Times New Roman"/>
                      <w:szCs w:val="21"/>
                    </w:rPr>
                    <w:t>0.041</w:t>
                  </w:r>
                </w:p>
              </w:tc>
              <w:tc>
                <w:tcPr>
                  <w:tcW w:w="458" w:type="pct"/>
                  <w:vAlign w:val="center"/>
                </w:tcPr>
                <w:p>
                  <w:pPr>
                    <w:jc w:val="center"/>
                    <w:rPr>
                      <w:rFonts w:cs="Times New Roman"/>
                      <w:szCs w:val="21"/>
                    </w:rPr>
                  </w:pPr>
                  <w:r>
                    <w:rPr>
                      <w:rFonts w:cs="Times New Roman"/>
                      <w:szCs w:val="21"/>
                    </w:rPr>
                    <w:t>0.003</w:t>
                  </w:r>
                </w:p>
              </w:tc>
              <w:tc>
                <w:tcPr>
                  <w:tcW w:w="460" w:type="pct"/>
                  <w:vAlign w:val="center"/>
                </w:tcPr>
                <w:p>
                  <w:pPr>
                    <w:jc w:val="center"/>
                    <w:rPr>
                      <w:rFonts w:cs="Times New Roman"/>
                      <w:szCs w:val="21"/>
                    </w:rPr>
                  </w:pPr>
                  <w:r>
                    <w:rPr>
                      <w:rFonts w:cs="Times New Roman"/>
                      <w:szCs w:val="21"/>
                    </w:rPr>
                    <w:t>0.006</w:t>
                  </w:r>
                </w:p>
              </w:tc>
              <w:tc>
                <w:tcPr>
                  <w:tcW w:w="433" w:type="pct"/>
                  <w:vAlign w:val="center"/>
                </w:tcPr>
                <w:p>
                  <w:pPr>
                    <w:jc w:val="center"/>
                    <w:rPr>
                      <w:rFonts w:cs="Times New Roman"/>
                      <w:szCs w:val="21"/>
                    </w:rPr>
                  </w:pPr>
                  <w:r>
                    <w:rPr>
                      <w:rFonts w:cs="Times New Roman"/>
                      <w:szCs w:val="21"/>
                    </w:rPr>
                    <w:t>2400</w:t>
                  </w:r>
                </w:p>
              </w:tc>
              <w:tc>
                <w:tcPr>
                  <w:tcW w:w="481" w:type="pct"/>
                  <w:vAlign w:val="center"/>
                </w:tcPr>
                <w:p>
                  <w:pPr>
                    <w:jc w:val="center"/>
                    <w:rPr>
                      <w:rFonts w:cs="Times New Roman"/>
                      <w:szCs w:val="21"/>
                    </w:rPr>
                  </w:pPr>
                  <w:r>
                    <w:rPr>
                      <w:rFonts w:cs="Times New Roman"/>
                      <w:szCs w:val="21"/>
                    </w:rPr>
                    <w:t>DA</w:t>
                  </w:r>
                  <w:r>
                    <w:rPr>
                      <w:rFonts w:hint="eastAsia" w:cs="Times New Roman"/>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pPr>
                    <w:jc w:val="center"/>
                    <w:rPr>
                      <w:szCs w:val="21"/>
                    </w:rPr>
                  </w:pPr>
                  <w:r>
                    <w:rPr>
                      <w:rFonts w:hint="eastAsia"/>
                      <w:szCs w:val="21"/>
                    </w:rPr>
                    <w:t>微粉库</w:t>
                  </w:r>
                </w:p>
              </w:tc>
              <w:tc>
                <w:tcPr>
                  <w:tcW w:w="424" w:type="pct"/>
                  <w:vAlign w:val="center"/>
                </w:tcPr>
                <w:p>
                  <w:pPr>
                    <w:jc w:val="center"/>
                    <w:rPr>
                      <w:szCs w:val="21"/>
                    </w:rPr>
                  </w:pPr>
                  <w:r>
                    <w:rPr>
                      <w:rFonts w:hint="eastAsia"/>
                      <w:szCs w:val="21"/>
                    </w:rPr>
                    <w:t>颗粒物</w:t>
                  </w:r>
                </w:p>
              </w:tc>
              <w:tc>
                <w:tcPr>
                  <w:tcW w:w="457" w:type="pct"/>
                  <w:vAlign w:val="center"/>
                </w:tcPr>
                <w:p>
                  <w:pPr>
                    <w:widowControl/>
                    <w:jc w:val="center"/>
                    <w:rPr>
                      <w:szCs w:val="21"/>
                    </w:rPr>
                  </w:pPr>
                  <w:r>
                    <w:rPr>
                      <w:rFonts w:hint="eastAsia" w:cs="Times New Roman"/>
                      <w:szCs w:val="21"/>
                    </w:rPr>
                    <w:t>3.6</w:t>
                  </w:r>
                </w:p>
              </w:tc>
              <w:tc>
                <w:tcPr>
                  <w:tcW w:w="518" w:type="pct"/>
                  <w:vAlign w:val="center"/>
                </w:tcPr>
                <w:p>
                  <w:pPr>
                    <w:jc w:val="center"/>
                    <w:rPr>
                      <w:rFonts w:cs="Times New Roman"/>
                      <w:szCs w:val="21"/>
                    </w:rPr>
                  </w:pPr>
                  <w:r>
                    <w:rPr>
                      <w:rFonts w:cs="Times New Roman"/>
                      <w:szCs w:val="21"/>
                    </w:rPr>
                    <w:t>4320</w:t>
                  </w:r>
                </w:p>
              </w:tc>
              <w:tc>
                <w:tcPr>
                  <w:tcW w:w="460" w:type="pct"/>
                  <w:vAlign w:val="center"/>
                </w:tcPr>
                <w:p>
                  <w:pPr>
                    <w:jc w:val="center"/>
                    <w:rPr>
                      <w:rFonts w:cs="Times New Roman"/>
                      <w:szCs w:val="21"/>
                    </w:rPr>
                  </w:pPr>
                  <w:r>
                    <w:rPr>
                      <w:rFonts w:cs="Times New Roman"/>
                      <w:szCs w:val="21"/>
                    </w:rPr>
                    <w:t>0.347</w:t>
                  </w:r>
                </w:p>
              </w:tc>
              <w:tc>
                <w:tcPr>
                  <w:tcW w:w="459" w:type="pct"/>
                  <w:vAlign w:val="center"/>
                </w:tcPr>
                <w:p>
                  <w:pPr>
                    <w:jc w:val="center"/>
                    <w:rPr>
                      <w:rFonts w:cs="Times New Roman"/>
                      <w:szCs w:val="21"/>
                    </w:rPr>
                  </w:pPr>
                  <w:r>
                    <w:rPr>
                      <w:rFonts w:cs="Times New Roman"/>
                      <w:szCs w:val="21"/>
                    </w:rPr>
                    <w:t>0.001</w:t>
                  </w:r>
                </w:p>
              </w:tc>
              <w:tc>
                <w:tcPr>
                  <w:tcW w:w="465" w:type="pct"/>
                  <w:vAlign w:val="center"/>
                </w:tcPr>
                <w:p>
                  <w:pPr>
                    <w:jc w:val="center"/>
                    <w:rPr>
                      <w:rFonts w:cs="Times New Roman"/>
                      <w:szCs w:val="21"/>
                    </w:rPr>
                  </w:pPr>
                  <w:r>
                    <w:rPr>
                      <w:rFonts w:cs="Times New Roman"/>
                      <w:szCs w:val="21"/>
                    </w:rPr>
                    <w:t>0.004</w:t>
                  </w:r>
                </w:p>
              </w:tc>
              <w:tc>
                <w:tcPr>
                  <w:tcW w:w="458" w:type="pct"/>
                  <w:vAlign w:val="center"/>
                </w:tcPr>
                <w:p>
                  <w:pPr>
                    <w:jc w:val="center"/>
                    <w:rPr>
                      <w:rFonts w:cs="Times New Roman"/>
                      <w:szCs w:val="21"/>
                    </w:rPr>
                  </w:pPr>
                  <w:r>
                    <w:rPr>
                      <w:rFonts w:hint="eastAsia" w:cs="Times New Roman"/>
                      <w:szCs w:val="21"/>
                    </w:rPr>
                    <w:t>/</w:t>
                  </w:r>
                </w:p>
              </w:tc>
              <w:tc>
                <w:tcPr>
                  <w:tcW w:w="460" w:type="pct"/>
                  <w:vAlign w:val="center"/>
                </w:tcPr>
                <w:p>
                  <w:pPr>
                    <w:jc w:val="center"/>
                    <w:rPr>
                      <w:rFonts w:cs="Times New Roman"/>
                      <w:szCs w:val="21"/>
                    </w:rPr>
                  </w:pPr>
                  <w:r>
                    <w:rPr>
                      <w:rFonts w:hint="eastAsia" w:cs="Times New Roman"/>
                      <w:szCs w:val="21"/>
                    </w:rPr>
                    <w:t>/</w:t>
                  </w:r>
                </w:p>
              </w:tc>
              <w:tc>
                <w:tcPr>
                  <w:tcW w:w="433" w:type="pct"/>
                  <w:vAlign w:val="center"/>
                </w:tcPr>
                <w:p>
                  <w:pPr>
                    <w:jc w:val="center"/>
                    <w:rPr>
                      <w:rFonts w:cs="Times New Roman"/>
                      <w:szCs w:val="21"/>
                    </w:rPr>
                  </w:pPr>
                  <w:r>
                    <w:rPr>
                      <w:rFonts w:cs="Times New Roman"/>
                      <w:szCs w:val="21"/>
                    </w:rPr>
                    <w:t>2400</w:t>
                  </w:r>
                </w:p>
              </w:tc>
              <w:tc>
                <w:tcPr>
                  <w:tcW w:w="481" w:type="pct"/>
                  <w:vAlign w:val="center"/>
                </w:tcPr>
                <w:p>
                  <w:pPr>
                    <w:jc w:val="center"/>
                    <w:rPr>
                      <w:rFonts w:cs="Times New Roman"/>
                      <w:szCs w:val="21"/>
                    </w:rPr>
                  </w:pPr>
                  <w:r>
                    <w:rPr>
                      <w:rFonts w:cs="Times New Roman"/>
                      <w:szCs w:val="21"/>
                    </w:rPr>
                    <w:t>DA</w:t>
                  </w:r>
                  <w:r>
                    <w:rPr>
                      <w:rFonts w:hint="eastAsia" w:cs="Times New Roman"/>
                      <w:szCs w:val="21"/>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pPr>
                    <w:jc w:val="center"/>
                    <w:rPr>
                      <w:szCs w:val="21"/>
                    </w:rPr>
                  </w:pPr>
                  <w:r>
                    <w:rPr>
                      <w:rFonts w:hint="eastAsia"/>
                      <w:szCs w:val="21"/>
                    </w:rPr>
                    <w:t>合计</w:t>
                  </w:r>
                </w:p>
              </w:tc>
              <w:tc>
                <w:tcPr>
                  <w:tcW w:w="424" w:type="pct"/>
                </w:tcPr>
                <w:p>
                  <w:pPr>
                    <w:jc w:val="center"/>
                    <w:rPr>
                      <w:szCs w:val="21"/>
                    </w:rPr>
                  </w:pPr>
                  <w:r>
                    <w:rPr>
                      <w:rFonts w:hint="eastAsia"/>
                      <w:szCs w:val="21"/>
                    </w:rPr>
                    <w:t>颗粒物</w:t>
                  </w:r>
                </w:p>
              </w:tc>
              <w:tc>
                <w:tcPr>
                  <w:tcW w:w="457" w:type="pct"/>
                  <w:vAlign w:val="center"/>
                </w:tcPr>
                <w:p>
                  <w:pPr>
                    <w:widowControl/>
                    <w:jc w:val="center"/>
                    <w:rPr>
                      <w:szCs w:val="21"/>
                    </w:rPr>
                  </w:pPr>
                  <w:r>
                    <w:rPr>
                      <w:rFonts w:hint="eastAsia"/>
                      <w:szCs w:val="21"/>
                    </w:rPr>
                    <w:t>225.2</w:t>
                  </w:r>
                </w:p>
              </w:tc>
              <w:tc>
                <w:tcPr>
                  <w:tcW w:w="518" w:type="pct"/>
                  <w:vAlign w:val="center"/>
                </w:tcPr>
                <w:p>
                  <w:pPr>
                    <w:jc w:val="center"/>
                    <w:rPr>
                      <w:rFonts w:cs="Times New Roman"/>
                      <w:szCs w:val="21"/>
                    </w:rPr>
                  </w:pPr>
                  <w:r>
                    <w:rPr>
                      <w:rFonts w:hint="eastAsia" w:cs="Times New Roman"/>
                      <w:szCs w:val="21"/>
                    </w:rPr>
                    <w:t>/</w:t>
                  </w:r>
                </w:p>
              </w:tc>
              <w:tc>
                <w:tcPr>
                  <w:tcW w:w="460" w:type="pct"/>
                  <w:vAlign w:val="center"/>
                </w:tcPr>
                <w:p>
                  <w:pPr>
                    <w:jc w:val="center"/>
                    <w:rPr>
                      <w:rFonts w:cs="Times New Roman"/>
                      <w:szCs w:val="21"/>
                    </w:rPr>
                  </w:pPr>
                  <w:r>
                    <w:rPr>
                      <w:rFonts w:hint="eastAsia" w:cs="Times New Roman"/>
                      <w:szCs w:val="21"/>
                    </w:rPr>
                    <w:t>/</w:t>
                  </w:r>
                </w:p>
              </w:tc>
              <w:tc>
                <w:tcPr>
                  <w:tcW w:w="459" w:type="pct"/>
                  <w:vAlign w:val="center"/>
                </w:tcPr>
                <w:p>
                  <w:pPr>
                    <w:jc w:val="center"/>
                    <w:rPr>
                      <w:rFonts w:cs="Times New Roman"/>
                      <w:szCs w:val="21"/>
                    </w:rPr>
                  </w:pPr>
                  <w:r>
                    <w:rPr>
                      <w:rFonts w:hint="eastAsia" w:cs="Times New Roman"/>
                      <w:szCs w:val="21"/>
                    </w:rPr>
                    <w:t>/</w:t>
                  </w:r>
                </w:p>
              </w:tc>
              <w:tc>
                <w:tcPr>
                  <w:tcW w:w="465" w:type="pct"/>
                  <w:vAlign w:val="center"/>
                </w:tcPr>
                <w:p>
                  <w:pPr>
                    <w:jc w:val="center"/>
                    <w:rPr>
                      <w:rFonts w:cs="Times New Roman"/>
                      <w:szCs w:val="21"/>
                    </w:rPr>
                  </w:pPr>
                  <w:r>
                    <w:rPr>
                      <w:rFonts w:hint="eastAsia" w:cs="Times New Roman"/>
                      <w:szCs w:val="21"/>
                    </w:rPr>
                    <w:t>0.224</w:t>
                  </w:r>
                </w:p>
              </w:tc>
              <w:tc>
                <w:tcPr>
                  <w:tcW w:w="458" w:type="pct"/>
                  <w:vAlign w:val="center"/>
                </w:tcPr>
                <w:p>
                  <w:pPr>
                    <w:jc w:val="center"/>
                    <w:rPr>
                      <w:rFonts w:cs="Times New Roman"/>
                      <w:szCs w:val="21"/>
                    </w:rPr>
                  </w:pPr>
                  <w:r>
                    <w:rPr>
                      <w:rFonts w:hint="eastAsia" w:cs="Times New Roman"/>
                      <w:szCs w:val="21"/>
                    </w:rPr>
                    <w:t>/</w:t>
                  </w:r>
                </w:p>
              </w:tc>
              <w:tc>
                <w:tcPr>
                  <w:tcW w:w="460" w:type="pct"/>
                  <w:vAlign w:val="center"/>
                </w:tcPr>
                <w:p>
                  <w:pPr>
                    <w:jc w:val="center"/>
                    <w:rPr>
                      <w:rFonts w:cs="Times New Roman"/>
                      <w:szCs w:val="21"/>
                    </w:rPr>
                  </w:pPr>
                  <w:r>
                    <w:rPr>
                      <w:rFonts w:hint="eastAsia" w:cs="Times New Roman"/>
                      <w:szCs w:val="21"/>
                    </w:rPr>
                    <w:t>0.027</w:t>
                  </w:r>
                </w:p>
              </w:tc>
              <w:tc>
                <w:tcPr>
                  <w:tcW w:w="433" w:type="pct"/>
                  <w:vAlign w:val="center"/>
                </w:tcPr>
                <w:p>
                  <w:pPr>
                    <w:jc w:val="center"/>
                    <w:rPr>
                      <w:rFonts w:cs="Times New Roman"/>
                      <w:szCs w:val="21"/>
                    </w:rPr>
                  </w:pPr>
                  <w:r>
                    <w:rPr>
                      <w:rFonts w:hint="eastAsia" w:cs="Times New Roman"/>
                      <w:szCs w:val="21"/>
                    </w:rPr>
                    <w:t>/</w:t>
                  </w:r>
                </w:p>
              </w:tc>
              <w:tc>
                <w:tcPr>
                  <w:tcW w:w="481" w:type="pct"/>
                  <w:vAlign w:val="center"/>
                </w:tcPr>
                <w:p>
                  <w:pPr>
                    <w:jc w:val="center"/>
                    <w:rPr>
                      <w:rFonts w:cs="Times New Roman"/>
                      <w:szCs w:val="21"/>
                    </w:rPr>
                  </w:pPr>
                  <w:r>
                    <w:rPr>
                      <w:rFonts w:hint="eastAsia" w:cs="Times New Roman"/>
                      <w:szCs w:val="21"/>
                    </w:rPr>
                    <w:t>/</w:t>
                  </w:r>
                </w:p>
              </w:tc>
            </w:tr>
          </w:tbl>
          <w:p>
            <w:pPr>
              <w:spacing w:line="360" w:lineRule="auto"/>
              <w:ind w:firstLine="480" w:firstLineChars="200"/>
              <w:rPr>
                <w:rFonts w:cs="Times New Roman"/>
                <w:sz w:val="24"/>
                <w:szCs w:val="24"/>
              </w:rPr>
            </w:pPr>
            <w:r>
              <w:rPr>
                <w:rFonts w:hint="eastAsia" w:cs="Times New Roman"/>
                <w:sz w:val="24"/>
                <w:szCs w:val="24"/>
              </w:rPr>
              <w:t>由上表可知，运营期贮仓粉尘经处理后颗粒物排放浓度满足</w:t>
            </w:r>
            <w:r>
              <w:rPr>
                <w:rFonts w:hint="eastAsia"/>
                <w:sz w:val="24"/>
                <w:szCs w:val="24"/>
              </w:rPr>
              <w:t>《四川省水泥工业大气污染物排放标准》（DB51/2864-2021）表1中排放限值</w:t>
            </w:r>
            <w:r>
              <w:rPr>
                <w:rFonts w:hint="eastAsia" w:cs="Times New Roman"/>
                <w:sz w:val="24"/>
                <w:szCs w:val="24"/>
              </w:rPr>
              <w:t>。</w:t>
            </w:r>
          </w:p>
          <w:p>
            <w:pPr>
              <w:spacing w:line="360" w:lineRule="auto"/>
              <w:ind w:firstLine="482" w:firstLineChars="200"/>
              <w:rPr>
                <w:rFonts w:cs="Times New Roman"/>
                <w:b/>
                <w:bCs/>
                <w:sz w:val="24"/>
                <w:szCs w:val="24"/>
              </w:rPr>
            </w:pPr>
            <w:r>
              <w:rPr>
                <w:rFonts w:hint="eastAsia" w:cs="Times New Roman"/>
                <w:b/>
                <w:bCs/>
                <w:sz w:val="24"/>
                <w:szCs w:val="24"/>
              </w:rPr>
              <w:t>（</w:t>
            </w:r>
            <w:r>
              <w:rPr>
                <w:rFonts w:cs="Times New Roman"/>
                <w:b/>
                <w:bCs/>
                <w:sz w:val="24"/>
                <w:szCs w:val="24"/>
              </w:rPr>
              <w:t>2</w:t>
            </w:r>
            <w:r>
              <w:rPr>
                <w:rFonts w:hint="eastAsia" w:cs="Times New Roman"/>
                <w:b/>
                <w:bCs/>
                <w:sz w:val="24"/>
                <w:szCs w:val="24"/>
              </w:rPr>
              <w:t>）排放形式、排放口基本信息</w:t>
            </w:r>
          </w:p>
          <w:p>
            <w:pPr>
              <w:spacing w:line="360" w:lineRule="auto"/>
              <w:ind w:firstLine="480" w:firstLineChars="200"/>
              <w:rPr>
                <w:rFonts w:cs="Times New Roman"/>
                <w:sz w:val="24"/>
                <w:szCs w:val="24"/>
              </w:rPr>
            </w:pPr>
            <w:r>
              <w:rPr>
                <w:rFonts w:hint="eastAsia" w:cs="Times New Roman"/>
                <w:sz w:val="24"/>
                <w:szCs w:val="24"/>
              </w:rPr>
              <w:t>项目主要废气排放形式、排放口基本信息见下表。</w:t>
            </w:r>
          </w:p>
          <w:p>
            <w:pPr>
              <w:spacing w:line="360" w:lineRule="auto"/>
              <w:ind w:firstLine="480" w:firstLineChars="200"/>
              <w:rPr>
                <w:rFonts w:cs="Times New Roman"/>
                <w:sz w:val="24"/>
                <w:szCs w:val="24"/>
              </w:rPr>
            </w:pP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-9</w:t>
            </w:r>
            <w:r>
              <w:rPr>
                <w:rFonts w:eastAsia="黑体" w:cs="Times New Roman"/>
                <w:szCs w:val="21"/>
              </w:rPr>
              <w:t xml:space="preserve">  </w:t>
            </w:r>
            <w:r>
              <w:rPr>
                <w:rFonts w:hint="eastAsia" w:eastAsia="黑体" w:cs="Times New Roman"/>
                <w:szCs w:val="21"/>
              </w:rPr>
              <w:t>废气治理设施、排放形式一览表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162"/>
              <w:gridCol w:w="1306"/>
              <w:gridCol w:w="2285"/>
              <w:gridCol w:w="1079"/>
              <w:gridCol w:w="924"/>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Merge w:val="restart"/>
                  <w:vAlign w:val="center"/>
                </w:tcPr>
                <w:p>
                  <w:pPr>
                    <w:jc w:val="center"/>
                    <w:rPr>
                      <w:szCs w:val="21"/>
                    </w:rPr>
                  </w:pPr>
                  <w:r>
                    <w:rPr>
                      <w:szCs w:val="21"/>
                    </w:rPr>
                    <w:t>废气</w:t>
                  </w:r>
                  <w:r>
                    <w:rPr>
                      <w:rFonts w:hint="eastAsia"/>
                      <w:szCs w:val="21"/>
                    </w:rPr>
                    <w:t>类型</w:t>
                  </w:r>
                </w:p>
              </w:tc>
              <w:tc>
                <w:tcPr>
                  <w:tcW w:w="635" w:type="pct"/>
                  <w:vMerge w:val="restart"/>
                  <w:vAlign w:val="center"/>
                </w:tcPr>
                <w:p>
                  <w:pPr>
                    <w:jc w:val="center"/>
                    <w:rPr>
                      <w:szCs w:val="21"/>
                    </w:rPr>
                  </w:pPr>
                  <w:r>
                    <w:rPr>
                      <w:szCs w:val="21"/>
                    </w:rPr>
                    <w:t>污染</w:t>
                  </w:r>
                  <w:r>
                    <w:rPr>
                      <w:rFonts w:hint="eastAsia"/>
                      <w:szCs w:val="21"/>
                    </w:rPr>
                    <w:t>因子</w:t>
                  </w:r>
                </w:p>
              </w:tc>
              <w:tc>
                <w:tcPr>
                  <w:tcW w:w="714" w:type="pct"/>
                  <w:vMerge w:val="restart"/>
                  <w:vAlign w:val="center"/>
                </w:tcPr>
                <w:p>
                  <w:pPr>
                    <w:jc w:val="center"/>
                    <w:rPr>
                      <w:szCs w:val="21"/>
                    </w:rPr>
                  </w:pPr>
                  <w:r>
                    <w:rPr>
                      <w:szCs w:val="21"/>
                    </w:rPr>
                    <w:t>排放形式</w:t>
                  </w:r>
                </w:p>
              </w:tc>
              <w:tc>
                <w:tcPr>
                  <w:tcW w:w="3029" w:type="pct"/>
                  <w:gridSpan w:val="4"/>
                  <w:vAlign w:val="center"/>
                </w:tcPr>
                <w:p>
                  <w:pPr>
                    <w:jc w:val="center"/>
                    <w:rPr>
                      <w:szCs w:val="21"/>
                    </w:rPr>
                  </w:pPr>
                  <w:r>
                    <w:rPr>
                      <w:szCs w:val="21"/>
                    </w:rPr>
                    <w:t>污染物治理设施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Merge w:val="continue"/>
                  <w:vAlign w:val="center"/>
                </w:tcPr>
                <w:p>
                  <w:pPr>
                    <w:jc w:val="center"/>
                    <w:rPr>
                      <w:szCs w:val="21"/>
                    </w:rPr>
                  </w:pPr>
                </w:p>
              </w:tc>
              <w:tc>
                <w:tcPr>
                  <w:tcW w:w="635" w:type="pct"/>
                  <w:vMerge w:val="continue"/>
                  <w:vAlign w:val="center"/>
                </w:tcPr>
                <w:p>
                  <w:pPr>
                    <w:jc w:val="center"/>
                    <w:rPr>
                      <w:szCs w:val="21"/>
                    </w:rPr>
                  </w:pPr>
                </w:p>
              </w:tc>
              <w:tc>
                <w:tcPr>
                  <w:tcW w:w="714" w:type="pct"/>
                  <w:vMerge w:val="continue"/>
                  <w:vAlign w:val="center"/>
                </w:tcPr>
                <w:p>
                  <w:pPr>
                    <w:jc w:val="center"/>
                    <w:rPr>
                      <w:szCs w:val="21"/>
                    </w:rPr>
                  </w:pPr>
                </w:p>
              </w:tc>
              <w:tc>
                <w:tcPr>
                  <w:tcW w:w="1249" w:type="pct"/>
                  <w:vAlign w:val="center"/>
                </w:tcPr>
                <w:p>
                  <w:pPr>
                    <w:jc w:val="center"/>
                    <w:rPr>
                      <w:szCs w:val="21"/>
                    </w:rPr>
                  </w:pPr>
                  <w:r>
                    <w:rPr>
                      <w:rFonts w:hint="eastAsia"/>
                      <w:szCs w:val="21"/>
                    </w:rPr>
                    <w:t>治理</w:t>
                  </w:r>
                  <w:r>
                    <w:rPr>
                      <w:szCs w:val="21"/>
                    </w:rPr>
                    <w:t>设施名称及工艺</w:t>
                  </w:r>
                </w:p>
              </w:tc>
              <w:tc>
                <w:tcPr>
                  <w:tcW w:w="590" w:type="pct"/>
                  <w:vAlign w:val="center"/>
                </w:tcPr>
                <w:p>
                  <w:pPr>
                    <w:jc w:val="center"/>
                    <w:rPr>
                      <w:szCs w:val="21"/>
                    </w:rPr>
                  </w:pPr>
                  <w:r>
                    <w:rPr>
                      <w:rFonts w:hint="eastAsia"/>
                      <w:szCs w:val="21"/>
                    </w:rPr>
                    <w:t>收集效率(%)</w:t>
                  </w:r>
                </w:p>
              </w:tc>
              <w:tc>
                <w:tcPr>
                  <w:tcW w:w="505" w:type="pct"/>
                  <w:vAlign w:val="center"/>
                </w:tcPr>
                <w:p>
                  <w:pPr>
                    <w:jc w:val="center"/>
                    <w:rPr>
                      <w:szCs w:val="21"/>
                    </w:rPr>
                  </w:pPr>
                  <w:r>
                    <w:rPr>
                      <w:szCs w:val="21"/>
                    </w:rPr>
                    <w:t>去除率</w:t>
                  </w:r>
                  <w:r>
                    <w:rPr>
                      <w:rFonts w:hint="eastAsia"/>
                      <w:szCs w:val="21"/>
                    </w:rPr>
                    <w:t>(%)</w:t>
                  </w:r>
                </w:p>
              </w:tc>
              <w:tc>
                <w:tcPr>
                  <w:tcW w:w="685" w:type="pct"/>
                  <w:vAlign w:val="center"/>
                </w:tcPr>
                <w:p>
                  <w:pPr>
                    <w:jc w:val="center"/>
                    <w:rPr>
                      <w:szCs w:val="21"/>
                    </w:rPr>
                  </w:pPr>
                  <w:r>
                    <w:rPr>
                      <w:szCs w:val="21"/>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pPr>
                    <w:jc w:val="center"/>
                    <w:rPr>
                      <w:szCs w:val="21"/>
                    </w:rPr>
                  </w:pPr>
                  <w:r>
                    <w:rPr>
                      <w:rFonts w:hint="eastAsia"/>
                      <w:szCs w:val="21"/>
                    </w:rPr>
                    <w:t>制砂、筛分粉尘</w:t>
                  </w:r>
                </w:p>
              </w:tc>
              <w:tc>
                <w:tcPr>
                  <w:tcW w:w="635" w:type="pct"/>
                  <w:vAlign w:val="center"/>
                </w:tcPr>
                <w:p>
                  <w:pPr>
                    <w:jc w:val="center"/>
                    <w:rPr>
                      <w:szCs w:val="21"/>
                    </w:rPr>
                  </w:pPr>
                  <w:r>
                    <w:rPr>
                      <w:szCs w:val="21"/>
                    </w:rPr>
                    <w:t>颗粒物</w:t>
                  </w:r>
                </w:p>
              </w:tc>
              <w:tc>
                <w:tcPr>
                  <w:tcW w:w="714" w:type="pct"/>
                  <w:vAlign w:val="center"/>
                </w:tcPr>
                <w:p>
                  <w:pPr>
                    <w:jc w:val="center"/>
                    <w:rPr>
                      <w:szCs w:val="21"/>
                    </w:rPr>
                  </w:pPr>
                  <w:r>
                    <w:rPr>
                      <w:rFonts w:hint="eastAsia"/>
                      <w:szCs w:val="21"/>
                    </w:rPr>
                    <w:t>有组织</w:t>
                  </w:r>
                </w:p>
              </w:tc>
              <w:tc>
                <w:tcPr>
                  <w:tcW w:w="1249" w:type="pct"/>
                  <w:vAlign w:val="center"/>
                </w:tcPr>
                <w:p>
                  <w:pPr>
                    <w:jc w:val="center"/>
                    <w:rPr>
                      <w:szCs w:val="21"/>
                    </w:rPr>
                  </w:pPr>
                  <w:r>
                    <w:rPr>
                      <w:rFonts w:hint="eastAsia"/>
                      <w:szCs w:val="21"/>
                    </w:rPr>
                    <w:t>集气罩+袋式除尘器（TA</w:t>
                  </w:r>
                  <w:r>
                    <w:rPr>
                      <w:szCs w:val="21"/>
                    </w:rPr>
                    <w:t>151）</w:t>
                  </w:r>
                </w:p>
              </w:tc>
              <w:tc>
                <w:tcPr>
                  <w:tcW w:w="590" w:type="pct"/>
                  <w:vAlign w:val="center"/>
                </w:tcPr>
                <w:p>
                  <w:pPr>
                    <w:jc w:val="center"/>
                    <w:rPr>
                      <w:szCs w:val="21"/>
                    </w:rPr>
                  </w:pPr>
                  <w:r>
                    <w:rPr>
                      <w:szCs w:val="21"/>
                    </w:rPr>
                    <w:t>90</w:t>
                  </w:r>
                </w:p>
              </w:tc>
              <w:tc>
                <w:tcPr>
                  <w:tcW w:w="505" w:type="pct"/>
                  <w:vAlign w:val="center"/>
                </w:tcPr>
                <w:p>
                  <w:pPr>
                    <w:jc w:val="center"/>
                    <w:rPr>
                      <w:szCs w:val="21"/>
                    </w:rPr>
                  </w:pPr>
                  <w:r>
                    <w:rPr>
                      <w:szCs w:val="21"/>
                    </w:rPr>
                    <w:t>99.9</w:t>
                  </w:r>
                </w:p>
              </w:tc>
              <w:tc>
                <w:tcPr>
                  <w:tcW w:w="685" w:type="pct"/>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pPr>
                    <w:jc w:val="center"/>
                    <w:rPr>
                      <w:szCs w:val="21"/>
                    </w:rPr>
                  </w:pPr>
                  <w:r>
                    <w:rPr>
                      <w:rFonts w:hint="eastAsia"/>
                      <w:szCs w:val="21"/>
                    </w:rPr>
                    <w:t>物料输送粉尘</w:t>
                  </w:r>
                </w:p>
              </w:tc>
              <w:tc>
                <w:tcPr>
                  <w:tcW w:w="635" w:type="pct"/>
                  <w:vAlign w:val="center"/>
                </w:tcPr>
                <w:p>
                  <w:pPr>
                    <w:jc w:val="center"/>
                    <w:rPr>
                      <w:szCs w:val="21"/>
                    </w:rPr>
                  </w:pPr>
                  <w:r>
                    <w:rPr>
                      <w:rFonts w:hint="eastAsia"/>
                      <w:szCs w:val="21"/>
                    </w:rPr>
                    <w:t>颗粒物</w:t>
                  </w:r>
                </w:p>
              </w:tc>
              <w:tc>
                <w:tcPr>
                  <w:tcW w:w="714" w:type="pct"/>
                  <w:vAlign w:val="center"/>
                </w:tcPr>
                <w:p>
                  <w:pPr>
                    <w:jc w:val="center"/>
                    <w:rPr>
                      <w:szCs w:val="21"/>
                    </w:rPr>
                  </w:pPr>
                  <w:r>
                    <w:rPr>
                      <w:rFonts w:hint="eastAsia"/>
                      <w:szCs w:val="21"/>
                    </w:rPr>
                    <w:t>有组织</w:t>
                  </w:r>
                </w:p>
              </w:tc>
              <w:tc>
                <w:tcPr>
                  <w:tcW w:w="1249" w:type="pct"/>
                  <w:vAlign w:val="center"/>
                </w:tcPr>
                <w:p>
                  <w:pPr>
                    <w:jc w:val="center"/>
                    <w:rPr>
                      <w:szCs w:val="21"/>
                    </w:rPr>
                  </w:pPr>
                  <w:r>
                    <w:rPr>
                      <w:rFonts w:hint="eastAsia"/>
                      <w:szCs w:val="21"/>
                    </w:rPr>
                    <w:t>集气罩+袋式除尘器（TA</w:t>
                  </w:r>
                  <w:r>
                    <w:rPr>
                      <w:szCs w:val="21"/>
                    </w:rPr>
                    <w:t>152）</w:t>
                  </w:r>
                </w:p>
              </w:tc>
              <w:tc>
                <w:tcPr>
                  <w:tcW w:w="590" w:type="pct"/>
                  <w:vAlign w:val="center"/>
                </w:tcPr>
                <w:p>
                  <w:pPr>
                    <w:jc w:val="center"/>
                    <w:rPr>
                      <w:szCs w:val="21"/>
                    </w:rPr>
                  </w:pPr>
                  <w:r>
                    <w:rPr>
                      <w:szCs w:val="21"/>
                    </w:rPr>
                    <w:t>90</w:t>
                  </w:r>
                </w:p>
              </w:tc>
              <w:tc>
                <w:tcPr>
                  <w:tcW w:w="505" w:type="pct"/>
                  <w:vAlign w:val="center"/>
                </w:tcPr>
                <w:p>
                  <w:pPr>
                    <w:jc w:val="center"/>
                    <w:rPr>
                      <w:szCs w:val="21"/>
                    </w:rPr>
                  </w:pPr>
                  <w:r>
                    <w:rPr>
                      <w:szCs w:val="21"/>
                    </w:rPr>
                    <w:t>99.9</w:t>
                  </w:r>
                </w:p>
              </w:tc>
              <w:tc>
                <w:tcPr>
                  <w:tcW w:w="685" w:type="pct"/>
                  <w:vAlign w:val="center"/>
                </w:tcPr>
                <w:p>
                  <w:pPr>
                    <w:jc w:val="center"/>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pPr>
                    <w:jc w:val="center"/>
                    <w:rPr>
                      <w:szCs w:val="21"/>
                    </w:rPr>
                  </w:pPr>
                  <w:r>
                    <w:rPr>
                      <w:rFonts w:hint="eastAsia"/>
                      <w:szCs w:val="21"/>
                    </w:rPr>
                    <w:t>贮仓粉尘</w:t>
                  </w:r>
                </w:p>
              </w:tc>
              <w:tc>
                <w:tcPr>
                  <w:tcW w:w="635" w:type="pct"/>
                  <w:vAlign w:val="center"/>
                </w:tcPr>
                <w:p>
                  <w:pPr>
                    <w:jc w:val="center"/>
                    <w:rPr>
                      <w:szCs w:val="21"/>
                    </w:rPr>
                  </w:pPr>
                  <w:r>
                    <w:rPr>
                      <w:rFonts w:hint="eastAsia"/>
                      <w:szCs w:val="21"/>
                    </w:rPr>
                    <w:t>颗粒物</w:t>
                  </w:r>
                </w:p>
              </w:tc>
              <w:tc>
                <w:tcPr>
                  <w:tcW w:w="714" w:type="pct"/>
                  <w:vAlign w:val="center"/>
                </w:tcPr>
                <w:p>
                  <w:pPr>
                    <w:jc w:val="center"/>
                    <w:rPr>
                      <w:szCs w:val="21"/>
                    </w:rPr>
                  </w:pPr>
                  <w:r>
                    <w:rPr>
                      <w:rFonts w:hint="eastAsia"/>
                      <w:szCs w:val="21"/>
                    </w:rPr>
                    <w:t>有</w:t>
                  </w:r>
                  <w:r>
                    <w:rPr>
                      <w:szCs w:val="21"/>
                    </w:rPr>
                    <w:t>组织</w:t>
                  </w:r>
                </w:p>
              </w:tc>
              <w:tc>
                <w:tcPr>
                  <w:tcW w:w="1249" w:type="pct"/>
                  <w:vAlign w:val="center"/>
                </w:tcPr>
                <w:p>
                  <w:pPr>
                    <w:rPr>
                      <w:szCs w:val="21"/>
                    </w:rPr>
                  </w:pPr>
                  <w:r>
                    <w:rPr>
                      <w:rFonts w:hint="eastAsia"/>
                      <w:szCs w:val="21"/>
                    </w:rPr>
                    <w:t>密闭管道收尘+袋式除尘器（TA122</w:t>
                  </w:r>
                  <w:r>
                    <w:rPr>
                      <w:szCs w:val="21"/>
                    </w:rPr>
                    <w:t>、TA138、TA137、TA153-TA155）</w:t>
                  </w:r>
                </w:p>
              </w:tc>
              <w:tc>
                <w:tcPr>
                  <w:tcW w:w="590" w:type="pct"/>
                  <w:vAlign w:val="center"/>
                </w:tcPr>
                <w:p>
                  <w:pPr>
                    <w:jc w:val="center"/>
                    <w:rPr>
                      <w:szCs w:val="21"/>
                    </w:rPr>
                  </w:pPr>
                  <w:r>
                    <w:rPr>
                      <w:rFonts w:hint="eastAsia"/>
                      <w:szCs w:val="21"/>
                    </w:rPr>
                    <w:t>100</w:t>
                  </w:r>
                </w:p>
              </w:tc>
              <w:tc>
                <w:tcPr>
                  <w:tcW w:w="505" w:type="pct"/>
                  <w:vAlign w:val="center"/>
                </w:tcPr>
                <w:p>
                  <w:pPr>
                    <w:jc w:val="center"/>
                    <w:rPr>
                      <w:szCs w:val="21"/>
                    </w:rPr>
                  </w:pPr>
                  <w:r>
                    <w:rPr>
                      <w:szCs w:val="21"/>
                    </w:rPr>
                    <w:t>99.9</w:t>
                  </w:r>
                </w:p>
              </w:tc>
              <w:tc>
                <w:tcPr>
                  <w:tcW w:w="685" w:type="pct"/>
                  <w:vAlign w:val="center"/>
                </w:tcPr>
                <w:p>
                  <w:pPr>
                    <w:jc w:val="center"/>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pPr>
                    <w:jc w:val="center"/>
                    <w:rPr>
                      <w:szCs w:val="21"/>
                    </w:rPr>
                  </w:pPr>
                  <w:r>
                    <w:rPr>
                      <w:rFonts w:hint="eastAsia"/>
                      <w:szCs w:val="21"/>
                    </w:rPr>
                    <w:t>装车粉尘</w:t>
                  </w:r>
                </w:p>
              </w:tc>
              <w:tc>
                <w:tcPr>
                  <w:tcW w:w="635" w:type="pct"/>
                  <w:vAlign w:val="center"/>
                </w:tcPr>
                <w:p>
                  <w:pPr>
                    <w:jc w:val="center"/>
                    <w:rPr>
                      <w:szCs w:val="21"/>
                    </w:rPr>
                  </w:pPr>
                  <w:r>
                    <w:rPr>
                      <w:rFonts w:hint="eastAsia"/>
                      <w:szCs w:val="21"/>
                    </w:rPr>
                    <w:t>颗粒物</w:t>
                  </w:r>
                </w:p>
              </w:tc>
              <w:tc>
                <w:tcPr>
                  <w:tcW w:w="714" w:type="pct"/>
                  <w:vAlign w:val="center"/>
                </w:tcPr>
                <w:p>
                  <w:pPr>
                    <w:jc w:val="center"/>
                    <w:rPr>
                      <w:szCs w:val="21"/>
                    </w:rPr>
                  </w:pPr>
                  <w:r>
                    <w:rPr>
                      <w:rFonts w:hint="eastAsia"/>
                      <w:szCs w:val="21"/>
                    </w:rPr>
                    <w:t>有</w:t>
                  </w:r>
                  <w:r>
                    <w:rPr>
                      <w:szCs w:val="21"/>
                    </w:rPr>
                    <w:t>组织</w:t>
                  </w:r>
                </w:p>
              </w:tc>
              <w:tc>
                <w:tcPr>
                  <w:tcW w:w="1249" w:type="pct"/>
                  <w:vAlign w:val="center"/>
                </w:tcPr>
                <w:p>
                  <w:pPr>
                    <w:jc w:val="center"/>
                    <w:rPr>
                      <w:szCs w:val="21"/>
                    </w:rPr>
                  </w:pPr>
                  <w:r>
                    <w:rPr>
                      <w:rFonts w:hint="eastAsia"/>
                      <w:szCs w:val="21"/>
                    </w:rPr>
                    <w:t>封闭装车，集气罩接入贮仓除尘器</w:t>
                  </w:r>
                </w:p>
              </w:tc>
              <w:tc>
                <w:tcPr>
                  <w:tcW w:w="590" w:type="pct"/>
                  <w:vAlign w:val="center"/>
                </w:tcPr>
                <w:p>
                  <w:pPr>
                    <w:jc w:val="center"/>
                    <w:rPr>
                      <w:szCs w:val="21"/>
                    </w:rPr>
                  </w:pPr>
                  <w:r>
                    <w:rPr>
                      <w:rFonts w:hint="eastAsia"/>
                      <w:szCs w:val="21"/>
                    </w:rPr>
                    <w:t>90</w:t>
                  </w:r>
                </w:p>
              </w:tc>
              <w:tc>
                <w:tcPr>
                  <w:tcW w:w="505" w:type="pct"/>
                  <w:vAlign w:val="center"/>
                </w:tcPr>
                <w:p>
                  <w:pPr>
                    <w:jc w:val="center"/>
                    <w:rPr>
                      <w:szCs w:val="21"/>
                    </w:rPr>
                  </w:pPr>
                  <w:r>
                    <w:rPr>
                      <w:szCs w:val="21"/>
                    </w:rPr>
                    <w:t>99.9</w:t>
                  </w:r>
                </w:p>
              </w:tc>
              <w:tc>
                <w:tcPr>
                  <w:tcW w:w="685" w:type="pct"/>
                  <w:vAlign w:val="center"/>
                </w:tcPr>
                <w:p>
                  <w:pPr>
                    <w:jc w:val="center"/>
                    <w:rPr>
                      <w:szCs w:val="21"/>
                    </w:rPr>
                  </w:pPr>
                  <w:r>
                    <w:rPr>
                      <w:rFonts w:hint="eastAsia"/>
                      <w:szCs w:val="21"/>
                    </w:rPr>
                    <w:t>是</w:t>
                  </w:r>
                </w:p>
              </w:tc>
            </w:tr>
          </w:tbl>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-10</w:t>
            </w:r>
            <w:r>
              <w:rPr>
                <w:rFonts w:eastAsia="黑体" w:cs="Times New Roman"/>
                <w:szCs w:val="21"/>
              </w:rPr>
              <w:t xml:space="preserve">  </w:t>
            </w:r>
            <w:r>
              <w:rPr>
                <w:rFonts w:hint="eastAsia" w:eastAsia="黑体" w:cs="Times New Roman"/>
                <w:szCs w:val="21"/>
              </w:rPr>
              <w:t>废气排放口基本信息表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924"/>
              <w:gridCol w:w="924"/>
              <w:gridCol w:w="1154"/>
              <w:gridCol w:w="1156"/>
              <w:gridCol w:w="1028"/>
              <w:gridCol w:w="1028"/>
              <w:gridCol w:w="1028"/>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4" w:type="pct"/>
                  <w:vMerge w:val="restart"/>
                  <w:vAlign w:val="center"/>
                </w:tcPr>
                <w:p>
                  <w:pPr>
                    <w:jc w:val="center"/>
                    <w:rPr>
                      <w:szCs w:val="21"/>
                    </w:rPr>
                  </w:pPr>
                  <w:r>
                    <w:rPr>
                      <w:szCs w:val="21"/>
                    </w:rPr>
                    <w:t>排放口编号</w:t>
                  </w:r>
                </w:p>
              </w:tc>
              <w:tc>
                <w:tcPr>
                  <w:tcW w:w="505" w:type="pct"/>
                  <w:vMerge w:val="restart"/>
                  <w:vAlign w:val="center"/>
                </w:tcPr>
                <w:p>
                  <w:pPr>
                    <w:jc w:val="center"/>
                    <w:rPr>
                      <w:szCs w:val="21"/>
                    </w:rPr>
                  </w:pPr>
                  <w:r>
                    <w:rPr>
                      <w:szCs w:val="21"/>
                    </w:rPr>
                    <w:t>排放口名称</w:t>
                  </w:r>
                </w:p>
              </w:tc>
              <w:tc>
                <w:tcPr>
                  <w:tcW w:w="505" w:type="pct"/>
                  <w:vMerge w:val="restart"/>
                  <w:vAlign w:val="center"/>
                </w:tcPr>
                <w:p>
                  <w:pPr>
                    <w:jc w:val="center"/>
                    <w:rPr>
                      <w:szCs w:val="21"/>
                    </w:rPr>
                  </w:pPr>
                  <w:r>
                    <w:rPr>
                      <w:szCs w:val="21"/>
                    </w:rPr>
                    <w:t>污染物种类</w:t>
                  </w:r>
                </w:p>
              </w:tc>
              <w:tc>
                <w:tcPr>
                  <w:tcW w:w="1263" w:type="pct"/>
                  <w:gridSpan w:val="2"/>
                  <w:vAlign w:val="center"/>
                </w:tcPr>
                <w:p>
                  <w:pPr>
                    <w:jc w:val="center"/>
                    <w:rPr>
                      <w:szCs w:val="21"/>
                    </w:rPr>
                  </w:pPr>
                  <w:r>
                    <w:rPr>
                      <w:szCs w:val="21"/>
                    </w:rPr>
                    <w:t>排放口地理坐标</w:t>
                  </w:r>
                </w:p>
              </w:tc>
              <w:tc>
                <w:tcPr>
                  <w:tcW w:w="562" w:type="pct"/>
                  <w:vMerge w:val="restart"/>
                  <w:vAlign w:val="center"/>
                </w:tcPr>
                <w:p>
                  <w:pPr>
                    <w:jc w:val="center"/>
                    <w:rPr>
                      <w:szCs w:val="21"/>
                    </w:rPr>
                  </w:pPr>
                  <w:r>
                    <w:rPr>
                      <w:szCs w:val="21"/>
                    </w:rPr>
                    <w:t>排气筒高度</w:t>
                  </w:r>
                  <w:r>
                    <w:rPr>
                      <w:rFonts w:hint="eastAsia"/>
                      <w:szCs w:val="21"/>
                    </w:rPr>
                    <w:t>(</w:t>
                  </w:r>
                  <w:r>
                    <w:rPr>
                      <w:szCs w:val="21"/>
                    </w:rPr>
                    <w:t>m</w:t>
                  </w:r>
                  <w:r>
                    <w:rPr>
                      <w:rFonts w:hint="eastAsia"/>
                      <w:szCs w:val="21"/>
                    </w:rPr>
                    <w:t>)</w:t>
                  </w:r>
                </w:p>
              </w:tc>
              <w:tc>
                <w:tcPr>
                  <w:tcW w:w="562" w:type="pct"/>
                  <w:vMerge w:val="restart"/>
                  <w:vAlign w:val="center"/>
                </w:tcPr>
                <w:p>
                  <w:pPr>
                    <w:jc w:val="center"/>
                    <w:rPr>
                      <w:szCs w:val="21"/>
                    </w:rPr>
                  </w:pPr>
                  <w:r>
                    <w:rPr>
                      <w:szCs w:val="21"/>
                    </w:rPr>
                    <w:t>排气筒内径</w:t>
                  </w:r>
                  <w:r>
                    <w:rPr>
                      <w:rFonts w:hint="eastAsia"/>
                      <w:szCs w:val="21"/>
                    </w:rPr>
                    <w:t>(</w:t>
                  </w:r>
                  <w:r>
                    <w:rPr>
                      <w:szCs w:val="21"/>
                    </w:rPr>
                    <w:t>m</w:t>
                  </w:r>
                  <w:r>
                    <w:rPr>
                      <w:rFonts w:hint="eastAsia"/>
                      <w:szCs w:val="21"/>
                    </w:rPr>
                    <w:t>)</w:t>
                  </w:r>
                </w:p>
              </w:tc>
              <w:tc>
                <w:tcPr>
                  <w:tcW w:w="562" w:type="pct"/>
                  <w:vMerge w:val="restart"/>
                  <w:vAlign w:val="center"/>
                </w:tcPr>
                <w:p>
                  <w:pPr>
                    <w:jc w:val="center"/>
                    <w:rPr>
                      <w:szCs w:val="21"/>
                    </w:rPr>
                  </w:pPr>
                  <w:r>
                    <w:rPr>
                      <w:szCs w:val="21"/>
                    </w:rPr>
                    <w:t>排放温度</w:t>
                  </w:r>
                  <w:r>
                    <w:rPr>
                      <w:rFonts w:hint="eastAsia"/>
                      <w:szCs w:val="21"/>
                    </w:rPr>
                    <w:t>(</w:t>
                  </w:r>
                  <w:r>
                    <w:rPr>
                      <w:rFonts w:hint="eastAsia" w:ascii="宋体" w:hAnsi="宋体" w:cs="宋体"/>
                      <w:szCs w:val="21"/>
                    </w:rPr>
                    <w:t>℃</w:t>
                  </w:r>
                  <w:r>
                    <w:rPr>
                      <w:rFonts w:hint="eastAsia"/>
                      <w:szCs w:val="21"/>
                    </w:rPr>
                    <w:t>)</w:t>
                  </w:r>
                </w:p>
              </w:tc>
              <w:tc>
                <w:tcPr>
                  <w:tcW w:w="517" w:type="pct"/>
                  <w:vMerge w:val="restart"/>
                  <w:vAlign w:val="center"/>
                </w:tcPr>
                <w:p>
                  <w:pPr>
                    <w:jc w:val="center"/>
                    <w:rPr>
                      <w:szCs w:val="21"/>
                    </w:rPr>
                  </w:pPr>
                  <w:r>
                    <w:rPr>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4" w:type="pct"/>
                  <w:vMerge w:val="continue"/>
                  <w:vAlign w:val="center"/>
                </w:tcPr>
                <w:p>
                  <w:pPr>
                    <w:jc w:val="center"/>
                    <w:rPr>
                      <w:szCs w:val="21"/>
                    </w:rPr>
                  </w:pPr>
                </w:p>
              </w:tc>
              <w:tc>
                <w:tcPr>
                  <w:tcW w:w="505" w:type="pct"/>
                  <w:vMerge w:val="continue"/>
                  <w:vAlign w:val="center"/>
                </w:tcPr>
                <w:p>
                  <w:pPr>
                    <w:jc w:val="center"/>
                    <w:rPr>
                      <w:szCs w:val="21"/>
                    </w:rPr>
                  </w:pPr>
                </w:p>
              </w:tc>
              <w:tc>
                <w:tcPr>
                  <w:tcW w:w="505" w:type="pct"/>
                  <w:vMerge w:val="continue"/>
                  <w:vAlign w:val="center"/>
                </w:tcPr>
                <w:p>
                  <w:pPr>
                    <w:jc w:val="center"/>
                    <w:rPr>
                      <w:szCs w:val="21"/>
                    </w:rPr>
                  </w:pPr>
                </w:p>
              </w:tc>
              <w:tc>
                <w:tcPr>
                  <w:tcW w:w="631" w:type="pct"/>
                  <w:vAlign w:val="center"/>
                </w:tcPr>
                <w:p>
                  <w:pPr>
                    <w:jc w:val="center"/>
                    <w:rPr>
                      <w:szCs w:val="21"/>
                    </w:rPr>
                  </w:pPr>
                  <w:r>
                    <w:rPr>
                      <w:szCs w:val="21"/>
                    </w:rPr>
                    <w:t>经度</w:t>
                  </w:r>
                </w:p>
              </w:tc>
              <w:tc>
                <w:tcPr>
                  <w:tcW w:w="632" w:type="pct"/>
                  <w:vAlign w:val="center"/>
                </w:tcPr>
                <w:p>
                  <w:pPr>
                    <w:jc w:val="center"/>
                    <w:rPr>
                      <w:szCs w:val="21"/>
                    </w:rPr>
                  </w:pPr>
                  <w:r>
                    <w:rPr>
                      <w:szCs w:val="21"/>
                    </w:rPr>
                    <w:t>纬度</w:t>
                  </w:r>
                </w:p>
              </w:tc>
              <w:tc>
                <w:tcPr>
                  <w:tcW w:w="562" w:type="pct"/>
                  <w:vMerge w:val="continue"/>
                  <w:vAlign w:val="center"/>
                </w:tcPr>
                <w:p>
                  <w:pPr>
                    <w:jc w:val="center"/>
                    <w:rPr>
                      <w:szCs w:val="21"/>
                    </w:rPr>
                  </w:pPr>
                </w:p>
              </w:tc>
              <w:tc>
                <w:tcPr>
                  <w:tcW w:w="562" w:type="pct"/>
                  <w:vMerge w:val="continue"/>
                  <w:vAlign w:val="center"/>
                </w:tcPr>
                <w:p>
                  <w:pPr>
                    <w:jc w:val="center"/>
                    <w:rPr>
                      <w:szCs w:val="21"/>
                    </w:rPr>
                  </w:pPr>
                </w:p>
              </w:tc>
              <w:tc>
                <w:tcPr>
                  <w:tcW w:w="562" w:type="pct"/>
                  <w:vMerge w:val="continue"/>
                  <w:vAlign w:val="center"/>
                </w:tcPr>
                <w:p>
                  <w:pPr>
                    <w:jc w:val="center"/>
                    <w:rPr>
                      <w:szCs w:val="21"/>
                    </w:rPr>
                  </w:pPr>
                </w:p>
              </w:tc>
              <w:tc>
                <w:tcPr>
                  <w:tcW w:w="517"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jc w:val="center"/>
                    <w:rPr>
                      <w:szCs w:val="21"/>
                    </w:rPr>
                  </w:pPr>
                  <w:r>
                    <w:rPr>
                      <w:rFonts w:hint="eastAsia"/>
                      <w:szCs w:val="21"/>
                    </w:rPr>
                    <w:t>DA</w:t>
                  </w:r>
                  <w:r>
                    <w:rPr>
                      <w:szCs w:val="21"/>
                    </w:rPr>
                    <w:t>151</w:t>
                  </w:r>
                </w:p>
              </w:tc>
              <w:tc>
                <w:tcPr>
                  <w:tcW w:w="505" w:type="pct"/>
                  <w:vAlign w:val="center"/>
                </w:tcPr>
                <w:p>
                  <w:pPr>
                    <w:jc w:val="center"/>
                    <w:rPr>
                      <w:szCs w:val="21"/>
                    </w:rPr>
                  </w:pPr>
                  <w:r>
                    <w:rPr>
                      <w:rFonts w:hint="eastAsia"/>
                      <w:szCs w:val="21"/>
                    </w:rPr>
                    <w:t>制砂楼排气筒</w:t>
                  </w:r>
                </w:p>
              </w:tc>
              <w:tc>
                <w:tcPr>
                  <w:tcW w:w="505" w:type="pct"/>
                  <w:vAlign w:val="center"/>
                </w:tcPr>
                <w:p>
                  <w:pPr>
                    <w:jc w:val="center"/>
                    <w:rPr>
                      <w:szCs w:val="21"/>
                    </w:rPr>
                  </w:pPr>
                  <w:r>
                    <w:rPr>
                      <w:rFonts w:hint="eastAsia"/>
                      <w:szCs w:val="21"/>
                    </w:rPr>
                    <w:t>颗粒物</w:t>
                  </w:r>
                </w:p>
              </w:tc>
              <w:tc>
                <w:tcPr>
                  <w:tcW w:w="631" w:type="pct"/>
                  <w:vAlign w:val="center"/>
                </w:tcPr>
                <w:p>
                  <w:pPr>
                    <w:jc w:val="center"/>
                    <w:rPr>
                      <w:rFonts w:cs="Times New Roman"/>
                      <w:szCs w:val="21"/>
                    </w:rPr>
                  </w:pPr>
                  <w:r>
                    <w:rPr>
                      <w:rFonts w:hint="eastAsia" w:cs="Times New Roman"/>
                      <w:szCs w:val="21"/>
                    </w:rPr>
                    <w:t>1</w:t>
                  </w:r>
                  <w:r>
                    <w:rPr>
                      <w:rFonts w:cs="Times New Roman"/>
                      <w:szCs w:val="21"/>
                    </w:rPr>
                    <w:t>07°20′</w:t>
                  </w:r>
                </w:p>
                <w:p>
                  <w:pPr>
                    <w:jc w:val="center"/>
                    <w:rPr>
                      <w:rFonts w:cs="Times New Roman"/>
                      <w:szCs w:val="21"/>
                    </w:rPr>
                  </w:pPr>
                  <w:r>
                    <w:rPr>
                      <w:rFonts w:cs="Times New Roman"/>
                      <w:szCs w:val="21"/>
                    </w:rPr>
                    <w:t>7.44″</w:t>
                  </w:r>
                </w:p>
              </w:tc>
              <w:tc>
                <w:tcPr>
                  <w:tcW w:w="632" w:type="pct"/>
                  <w:vAlign w:val="center"/>
                </w:tcPr>
                <w:p>
                  <w:pPr>
                    <w:jc w:val="center"/>
                    <w:rPr>
                      <w:rFonts w:cs="Times New Roman"/>
                      <w:szCs w:val="21"/>
                    </w:rPr>
                  </w:pPr>
                  <w:r>
                    <w:rPr>
                      <w:rFonts w:cs="Times New Roman"/>
                      <w:szCs w:val="21"/>
                    </w:rPr>
                    <w:t>30°50′</w:t>
                  </w:r>
                </w:p>
                <w:p>
                  <w:pPr>
                    <w:jc w:val="center"/>
                    <w:rPr>
                      <w:rFonts w:cs="Times New Roman"/>
                      <w:szCs w:val="21"/>
                    </w:rPr>
                  </w:pPr>
                  <w:r>
                    <w:rPr>
                      <w:rFonts w:cs="Times New Roman"/>
                      <w:szCs w:val="21"/>
                    </w:rPr>
                    <w:t>54.72″</w:t>
                  </w:r>
                </w:p>
              </w:tc>
              <w:tc>
                <w:tcPr>
                  <w:tcW w:w="562" w:type="pct"/>
                  <w:vAlign w:val="center"/>
                </w:tcPr>
                <w:p>
                  <w:pPr>
                    <w:jc w:val="center"/>
                    <w:rPr>
                      <w:szCs w:val="21"/>
                    </w:rPr>
                  </w:pPr>
                  <w:r>
                    <w:rPr>
                      <w:szCs w:val="21"/>
                    </w:rPr>
                    <w:t>20</w:t>
                  </w:r>
                </w:p>
              </w:tc>
              <w:tc>
                <w:tcPr>
                  <w:tcW w:w="562" w:type="pct"/>
                  <w:vAlign w:val="center"/>
                </w:tcPr>
                <w:p>
                  <w:pPr>
                    <w:jc w:val="center"/>
                    <w:rPr>
                      <w:szCs w:val="21"/>
                    </w:rPr>
                  </w:pPr>
                  <w:r>
                    <w:rPr>
                      <w:szCs w:val="21"/>
                    </w:rPr>
                    <w:t>1.2</w:t>
                  </w:r>
                </w:p>
              </w:tc>
              <w:tc>
                <w:tcPr>
                  <w:tcW w:w="562" w:type="pct"/>
                  <w:vAlign w:val="center"/>
                </w:tcPr>
                <w:p>
                  <w:pPr>
                    <w:jc w:val="center"/>
                    <w:rPr>
                      <w:szCs w:val="21"/>
                    </w:rPr>
                  </w:pPr>
                  <w:r>
                    <w:rPr>
                      <w:rFonts w:hint="eastAsia"/>
                      <w:szCs w:val="21"/>
                    </w:rPr>
                    <w:t>常温</w:t>
                  </w:r>
                </w:p>
              </w:tc>
              <w:tc>
                <w:tcPr>
                  <w:tcW w:w="517" w:type="pct"/>
                  <w:vAlign w:val="center"/>
                </w:tcPr>
                <w:p>
                  <w:pPr>
                    <w:jc w:val="center"/>
                    <w:rPr>
                      <w:szCs w:val="21"/>
                    </w:rPr>
                  </w:pPr>
                  <w:r>
                    <w:rPr>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jc w:val="center"/>
                    <w:rPr>
                      <w:szCs w:val="21"/>
                    </w:rPr>
                  </w:pPr>
                  <w:r>
                    <w:rPr>
                      <w:rFonts w:hint="eastAsia"/>
                      <w:szCs w:val="21"/>
                    </w:rPr>
                    <w:t>DA</w:t>
                  </w:r>
                  <w:r>
                    <w:rPr>
                      <w:szCs w:val="21"/>
                    </w:rPr>
                    <w:t>152</w:t>
                  </w:r>
                </w:p>
              </w:tc>
              <w:tc>
                <w:tcPr>
                  <w:tcW w:w="505" w:type="pct"/>
                  <w:vAlign w:val="center"/>
                </w:tcPr>
                <w:p>
                  <w:pPr>
                    <w:jc w:val="center"/>
                    <w:rPr>
                      <w:szCs w:val="21"/>
                    </w:rPr>
                  </w:pPr>
                  <w:r>
                    <w:rPr>
                      <w:rFonts w:hint="eastAsia"/>
                      <w:szCs w:val="21"/>
                    </w:rPr>
                    <w:t>输送带排气筒</w:t>
                  </w:r>
                </w:p>
              </w:tc>
              <w:tc>
                <w:tcPr>
                  <w:tcW w:w="505" w:type="pct"/>
                  <w:vAlign w:val="center"/>
                </w:tcPr>
                <w:p>
                  <w:pPr>
                    <w:jc w:val="center"/>
                    <w:rPr>
                      <w:szCs w:val="21"/>
                    </w:rPr>
                  </w:pPr>
                  <w:r>
                    <w:rPr>
                      <w:rFonts w:hint="eastAsia"/>
                      <w:szCs w:val="21"/>
                    </w:rPr>
                    <w:t>颗粒物</w:t>
                  </w:r>
                </w:p>
              </w:tc>
              <w:tc>
                <w:tcPr>
                  <w:tcW w:w="631" w:type="pct"/>
                  <w:vAlign w:val="center"/>
                </w:tcPr>
                <w:p>
                  <w:pPr>
                    <w:jc w:val="center"/>
                    <w:rPr>
                      <w:rFonts w:cs="Times New Roman"/>
                      <w:szCs w:val="21"/>
                    </w:rPr>
                  </w:pPr>
                  <w:r>
                    <w:rPr>
                      <w:rFonts w:hint="eastAsia" w:cs="Times New Roman"/>
                      <w:szCs w:val="21"/>
                    </w:rPr>
                    <w:t>1</w:t>
                  </w:r>
                  <w:r>
                    <w:rPr>
                      <w:rFonts w:cs="Times New Roman"/>
                      <w:szCs w:val="21"/>
                    </w:rPr>
                    <w:t>07°20′</w:t>
                  </w:r>
                </w:p>
                <w:p>
                  <w:pPr>
                    <w:jc w:val="center"/>
                    <w:rPr>
                      <w:rFonts w:cs="Times New Roman"/>
                      <w:szCs w:val="21"/>
                    </w:rPr>
                  </w:pPr>
                  <w:r>
                    <w:rPr>
                      <w:rFonts w:cs="Times New Roman"/>
                      <w:szCs w:val="21"/>
                    </w:rPr>
                    <w:t>5.55″</w:t>
                  </w:r>
                </w:p>
              </w:tc>
              <w:tc>
                <w:tcPr>
                  <w:tcW w:w="632" w:type="pct"/>
                  <w:vAlign w:val="center"/>
                </w:tcPr>
                <w:p>
                  <w:pPr>
                    <w:jc w:val="center"/>
                    <w:rPr>
                      <w:rFonts w:cs="Times New Roman"/>
                      <w:szCs w:val="21"/>
                    </w:rPr>
                  </w:pPr>
                  <w:r>
                    <w:rPr>
                      <w:rFonts w:cs="Times New Roman"/>
                      <w:szCs w:val="21"/>
                    </w:rPr>
                    <w:t>30°50′</w:t>
                  </w:r>
                </w:p>
                <w:p>
                  <w:pPr>
                    <w:jc w:val="center"/>
                    <w:rPr>
                      <w:rFonts w:cs="Times New Roman"/>
                      <w:szCs w:val="21"/>
                    </w:rPr>
                  </w:pPr>
                  <w:r>
                    <w:rPr>
                      <w:rFonts w:cs="Times New Roman"/>
                      <w:szCs w:val="21"/>
                    </w:rPr>
                    <w:t>48.00″</w:t>
                  </w:r>
                </w:p>
              </w:tc>
              <w:tc>
                <w:tcPr>
                  <w:tcW w:w="562" w:type="pct"/>
                  <w:vAlign w:val="center"/>
                </w:tcPr>
                <w:p>
                  <w:pPr>
                    <w:jc w:val="center"/>
                    <w:rPr>
                      <w:szCs w:val="21"/>
                    </w:rPr>
                  </w:pPr>
                  <w:r>
                    <w:rPr>
                      <w:szCs w:val="21"/>
                    </w:rPr>
                    <w:t>20</w:t>
                  </w:r>
                </w:p>
              </w:tc>
              <w:tc>
                <w:tcPr>
                  <w:tcW w:w="562" w:type="pct"/>
                  <w:vAlign w:val="center"/>
                </w:tcPr>
                <w:p>
                  <w:pPr>
                    <w:jc w:val="center"/>
                    <w:rPr>
                      <w:szCs w:val="21"/>
                    </w:rPr>
                  </w:pPr>
                  <w:r>
                    <w:rPr>
                      <w:szCs w:val="21"/>
                    </w:rPr>
                    <w:t>0.3</w:t>
                  </w:r>
                </w:p>
              </w:tc>
              <w:tc>
                <w:tcPr>
                  <w:tcW w:w="562" w:type="pct"/>
                  <w:vAlign w:val="center"/>
                </w:tcPr>
                <w:p>
                  <w:pPr>
                    <w:jc w:val="center"/>
                    <w:rPr>
                      <w:szCs w:val="21"/>
                    </w:rPr>
                  </w:pPr>
                  <w:r>
                    <w:rPr>
                      <w:rFonts w:hint="eastAsia"/>
                      <w:szCs w:val="21"/>
                    </w:rPr>
                    <w:t>常温</w:t>
                  </w:r>
                </w:p>
              </w:tc>
              <w:tc>
                <w:tcPr>
                  <w:tcW w:w="517" w:type="pct"/>
                  <w:vAlign w:val="center"/>
                </w:tcPr>
                <w:p>
                  <w:pPr>
                    <w:jc w:val="center"/>
                    <w:rPr>
                      <w:szCs w:val="21"/>
                    </w:rPr>
                  </w:pPr>
                  <w:r>
                    <w:rPr>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jc w:val="center"/>
                    <w:rPr>
                      <w:szCs w:val="21"/>
                    </w:rPr>
                  </w:pPr>
                  <w:r>
                    <w:rPr>
                      <w:rFonts w:hint="eastAsia"/>
                      <w:szCs w:val="21"/>
                    </w:rPr>
                    <w:t>DA</w:t>
                  </w:r>
                  <w:r>
                    <w:rPr>
                      <w:szCs w:val="21"/>
                    </w:rPr>
                    <w:t>115</w:t>
                  </w:r>
                </w:p>
              </w:tc>
              <w:tc>
                <w:tcPr>
                  <w:tcW w:w="505" w:type="pct"/>
                  <w:vAlign w:val="center"/>
                </w:tcPr>
                <w:p>
                  <w:pPr>
                    <w:jc w:val="center"/>
                    <w:rPr>
                      <w:szCs w:val="21"/>
                    </w:rPr>
                  </w:pPr>
                  <w:r>
                    <w:rPr>
                      <w:rFonts w:hint="eastAsia"/>
                      <w:szCs w:val="21"/>
                    </w:rPr>
                    <w:t>现有钢板仓排气筒</w:t>
                  </w:r>
                </w:p>
              </w:tc>
              <w:tc>
                <w:tcPr>
                  <w:tcW w:w="505" w:type="pct"/>
                  <w:vAlign w:val="center"/>
                </w:tcPr>
                <w:p>
                  <w:pPr>
                    <w:jc w:val="center"/>
                    <w:rPr>
                      <w:szCs w:val="21"/>
                    </w:rPr>
                  </w:pPr>
                  <w:r>
                    <w:rPr>
                      <w:rFonts w:hint="eastAsia"/>
                      <w:szCs w:val="21"/>
                    </w:rPr>
                    <w:t>颗粒物</w:t>
                  </w:r>
                </w:p>
              </w:tc>
              <w:tc>
                <w:tcPr>
                  <w:tcW w:w="631" w:type="pct"/>
                  <w:vAlign w:val="center"/>
                </w:tcPr>
                <w:p>
                  <w:pPr>
                    <w:jc w:val="center"/>
                    <w:rPr>
                      <w:rFonts w:cs="Times New Roman"/>
                      <w:szCs w:val="21"/>
                    </w:rPr>
                  </w:pPr>
                  <w:r>
                    <w:rPr>
                      <w:rFonts w:hint="eastAsia" w:cs="Times New Roman"/>
                      <w:szCs w:val="21"/>
                    </w:rPr>
                    <w:t>1</w:t>
                  </w:r>
                  <w:r>
                    <w:rPr>
                      <w:rFonts w:cs="Times New Roman"/>
                      <w:szCs w:val="21"/>
                    </w:rPr>
                    <w:t>07°20′</w:t>
                  </w:r>
                </w:p>
                <w:p>
                  <w:pPr>
                    <w:jc w:val="center"/>
                    <w:rPr>
                      <w:rFonts w:cs="Times New Roman"/>
                      <w:szCs w:val="21"/>
                    </w:rPr>
                  </w:pPr>
                  <w:r>
                    <w:rPr>
                      <w:rFonts w:cs="Times New Roman"/>
                      <w:szCs w:val="21"/>
                    </w:rPr>
                    <w:t>6.59″</w:t>
                  </w:r>
                </w:p>
              </w:tc>
              <w:tc>
                <w:tcPr>
                  <w:tcW w:w="632" w:type="pct"/>
                  <w:vAlign w:val="center"/>
                </w:tcPr>
                <w:p>
                  <w:pPr>
                    <w:jc w:val="center"/>
                    <w:rPr>
                      <w:rFonts w:cs="Times New Roman"/>
                      <w:szCs w:val="21"/>
                    </w:rPr>
                  </w:pPr>
                  <w:r>
                    <w:rPr>
                      <w:rFonts w:cs="Times New Roman"/>
                      <w:szCs w:val="21"/>
                    </w:rPr>
                    <w:t>30°50′</w:t>
                  </w:r>
                </w:p>
                <w:p>
                  <w:pPr>
                    <w:jc w:val="center"/>
                    <w:rPr>
                      <w:rFonts w:cs="Times New Roman"/>
                      <w:szCs w:val="21"/>
                    </w:rPr>
                  </w:pPr>
                  <w:r>
                    <w:rPr>
                      <w:rFonts w:cs="Times New Roman"/>
                      <w:szCs w:val="21"/>
                    </w:rPr>
                    <w:t>52.24″</w:t>
                  </w:r>
                </w:p>
              </w:tc>
              <w:tc>
                <w:tcPr>
                  <w:tcW w:w="562" w:type="pct"/>
                  <w:vAlign w:val="center"/>
                </w:tcPr>
                <w:p>
                  <w:pPr>
                    <w:jc w:val="center"/>
                    <w:rPr>
                      <w:szCs w:val="21"/>
                    </w:rPr>
                  </w:pPr>
                  <w:r>
                    <w:rPr>
                      <w:szCs w:val="21"/>
                    </w:rPr>
                    <w:t>31.2</w:t>
                  </w:r>
                </w:p>
              </w:tc>
              <w:tc>
                <w:tcPr>
                  <w:tcW w:w="562" w:type="pct"/>
                  <w:vAlign w:val="center"/>
                </w:tcPr>
                <w:p>
                  <w:pPr>
                    <w:jc w:val="center"/>
                    <w:rPr>
                      <w:szCs w:val="21"/>
                    </w:rPr>
                  </w:pPr>
                  <w:r>
                    <w:rPr>
                      <w:szCs w:val="21"/>
                    </w:rPr>
                    <w:t>0.47</w:t>
                  </w:r>
                </w:p>
              </w:tc>
              <w:tc>
                <w:tcPr>
                  <w:tcW w:w="562" w:type="pct"/>
                  <w:vAlign w:val="center"/>
                </w:tcPr>
                <w:p>
                  <w:pPr>
                    <w:jc w:val="center"/>
                    <w:rPr>
                      <w:szCs w:val="21"/>
                    </w:rPr>
                  </w:pPr>
                  <w:r>
                    <w:rPr>
                      <w:rFonts w:hint="eastAsia"/>
                      <w:szCs w:val="21"/>
                    </w:rPr>
                    <w:t>常温</w:t>
                  </w:r>
                </w:p>
              </w:tc>
              <w:tc>
                <w:tcPr>
                  <w:tcW w:w="517" w:type="pct"/>
                  <w:vAlign w:val="center"/>
                </w:tcPr>
                <w:p>
                  <w:pPr>
                    <w:jc w:val="center"/>
                    <w:rPr>
                      <w:szCs w:val="21"/>
                    </w:rPr>
                  </w:pPr>
                  <w:r>
                    <w:rPr>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jc w:val="center"/>
                    <w:rPr>
                      <w:szCs w:val="21"/>
                    </w:rPr>
                  </w:pPr>
                  <w:r>
                    <w:rPr>
                      <w:rFonts w:hint="eastAsia"/>
                      <w:szCs w:val="21"/>
                    </w:rPr>
                    <w:t>DA</w:t>
                  </w:r>
                  <w:r>
                    <w:rPr>
                      <w:szCs w:val="21"/>
                    </w:rPr>
                    <w:t>090</w:t>
                  </w:r>
                </w:p>
              </w:tc>
              <w:tc>
                <w:tcPr>
                  <w:tcW w:w="505" w:type="pct"/>
                  <w:vAlign w:val="center"/>
                </w:tcPr>
                <w:p>
                  <w:pPr>
                    <w:jc w:val="center"/>
                    <w:rPr>
                      <w:szCs w:val="21"/>
                    </w:rPr>
                  </w:pPr>
                  <w:r>
                    <w:rPr>
                      <w:rFonts w:hint="eastAsia"/>
                      <w:szCs w:val="21"/>
                    </w:rPr>
                    <w:t>1</w:t>
                  </w:r>
                  <w:r>
                    <w:rPr>
                      <w:szCs w:val="21"/>
                    </w:rPr>
                    <w:t>#</w:t>
                  </w:r>
                  <w:r>
                    <w:rPr>
                      <w:rFonts w:hint="eastAsia"/>
                      <w:szCs w:val="21"/>
                    </w:rPr>
                    <w:t>骨料仓排气筒</w:t>
                  </w:r>
                </w:p>
              </w:tc>
              <w:tc>
                <w:tcPr>
                  <w:tcW w:w="505" w:type="pct"/>
                  <w:vAlign w:val="center"/>
                </w:tcPr>
                <w:p>
                  <w:pPr>
                    <w:jc w:val="center"/>
                    <w:rPr>
                      <w:szCs w:val="21"/>
                    </w:rPr>
                  </w:pPr>
                  <w:r>
                    <w:rPr>
                      <w:rFonts w:hint="eastAsia"/>
                      <w:szCs w:val="21"/>
                    </w:rPr>
                    <w:t>颗粒物</w:t>
                  </w:r>
                </w:p>
              </w:tc>
              <w:tc>
                <w:tcPr>
                  <w:tcW w:w="631" w:type="pct"/>
                  <w:vAlign w:val="center"/>
                </w:tcPr>
                <w:p>
                  <w:pPr>
                    <w:jc w:val="center"/>
                    <w:rPr>
                      <w:rFonts w:cs="Times New Roman"/>
                      <w:szCs w:val="21"/>
                    </w:rPr>
                  </w:pPr>
                  <w:r>
                    <w:rPr>
                      <w:rFonts w:hint="eastAsia" w:cs="Times New Roman"/>
                      <w:szCs w:val="21"/>
                    </w:rPr>
                    <w:t>1</w:t>
                  </w:r>
                  <w:r>
                    <w:rPr>
                      <w:rFonts w:cs="Times New Roman"/>
                      <w:szCs w:val="21"/>
                    </w:rPr>
                    <w:t>07°20′</w:t>
                  </w:r>
                </w:p>
                <w:p>
                  <w:pPr>
                    <w:jc w:val="center"/>
                    <w:rPr>
                      <w:rFonts w:cs="Times New Roman"/>
                      <w:szCs w:val="21"/>
                    </w:rPr>
                  </w:pPr>
                  <w:r>
                    <w:rPr>
                      <w:rFonts w:cs="Times New Roman"/>
                      <w:szCs w:val="21"/>
                    </w:rPr>
                    <w:t>7.81″</w:t>
                  </w:r>
                </w:p>
              </w:tc>
              <w:tc>
                <w:tcPr>
                  <w:tcW w:w="632" w:type="pct"/>
                  <w:vAlign w:val="center"/>
                </w:tcPr>
                <w:p>
                  <w:pPr>
                    <w:jc w:val="center"/>
                    <w:rPr>
                      <w:rFonts w:cs="Times New Roman"/>
                      <w:szCs w:val="21"/>
                    </w:rPr>
                  </w:pPr>
                  <w:r>
                    <w:rPr>
                      <w:rFonts w:cs="Times New Roman"/>
                      <w:szCs w:val="21"/>
                    </w:rPr>
                    <w:t>30°50′</w:t>
                  </w:r>
                </w:p>
                <w:p>
                  <w:pPr>
                    <w:jc w:val="center"/>
                    <w:rPr>
                      <w:rFonts w:cs="Times New Roman"/>
                      <w:szCs w:val="21"/>
                    </w:rPr>
                  </w:pPr>
                  <w:r>
                    <w:rPr>
                      <w:rFonts w:cs="Times New Roman"/>
                      <w:szCs w:val="21"/>
                    </w:rPr>
                    <w:t>53.62″</w:t>
                  </w:r>
                </w:p>
              </w:tc>
              <w:tc>
                <w:tcPr>
                  <w:tcW w:w="562" w:type="pct"/>
                  <w:vAlign w:val="center"/>
                </w:tcPr>
                <w:p>
                  <w:pPr>
                    <w:jc w:val="center"/>
                    <w:rPr>
                      <w:szCs w:val="21"/>
                    </w:rPr>
                  </w:pPr>
                  <w:r>
                    <w:rPr>
                      <w:szCs w:val="21"/>
                    </w:rPr>
                    <w:t>16</w:t>
                  </w:r>
                </w:p>
              </w:tc>
              <w:tc>
                <w:tcPr>
                  <w:tcW w:w="562" w:type="pct"/>
                  <w:vAlign w:val="center"/>
                </w:tcPr>
                <w:p>
                  <w:pPr>
                    <w:jc w:val="center"/>
                    <w:rPr>
                      <w:szCs w:val="21"/>
                    </w:rPr>
                  </w:pPr>
                  <w:r>
                    <w:rPr>
                      <w:szCs w:val="21"/>
                    </w:rPr>
                    <w:t>0.62</w:t>
                  </w:r>
                </w:p>
              </w:tc>
              <w:tc>
                <w:tcPr>
                  <w:tcW w:w="562" w:type="pct"/>
                  <w:vAlign w:val="center"/>
                </w:tcPr>
                <w:p>
                  <w:pPr>
                    <w:jc w:val="center"/>
                    <w:rPr>
                      <w:szCs w:val="21"/>
                    </w:rPr>
                  </w:pPr>
                  <w:r>
                    <w:rPr>
                      <w:rFonts w:hint="eastAsia"/>
                      <w:szCs w:val="21"/>
                    </w:rPr>
                    <w:t>常温</w:t>
                  </w:r>
                </w:p>
              </w:tc>
              <w:tc>
                <w:tcPr>
                  <w:tcW w:w="517" w:type="pct"/>
                  <w:vAlign w:val="center"/>
                </w:tcPr>
                <w:p>
                  <w:pPr>
                    <w:jc w:val="center"/>
                    <w:rPr>
                      <w:szCs w:val="21"/>
                    </w:rPr>
                  </w:pPr>
                  <w:r>
                    <w:rPr>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jc w:val="center"/>
                    <w:rPr>
                      <w:szCs w:val="21"/>
                    </w:rPr>
                  </w:pPr>
                  <w:r>
                    <w:rPr>
                      <w:rFonts w:hint="eastAsia"/>
                      <w:szCs w:val="21"/>
                    </w:rPr>
                    <w:t>DA</w:t>
                  </w:r>
                  <w:r>
                    <w:rPr>
                      <w:szCs w:val="21"/>
                    </w:rPr>
                    <w:t>097</w:t>
                  </w:r>
                </w:p>
              </w:tc>
              <w:tc>
                <w:tcPr>
                  <w:tcW w:w="505" w:type="pct"/>
                  <w:vAlign w:val="center"/>
                </w:tcPr>
                <w:p>
                  <w:pPr>
                    <w:jc w:val="center"/>
                    <w:rPr>
                      <w:szCs w:val="21"/>
                    </w:rPr>
                  </w:pPr>
                  <w:r>
                    <w:rPr>
                      <w:szCs w:val="21"/>
                    </w:rPr>
                    <w:t>2#</w:t>
                  </w:r>
                  <w:r>
                    <w:rPr>
                      <w:rFonts w:hint="eastAsia"/>
                      <w:szCs w:val="21"/>
                    </w:rPr>
                    <w:t>骨料仓排气筒</w:t>
                  </w:r>
                </w:p>
              </w:tc>
              <w:tc>
                <w:tcPr>
                  <w:tcW w:w="505" w:type="pct"/>
                  <w:vAlign w:val="center"/>
                </w:tcPr>
                <w:p>
                  <w:pPr>
                    <w:jc w:val="center"/>
                    <w:rPr>
                      <w:szCs w:val="21"/>
                    </w:rPr>
                  </w:pPr>
                  <w:r>
                    <w:rPr>
                      <w:rFonts w:hint="eastAsia"/>
                      <w:szCs w:val="21"/>
                    </w:rPr>
                    <w:t>颗粒物</w:t>
                  </w:r>
                </w:p>
              </w:tc>
              <w:tc>
                <w:tcPr>
                  <w:tcW w:w="631" w:type="pct"/>
                  <w:vAlign w:val="center"/>
                </w:tcPr>
                <w:p>
                  <w:pPr>
                    <w:jc w:val="center"/>
                    <w:rPr>
                      <w:rFonts w:cs="Times New Roman"/>
                      <w:szCs w:val="21"/>
                    </w:rPr>
                  </w:pPr>
                  <w:r>
                    <w:rPr>
                      <w:rFonts w:hint="eastAsia" w:cs="Times New Roman"/>
                      <w:szCs w:val="21"/>
                    </w:rPr>
                    <w:t>1</w:t>
                  </w:r>
                  <w:r>
                    <w:rPr>
                      <w:rFonts w:cs="Times New Roman"/>
                      <w:szCs w:val="21"/>
                    </w:rPr>
                    <w:t>07°20′</w:t>
                  </w:r>
                </w:p>
                <w:p>
                  <w:pPr>
                    <w:jc w:val="center"/>
                    <w:rPr>
                      <w:rFonts w:cs="Times New Roman"/>
                      <w:szCs w:val="21"/>
                    </w:rPr>
                  </w:pPr>
                  <w:r>
                    <w:rPr>
                      <w:rFonts w:cs="Times New Roman"/>
                      <w:szCs w:val="21"/>
                    </w:rPr>
                    <w:t>7.69″</w:t>
                  </w:r>
                </w:p>
              </w:tc>
              <w:tc>
                <w:tcPr>
                  <w:tcW w:w="632" w:type="pct"/>
                  <w:vAlign w:val="center"/>
                </w:tcPr>
                <w:p>
                  <w:pPr>
                    <w:jc w:val="center"/>
                    <w:rPr>
                      <w:rFonts w:cs="Times New Roman"/>
                      <w:szCs w:val="21"/>
                    </w:rPr>
                  </w:pPr>
                  <w:r>
                    <w:rPr>
                      <w:rFonts w:cs="Times New Roman"/>
                      <w:szCs w:val="21"/>
                    </w:rPr>
                    <w:t>30°50′</w:t>
                  </w:r>
                </w:p>
                <w:p>
                  <w:pPr>
                    <w:jc w:val="center"/>
                    <w:rPr>
                      <w:rFonts w:cs="Times New Roman"/>
                      <w:szCs w:val="21"/>
                    </w:rPr>
                  </w:pPr>
                  <w:r>
                    <w:rPr>
                      <w:rFonts w:cs="Times New Roman"/>
                      <w:szCs w:val="21"/>
                    </w:rPr>
                    <w:t>53.28″</w:t>
                  </w:r>
                </w:p>
              </w:tc>
              <w:tc>
                <w:tcPr>
                  <w:tcW w:w="562" w:type="pct"/>
                  <w:vAlign w:val="center"/>
                </w:tcPr>
                <w:p>
                  <w:pPr>
                    <w:jc w:val="center"/>
                    <w:rPr>
                      <w:szCs w:val="21"/>
                    </w:rPr>
                  </w:pPr>
                  <w:r>
                    <w:rPr>
                      <w:szCs w:val="21"/>
                    </w:rPr>
                    <w:t>22</w:t>
                  </w:r>
                </w:p>
              </w:tc>
              <w:tc>
                <w:tcPr>
                  <w:tcW w:w="562" w:type="pct"/>
                  <w:vAlign w:val="center"/>
                </w:tcPr>
                <w:p>
                  <w:pPr>
                    <w:jc w:val="center"/>
                    <w:rPr>
                      <w:szCs w:val="21"/>
                    </w:rPr>
                  </w:pPr>
                  <w:r>
                    <w:rPr>
                      <w:szCs w:val="21"/>
                    </w:rPr>
                    <w:t>0.5</w:t>
                  </w:r>
                </w:p>
              </w:tc>
              <w:tc>
                <w:tcPr>
                  <w:tcW w:w="562" w:type="pct"/>
                  <w:vAlign w:val="center"/>
                </w:tcPr>
                <w:p>
                  <w:pPr>
                    <w:jc w:val="center"/>
                    <w:rPr>
                      <w:szCs w:val="21"/>
                    </w:rPr>
                  </w:pPr>
                  <w:r>
                    <w:rPr>
                      <w:rFonts w:hint="eastAsia"/>
                      <w:szCs w:val="21"/>
                    </w:rPr>
                    <w:t>常温</w:t>
                  </w:r>
                </w:p>
              </w:tc>
              <w:tc>
                <w:tcPr>
                  <w:tcW w:w="517" w:type="pct"/>
                  <w:vAlign w:val="center"/>
                </w:tcPr>
                <w:p>
                  <w:pPr>
                    <w:jc w:val="center"/>
                    <w:rPr>
                      <w:szCs w:val="21"/>
                    </w:rPr>
                  </w:pPr>
                  <w:r>
                    <w:rPr>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jc w:val="center"/>
                    <w:rPr>
                      <w:szCs w:val="21"/>
                    </w:rPr>
                  </w:pPr>
                  <w:r>
                    <w:rPr>
                      <w:rFonts w:hint="eastAsia"/>
                      <w:szCs w:val="21"/>
                    </w:rPr>
                    <w:t>DA</w:t>
                  </w:r>
                  <w:r>
                    <w:rPr>
                      <w:szCs w:val="21"/>
                    </w:rPr>
                    <w:t>153</w:t>
                  </w:r>
                </w:p>
              </w:tc>
              <w:tc>
                <w:tcPr>
                  <w:tcW w:w="505" w:type="pct"/>
                  <w:vAlign w:val="center"/>
                </w:tcPr>
                <w:p>
                  <w:pPr>
                    <w:jc w:val="center"/>
                    <w:rPr>
                      <w:szCs w:val="21"/>
                    </w:rPr>
                  </w:pPr>
                  <w:r>
                    <w:rPr>
                      <w:rFonts w:hint="eastAsia"/>
                      <w:szCs w:val="21"/>
                    </w:rPr>
                    <w:t>新建钢板仓排气筒</w:t>
                  </w:r>
                </w:p>
              </w:tc>
              <w:tc>
                <w:tcPr>
                  <w:tcW w:w="505" w:type="pct"/>
                  <w:vAlign w:val="center"/>
                </w:tcPr>
                <w:p>
                  <w:pPr>
                    <w:jc w:val="center"/>
                    <w:rPr>
                      <w:szCs w:val="21"/>
                    </w:rPr>
                  </w:pPr>
                  <w:r>
                    <w:rPr>
                      <w:rFonts w:hint="eastAsia"/>
                      <w:szCs w:val="21"/>
                    </w:rPr>
                    <w:t>颗粒物</w:t>
                  </w:r>
                </w:p>
              </w:tc>
              <w:tc>
                <w:tcPr>
                  <w:tcW w:w="631" w:type="pct"/>
                  <w:vAlign w:val="center"/>
                </w:tcPr>
                <w:p>
                  <w:pPr>
                    <w:jc w:val="center"/>
                    <w:rPr>
                      <w:rFonts w:cs="Times New Roman"/>
                      <w:szCs w:val="21"/>
                    </w:rPr>
                  </w:pPr>
                  <w:r>
                    <w:rPr>
                      <w:rFonts w:hint="eastAsia" w:cs="Times New Roman"/>
                      <w:szCs w:val="21"/>
                    </w:rPr>
                    <w:t>1</w:t>
                  </w:r>
                  <w:r>
                    <w:rPr>
                      <w:rFonts w:cs="Times New Roman"/>
                      <w:szCs w:val="21"/>
                    </w:rPr>
                    <w:t>07°20′</w:t>
                  </w:r>
                </w:p>
                <w:p>
                  <w:pPr>
                    <w:jc w:val="center"/>
                    <w:rPr>
                      <w:rFonts w:cs="Times New Roman"/>
                      <w:szCs w:val="21"/>
                    </w:rPr>
                  </w:pPr>
                  <w:r>
                    <w:rPr>
                      <w:rFonts w:cs="Times New Roman"/>
                      <w:szCs w:val="21"/>
                    </w:rPr>
                    <w:t>6.50″</w:t>
                  </w:r>
                </w:p>
              </w:tc>
              <w:tc>
                <w:tcPr>
                  <w:tcW w:w="632" w:type="pct"/>
                  <w:vAlign w:val="center"/>
                </w:tcPr>
                <w:p>
                  <w:pPr>
                    <w:jc w:val="center"/>
                    <w:rPr>
                      <w:rFonts w:cs="Times New Roman"/>
                      <w:szCs w:val="21"/>
                    </w:rPr>
                  </w:pPr>
                  <w:r>
                    <w:rPr>
                      <w:rFonts w:cs="Times New Roman"/>
                      <w:szCs w:val="21"/>
                    </w:rPr>
                    <w:t>30°50′</w:t>
                  </w:r>
                </w:p>
                <w:p>
                  <w:pPr>
                    <w:jc w:val="center"/>
                    <w:rPr>
                      <w:rFonts w:cs="Times New Roman"/>
                      <w:szCs w:val="21"/>
                    </w:rPr>
                  </w:pPr>
                  <w:r>
                    <w:rPr>
                      <w:rFonts w:cs="Times New Roman"/>
                      <w:szCs w:val="21"/>
                    </w:rPr>
                    <w:t>47.92″</w:t>
                  </w:r>
                </w:p>
              </w:tc>
              <w:tc>
                <w:tcPr>
                  <w:tcW w:w="562" w:type="pct"/>
                  <w:vAlign w:val="center"/>
                </w:tcPr>
                <w:p>
                  <w:pPr>
                    <w:jc w:val="center"/>
                    <w:rPr>
                      <w:szCs w:val="21"/>
                    </w:rPr>
                  </w:pPr>
                  <w:r>
                    <w:rPr>
                      <w:szCs w:val="21"/>
                    </w:rPr>
                    <w:t>20</w:t>
                  </w:r>
                </w:p>
              </w:tc>
              <w:tc>
                <w:tcPr>
                  <w:tcW w:w="562" w:type="pct"/>
                  <w:vAlign w:val="center"/>
                </w:tcPr>
                <w:p>
                  <w:pPr>
                    <w:jc w:val="center"/>
                    <w:rPr>
                      <w:szCs w:val="21"/>
                    </w:rPr>
                  </w:pPr>
                  <w:r>
                    <w:rPr>
                      <w:szCs w:val="21"/>
                    </w:rPr>
                    <w:t>0.4</w:t>
                  </w:r>
                </w:p>
              </w:tc>
              <w:tc>
                <w:tcPr>
                  <w:tcW w:w="562" w:type="pct"/>
                  <w:vAlign w:val="center"/>
                </w:tcPr>
                <w:p>
                  <w:pPr>
                    <w:jc w:val="center"/>
                    <w:rPr>
                      <w:szCs w:val="21"/>
                    </w:rPr>
                  </w:pPr>
                  <w:r>
                    <w:rPr>
                      <w:rFonts w:hint="eastAsia"/>
                      <w:szCs w:val="21"/>
                    </w:rPr>
                    <w:t>常温</w:t>
                  </w:r>
                </w:p>
              </w:tc>
              <w:tc>
                <w:tcPr>
                  <w:tcW w:w="517" w:type="pct"/>
                  <w:vAlign w:val="center"/>
                </w:tcPr>
                <w:p>
                  <w:pPr>
                    <w:jc w:val="center"/>
                    <w:rPr>
                      <w:szCs w:val="21"/>
                    </w:rPr>
                  </w:pPr>
                  <w:r>
                    <w:rPr>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jc w:val="center"/>
                    <w:rPr>
                      <w:szCs w:val="21"/>
                    </w:rPr>
                  </w:pPr>
                  <w:r>
                    <w:rPr>
                      <w:rFonts w:hint="eastAsia"/>
                      <w:szCs w:val="21"/>
                    </w:rPr>
                    <w:t>DA</w:t>
                  </w:r>
                  <w:r>
                    <w:rPr>
                      <w:szCs w:val="21"/>
                    </w:rPr>
                    <w:t>154</w:t>
                  </w:r>
                </w:p>
              </w:tc>
              <w:tc>
                <w:tcPr>
                  <w:tcW w:w="505" w:type="pct"/>
                  <w:vAlign w:val="center"/>
                </w:tcPr>
                <w:p>
                  <w:pPr>
                    <w:jc w:val="center"/>
                    <w:rPr>
                      <w:szCs w:val="21"/>
                    </w:rPr>
                  </w:pPr>
                  <w:r>
                    <w:rPr>
                      <w:rFonts w:hint="eastAsia"/>
                      <w:szCs w:val="21"/>
                    </w:rPr>
                    <w:t>成品砂库排气筒</w:t>
                  </w:r>
                </w:p>
              </w:tc>
              <w:tc>
                <w:tcPr>
                  <w:tcW w:w="505" w:type="pct"/>
                  <w:vAlign w:val="center"/>
                </w:tcPr>
                <w:p>
                  <w:pPr>
                    <w:jc w:val="center"/>
                    <w:rPr>
                      <w:szCs w:val="21"/>
                    </w:rPr>
                  </w:pPr>
                  <w:r>
                    <w:rPr>
                      <w:rFonts w:hint="eastAsia"/>
                      <w:szCs w:val="21"/>
                    </w:rPr>
                    <w:t>颗粒物</w:t>
                  </w:r>
                </w:p>
              </w:tc>
              <w:tc>
                <w:tcPr>
                  <w:tcW w:w="631" w:type="pct"/>
                  <w:vAlign w:val="center"/>
                </w:tcPr>
                <w:p>
                  <w:pPr>
                    <w:jc w:val="center"/>
                    <w:rPr>
                      <w:rFonts w:cs="Times New Roman"/>
                      <w:szCs w:val="21"/>
                    </w:rPr>
                  </w:pPr>
                  <w:r>
                    <w:rPr>
                      <w:rFonts w:hint="eastAsia" w:cs="Times New Roman"/>
                      <w:szCs w:val="21"/>
                    </w:rPr>
                    <w:t>1</w:t>
                  </w:r>
                  <w:r>
                    <w:rPr>
                      <w:rFonts w:cs="Times New Roman"/>
                      <w:szCs w:val="21"/>
                    </w:rPr>
                    <w:t>07°20′</w:t>
                  </w:r>
                </w:p>
                <w:p>
                  <w:pPr>
                    <w:jc w:val="center"/>
                    <w:rPr>
                      <w:rFonts w:cs="Times New Roman"/>
                      <w:szCs w:val="21"/>
                    </w:rPr>
                  </w:pPr>
                  <w:r>
                    <w:rPr>
                      <w:rFonts w:cs="Times New Roman"/>
                      <w:szCs w:val="21"/>
                    </w:rPr>
                    <w:t>7.86″</w:t>
                  </w:r>
                </w:p>
              </w:tc>
              <w:tc>
                <w:tcPr>
                  <w:tcW w:w="632" w:type="pct"/>
                  <w:vAlign w:val="center"/>
                </w:tcPr>
                <w:p>
                  <w:pPr>
                    <w:jc w:val="center"/>
                    <w:rPr>
                      <w:rFonts w:cs="Times New Roman"/>
                      <w:szCs w:val="21"/>
                    </w:rPr>
                  </w:pPr>
                  <w:r>
                    <w:rPr>
                      <w:rFonts w:cs="Times New Roman"/>
                      <w:szCs w:val="21"/>
                    </w:rPr>
                    <w:t>30°50′</w:t>
                  </w:r>
                </w:p>
                <w:p>
                  <w:pPr>
                    <w:jc w:val="center"/>
                    <w:rPr>
                      <w:rFonts w:cs="Times New Roman"/>
                      <w:szCs w:val="21"/>
                    </w:rPr>
                  </w:pPr>
                  <w:r>
                    <w:rPr>
                      <w:rFonts w:cs="Times New Roman"/>
                      <w:szCs w:val="21"/>
                    </w:rPr>
                    <w:t>54.11″</w:t>
                  </w:r>
                </w:p>
              </w:tc>
              <w:tc>
                <w:tcPr>
                  <w:tcW w:w="562" w:type="pct"/>
                  <w:vAlign w:val="center"/>
                </w:tcPr>
                <w:p>
                  <w:pPr>
                    <w:jc w:val="center"/>
                    <w:rPr>
                      <w:szCs w:val="21"/>
                    </w:rPr>
                  </w:pPr>
                  <w:r>
                    <w:rPr>
                      <w:szCs w:val="21"/>
                    </w:rPr>
                    <w:t>20</w:t>
                  </w:r>
                </w:p>
              </w:tc>
              <w:tc>
                <w:tcPr>
                  <w:tcW w:w="562" w:type="pct"/>
                  <w:vAlign w:val="center"/>
                </w:tcPr>
                <w:p>
                  <w:pPr>
                    <w:jc w:val="center"/>
                    <w:rPr>
                      <w:szCs w:val="21"/>
                    </w:rPr>
                  </w:pPr>
                  <w:r>
                    <w:rPr>
                      <w:szCs w:val="21"/>
                    </w:rPr>
                    <w:t>0.5</w:t>
                  </w:r>
                </w:p>
              </w:tc>
              <w:tc>
                <w:tcPr>
                  <w:tcW w:w="562" w:type="pct"/>
                  <w:vAlign w:val="center"/>
                </w:tcPr>
                <w:p>
                  <w:pPr>
                    <w:jc w:val="center"/>
                    <w:rPr>
                      <w:szCs w:val="21"/>
                    </w:rPr>
                  </w:pPr>
                  <w:r>
                    <w:rPr>
                      <w:rFonts w:hint="eastAsia"/>
                      <w:szCs w:val="21"/>
                    </w:rPr>
                    <w:t>常温</w:t>
                  </w:r>
                </w:p>
              </w:tc>
              <w:tc>
                <w:tcPr>
                  <w:tcW w:w="517" w:type="pct"/>
                  <w:vAlign w:val="center"/>
                </w:tcPr>
                <w:p>
                  <w:pPr>
                    <w:jc w:val="center"/>
                    <w:rPr>
                      <w:szCs w:val="21"/>
                    </w:rPr>
                  </w:pPr>
                  <w:r>
                    <w:rPr>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jc w:val="center"/>
                    <w:rPr>
                      <w:szCs w:val="21"/>
                    </w:rPr>
                  </w:pPr>
                  <w:r>
                    <w:rPr>
                      <w:rFonts w:hint="eastAsia"/>
                      <w:szCs w:val="21"/>
                    </w:rPr>
                    <w:t>DA</w:t>
                  </w:r>
                  <w:r>
                    <w:rPr>
                      <w:szCs w:val="21"/>
                    </w:rPr>
                    <w:t>155</w:t>
                  </w:r>
                </w:p>
              </w:tc>
              <w:tc>
                <w:tcPr>
                  <w:tcW w:w="505" w:type="pct"/>
                  <w:vAlign w:val="center"/>
                </w:tcPr>
                <w:p>
                  <w:pPr>
                    <w:jc w:val="center"/>
                    <w:rPr>
                      <w:szCs w:val="21"/>
                    </w:rPr>
                  </w:pPr>
                  <w:r>
                    <w:rPr>
                      <w:rFonts w:hint="eastAsia"/>
                      <w:szCs w:val="21"/>
                    </w:rPr>
                    <w:t>微粉库排气筒</w:t>
                  </w:r>
                </w:p>
              </w:tc>
              <w:tc>
                <w:tcPr>
                  <w:tcW w:w="505" w:type="pct"/>
                  <w:vAlign w:val="center"/>
                </w:tcPr>
                <w:p>
                  <w:pPr>
                    <w:jc w:val="center"/>
                    <w:rPr>
                      <w:szCs w:val="21"/>
                    </w:rPr>
                  </w:pPr>
                  <w:r>
                    <w:rPr>
                      <w:rFonts w:hint="eastAsia"/>
                      <w:szCs w:val="21"/>
                    </w:rPr>
                    <w:t>颗粒物</w:t>
                  </w:r>
                </w:p>
              </w:tc>
              <w:tc>
                <w:tcPr>
                  <w:tcW w:w="631" w:type="pct"/>
                  <w:vAlign w:val="center"/>
                </w:tcPr>
                <w:p>
                  <w:pPr>
                    <w:jc w:val="center"/>
                    <w:rPr>
                      <w:rFonts w:cs="Times New Roman"/>
                      <w:szCs w:val="21"/>
                    </w:rPr>
                  </w:pPr>
                  <w:r>
                    <w:rPr>
                      <w:rFonts w:hint="eastAsia" w:cs="Times New Roman"/>
                      <w:szCs w:val="21"/>
                    </w:rPr>
                    <w:t>1</w:t>
                  </w:r>
                  <w:r>
                    <w:rPr>
                      <w:rFonts w:cs="Times New Roman"/>
                      <w:szCs w:val="21"/>
                    </w:rPr>
                    <w:t>07°20′</w:t>
                  </w:r>
                </w:p>
                <w:p>
                  <w:pPr>
                    <w:jc w:val="center"/>
                    <w:rPr>
                      <w:rFonts w:cs="Times New Roman"/>
                      <w:szCs w:val="21"/>
                    </w:rPr>
                  </w:pPr>
                  <w:r>
                    <w:rPr>
                      <w:rFonts w:cs="Times New Roman"/>
                      <w:szCs w:val="21"/>
                    </w:rPr>
                    <w:t>6.73″</w:t>
                  </w:r>
                </w:p>
              </w:tc>
              <w:tc>
                <w:tcPr>
                  <w:tcW w:w="632" w:type="pct"/>
                  <w:vAlign w:val="center"/>
                </w:tcPr>
                <w:p>
                  <w:pPr>
                    <w:jc w:val="center"/>
                    <w:rPr>
                      <w:rFonts w:cs="Times New Roman"/>
                      <w:szCs w:val="21"/>
                    </w:rPr>
                  </w:pPr>
                  <w:r>
                    <w:rPr>
                      <w:rFonts w:cs="Times New Roman"/>
                      <w:szCs w:val="21"/>
                    </w:rPr>
                    <w:t>30°50′</w:t>
                  </w:r>
                </w:p>
                <w:p>
                  <w:pPr>
                    <w:jc w:val="center"/>
                    <w:rPr>
                      <w:rFonts w:cs="Times New Roman"/>
                      <w:szCs w:val="21"/>
                    </w:rPr>
                  </w:pPr>
                  <w:r>
                    <w:rPr>
                      <w:rFonts w:cs="Times New Roman"/>
                      <w:szCs w:val="21"/>
                    </w:rPr>
                    <w:t>54.49″</w:t>
                  </w:r>
                </w:p>
              </w:tc>
              <w:tc>
                <w:tcPr>
                  <w:tcW w:w="562" w:type="pct"/>
                  <w:vAlign w:val="center"/>
                </w:tcPr>
                <w:p>
                  <w:pPr>
                    <w:jc w:val="center"/>
                    <w:rPr>
                      <w:szCs w:val="21"/>
                    </w:rPr>
                  </w:pPr>
                  <w:r>
                    <w:rPr>
                      <w:szCs w:val="21"/>
                    </w:rPr>
                    <w:t>20</w:t>
                  </w:r>
                </w:p>
              </w:tc>
              <w:tc>
                <w:tcPr>
                  <w:tcW w:w="562" w:type="pct"/>
                  <w:vAlign w:val="center"/>
                </w:tcPr>
                <w:p>
                  <w:pPr>
                    <w:jc w:val="center"/>
                    <w:rPr>
                      <w:szCs w:val="21"/>
                    </w:rPr>
                  </w:pPr>
                  <w:r>
                    <w:rPr>
                      <w:szCs w:val="21"/>
                    </w:rPr>
                    <w:t>0.4</w:t>
                  </w:r>
                </w:p>
              </w:tc>
              <w:tc>
                <w:tcPr>
                  <w:tcW w:w="562" w:type="pct"/>
                  <w:vAlign w:val="center"/>
                </w:tcPr>
                <w:p>
                  <w:pPr>
                    <w:jc w:val="center"/>
                    <w:rPr>
                      <w:szCs w:val="21"/>
                    </w:rPr>
                  </w:pPr>
                  <w:r>
                    <w:rPr>
                      <w:rFonts w:hint="eastAsia"/>
                      <w:szCs w:val="21"/>
                    </w:rPr>
                    <w:t>常温</w:t>
                  </w:r>
                </w:p>
              </w:tc>
              <w:tc>
                <w:tcPr>
                  <w:tcW w:w="517" w:type="pct"/>
                  <w:vAlign w:val="center"/>
                </w:tcPr>
                <w:p>
                  <w:pPr>
                    <w:jc w:val="center"/>
                    <w:rPr>
                      <w:szCs w:val="21"/>
                    </w:rPr>
                  </w:pPr>
                  <w:r>
                    <w:rPr>
                      <w:szCs w:val="21"/>
                    </w:rPr>
                    <w:t>一般排放口</w:t>
                  </w:r>
                </w:p>
              </w:tc>
            </w:tr>
          </w:tbl>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）污染物排放信息</w:t>
            </w:r>
          </w:p>
          <w:p>
            <w:pPr>
              <w:spacing w:line="360" w:lineRule="auto"/>
              <w:ind w:firstLine="480" w:firstLineChars="200"/>
              <w:rPr>
                <w:sz w:val="24"/>
                <w:szCs w:val="24"/>
              </w:rPr>
            </w:pPr>
            <w:r>
              <w:rPr>
                <w:sz w:val="24"/>
                <w:szCs w:val="24"/>
              </w:rPr>
              <w:t>运营期</w:t>
            </w:r>
            <w:r>
              <w:rPr>
                <w:rFonts w:hint="eastAsia"/>
                <w:sz w:val="24"/>
                <w:szCs w:val="24"/>
              </w:rPr>
              <w:t>废气污染物排放信息见下表。</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tc>
      </w:tr>
    </w:tbl>
    <w:p>
      <w:pPr>
        <w:rPr>
          <w:rFonts w:hint="eastAsia" w:ascii="宋体" w:hAnsi="宋体"/>
          <w:sz w:val="28"/>
          <w:szCs w:val="28"/>
        </w:rPr>
        <w:sectPr>
          <w:pgSz w:w="11906" w:h="16838"/>
          <w:pgMar w:top="1134" w:right="1134" w:bottom="1134" w:left="1134" w:header="851" w:footer="992" w:gutter="0"/>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0" w:type="dxa"/>
          </w:tcPr>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-11</w:t>
            </w:r>
            <w:r>
              <w:rPr>
                <w:rFonts w:eastAsia="黑体" w:cs="Times New Roman"/>
                <w:szCs w:val="21"/>
              </w:rPr>
              <w:t xml:space="preserve">  运营期</w:t>
            </w:r>
            <w:r>
              <w:rPr>
                <w:rFonts w:hint="eastAsia" w:eastAsia="黑体" w:cs="Times New Roman"/>
                <w:szCs w:val="21"/>
              </w:rPr>
              <w:t>废气污染物排放信息表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888"/>
              <w:gridCol w:w="891"/>
              <w:gridCol w:w="888"/>
              <w:gridCol w:w="891"/>
              <w:gridCol w:w="1338"/>
              <w:gridCol w:w="891"/>
              <w:gridCol w:w="888"/>
              <w:gridCol w:w="846"/>
              <w:gridCol w:w="846"/>
              <w:gridCol w:w="849"/>
              <w:gridCol w:w="849"/>
              <w:gridCol w:w="849"/>
              <w:gridCol w:w="880"/>
              <w:gridCol w:w="929"/>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Merge w:val="restart"/>
                  <w:vAlign w:val="center"/>
                </w:tcPr>
                <w:p>
                  <w:pPr>
                    <w:jc w:val="center"/>
                    <w:rPr>
                      <w:rFonts w:cs="Times New Roman"/>
                      <w:sz w:val="18"/>
                      <w:szCs w:val="18"/>
                    </w:rPr>
                  </w:pPr>
                  <w:r>
                    <w:rPr>
                      <w:rFonts w:cs="Times New Roman"/>
                      <w:sz w:val="18"/>
                      <w:szCs w:val="18"/>
                    </w:rPr>
                    <w:t>污染物</w:t>
                  </w:r>
                  <w:r>
                    <w:rPr>
                      <w:rFonts w:hint="eastAsia" w:cs="Times New Roman"/>
                      <w:sz w:val="18"/>
                      <w:szCs w:val="18"/>
                    </w:rPr>
                    <w:t>类型</w:t>
                  </w:r>
                </w:p>
              </w:tc>
              <w:tc>
                <w:tcPr>
                  <w:tcW w:w="310" w:type="pct"/>
                  <w:vMerge w:val="restart"/>
                  <w:vAlign w:val="center"/>
                </w:tcPr>
                <w:p>
                  <w:pPr>
                    <w:jc w:val="center"/>
                    <w:rPr>
                      <w:rFonts w:cs="Times New Roman"/>
                      <w:sz w:val="18"/>
                      <w:szCs w:val="18"/>
                    </w:rPr>
                  </w:pPr>
                  <w:r>
                    <w:rPr>
                      <w:rFonts w:cs="Times New Roman"/>
                      <w:sz w:val="18"/>
                      <w:szCs w:val="18"/>
                    </w:rPr>
                    <w:t>污染物种类</w:t>
                  </w:r>
                </w:p>
              </w:tc>
              <w:tc>
                <w:tcPr>
                  <w:tcW w:w="311" w:type="pct"/>
                  <w:vMerge w:val="restart"/>
                  <w:vAlign w:val="center"/>
                </w:tcPr>
                <w:p>
                  <w:pPr>
                    <w:jc w:val="center"/>
                    <w:rPr>
                      <w:rFonts w:cs="Times New Roman"/>
                      <w:sz w:val="18"/>
                      <w:szCs w:val="18"/>
                    </w:rPr>
                  </w:pPr>
                  <w:r>
                    <w:rPr>
                      <w:rFonts w:cs="Times New Roman"/>
                      <w:sz w:val="18"/>
                      <w:szCs w:val="18"/>
                    </w:rPr>
                    <w:t>核算方法</w:t>
                  </w:r>
                </w:p>
              </w:tc>
              <w:tc>
                <w:tcPr>
                  <w:tcW w:w="310" w:type="pct"/>
                  <w:vMerge w:val="restart"/>
                  <w:vAlign w:val="center"/>
                </w:tcPr>
                <w:p>
                  <w:pPr>
                    <w:jc w:val="center"/>
                    <w:rPr>
                      <w:rFonts w:cs="Times New Roman"/>
                      <w:sz w:val="18"/>
                      <w:szCs w:val="18"/>
                    </w:rPr>
                  </w:pPr>
                  <w:r>
                    <w:rPr>
                      <w:rFonts w:cs="Times New Roman"/>
                      <w:sz w:val="18"/>
                      <w:szCs w:val="18"/>
                    </w:rPr>
                    <w:t>污染物产生</w:t>
                  </w:r>
                  <w:r>
                    <w:rPr>
                      <w:rFonts w:hint="eastAsia" w:cs="Times New Roman"/>
                      <w:sz w:val="18"/>
                      <w:szCs w:val="18"/>
                    </w:rPr>
                    <w:t>量(</w:t>
                  </w:r>
                  <w:r>
                    <w:rPr>
                      <w:rFonts w:cs="Times New Roman"/>
                      <w:sz w:val="18"/>
                      <w:szCs w:val="18"/>
                    </w:rPr>
                    <w:t>t</w:t>
                  </w:r>
                  <w:r>
                    <w:rPr>
                      <w:rFonts w:hint="eastAsia" w:cs="Times New Roman"/>
                      <w:sz w:val="18"/>
                      <w:szCs w:val="18"/>
                    </w:rPr>
                    <w:t>/a)</w:t>
                  </w:r>
                </w:p>
              </w:tc>
              <w:tc>
                <w:tcPr>
                  <w:tcW w:w="1088" w:type="pct"/>
                  <w:gridSpan w:val="3"/>
                  <w:vAlign w:val="center"/>
                </w:tcPr>
                <w:p>
                  <w:pPr>
                    <w:jc w:val="center"/>
                    <w:rPr>
                      <w:rFonts w:cs="Times New Roman"/>
                      <w:sz w:val="18"/>
                      <w:szCs w:val="18"/>
                    </w:rPr>
                  </w:pPr>
                  <w:r>
                    <w:rPr>
                      <w:rFonts w:cs="Times New Roman"/>
                      <w:sz w:val="18"/>
                      <w:szCs w:val="18"/>
                    </w:rPr>
                    <w:t>治理措施</w:t>
                  </w:r>
                </w:p>
              </w:tc>
              <w:tc>
                <w:tcPr>
                  <w:tcW w:w="2095" w:type="pct"/>
                  <w:gridSpan w:val="7"/>
                  <w:vAlign w:val="center"/>
                </w:tcPr>
                <w:p>
                  <w:pPr>
                    <w:jc w:val="center"/>
                    <w:rPr>
                      <w:rFonts w:cs="Times New Roman"/>
                      <w:sz w:val="18"/>
                      <w:szCs w:val="18"/>
                    </w:rPr>
                  </w:pPr>
                  <w:r>
                    <w:rPr>
                      <w:rFonts w:cs="Times New Roman"/>
                      <w:sz w:val="18"/>
                      <w:szCs w:val="18"/>
                    </w:rPr>
                    <w:t>污染物排放</w:t>
                  </w:r>
                </w:p>
              </w:tc>
              <w:tc>
                <w:tcPr>
                  <w:tcW w:w="324" w:type="pct"/>
                  <w:vMerge w:val="restart"/>
                  <w:vAlign w:val="center"/>
                </w:tcPr>
                <w:p>
                  <w:pPr>
                    <w:jc w:val="center"/>
                    <w:rPr>
                      <w:rFonts w:cs="Times New Roman"/>
                      <w:sz w:val="18"/>
                      <w:szCs w:val="18"/>
                    </w:rPr>
                  </w:pPr>
                  <w:r>
                    <w:rPr>
                      <w:rFonts w:cs="Times New Roman"/>
                      <w:sz w:val="18"/>
                      <w:szCs w:val="18"/>
                    </w:rPr>
                    <w:t>排放口编号</w:t>
                  </w:r>
                </w:p>
              </w:tc>
              <w:tc>
                <w:tcPr>
                  <w:tcW w:w="243" w:type="pct"/>
                  <w:vAlign w:val="center"/>
                </w:tcPr>
                <w:p>
                  <w:pPr>
                    <w:jc w:val="center"/>
                    <w:rPr>
                      <w:rFonts w:cs="Times New Roman"/>
                      <w:sz w:val="18"/>
                      <w:szCs w:val="18"/>
                    </w:rPr>
                  </w:pPr>
                  <w:r>
                    <w:rPr>
                      <w:rFonts w:cs="Times New Roman"/>
                      <w:sz w:val="18"/>
                      <w:szCs w:val="18"/>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Merge w:val="continue"/>
                  <w:vAlign w:val="center"/>
                </w:tcPr>
                <w:p>
                  <w:pPr>
                    <w:jc w:val="center"/>
                    <w:rPr>
                      <w:rFonts w:cs="Times New Roman"/>
                      <w:sz w:val="18"/>
                      <w:szCs w:val="18"/>
                    </w:rPr>
                  </w:pPr>
                </w:p>
              </w:tc>
              <w:tc>
                <w:tcPr>
                  <w:tcW w:w="310" w:type="pct"/>
                  <w:vMerge w:val="continue"/>
                  <w:vAlign w:val="center"/>
                </w:tcPr>
                <w:p>
                  <w:pPr>
                    <w:jc w:val="center"/>
                    <w:rPr>
                      <w:rFonts w:cs="Times New Roman"/>
                      <w:sz w:val="18"/>
                      <w:szCs w:val="18"/>
                    </w:rPr>
                  </w:pPr>
                </w:p>
              </w:tc>
              <w:tc>
                <w:tcPr>
                  <w:tcW w:w="311" w:type="pct"/>
                  <w:vMerge w:val="continue"/>
                  <w:vAlign w:val="center"/>
                </w:tcPr>
                <w:p>
                  <w:pPr>
                    <w:jc w:val="center"/>
                    <w:rPr>
                      <w:rFonts w:cs="Times New Roman"/>
                      <w:sz w:val="18"/>
                      <w:szCs w:val="18"/>
                    </w:rPr>
                  </w:pPr>
                </w:p>
              </w:tc>
              <w:tc>
                <w:tcPr>
                  <w:tcW w:w="310" w:type="pct"/>
                  <w:vMerge w:val="continue"/>
                  <w:vAlign w:val="center"/>
                </w:tcPr>
                <w:p>
                  <w:pPr>
                    <w:jc w:val="center"/>
                    <w:rPr>
                      <w:rFonts w:cs="Times New Roman"/>
                      <w:sz w:val="18"/>
                      <w:szCs w:val="18"/>
                    </w:rPr>
                  </w:pPr>
                </w:p>
              </w:tc>
              <w:tc>
                <w:tcPr>
                  <w:tcW w:w="311" w:type="pct"/>
                  <w:vMerge w:val="restart"/>
                  <w:vAlign w:val="center"/>
                </w:tcPr>
                <w:p>
                  <w:pPr>
                    <w:jc w:val="center"/>
                    <w:rPr>
                      <w:rFonts w:cs="Times New Roman"/>
                      <w:sz w:val="18"/>
                      <w:szCs w:val="18"/>
                    </w:rPr>
                  </w:pPr>
                  <w:r>
                    <w:rPr>
                      <w:rFonts w:hint="eastAsia" w:cs="Times New Roman"/>
                      <w:sz w:val="18"/>
                      <w:szCs w:val="18"/>
                    </w:rPr>
                    <w:t>收集效率(%)</w:t>
                  </w:r>
                </w:p>
              </w:tc>
              <w:tc>
                <w:tcPr>
                  <w:tcW w:w="467" w:type="pct"/>
                  <w:vMerge w:val="restart"/>
                  <w:vAlign w:val="center"/>
                </w:tcPr>
                <w:p>
                  <w:pPr>
                    <w:jc w:val="center"/>
                    <w:rPr>
                      <w:rFonts w:cs="Times New Roman"/>
                      <w:sz w:val="18"/>
                      <w:szCs w:val="18"/>
                    </w:rPr>
                  </w:pPr>
                  <w:r>
                    <w:rPr>
                      <w:rFonts w:hint="eastAsia" w:cs="Times New Roman"/>
                      <w:sz w:val="18"/>
                      <w:szCs w:val="18"/>
                    </w:rPr>
                    <w:t>治理工艺</w:t>
                  </w:r>
                </w:p>
              </w:tc>
              <w:tc>
                <w:tcPr>
                  <w:tcW w:w="311" w:type="pct"/>
                  <w:vMerge w:val="restart"/>
                  <w:vAlign w:val="center"/>
                </w:tcPr>
                <w:p>
                  <w:pPr>
                    <w:jc w:val="center"/>
                    <w:rPr>
                      <w:rFonts w:cs="Times New Roman"/>
                      <w:sz w:val="18"/>
                      <w:szCs w:val="18"/>
                    </w:rPr>
                  </w:pPr>
                  <w:r>
                    <w:rPr>
                      <w:rFonts w:cs="Times New Roman"/>
                      <w:sz w:val="18"/>
                      <w:szCs w:val="18"/>
                    </w:rPr>
                    <w:t>去除效率</w:t>
                  </w:r>
                  <w:r>
                    <w:rPr>
                      <w:rFonts w:hint="eastAsia" w:cs="Times New Roman"/>
                      <w:sz w:val="18"/>
                      <w:szCs w:val="18"/>
                    </w:rPr>
                    <w:t>(</w:t>
                  </w:r>
                  <w:r>
                    <w:rPr>
                      <w:rFonts w:cs="Times New Roman"/>
                      <w:sz w:val="18"/>
                      <w:szCs w:val="18"/>
                    </w:rPr>
                    <w:t>%</w:t>
                  </w:r>
                  <w:r>
                    <w:rPr>
                      <w:rFonts w:hint="eastAsia" w:cs="Times New Roman"/>
                      <w:sz w:val="18"/>
                      <w:szCs w:val="18"/>
                    </w:rPr>
                    <w:t>)</w:t>
                  </w:r>
                </w:p>
              </w:tc>
              <w:tc>
                <w:tcPr>
                  <w:tcW w:w="310" w:type="pct"/>
                  <w:vMerge w:val="restart"/>
                  <w:vAlign w:val="center"/>
                </w:tcPr>
                <w:p>
                  <w:pPr>
                    <w:jc w:val="center"/>
                    <w:rPr>
                      <w:rFonts w:cs="Times New Roman"/>
                      <w:sz w:val="18"/>
                      <w:szCs w:val="18"/>
                    </w:rPr>
                  </w:pPr>
                  <w:r>
                    <w:rPr>
                      <w:rFonts w:cs="Times New Roman"/>
                      <w:sz w:val="18"/>
                      <w:szCs w:val="18"/>
                    </w:rPr>
                    <w:t>废气量</w:t>
                  </w:r>
                  <w:r>
                    <w:rPr>
                      <w:rFonts w:hint="eastAsia" w:cs="Times New Roman"/>
                      <w:sz w:val="18"/>
                      <w:szCs w:val="18"/>
                    </w:rPr>
                    <w:t>(</w:t>
                  </w:r>
                  <w:r>
                    <w:rPr>
                      <w:rFonts w:cs="Times New Roman"/>
                      <w:sz w:val="18"/>
                      <w:szCs w:val="18"/>
                    </w:rPr>
                    <w:t>m</w:t>
                  </w:r>
                  <w:r>
                    <w:rPr>
                      <w:rFonts w:cs="Times New Roman"/>
                      <w:sz w:val="18"/>
                      <w:szCs w:val="18"/>
                      <w:vertAlign w:val="superscript"/>
                    </w:rPr>
                    <w:t>3</w:t>
                  </w:r>
                  <w:r>
                    <w:rPr>
                      <w:rFonts w:cs="Times New Roman"/>
                      <w:sz w:val="18"/>
                      <w:szCs w:val="18"/>
                    </w:rPr>
                    <w:t>/h</w:t>
                  </w:r>
                  <w:r>
                    <w:rPr>
                      <w:rFonts w:hint="eastAsia" w:cs="Times New Roman"/>
                      <w:sz w:val="18"/>
                      <w:szCs w:val="18"/>
                    </w:rPr>
                    <w:t>)</w:t>
                  </w:r>
                </w:p>
              </w:tc>
              <w:tc>
                <w:tcPr>
                  <w:tcW w:w="886" w:type="pct"/>
                  <w:gridSpan w:val="3"/>
                  <w:vAlign w:val="center"/>
                </w:tcPr>
                <w:p>
                  <w:pPr>
                    <w:jc w:val="center"/>
                    <w:rPr>
                      <w:rFonts w:cs="Times New Roman"/>
                      <w:sz w:val="18"/>
                      <w:szCs w:val="18"/>
                    </w:rPr>
                  </w:pPr>
                  <w:r>
                    <w:rPr>
                      <w:rFonts w:hint="eastAsia" w:cs="Times New Roman"/>
                      <w:sz w:val="18"/>
                      <w:szCs w:val="18"/>
                    </w:rPr>
                    <w:t>有组织</w:t>
                  </w:r>
                </w:p>
              </w:tc>
              <w:tc>
                <w:tcPr>
                  <w:tcW w:w="592" w:type="pct"/>
                  <w:gridSpan w:val="2"/>
                  <w:vAlign w:val="center"/>
                </w:tcPr>
                <w:p>
                  <w:pPr>
                    <w:jc w:val="center"/>
                    <w:rPr>
                      <w:rFonts w:cs="Times New Roman"/>
                      <w:sz w:val="18"/>
                      <w:szCs w:val="18"/>
                    </w:rPr>
                  </w:pPr>
                  <w:r>
                    <w:rPr>
                      <w:rFonts w:cs="Times New Roman"/>
                      <w:sz w:val="18"/>
                      <w:szCs w:val="18"/>
                    </w:rPr>
                    <w:t>无组织</w:t>
                  </w:r>
                </w:p>
              </w:tc>
              <w:tc>
                <w:tcPr>
                  <w:tcW w:w="307" w:type="pct"/>
                  <w:vMerge w:val="restart"/>
                  <w:vAlign w:val="center"/>
                </w:tcPr>
                <w:p>
                  <w:pPr>
                    <w:jc w:val="center"/>
                    <w:rPr>
                      <w:rFonts w:cs="Times New Roman"/>
                      <w:sz w:val="18"/>
                      <w:szCs w:val="18"/>
                    </w:rPr>
                  </w:pPr>
                  <w:r>
                    <w:rPr>
                      <w:rFonts w:cs="Times New Roman"/>
                      <w:sz w:val="18"/>
                      <w:szCs w:val="18"/>
                    </w:rPr>
                    <w:t>排放时间</w:t>
                  </w:r>
                  <w:r>
                    <w:rPr>
                      <w:rFonts w:hint="eastAsia" w:cs="Times New Roman"/>
                      <w:sz w:val="18"/>
                      <w:szCs w:val="18"/>
                    </w:rPr>
                    <w:t>(</w:t>
                  </w:r>
                  <w:r>
                    <w:rPr>
                      <w:rFonts w:cs="Times New Roman"/>
                      <w:sz w:val="18"/>
                      <w:szCs w:val="18"/>
                    </w:rPr>
                    <w:t>h</w:t>
                  </w:r>
                  <w:r>
                    <w:rPr>
                      <w:rFonts w:hint="eastAsia" w:cs="Times New Roman"/>
                      <w:sz w:val="18"/>
                      <w:szCs w:val="18"/>
                    </w:rPr>
                    <w:t>)</w:t>
                  </w:r>
                </w:p>
              </w:tc>
              <w:tc>
                <w:tcPr>
                  <w:tcW w:w="324" w:type="pct"/>
                  <w:vMerge w:val="continue"/>
                  <w:vAlign w:val="center"/>
                </w:tcPr>
                <w:p>
                  <w:pPr>
                    <w:jc w:val="center"/>
                    <w:rPr>
                      <w:rFonts w:cs="Times New Roman"/>
                      <w:sz w:val="18"/>
                      <w:szCs w:val="18"/>
                    </w:rPr>
                  </w:pPr>
                </w:p>
              </w:tc>
              <w:tc>
                <w:tcPr>
                  <w:tcW w:w="243" w:type="pct"/>
                  <w:vMerge w:val="restart"/>
                  <w:vAlign w:val="center"/>
                </w:tcPr>
                <w:p>
                  <w:pPr>
                    <w:jc w:val="center"/>
                    <w:rPr>
                      <w:rFonts w:cs="Times New Roman"/>
                      <w:sz w:val="18"/>
                      <w:szCs w:val="18"/>
                    </w:rPr>
                  </w:pPr>
                  <w:r>
                    <w:rPr>
                      <w:rFonts w:hint="eastAsia" w:cs="Times New Roman"/>
                      <w:sz w:val="18"/>
                      <w:szCs w:val="18"/>
                    </w:rPr>
                    <w:t>mg/m</w:t>
                  </w:r>
                  <w:r>
                    <w:rPr>
                      <w:rFonts w:hint="eastAsia" w:cs="Times New Roman"/>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Merge w:val="continue"/>
                  <w:vAlign w:val="center"/>
                </w:tcPr>
                <w:p>
                  <w:pPr>
                    <w:jc w:val="center"/>
                    <w:rPr>
                      <w:rFonts w:cs="Times New Roman"/>
                      <w:sz w:val="18"/>
                      <w:szCs w:val="18"/>
                    </w:rPr>
                  </w:pPr>
                </w:p>
              </w:tc>
              <w:tc>
                <w:tcPr>
                  <w:tcW w:w="310" w:type="pct"/>
                  <w:vMerge w:val="continue"/>
                  <w:vAlign w:val="center"/>
                </w:tcPr>
                <w:p>
                  <w:pPr>
                    <w:jc w:val="center"/>
                    <w:rPr>
                      <w:rFonts w:cs="Times New Roman"/>
                      <w:sz w:val="18"/>
                      <w:szCs w:val="18"/>
                    </w:rPr>
                  </w:pPr>
                </w:p>
              </w:tc>
              <w:tc>
                <w:tcPr>
                  <w:tcW w:w="311" w:type="pct"/>
                  <w:vMerge w:val="continue"/>
                  <w:vAlign w:val="center"/>
                </w:tcPr>
                <w:p>
                  <w:pPr>
                    <w:jc w:val="center"/>
                    <w:rPr>
                      <w:rFonts w:cs="Times New Roman"/>
                      <w:sz w:val="18"/>
                      <w:szCs w:val="18"/>
                    </w:rPr>
                  </w:pPr>
                </w:p>
              </w:tc>
              <w:tc>
                <w:tcPr>
                  <w:tcW w:w="310" w:type="pct"/>
                  <w:vMerge w:val="continue"/>
                  <w:vAlign w:val="center"/>
                </w:tcPr>
                <w:p>
                  <w:pPr>
                    <w:jc w:val="center"/>
                    <w:rPr>
                      <w:rFonts w:cs="Times New Roman"/>
                      <w:sz w:val="18"/>
                      <w:szCs w:val="18"/>
                    </w:rPr>
                  </w:pPr>
                </w:p>
              </w:tc>
              <w:tc>
                <w:tcPr>
                  <w:tcW w:w="311" w:type="pct"/>
                  <w:vMerge w:val="continue"/>
                  <w:vAlign w:val="center"/>
                </w:tcPr>
                <w:p>
                  <w:pPr>
                    <w:jc w:val="center"/>
                    <w:rPr>
                      <w:rFonts w:cs="Times New Roman"/>
                      <w:sz w:val="18"/>
                      <w:szCs w:val="18"/>
                    </w:rPr>
                  </w:pPr>
                </w:p>
              </w:tc>
              <w:tc>
                <w:tcPr>
                  <w:tcW w:w="467" w:type="pct"/>
                  <w:vMerge w:val="continue"/>
                  <w:vAlign w:val="center"/>
                </w:tcPr>
                <w:p>
                  <w:pPr>
                    <w:jc w:val="center"/>
                    <w:rPr>
                      <w:rFonts w:cs="Times New Roman"/>
                      <w:sz w:val="18"/>
                      <w:szCs w:val="18"/>
                    </w:rPr>
                  </w:pPr>
                </w:p>
              </w:tc>
              <w:tc>
                <w:tcPr>
                  <w:tcW w:w="311" w:type="pct"/>
                  <w:vMerge w:val="continue"/>
                  <w:vAlign w:val="center"/>
                </w:tcPr>
                <w:p>
                  <w:pPr>
                    <w:jc w:val="center"/>
                    <w:rPr>
                      <w:rFonts w:cs="Times New Roman"/>
                      <w:sz w:val="18"/>
                      <w:szCs w:val="18"/>
                    </w:rPr>
                  </w:pPr>
                </w:p>
              </w:tc>
              <w:tc>
                <w:tcPr>
                  <w:tcW w:w="310" w:type="pct"/>
                  <w:vMerge w:val="continue"/>
                  <w:vAlign w:val="center"/>
                </w:tcPr>
                <w:p>
                  <w:pPr>
                    <w:jc w:val="center"/>
                    <w:rPr>
                      <w:rFonts w:cs="Times New Roman"/>
                      <w:sz w:val="18"/>
                      <w:szCs w:val="18"/>
                    </w:rPr>
                  </w:pPr>
                </w:p>
              </w:tc>
              <w:tc>
                <w:tcPr>
                  <w:tcW w:w="295" w:type="pct"/>
                  <w:vAlign w:val="center"/>
                </w:tcPr>
                <w:p>
                  <w:pPr>
                    <w:jc w:val="center"/>
                    <w:rPr>
                      <w:rFonts w:cs="Times New Roman"/>
                      <w:sz w:val="18"/>
                      <w:szCs w:val="18"/>
                    </w:rPr>
                  </w:pPr>
                  <w:r>
                    <w:rPr>
                      <w:rFonts w:hint="eastAsia" w:cs="Times New Roman"/>
                      <w:sz w:val="18"/>
                      <w:szCs w:val="18"/>
                    </w:rPr>
                    <w:t>mg/</w:t>
                  </w:r>
                  <w:r>
                    <w:rPr>
                      <w:rFonts w:cs="Times New Roman"/>
                      <w:sz w:val="18"/>
                      <w:szCs w:val="18"/>
                    </w:rPr>
                    <w:t>m</w:t>
                  </w:r>
                  <w:r>
                    <w:rPr>
                      <w:rFonts w:cs="Times New Roman"/>
                      <w:sz w:val="18"/>
                      <w:szCs w:val="18"/>
                      <w:vertAlign w:val="superscript"/>
                    </w:rPr>
                    <w:t>3</w:t>
                  </w:r>
                </w:p>
              </w:tc>
              <w:tc>
                <w:tcPr>
                  <w:tcW w:w="295" w:type="pct"/>
                  <w:vAlign w:val="center"/>
                </w:tcPr>
                <w:p>
                  <w:pPr>
                    <w:jc w:val="center"/>
                    <w:rPr>
                      <w:rFonts w:cs="Times New Roman"/>
                      <w:sz w:val="18"/>
                      <w:szCs w:val="18"/>
                    </w:rPr>
                  </w:pPr>
                  <w:r>
                    <w:rPr>
                      <w:rFonts w:cs="Times New Roman"/>
                      <w:sz w:val="18"/>
                      <w:szCs w:val="18"/>
                    </w:rPr>
                    <w:t>k</w:t>
                  </w:r>
                  <w:r>
                    <w:rPr>
                      <w:rFonts w:hint="eastAsia" w:cs="Times New Roman"/>
                      <w:sz w:val="18"/>
                      <w:szCs w:val="18"/>
                    </w:rPr>
                    <w:t>g/h</w:t>
                  </w:r>
                </w:p>
              </w:tc>
              <w:tc>
                <w:tcPr>
                  <w:tcW w:w="296" w:type="pct"/>
                  <w:vAlign w:val="center"/>
                </w:tcPr>
                <w:p>
                  <w:pPr>
                    <w:jc w:val="center"/>
                    <w:rPr>
                      <w:rFonts w:cs="Times New Roman"/>
                      <w:sz w:val="18"/>
                      <w:szCs w:val="18"/>
                    </w:rPr>
                  </w:pPr>
                  <w:r>
                    <w:rPr>
                      <w:rFonts w:hint="eastAsia" w:cs="Times New Roman"/>
                      <w:sz w:val="18"/>
                      <w:szCs w:val="18"/>
                    </w:rPr>
                    <w:t>t/a</w:t>
                  </w:r>
                </w:p>
              </w:tc>
              <w:tc>
                <w:tcPr>
                  <w:tcW w:w="296" w:type="pct"/>
                  <w:vAlign w:val="center"/>
                </w:tcPr>
                <w:p>
                  <w:pPr>
                    <w:jc w:val="center"/>
                    <w:rPr>
                      <w:rFonts w:cs="Times New Roman"/>
                      <w:sz w:val="18"/>
                      <w:szCs w:val="18"/>
                    </w:rPr>
                  </w:pPr>
                  <w:r>
                    <w:rPr>
                      <w:rFonts w:cs="Times New Roman"/>
                      <w:sz w:val="18"/>
                      <w:szCs w:val="18"/>
                    </w:rPr>
                    <w:t>k</w:t>
                  </w:r>
                  <w:r>
                    <w:rPr>
                      <w:rFonts w:hint="eastAsia" w:cs="Times New Roman"/>
                      <w:sz w:val="18"/>
                      <w:szCs w:val="18"/>
                    </w:rPr>
                    <w:t>g/h</w:t>
                  </w:r>
                </w:p>
              </w:tc>
              <w:tc>
                <w:tcPr>
                  <w:tcW w:w="296" w:type="pct"/>
                  <w:vAlign w:val="center"/>
                </w:tcPr>
                <w:p>
                  <w:pPr>
                    <w:jc w:val="center"/>
                    <w:rPr>
                      <w:rFonts w:cs="Times New Roman"/>
                      <w:sz w:val="18"/>
                      <w:szCs w:val="18"/>
                    </w:rPr>
                  </w:pPr>
                  <w:r>
                    <w:rPr>
                      <w:rFonts w:hint="eastAsia" w:cs="Times New Roman"/>
                      <w:sz w:val="18"/>
                      <w:szCs w:val="18"/>
                    </w:rPr>
                    <w:t>t/a</w:t>
                  </w:r>
                </w:p>
              </w:tc>
              <w:tc>
                <w:tcPr>
                  <w:tcW w:w="307" w:type="pct"/>
                  <w:vMerge w:val="continue"/>
                  <w:vAlign w:val="center"/>
                </w:tcPr>
                <w:p>
                  <w:pPr>
                    <w:jc w:val="center"/>
                    <w:rPr>
                      <w:rFonts w:cs="Times New Roman"/>
                      <w:sz w:val="18"/>
                      <w:szCs w:val="18"/>
                    </w:rPr>
                  </w:pPr>
                </w:p>
              </w:tc>
              <w:tc>
                <w:tcPr>
                  <w:tcW w:w="324" w:type="pct"/>
                  <w:vMerge w:val="continue"/>
                  <w:vAlign w:val="center"/>
                </w:tcPr>
                <w:p>
                  <w:pPr>
                    <w:jc w:val="center"/>
                    <w:rPr>
                      <w:rFonts w:cs="Times New Roman"/>
                      <w:sz w:val="18"/>
                      <w:szCs w:val="18"/>
                    </w:rPr>
                  </w:pPr>
                </w:p>
              </w:tc>
              <w:tc>
                <w:tcPr>
                  <w:tcW w:w="243" w:type="pct"/>
                  <w:vMerge w:val="continue"/>
                  <w:vAlign w:val="center"/>
                </w:tcPr>
                <w:p>
                  <w:pPr>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pPr>
                    <w:jc w:val="center"/>
                    <w:rPr>
                      <w:sz w:val="18"/>
                      <w:szCs w:val="18"/>
                    </w:rPr>
                  </w:pPr>
                  <w:r>
                    <w:rPr>
                      <w:rFonts w:hint="eastAsia"/>
                      <w:sz w:val="18"/>
                      <w:szCs w:val="18"/>
                    </w:rPr>
                    <w:t>制砂、筛分粉尘</w:t>
                  </w:r>
                </w:p>
              </w:tc>
              <w:tc>
                <w:tcPr>
                  <w:tcW w:w="310" w:type="pct"/>
                  <w:vAlign w:val="center"/>
                </w:tcPr>
                <w:p>
                  <w:pPr>
                    <w:jc w:val="center"/>
                    <w:rPr>
                      <w:rFonts w:cs="Times New Roman"/>
                      <w:sz w:val="18"/>
                      <w:szCs w:val="18"/>
                    </w:rPr>
                  </w:pPr>
                  <w:r>
                    <w:rPr>
                      <w:rFonts w:hint="eastAsia" w:cs="Times New Roman"/>
                      <w:sz w:val="18"/>
                      <w:szCs w:val="18"/>
                    </w:rPr>
                    <w:t>颗粒物</w:t>
                  </w:r>
                </w:p>
              </w:tc>
              <w:tc>
                <w:tcPr>
                  <w:tcW w:w="311" w:type="pct"/>
                  <w:vAlign w:val="center"/>
                </w:tcPr>
                <w:p>
                  <w:pPr>
                    <w:jc w:val="center"/>
                    <w:rPr>
                      <w:rFonts w:cs="Times New Roman"/>
                      <w:sz w:val="18"/>
                      <w:szCs w:val="18"/>
                    </w:rPr>
                  </w:pPr>
                  <w:r>
                    <w:rPr>
                      <w:rFonts w:hint="eastAsia" w:cs="Times New Roman"/>
                      <w:sz w:val="18"/>
                      <w:szCs w:val="18"/>
                    </w:rPr>
                    <w:t>产污系数法</w:t>
                  </w:r>
                </w:p>
              </w:tc>
              <w:tc>
                <w:tcPr>
                  <w:tcW w:w="310" w:type="pct"/>
                  <w:vAlign w:val="center"/>
                </w:tcPr>
                <w:p>
                  <w:pPr>
                    <w:jc w:val="center"/>
                    <w:rPr>
                      <w:rFonts w:cs="Times New Roman"/>
                      <w:kern w:val="0"/>
                      <w:sz w:val="18"/>
                      <w:szCs w:val="18"/>
                    </w:rPr>
                  </w:pPr>
                  <w:r>
                    <w:rPr>
                      <w:rFonts w:cs="Times New Roman"/>
                      <w:kern w:val="0"/>
                      <w:sz w:val="18"/>
                      <w:szCs w:val="18"/>
                    </w:rPr>
                    <w:t>678</w:t>
                  </w:r>
                </w:p>
              </w:tc>
              <w:tc>
                <w:tcPr>
                  <w:tcW w:w="311" w:type="pct"/>
                  <w:vAlign w:val="center"/>
                </w:tcPr>
                <w:p>
                  <w:pPr>
                    <w:jc w:val="center"/>
                    <w:rPr>
                      <w:rFonts w:cs="Times New Roman"/>
                      <w:sz w:val="18"/>
                      <w:szCs w:val="18"/>
                    </w:rPr>
                  </w:pPr>
                  <w:r>
                    <w:rPr>
                      <w:rFonts w:cs="Times New Roman"/>
                      <w:sz w:val="18"/>
                      <w:szCs w:val="18"/>
                    </w:rPr>
                    <w:t>90</w:t>
                  </w:r>
                </w:p>
              </w:tc>
              <w:tc>
                <w:tcPr>
                  <w:tcW w:w="467" w:type="pct"/>
                  <w:vAlign w:val="center"/>
                </w:tcPr>
                <w:p>
                  <w:pPr>
                    <w:jc w:val="center"/>
                    <w:rPr>
                      <w:rFonts w:cs="Times New Roman"/>
                      <w:sz w:val="18"/>
                      <w:szCs w:val="18"/>
                    </w:rPr>
                  </w:pPr>
                  <w:r>
                    <w:rPr>
                      <w:rFonts w:hint="eastAsia" w:cs="Times New Roman"/>
                      <w:sz w:val="18"/>
                      <w:szCs w:val="18"/>
                    </w:rPr>
                    <w:t>封闭式制砂楼，集气罩+袋式除尘器</w:t>
                  </w:r>
                </w:p>
              </w:tc>
              <w:tc>
                <w:tcPr>
                  <w:tcW w:w="311" w:type="pct"/>
                  <w:vAlign w:val="center"/>
                </w:tcPr>
                <w:p>
                  <w:pPr>
                    <w:jc w:val="center"/>
                    <w:rPr>
                      <w:rFonts w:cs="Times New Roman"/>
                      <w:sz w:val="18"/>
                      <w:szCs w:val="18"/>
                    </w:rPr>
                  </w:pPr>
                  <w:r>
                    <w:rPr>
                      <w:rFonts w:cs="Times New Roman"/>
                      <w:sz w:val="18"/>
                      <w:szCs w:val="18"/>
                    </w:rPr>
                    <w:t>99.9</w:t>
                  </w:r>
                </w:p>
              </w:tc>
              <w:tc>
                <w:tcPr>
                  <w:tcW w:w="310" w:type="pct"/>
                  <w:vAlign w:val="center"/>
                </w:tcPr>
                <w:p>
                  <w:pPr>
                    <w:jc w:val="center"/>
                    <w:rPr>
                      <w:rFonts w:cs="Times New Roman"/>
                      <w:sz w:val="18"/>
                      <w:szCs w:val="18"/>
                    </w:rPr>
                  </w:pPr>
                  <w:r>
                    <w:rPr>
                      <w:rFonts w:cs="Times New Roman"/>
                      <w:sz w:val="18"/>
                      <w:szCs w:val="18"/>
                    </w:rPr>
                    <w:t>61250</w:t>
                  </w:r>
                </w:p>
              </w:tc>
              <w:tc>
                <w:tcPr>
                  <w:tcW w:w="295" w:type="pct"/>
                  <w:vAlign w:val="center"/>
                </w:tcPr>
                <w:p>
                  <w:pPr>
                    <w:jc w:val="center"/>
                    <w:rPr>
                      <w:rFonts w:cs="Times New Roman"/>
                      <w:sz w:val="18"/>
                      <w:szCs w:val="18"/>
                    </w:rPr>
                  </w:pPr>
                  <w:r>
                    <w:rPr>
                      <w:rFonts w:cs="Times New Roman"/>
                      <w:sz w:val="18"/>
                      <w:szCs w:val="18"/>
                    </w:rPr>
                    <w:t>4.151</w:t>
                  </w:r>
                </w:p>
              </w:tc>
              <w:tc>
                <w:tcPr>
                  <w:tcW w:w="295" w:type="pct"/>
                  <w:vAlign w:val="center"/>
                </w:tcPr>
                <w:p>
                  <w:pPr>
                    <w:widowControl/>
                    <w:jc w:val="center"/>
                    <w:rPr>
                      <w:rFonts w:cs="Times New Roman"/>
                      <w:sz w:val="18"/>
                      <w:szCs w:val="18"/>
                    </w:rPr>
                  </w:pPr>
                  <w:r>
                    <w:rPr>
                      <w:rFonts w:cs="Times New Roman"/>
                      <w:sz w:val="18"/>
                      <w:szCs w:val="18"/>
                    </w:rPr>
                    <w:t>0.254</w:t>
                  </w:r>
                </w:p>
              </w:tc>
              <w:tc>
                <w:tcPr>
                  <w:tcW w:w="296" w:type="pct"/>
                  <w:vAlign w:val="center"/>
                </w:tcPr>
                <w:p>
                  <w:pPr>
                    <w:jc w:val="center"/>
                    <w:rPr>
                      <w:rFonts w:cs="Times New Roman"/>
                      <w:sz w:val="18"/>
                      <w:szCs w:val="18"/>
                    </w:rPr>
                  </w:pPr>
                  <w:r>
                    <w:rPr>
                      <w:rFonts w:cs="Times New Roman"/>
                      <w:sz w:val="18"/>
                      <w:szCs w:val="18"/>
                    </w:rPr>
                    <w:t>0.610</w:t>
                  </w:r>
                </w:p>
              </w:tc>
              <w:tc>
                <w:tcPr>
                  <w:tcW w:w="296" w:type="pct"/>
                  <w:vAlign w:val="center"/>
                </w:tcPr>
                <w:p>
                  <w:pPr>
                    <w:jc w:val="center"/>
                    <w:rPr>
                      <w:rFonts w:cs="Times New Roman"/>
                      <w:sz w:val="18"/>
                      <w:szCs w:val="18"/>
                    </w:rPr>
                  </w:pPr>
                  <w:r>
                    <w:rPr>
                      <w:rFonts w:cs="Times New Roman"/>
                      <w:sz w:val="18"/>
                      <w:szCs w:val="18"/>
                    </w:rPr>
                    <w:t>0.283</w:t>
                  </w:r>
                </w:p>
              </w:tc>
              <w:tc>
                <w:tcPr>
                  <w:tcW w:w="296" w:type="pct"/>
                  <w:vAlign w:val="center"/>
                </w:tcPr>
                <w:p>
                  <w:pPr>
                    <w:jc w:val="center"/>
                    <w:rPr>
                      <w:rFonts w:cs="Times New Roman"/>
                      <w:sz w:val="18"/>
                      <w:szCs w:val="18"/>
                    </w:rPr>
                  </w:pPr>
                  <w:r>
                    <w:rPr>
                      <w:rFonts w:cs="Times New Roman"/>
                      <w:sz w:val="18"/>
                      <w:szCs w:val="18"/>
                    </w:rPr>
                    <w:t>0.678</w:t>
                  </w:r>
                </w:p>
              </w:tc>
              <w:tc>
                <w:tcPr>
                  <w:tcW w:w="307" w:type="pct"/>
                  <w:vAlign w:val="center"/>
                </w:tcPr>
                <w:p>
                  <w:pPr>
                    <w:jc w:val="center"/>
                    <w:rPr>
                      <w:rFonts w:cs="Times New Roman"/>
                      <w:sz w:val="18"/>
                      <w:szCs w:val="18"/>
                    </w:rPr>
                  </w:pPr>
                  <w:r>
                    <w:rPr>
                      <w:rFonts w:cs="Times New Roman"/>
                      <w:sz w:val="18"/>
                      <w:szCs w:val="18"/>
                    </w:rPr>
                    <w:t>2400</w:t>
                  </w:r>
                </w:p>
              </w:tc>
              <w:tc>
                <w:tcPr>
                  <w:tcW w:w="324" w:type="pct"/>
                  <w:vAlign w:val="center"/>
                </w:tcPr>
                <w:p>
                  <w:pPr>
                    <w:jc w:val="center"/>
                    <w:rPr>
                      <w:rFonts w:cs="Times New Roman"/>
                      <w:sz w:val="18"/>
                      <w:szCs w:val="18"/>
                    </w:rPr>
                  </w:pPr>
                  <w:r>
                    <w:rPr>
                      <w:rFonts w:hint="eastAsia" w:cs="Times New Roman"/>
                      <w:sz w:val="18"/>
                      <w:szCs w:val="18"/>
                    </w:rPr>
                    <w:t>DA</w:t>
                  </w:r>
                  <w:r>
                    <w:rPr>
                      <w:rFonts w:cs="Times New Roman"/>
                      <w:sz w:val="18"/>
                      <w:szCs w:val="18"/>
                    </w:rPr>
                    <w:t>151</w:t>
                  </w:r>
                </w:p>
              </w:tc>
              <w:tc>
                <w:tcPr>
                  <w:tcW w:w="243" w:type="pct"/>
                  <w:vAlign w:val="center"/>
                </w:tcPr>
                <w:p>
                  <w:pPr>
                    <w:jc w:val="center"/>
                    <w:rPr>
                      <w:rFonts w:cs="Times New Roman"/>
                      <w:sz w:val="18"/>
                      <w:szCs w:val="18"/>
                    </w:rPr>
                  </w:pPr>
                  <w:r>
                    <w:rPr>
                      <w:rFonts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pPr>
                    <w:jc w:val="center"/>
                    <w:rPr>
                      <w:sz w:val="18"/>
                      <w:szCs w:val="18"/>
                    </w:rPr>
                  </w:pPr>
                  <w:r>
                    <w:rPr>
                      <w:rFonts w:hint="eastAsia"/>
                      <w:sz w:val="18"/>
                      <w:szCs w:val="18"/>
                    </w:rPr>
                    <w:t>物料输送粉尘</w:t>
                  </w:r>
                </w:p>
              </w:tc>
              <w:tc>
                <w:tcPr>
                  <w:tcW w:w="310" w:type="pct"/>
                  <w:vAlign w:val="center"/>
                </w:tcPr>
                <w:p>
                  <w:pPr>
                    <w:jc w:val="center"/>
                    <w:rPr>
                      <w:rFonts w:cs="Times New Roman"/>
                      <w:sz w:val="18"/>
                      <w:szCs w:val="18"/>
                    </w:rPr>
                  </w:pPr>
                  <w:r>
                    <w:rPr>
                      <w:rFonts w:hint="eastAsia" w:cs="Times New Roman"/>
                      <w:sz w:val="18"/>
                      <w:szCs w:val="18"/>
                    </w:rPr>
                    <w:t>颗粒物</w:t>
                  </w:r>
                </w:p>
              </w:tc>
              <w:tc>
                <w:tcPr>
                  <w:tcW w:w="311" w:type="pct"/>
                  <w:vAlign w:val="center"/>
                </w:tcPr>
                <w:p>
                  <w:pPr>
                    <w:jc w:val="center"/>
                    <w:rPr>
                      <w:rFonts w:cs="Times New Roman"/>
                      <w:sz w:val="18"/>
                      <w:szCs w:val="18"/>
                    </w:rPr>
                  </w:pPr>
                  <w:r>
                    <w:rPr>
                      <w:rFonts w:hint="eastAsia" w:cs="Times New Roman"/>
                      <w:sz w:val="18"/>
                      <w:szCs w:val="18"/>
                    </w:rPr>
                    <w:t>产污系数法</w:t>
                  </w:r>
                </w:p>
              </w:tc>
              <w:tc>
                <w:tcPr>
                  <w:tcW w:w="310" w:type="pct"/>
                  <w:vAlign w:val="center"/>
                </w:tcPr>
                <w:p>
                  <w:pPr>
                    <w:jc w:val="center"/>
                    <w:rPr>
                      <w:rFonts w:cs="Times New Roman"/>
                      <w:kern w:val="0"/>
                      <w:sz w:val="18"/>
                      <w:szCs w:val="18"/>
                    </w:rPr>
                  </w:pPr>
                  <w:r>
                    <w:rPr>
                      <w:rFonts w:cs="Times New Roman"/>
                      <w:kern w:val="0"/>
                      <w:sz w:val="18"/>
                      <w:szCs w:val="18"/>
                    </w:rPr>
                    <w:t>39.6</w:t>
                  </w:r>
                </w:p>
              </w:tc>
              <w:tc>
                <w:tcPr>
                  <w:tcW w:w="311" w:type="pct"/>
                  <w:vAlign w:val="center"/>
                </w:tcPr>
                <w:p>
                  <w:pPr>
                    <w:jc w:val="center"/>
                    <w:rPr>
                      <w:rFonts w:cs="Times New Roman"/>
                      <w:sz w:val="18"/>
                      <w:szCs w:val="18"/>
                    </w:rPr>
                  </w:pPr>
                  <w:r>
                    <w:rPr>
                      <w:rFonts w:hint="eastAsia" w:cs="Times New Roman"/>
                      <w:sz w:val="18"/>
                      <w:szCs w:val="18"/>
                    </w:rPr>
                    <w:t>90</w:t>
                  </w:r>
                </w:p>
              </w:tc>
              <w:tc>
                <w:tcPr>
                  <w:tcW w:w="467" w:type="pct"/>
                  <w:vAlign w:val="center"/>
                </w:tcPr>
                <w:p>
                  <w:pPr>
                    <w:jc w:val="center"/>
                    <w:rPr>
                      <w:rFonts w:cs="Times New Roman"/>
                      <w:sz w:val="18"/>
                      <w:szCs w:val="18"/>
                    </w:rPr>
                  </w:pPr>
                  <w:r>
                    <w:rPr>
                      <w:rFonts w:hint="eastAsia" w:cs="Times New Roman"/>
                      <w:sz w:val="18"/>
                      <w:szCs w:val="18"/>
                    </w:rPr>
                    <w:t>封闭式输送廊道，集气罩+袋式除尘器</w:t>
                  </w:r>
                </w:p>
              </w:tc>
              <w:tc>
                <w:tcPr>
                  <w:tcW w:w="311" w:type="pct"/>
                  <w:vAlign w:val="center"/>
                </w:tcPr>
                <w:p>
                  <w:pPr>
                    <w:jc w:val="center"/>
                    <w:rPr>
                      <w:rFonts w:cs="Times New Roman"/>
                      <w:sz w:val="18"/>
                      <w:szCs w:val="18"/>
                    </w:rPr>
                  </w:pPr>
                  <w:r>
                    <w:rPr>
                      <w:rFonts w:cs="Times New Roman"/>
                      <w:sz w:val="18"/>
                      <w:szCs w:val="18"/>
                    </w:rPr>
                    <w:t>99</w:t>
                  </w:r>
                  <w:r>
                    <w:rPr>
                      <w:rFonts w:hint="eastAsia" w:cs="Times New Roman"/>
                      <w:sz w:val="18"/>
                      <w:szCs w:val="18"/>
                    </w:rPr>
                    <w:t>.</w:t>
                  </w:r>
                  <w:r>
                    <w:rPr>
                      <w:rFonts w:cs="Times New Roman"/>
                      <w:sz w:val="18"/>
                      <w:szCs w:val="18"/>
                    </w:rPr>
                    <w:t>9</w:t>
                  </w:r>
                </w:p>
              </w:tc>
              <w:tc>
                <w:tcPr>
                  <w:tcW w:w="310" w:type="pct"/>
                  <w:vAlign w:val="center"/>
                </w:tcPr>
                <w:p>
                  <w:pPr>
                    <w:jc w:val="center"/>
                    <w:rPr>
                      <w:rFonts w:cs="Times New Roman"/>
                      <w:sz w:val="18"/>
                      <w:szCs w:val="18"/>
                    </w:rPr>
                  </w:pPr>
                  <w:r>
                    <w:rPr>
                      <w:rFonts w:cs="Times New Roman"/>
                      <w:sz w:val="18"/>
                      <w:szCs w:val="18"/>
                    </w:rPr>
                    <w:t>3025</w:t>
                  </w:r>
                </w:p>
              </w:tc>
              <w:tc>
                <w:tcPr>
                  <w:tcW w:w="295" w:type="pct"/>
                  <w:vAlign w:val="center"/>
                </w:tcPr>
                <w:p>
                  <w:pPr>
                    <w:jc w:val="center"/>
                    <w:rPr>
                      <w:rFonts w:cs="Times New Roman"/>
                      <w:sz w:val="18"/>
                      <w:szCs w:val="18"/>
                    </w:rPr>
                  </w:pPr>
                  <w:r>
                    <w:rPr>
                      <w:rFonts w:cs="Times New Roman"/>
                      <w:sz w:val="18"/>
                      <w:szCs w:val="18"/>
                    </w:rPr>
                    <w:t>4.909</w:t>
                  </w:r>
                </w:p>
              </w:tc>
              <w:tc>
                <w:tcPr>
                  <w:tcW w:w="295" w:type="pct"/>
                  <w:vAlign w:val="center"/>
                </w:tcPr>
                <w:p>
                  <w:pPr>
                    <w:widowControl/>
                    <w:jc w:val="center"/>
                    <w:rPr>
                      <w:rFonts w:cs="Times New Roman"/>
                      <w:sz w:val="18"/>
                      <w:szCs w:val="18"/>
                    </w:rPr>
                  </w:pPr>
                  <w:r>
                    <w:rPr>
                      <w:rFonts w:hint="eastAsia" w:cs="Times New Roman"/>
                      <w:sz w:val="18"/>
                      <w:szCs w:val="18"/>
                    </w:rPr>
                    <w:t>0</w:t>
                  </w:r>
                  <w:r>
                    <w:rPr>
                      <w:rFonts w:cs="Times New Roman"/>
                      <w:sz w:val="18"/>
                      <w:szCs w:val="18"/>
                    </w:rPr>
                    <w:t>.015</w:t>
                  </w:r>
                </w:p>
              </w:tc>
              <w:tc>
                <w:tcPr>
                  <w:tcW w:w="296" w:type="pct"/>
                  <w:vAlign w:val="center"/>
                </w:tcPr>
                <w:p>
                  <w:pPr>
                    <w:jc w:val="center"/>
                    <w:rPr>
                      <w:rFonts w:cs="Times New Roman"/>
                      <w:sz w:val="18"/>
                      <w:szCs w:val="18"/>
                    </w:rPr>
                  </w:pPr>
                  <w:r>
                    <w:rPr>
                      <w:rFonts w:hint="eastAsia" w:cs="Times New Roman"/>
                      <w:sz w:val="18"/>
                      <w:szCs w:val="18"/>
                    </w:rPr>
                    <w:t>0</w:t>
                  </w:r>
                  <w:r>
                    <w:rPr>
                      <w:rFonts w:cs="Times New Roman"/>
                      <w:sz w:val="18"/>
                      <w:szCs w:val="18"/>
                    </w:rPr>
                    <w:t>.036</w:t>
                  </w:r>
                </w:p>
              </w:tc>
              <w:tc>
                <w:tcPr>
                  <w:tcW w:w="296" w:type="pct"/>
                  <w:vAlign w:val="center"/>
                </w:tcPr>
                <w:p>
                  <w:pPr>
                    <w:jc w:val="center"/>
                    <w:rPr>
                      <w:rFonts w:cs="Times New Roman"/>
                      <w:sz w:val="18"/>
                      <w:szCs w:val="18"/>
                    </w:rPr>
                  </w:pPr>
                  <w:r>
                    <w:rPr>
                      <w:rFonts w:cs="Times New Roman"/>
                      <w:sz w:val="18"/>
                      <w:szCs w:val="18"/>
                    </w:rPr>
                    <w:t>0.017</w:t>
                  </w:r>
                </w:p>
              </w:tc>
              <w:tc>
                <w:tcPr>
                  <w:tcW w:w="296" w:type="pct"/>
                  <w:vAlign w:val="center"/>
                </w:tcPr>
                <w:p>
                  <w:pPr>
                    <w:jc w:val="center"/>
                    <w:rPr>
                      <w:rFonts w:cs="Times New Roman"/>
                      <w:sz w:val="18"/>
                      <w:szCs w:val="18"/>
                    </w:rPr>
                  </w:pPr>
                  <w:r>
                    <w:rPr>
                      <w:rFonts w:cs="Times New Roman"/>
                      <w:sz w:val="18"/>
                      <w:szCs w:val="18"/>
                    </w:rPr>
                    <w:t>0.040</w:t>
                  </w:r>
                </w:p>
              </w:tc>
              <w:tc>
                <w:tcPr>
                  <w:tcW w:w="307" w:type="pct"/>
                  <w:vAlign w:val="center"/>
                </w:tcPr>
                <w:p>
                  <w:pPr>
                    <w:jc w:val="center"/>
                    <w:rPr>
                      <w:rFonts w:cs="Times New Roman"/>
                      <w:sz w:val="18"/>
                      <w:szCs w:val="18"/>
                    </w:rPr>
                  </w:pPr>
                  <w:r>
                    <w:rPr>
                      <w:rFonts w:cs="Times New Roman"/>
                      <w:sz w:val="18"/>
                      <w:szCs w:val="18"/>
                    </w:rPr>
                    <w:t>2400</w:t>
                  </w:r>
                </w:p>
              </w:tc>
              <w:tc>
                <w:tcPr>
                  <w:tcW w:w="324" w:type="pct"/>
                  <w:vAlign w:val="center"/>
                </w:tcPr>
                <w:p>
                  <w:pPr>
                    <w:jc w:val="center"/>
                    <w:rPr>
                      <w:rFonts w:cs="Times New Roman"/>
                      <w:sz w:val="18"/>
                      <w:szCs w:val="18"/>
                    </w:rPr>
                  </w:pPr>
                  <w:r>
                    <w:rPr>
                      <w:rFonts w:hint="eastAsia" w:cs="Times New Roman"/>
                      <w:sz w:val="18"/>
                      <w:szCs w:val="18"/>
                    </w:rPr>
                    <w:t>DA</w:t>
                  </w:r>
                  <w:r>
                    <w:rPr>
                      <w:rFonts w:cs="Times New Roman"/>
                      <w:sz w:val="18"/>
                      <w:szCs w:val="18"/>
                    </w:rPr>
                    <w:t>152</w:t>
                  </w:r>
                </w:p>
              </w:tc>
              <w:tc>
                <w:tcPr>
                  <w:tcW w:w="243" w:type="pct"/>
                  <w:vAlign w:val="center"/>
                </w:tcPr>
                <w:p>
                  <w:pPr>
                    <w:jc w:val="center"/>
                    <w:rPr>
                      <w:rFonts w:cs="Times New Roman"/>
                      <w:sz w:val="18"/>
                      <w:szCs w:val="18"/>
                    </w:rPr>
                  </w:pPr>
                  <w:r>
                    <w:rPr>
                      <w:rFonts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pPr>
                    <w:jc w:val="center"/>
                    <w:rPr>
                      <w:sz w:val="18"/>
                      <w:szCs w:val="18"/>
                    </w:rPr>
                  </w:pPr>
                  <w:r>
                    <w:rPr>
                      <w:rFonts w:hint="eastAsia"/>
                      <w:sz w:val="18"/>
                      <w:szCs w:val="18"/>
                    </w:rPr>
                    <w:t>粉料钢板仓</w:t>
                  </w:r>
                </w:p>
              </w:tc>
              <w:tc>
                <w:tcPr>
                  <w:tcW w:w="310" w:type="pct"/>
                  <w:vAlign w:val="center"/>
                </w:tcPr>
                <w:p>
                  <w:pPr>
                    <w:jc w:val="center"/>
                    <w:rPr>
                      <w:rFonts w:cs="Times New Roman"/>
                      <w:sz w:val="18"/>
                      <w:szCs w:val="18"/>
                    </w:rPr>
                  </w:pPr>
                  <w:r>
                    <w:rPr>
                      <w:rFonts w:hint="eastAsia" w:cs="Times New Roman"/>
                      <w:sz w:val="18"/>
                      <w:szCs w:val="18"/>
                    </w:rPr>
                    <w:t>颗粒物</w:t>
                  </w:r>
                </w:p>
              </w:tc>
              <w:tc>
                <w:tcPr>
                  <w:tcW w:w="311" w:type="pct"/>
                  <w:vAlign w:val="center"/>
                </w:tcPr>
                <w:p>
                  <w:pPr>
                    <w:jc w:val="center"/>
                    <w:rPr>
                      <w:rFonts w:cs="Times New Roman"/>
                      <w:sz w:val="18"/>
                      <w:szCs w:val="18"/>
                    </w:rPr>
                  </w:pPr>
                  <w:r>
                    <w:rPr>
                      <w:rFonts w:hint="eastAsia" w:cs="Times New Roman"/>
                      <w:sz w:val="18"/>
                      <w:szCs w:val="18"/>
                    </w:rPr>
                    <w:t>产污系数法</w:t>
                  </w:r>
                </w:p>
              </w:tc>
              <w:tc>
                <w:tcPr>
                  <w:tcW w:w="310" w:type="pct"/>
                  <w:vAlign w:val="center"/>
                </w:tcPr>
                <w:p>
                  <w:pPr>
                    <w:jc w:val="center"/>
                    <w:rPr>
                      <w:rFonts w:cs="Times New Roman"/>
                      <w:kern w:val="0"/>
                      <w:sz w:val="18"/>
                      <w:szCs w:val="18"/>
                    </w:rPr>
                  </w:pPr>
                  <w:r>
                    <w:rPr>
                      <w:rFonts w:hint="eastAsia" w:cs="Times New Roman"/>
                      <w:sz w:val="18"/>
                      <w:szCs w:val="18"/>
                    </w:rPr>
                    <w:t>39.6</w:t>
                  </w:r>
                </w:p>
              </w:tc>
              <w:tc>
                <w:tcPr>
                  <w:tcW w:w="311" w:type="pct"/>
                  <w:vAlign w:val="center"/>
                </w:tcPr>
                <w:p>
                  <w:pPr>
                    <w:jc w:val="center"/>
                    <w:rPr>
                      <w:rFonts w:cs="Times New Roman"/>
                      <w:sz w:val="18"/>
                      <w:szCs w:val="18"/>
                    </w:rPr>
                  </w:pPr>
                  <w:r>
                    <w:rPr>
                      <w:rFonts w:cs="Times New Roman"/>
                      <w:sz w:val="18"/>
                      <w:szCs w:val="18"/>
                    </w:rPr>
                    <w:t>100</w:t>
                  </w:r>
                </w:p>
              </w:tc>
              <w:tc>
                <w:tcPr>
                  <w:tcW w:w="467" w:type="pct"/>
                  <w:vAlign w:val="center"/>
                </w:tcPr>
                <w:p>
                  <w:pPr>
                    <w:jc w:val="center"/>
                    <w:rPr>
                      <w:rFonts w:cs="Times New Roman"/>
                      <w:sz w:val="18"/>
                      <w:szCs w:val="18"/>
                    </w:rPr>
                  </w:pPr>
                  <w:r>
                    <w:rPr>
                      <w:rFonts w:hint="eastAsia" w:cs="Times New Roman"/>
                      <w:sz w:val="18"/>
                      <w:szCs w:val="18"/>
                    </w:rPr>
                    <w:t>密闭管道收尘+袋式除尘器</w:t>
                  </w:r>
                </w:p>
              </w:tc>
              <w:tc>
                <w:tcPr>
                  <w:tcW w:w="311" w:type="pct"/>
                  <w:vAlign w:val="center"/>
                </w:tcPr>
                <w:p>
                  <w:pPr>
                    <w:jc w:val="center"/>
                    <w:rPr>
                      <w:rFonts w:cs="Times New Roman"/>
                      <w:sz w:val="18"/>
                      <w:szCs w:val="18"/>
                    </w:rPr>
                  </w:pPr>
                  <w:r>
                    <w:rPr>
                      <w:rFonts w:cs="Times New Roman"/>
                      <w:sz w:val="18"/>
                      <w:szCs w:val="18"/>
                    </w:rPr>
                    <w:t>99.9</w:t>
                  </w:r>
                </w:p>
              </w:tc>
              <w:tc>
                <w:tcPr>
                  <w:tcW w:w="310" w:type="pct"/>
                  <w:vAlign w:val="center"/>
                </w:tcPr>
                <w:p>
                  <w:pPr>
                    <w:jc w:val="center"/>
                    <w:rPr>
                      <w:rFonts w:cs="Times New Roman"/>
                      <w:sz w:val="18"/>
                      <w:szCs w:val="18"/>
                    </w:rPr>
                  </w:pPr>
                  <w:r>
                    <w:rPr>
                      <w:rFonts w:cs="Times New Roman"/>
                      <w:sz w:val="18"/>
                      <w:szCs w:val="18"/>
                    </w:rPr>
                    <w:t>8000</w:t>
                  </w:r>
                </w:p>
              </w:tc>
              <w:tc>
                <w:tcPr>
                  <w:tcW w:w="295" w:type="pct"/>
                  <w:vAlign w:val="center"/>
                </w:tcPr>
                <w:p>
                  <w:pPr>
                    <w:jc w:val="center"/>
                    <w:rPr>
                      <w:rFonts w:cs="Times New Roman"/>
                      <w:sz w:val="18"/>
                      <w:szCs w:val="18"/>
                    </w:rPr>
                  </w:pPr>
                  <w:r>
                    <w:rPr>
                      <w:rFonts w:cs="Times New Roman"/>
                      <w:sz w:val="18"/>
                      <w:szCs w:val="18"/>
                    </w:rPr>
                    <w:t>2.062</w:t>
                  </w:r>
                </w:p>
              </w:tc>
              <w:tc>
                <w:tcPr>
                  <w:tcW w:w="295" w:type="pct"/>
                  <w:vAlign w:val="center"/>
                </w:tcPr>
                <w:p>
                  <w:pPr>
                    <w:widowControl/>
                    <w:jc w:val="center"/>
                    <w:rPr>
                      <w:rFonts w:cs="Times New Roman"/>
                      <w:sz w:val="18"/>
                      <w:szCs w:val="18"/>
                    </w:rPr>
                  </w:pPr>
                  <w:r>
                    <w:rPr>
                      <w:rFonts w:cs="Times New Roman"/>
                      <w:sz w:val="18"/>
                      <w:szCs w:val="18"/>
                    </w:rPr>
                    <w:t>0.016</w:t>
                  </w:r>
                </w:p>
              </w:tc>
              <w:tc>
                <w:tcPr>
                  <w:tcW w:w="296" w:type="pct"/>
                  <w:vAlign w:val="center"/>
                </w:tcPr>
                <w:p>
                  <w:pPr>
                    <w:jc w:val="center"/>
                    <w:rPr>
                      <w:rFonts w:cs="Times New Roman"/>
                      <w:sz w:val="18"/>
                      <w:szCs w:val="18"/>
                    </w:rPr>
                  </w:pPr>
                  <w:r>
                    <w:rPr>
                      <w:rFonts w:cs="Times New Roman"/>
                      <w:sz w:val="18"/>
                      <w:szCs w:val="18"/>
                    </w:rPr>
                    <w:t>0.040</w:t>
                  </w:r>
                </w:p>
              </w:tc>
              <w:tc>
                <w:tcPr>
                  <w:tcW w:w="296" w:type="pct"/>
                  <w:vAlign w:val="center"/>
                </w:tcPr>
                <w:p>
                  <w:pPr>
                    <w:jc w:val="center"/>
                    <w:rPr>
                      <w:rFonts w:cs="Times New Roman"/>
                      <w:sz w:val="18"/>
                      <w:szCs w:val="18"/>
                    </w:rPr>
                  </w:pPr>
                  <w:r>
                    <w:rPr>
                      <w:rFonts w:hint="eastAsia" w:cs="Times New Roman"/>
                      <w:sz w:val="18"/>
                      <w:szCs w:val="18"/>
                    </w:rPr>
                    <w:t>/</w:t>
                  </w:r>
                </w:p>
              </w:tc>
              <w:tc>
                <w:tcPr>
                  <w:tcW w:w="296" w:type="pct"/>
                  <w:vAlign w:val="center"/>
                </w:tcPr>
                <w:p>
                  <w:pPr>
                    <w:jc w:val="center"/>
                    <w:rPr>
                      <w:rFonts w:cs="Times New Roman"/>
                      <w:sz w:val="18"/>
                      <w:szCs w:val="18"/>
                    </w:rPr>
                  </w:pPr>
                  <w:r>
                    <w:rPr>
                      <w:rFonts w:hint="eastAsia" w:cs="Times New Roman"/>
                      <w:sz w:val="18"/>
                      <w:szCs w:val="18"/>
                    </w:rPr>
                    <w:t>/</w:t>
                  </w:r>
                </w:p>
              </w:tc>
              <w:tc>
                <w:tcPr>
                  <w:tcW w:w="307" w:type="pct"/>
                  <w:vAlign w:val="center"/>
                </w:tcPr>
                <w:p>
                  <w:pPr>
                    <w:jc w:val="center"/>
                    <w:rPr>
                      <w:rFonts w:cs="Times New Roman"/>
                      <w:sz w:val="18"/>
                      <w:szCs w:val="18"/>
                    </w:rPr>
                  </w:pPr>
                  <w:r>
                    <w:rPr>
                      <w:rFonts w:cs="Times New Roman"/>
                      <w:sz w:val="18"/>
                      <w:szCs w:val="18"/>
                    </w:rPr>
                    <w:t>2400</w:t>
                  </w:r>
                </w:p>
              </w:tc>
              <w:tc>
                <w:tcPr>
                  <w:tcW w:w="324" w:type="pct"/>
                  <w:vAlign w:val="center"/>
                </w:tcPr>
                <w:p>
                  <w:pPr>
                    <w:jc w:val="center"/>
                    <w:rPr>
                      <w:rFonts w:cs="Times New Roman"/>
                      <w:sz w:val="18"/>
                      <w:szCs w:val="18"/>
                    </w:rPr>
                  </w:pPr>
                  <w:r>
                    <w:rPr>
                      <w:rFonts w:cs="Times New Roman"/>
                      <w:sz w:val="18"/>
                      <w:szCs w:val="18"/>
                    </w:rPr>
                    <w:t>DA115</w:t>
                  </w:r>
                </w:p>
              </w:tc>
              <w:tc>
                <w:tcPr>
                  <w:tcW w:w="243" w:type="pct"/>
                  <w:vAlign w:val="center"/>
                </w:tcPr>
                <w:p>
                  <w:pPr>
                    <w:jc w:val="center"/>
                    <w:rPr>
                      <w:rFonts w:cs="Times New Roman"/>
                      <w:sz w:val="18"/>
                      <w:szCs w:val="18"/>
                    </w:rPr>
                  </w:pPr>
                  <w:r>
                    <w:rPr>
                      <w:rFonts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pPr>
                    <w:jc w:val="center"/>
                    <w:rPr>
                      <w:sz w:val="18"/>
                      <w:szCs w:val="18"/>
                    </w:rPr>
                  </w:pPr>
                  <w:r>
                    <w:rPr>
                      <w:rFonts w:hint="eastAsia"/>
                      <w:sz w:val="18"/>
                      <w:szCs w:val="18"/>
                    </w:rPr>
                    <w:t>1</w:t>
                  </w:r>
                  <w:r>
                    <w:rPr>
                      <w:sz w:val="18"/>
                      <w:szCs w:val="18"/>
                    </w:rPr>
                    <w:t>#</w:t>
                  </w:r>
                  <w:r>
                    <w:rPr>
                      <w:rFonts w:hint="eastAsia"/>
                      <w:sz w:val="18"/>
                      <w:szCs w:val="18"/>
                    </w:rPr>
                    <w:t>骨料仓（含装车）</w:t>
                  </w:r>
                </w:p>
              </w:tc>
              <w:tc>
                <w:tcPr>
                  <w:tcW w:w="310" w:type="pct"/>
                  <w:vAlign w:val="center"/>
                </w:tcPr>
                <w:p>
                  <w:pPr>
                    <w:jc w:val="center"/>
                    <w:rPr>
                      <w:rFonts w:cs="Times New Roman"/>
                      <w:sz w:val="18"/>
                      <w:szCs w:val="18"/>
                    </w:rPr>
                  </w:pPr>
                  <w:r>
                    <w:rPr>
                      <w:rFonts w:hint="eastAsia" w:cs="Times New Roman"/>
                      <w:sz w:val="18"/>
                      <w:szCs w:val="18"/>
                    </w:rPr>
                    <w:t>颗粒物</w:t>
                  </w:r>
                </w:p>
              </w:tc>
              <w:tc>
                <w:tcPr>
                  <w:tcW w:w="311" w:type="pct"/>
                  <w:vAlign w:val="center"/>
                </w:tcPr>
                <w:p>
                  <w:pPr>
                    <w:jc w:val="center"/>
                    <w:rPr>
                      <w:rFonts w:cs="Times New Roman"/>
                      <w:sz w:val="18"/>
                      <w:szCs w:val="18"/>
                    </w:rPr>
                  </w:pPr>
                  <w:r>
                    <w:rPr>
                      <w:rFonts w:hint="eastAsia" w:cs="Times New Roman"/>
                      <w:sz w:val="18"/>
                      <w:szCs w:val="18"/>
                    </w:rPr>
                    <w:t>产污系数法</w:t>
                  </w:r>
                </w:p>
              </w:tc>
              <w:tc>
                <w:tcPr>
                  <w:tcW w:w="310" w:type="pct"/>
                  <w:vAlign w:val="center"/>
                </w:tcPr>
                <w:p>
                  <w:pPr>
                    <w:jc w:val="center"/>
                    <w:rPr>
                      <w:rFonts w:cs="Times New Roman"/>
                      <w:kern w:val="0"/>
                      <w:sz w:val="18"/>
                      <w:szCs w:val="18"/>
                    </w:rPr>
                  </w:pPr>
                  <w:r>
                    <w:rPr>
                      <w:rFonts w:hint="eastAsia"/>
                      <w:sz w:val="18"/>
                      <w:szCs w:val="18"/>
                    </w:rPr>
                    <w:t>46.2</w:t>
                  </w:r>
                </w:p>
              </w:tc>
              <w:tc>
                <w:tcPr>
                  <w:tcW w:w="311" w:type="pct"/>
                  <w:vAlign w:val="center"/>
                </w:tcPr>
                <w:p>
                  <w:pPr>
                    <w:jc w:val="center"/>
                    <w:rPr>
                      <w:rFonts w:cs="Times New Roman"/>
                      <w:sz w:val="18"/>
                      <w:szCs w:val="18"/>
                    </w:rPr>
                  </w:pPr>
                  <w:r>
                    <w:rPr>
                      <w:rFonts w:cs="Times New Roman"/>
                      <w:sz w:val="18"/>
                      <w:szCs w:val="18"/>
                    </w:rPr>
                    <w:t>100</w:t>
                  </w:r>
                  <w:r>
                    <w:rPr>
                      <w:rFonts w:hint="eastAsia" w:cs="Times New Roman"/>
                      <w:sz w:val="18"/>
                      <w:szCs w:val="18"/>
                    </w:rPr>
                    <w:t>（装车90）</w:t>
                  </w:r>
                </w:p>
              </w:tc>
              <w:tc>
                <w:tcPr>
                  <w:tcW w:w="467" w:type="pct"/>
                  <w:vAlign w:val="center"/>
                </w:tcPr>
                <w:p>
                  <w:pPr>
                    <w:jc w:val="center"/>
                    <w:rPr>
                      <w:rFonts w:cs="Times New Roman"/>
                      <w:sz w:val="18"/>
                      <w:szCs w:val="18"/>
                    </w:rPr>
                  </w:pPr>
                  <w:r>
                    <w:rPr>
                      <w:rFonts w:hint="eastAsia" w:cs="Times New Roman"/>
                      <w:sz w:val="18"/>
                      <w:szCs w:val="18"/>
                    </w:rPr>
                    <w:t>贮仓密闭管道收尘+袋式除尘器；装车区封闭，设集气罩接入除尘器</w:t>
                  </w:r>
                </w:p>
              </w:tc>
              <w:tc>
                <w:tcPr>
                  <w:tcW w:w="311" w:type="pct"/>
                  <w:vAlign w:val="center"/>
                </w:tcPr>
                <w:p>
                  <w:pPr>
                    <w:jc w:val="center"/>
                    <w:rPr>
                      <w:rFonts w:cs="Times New Roman"/>
                      <w:sz w:val="18"/>
                      <w:szCs w:val="18"/>
                    </w:rPr>
                  </w:pPr>
                  <w:r>
                    <w:rPr>
                      <w:rFonts w:cs="Times New Roman"/>
                      <w:sz w:val="18"/>
                      <w:szCs w:val="18"/>
                    </w:rPr>
                    <w:t>99.9</w:t>
                  </w:r>
                </w:p>
              </w:tc>
              <w:tc>
                <w:tcPr>
                  <w:tcW w:w="310" w:type="pct"/>
                  <w:vAlign w:val="center"/>
                </w:tcPr>
                <w:p>
                  <w:pPr>
                    <w:jc w:val="center"/>
                    <w:rPr>
                      <w:rFonts w:cs="Times New Roman"/>
                      <w:sz w:val="18"/>
                      <w:szCs w:val="18"/>
                    </w:rPr>
                  </w:pPr>
                  <w:r>
                    <w:rPr>
                      <w:rFonts w:cs="Times New Roman"/>
                      <w:sz w:val="18"/>
                      <w:szCs w:val="18"/>
                    </w:rPr>
                    <w:t>8000</w:t>
                  </w:r>
                </w:p>
              </w:tc>
              <w:tc>
                <w:tcPr>
                  <w:tcW w:w="295" w:type="pct"/>
                  <w:vAlign w:val="center"/>
                </w:tcPr>
                <w:p>
                  <w:pPr>
                    <w:jc w:val="center"/>
                    <w:rPr>
                      <w:rFonts w:cs="Times New Roman"/>
                      <w:sz w:val="18"/>
                      <w:szCs w:val="18"/>
                    </w:rPr>
                  </w:pPr>
                  <w:r>
                    <w:rPr>
                      <w:rFonts w:cs="Times New Roman"/>
                      <w:sz w:val="18"/>
                      <w:szCs w:val="18"/>
                    </w:rPr>
                    <w:t>2.372</w:t>
                  </w:r>
                </w:p>
              </w:tc>
              <w:tc>
                <w:tcPr>
                  <w:tcW w:w="295" w:type="pct"/>
                  <w:vAlign w:val="center"/>
                </w:tcPr>
                <w:p>
                  <w:pPr>
                    <w:widowControl/>
                    <w:jc w:val="center"/>
                    <w:rPr>
                      <w:rFonts w:cs="Times New Roman"/>
                      <w:sz w:val="18"/>
                      <w:szCs w:val="18"/>
                    </w:rPr>
                  </w:pPr>
                  <w:r>
                    <w:rPr>
                      <w:rFonts w:cs="Times New Roman"/>
                      <w:sz w:val="18"/>
                      <w:szCs w:val="18"/>
                    </w:rPr>
                    <w:t>0.019</w:t>
                  </w:r>
                </w:p>
              </w:tc>
              <w:tc>
                <w:tcPr>
                  <w:tcW w:w="296" w:type="pct"/>
                  <w:vAlign w:val="center"/>
                </w:tcPr>
                <w:p>
                  <w:pPr>
                    <w:jc w:val="center"/>
                    <w:rPr>
                      <w:rFonts w:cs="Times New Roman"/>
                      <w:sz w:val="18"/>
                      <w:szCs w:val="18"/>
                    </w:rPr>
                  </w:pPr>
                  <w:r>
                    <w:rPr>
                      <w:rFonts w:cs="Times New Roman"/>
                      <w:sz w:val="18"/>
                      <w:szCs w:val="18"/>
                    </w:rPr>
                    <w:t>0.046</w:t>
                  </w:r>
                </w:p>
              </w:tc>
              <w:tc>
                <w:tcPr>
                  <w:tcW w:w="296" w:type="pct"/>
                  <w:vAlign w:val="center"/>
                </w:tcPr>
                <w:p>
                  <w:pPr>
                    <w:jc w:val="center"/>
                    <w:rPr>
                      <w:rFonts w:cs="Times New Roman"/>
                      <w:sz w:val="18"/>
                      <w:szCs w:val="18"/>
                    </w:rPr>
                  </w:pPr>
                  <w:r>
                    <w:rPr>
                      <w:rFonts w:cs="Times New Roman"/>
                      <w:sz w:val="18"/>
                      <w:szCs w:val="18"/>
                    </w:rPr>
                    <w:t>0.003</w:t>
                  </w:r>
                </w:p>
              </w:tc>
              <w:tc>
                <w:tcPr>
                  <w:tcW w:w="296" w:type="pct"/>
                  <w:vAlign w:val="center"/>
                </w:tcPr>
                <w:p>
                  <w:pPr>
                    <w:jc w:val="center"/>
                    <w:rPr>
                      <w:rFonts w:cs="Times New Roman"/>
                      <w:sz w:val="18"/>
                      <w:szCs w:val="18"/>
                    </w:rPr>
                  </w:pPr>
                  <w:r>
                    <w:rPr>
                      <w:rFonts w:cs="Times New Roman"/>
                      <w:sz w:val="18"/>
                      <w:szCs w:val="18"/>
                    </w:rPr>
                    <w:t>0.007</w:t>
                  </w:r>
                </w:p>
              </w:tc>
              <w:tc>
                <w:tcPr>
                  <w:tcW w:w="307" w:type="pct"/>
                  <w:vAlign w:val="center"/>
                </w:tcPr>
                <w:p>
                  <w:pPr>
                    <w:jc w:val="center"/>
                    <w:rPr>
                      <w:rFonts w:cs="Times New Roman"/>
                      <w:sz w:val="18"/>
                      <w:szCs w:val="18"/>
                    </w:rPr>
                  </w:pPr>
                  <w:r>
                    <w:rPr>
                      <w:rFonts w:cs="Times New Roman"/>
                      <w:sz w:val="18"/>
                      <w:szCs w:val="18"/>
                    </w:rPr>
                    <w:t>2400</w:t>
                  </w:r>
                </w:p>
              </w:tc>
              <w:tc>
                <w:tcPr>
                  <w:tcW w:w="324" w:type="pct"/>
                  <w:vAlign w:val="center"/>
                </w:tcPr>
                <w:p>
                  <w:pPr>
                    <w:jc w:val="center"/>
                    <w:rPr>
                      <w:rFonts w:cs="Times New Roman"/>
                      <w:sz w:val="18"/>
                      <w:szCs w:val="18"/>
                    </w:rPr>
                  </w:pPr>
                  <w:r>
                    <w:rPr>
                      <w:rFonts w:cs="Times New Roman"/>
                      <w:sz w:val="18"/>
                      <w:szCs w:val="18"/>
                    </w:rPr>
                    <w:t>DA090</w:t>
                  </w:r>
                </w:p>
              </w:tc>
              <w:tc>
                <w:tcPr>
                  <w:tcW w:w="243" w:type="pct"/>
                  <w:vAlign w:val="center"/>
                </w:tcPr>
                <w:p>
                  <w:pPr>
                    <w:jc w:val="center"/>
                    <w:rPr>
                      <w:rFonts w:cs="Times New Roman"/>
                      <w:sz w:val="18"/>
                      <w:szCs w:val="18"/>
                    </w:rPr>
                  </w:pPr>
                  <w:r>
                    <w:rPr>
                      <w:rFonts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pPr>
                    <w:jc w:val="center"/>
                    <w:rPr>
                      <w:sz w:val="18"/>
                      <w:szCs w:val="18"/>
                    </w:rPr>
                  </w:pPr>
                  <w:r>
                    <w:rPr>
                      <w:rFonts w:hint="eastAsia"/>
                      <w:sz w:val="18"/>
                      <w:szCs w:val="18"/>
                    </w:rPr>
                    <w:t>2</w:t>
                  </w:r>
                  <w:r>
                    <w:rPr>
                      <w:sz w:val="18"/>
                      <w:szCs w:val="18"/>
                    </w:rPr>
                    <w:t>#</w:t>
                  </w:r>
                  <w:r>
                    <w:rPr>
                      <w:rFonts w:hint="eastAsia"/>
                      <w:sz w:val="18"/>
                      <w:szCs w:val="18"/>
                    </w:rPr>
                    <w:t>骨料仓（含装车）</w:t>
                  </w:r>
                </w:p>
              </w:tc>
              <w:tc>
                <w:tcPr>
                  <w:tcW w:w="310" w:type="pct"/>
                  <w:vAlign w:val="center"/>
                </w:tcPr>
                <w:p>
                  <w:pPr>
                    <w:jc w:val="center"/>
                    <w:rPr>
                      <w:rFonts w:cs="Times New Roman"/>
                      <w:sz w:val="18"/>
                      <w:szCs w:val="18"/>
                    </w:rPr>
                  </w:pPr>
                  <w:r>
                    <w:rPr>
                      <w:rFonts w:hint="eastAsia" w:cs="Times New Roman"/>
                      <w:sz w:val="18"/>
                      <w:szCs w:val="18"/>
                    </w:rPr>
                    <w:t>颗粒物</w:t>
                  </w:r>
                </w:p>
              </w:tc>
              <w:tc>
                <w:tcPr>
                  <w:tcW w:w="311" w:type="pct"/>
                  <w:vAlign w:val="center"/>
                </w:tcPr>
                <w:p>
                  <w:pPr>
                    <w:jc w:val="center"/>
                    <w:rPr>
                      <w:rFonts w:cs="Times New Roman"/>
                      <w:sz w:val="18"/>
                      <w:szCs w:val="18"/>
                    </w:rPr>
                  </w:pPr>
                  <w:r>
                    <w:rPr>
                      <w:rFonts w:hint="eastAsia" w:cs="Times New Roman"/>
                      <w:sz w:val="18"/>
                      <w:szCs w:val="18"/>
                    </w:rPr>
                    <w:t>产污系数法</w:t>
                  </w:r>
                </w:p>
              </w:tc>
              <w:tc>
                <w:tcPr>
                  <w:tcW w:w="310" w:type="pct"/>
                  <w:vAlign w:val="center"/>
                </w:tcPr>
                <w:p>
                  <w:pPr>
                    <w:jc w:val="center"/>
                    <w:rPr>
                      <w:rFonts w:cs="Times New Roman"/>
                      <w:kern w:val="0"/>
                      <w:sz w:val="18"/>
                      <w:szCs w:val="18"/>
                    </w:rPr>
                  </w:pPr>
                  <w:r>
                    <w:rPr>
                      <w:rFonts w:hint="eastAsia"/>
                      <w:sz w:val="18"/>
                      <w:szCs w:val="18"/>
                    </w:rPr>
                    <w:t>47.6</w:t>
                  </w:r>
                </w:p>
              </w:tc>
              <w:tc>
                <w:tcPr>
                  <w:tcW w:w="311" w:type="pct"/>
                  <w:vAlign w:val="center"/>
                </w:tcPr>
                <w:p>
                  <w:pPr>
                    <w:jc w:val="center"/>
                    <w:rPr>
                      <w:rFonts w:cs="Times New Roman"/>
                      <w:sz w:val="18"/>
                      <w:szCs w:val="18"/>
                    </w:rPr>
                  </w:pPr>
                  <w:r>
                    <w:rPr>
                      <w:rFonts w:cs="Times New Roman"/>
                      <w:sz w:val="18"/>
                      <w:szCs w:val="18"/>
                    </w:rPr>
                    <w:t>100</w:t>
                  </w:r>
                  <w:r>
                    <w:rPr>
                      <w:rFonts w:hint="eastAsia" w:cs="Times New Roman"/>
                      <w:sz w:val="18"/>
                      <w:szCs w:val="18"/>
                    </w:rPr>
                    <w:t>（装车90）</w:t>
                  </w:r>
                </w:p>
              </w:tc>
              <w:tc>
                <w:tcPr>
                  <w:tcW w:w="467" w:type="pct"/>
                  <w:vAlign w:val="center"/>
                </w:tcPr>
                <w:p>
                  <w:pPr>
                    <w:jc w:val="center"/>
                    <w:rPr>
                      <w:rFonts w:cs="Times New Roman"/>
                      <w:sz w:val="18"/>
                      <w:szCs w:val="18"/>
                    </w:rPr>
                  </w:pPr>
                  <w:r>
                    <w:rPr>
                      <w:rFonts w:hint="eastAsia" w:cs="Times New Roman"/>
                      <w:sz w:val="18"/>
                      <w:szCs w:val="18"/>
                    </w:rPr>
                    <w:t>贮仓密闭管道收尘+袋式除尘器；装车区封闭，设集气罩接入除尘器</w:t>
                  </w:r>
                </w:p>
              </w:tc>
              <w:tc>
                <w:tcPr>
                  <w:tcW w:w="311" w:type="pct"/>
                  <w:vAlign w:val="center"/>
                </w:tcPr>
                <w:p>
                  <w:pPr>
                    <w:jc w:val="center"/>
                    <w:rPr>
                      <w:rFonts w:cs="Times New Roman"/>
                      <w:sz w:val="18"/>
                      <w:szCs w:val="18"/>
                    </w:rPr>
                  </w:pPr>
                  <w:r>
                    <w:rPr>
                      <w:rFonts w:cs="Times New Roman"/>
                      <w:sz w:val="18"/>
                      <w:szCs w:val="18"/>
                    </w:rPr>
                    <w:t>99.9</w:t>
                  </w:r>
                </w:p>
              </w:tc>
              <w:tc>
                <w:tcPr>
                  <w:tcW w:w="310" w:type="pct"/>
                  <w:vAlign w:val="center"/>
                </w:tcPr>
                <w:p>
                  <w:pPr>
                    <w:jc w:val="center"/>
                    <w:rPr>
                      <w:rFonts w:cs="Times New Roman"/>
                      <w:sz w:val="18"/>
                      <w:szCs w:val="18"/>
                    </w:rPr>
                  </w:pPr>
                  <w:r>
                    <w:rPr>
                      <w:rFonts w:cs="Times New Roman"/>
                      <w:sz w:val="18"/>
                      <w:szCs w:val="18"/>
                    </w:rPr>
                    <w:t>8000</w:t>
                  </w:r>
                </w:p>
              </w:tc>
              <w:tc>
                <w:tcPr>
                  <w:tcW w:w="295" w:type="pct"/>
                  <w:vAlign w:val="center"/>
                </w:tcPr>
                <w:p>
                  <w:pPr>
                    <w:jc w:val="center"/>
                    <w:rPr>
                      <w:rFonts w:cs="Times New Roman"/>
                      <w:sz w:val="18"/>
                      <w:szCs w:val="18"/>
                    </w:rPr>
                  </w:pPr>
                  <w:r>
                    <w:rPr>
                      <w:rFonts w:cs="Times New Roman"/>
                      <w:sz w:val="18"/>
                      <w:szCs w:val="18"/>
                    </w:rPr>
                    <w:t>2.444</w:t>
                  </w:r>
                </w:p>
              </w:tc>
              <w:tc>
                <w:tcPr>
                  <w:tcW w:w="295" w:type="pct"/>
                  <w:vAlign w:val="center"/>
                </w:tcPr>
                <w:p>
                  <w:pPr>
                    <w:widowControl/>
                    <w:jc w:val="center"/>
                    <w:rPr>
                      <w:rFonts w:cs="Times New Roman"/>
                      <w:sz w:val="18"/>
                      <w:szCs w:val="18"/>
                    </w:rPr>
                  </w:pPr>
                  <w:r>
                    <w:rPr>
                      <w:rFonts w:cs="Times New Roman"/>
                      <w:sz w:val="18"/>
                      <w:szCs w:val="18"/>
                    </w:rPr>
                    <w:t>0.020</w:t>
                  </w:r>
                </w:p>
              </w:tc>
              <w:tc>
                <w:tcPr>
                  <w:tcW w:w="296" w:type="pct"/>
                  <w:vAlign w:val="center"/>
                </w:tcPr>
                <w:p>
                  <w:pPr>
                    <w:jc w:val="center"/>
                    <w:rPr>
                      <w:rFonts w:cs="Times New Roman"/>
                      <w:sz w:val="18"/>
                      <w:szCs w:val="18"/>
                    </w:rPr>
                  </w:pPr>
                  <w:r>
                    <w:rPr>
                      <w:rFonts w:cs="Times New Roman"/>
                      <w:sz w:val="18"/>
                      <w:szCs w:val="18"/>
                    </w:rPr>
                    <w:t>0.047</w:t>
                  </w:r>
                </w:p>
              </w:tc>
              <w:tc>
                <w:tcPr>
                  <w:tcW w:w="296" w:type="pct"/>
                  <w:vAlign w:val="center"/>
                </w:tcPr>
                <w:p>
                  <w:pPr>
                    <w:jc w:val="center"/>
                    <w:rPr>
                      <w:rFonts w:cs="Times New Roman"/>
                      <w:sz w:val="18"/>
                      <w:szCs w:val="18"/>
                    </w:rPr>
                  </w:pPr>
                  <w:r>
                    <w:rPr>
                      <w:rFonts w:cs="Times New Roman"/>
                      <w:sz w:val="18"/>
                      <w:szCs w:val="18"/>
                    </w:rPr>
                    <w:t>0.003</w:t>
                  </w:r>
                </w:p>
              </w:tc>
              <w:tc>
                <w:tcPr>
                  <w:tcW w:w="296" w:type="pct"/>
                  <w:vAlign w:val="center"/>
                </w:tcPr>
                <w:p>
                  <w:pPr>
                    <w:jc w:val="center"/>
                    <w:rPr>
                      <w:rFonts w:cs="Times New Roman"/>
                      <w:sz w:val="18"/>
                      <w:szCs w:val="18"/>
                    </w:rPr>
                  </w:pPr>
                  <w:r>
                    <w:rPr>
                      <w:rFonts w:cs="Times New Roman"/>
                      <w:sz w:val="18"/>
                      <w:szCs w:val="18"/>
                    </w:rPr>
                    <w:t>0.007</w:t>
                  </w:r>
                </w:p>
              </w:tc>
              <w:tc>
                <w:tcPr>
                  <w:tcW w:w="307" w:type="pct"/>
                  <w:vAlign w:val="center"/>
                </w:tcPr>
                <w:p>
                  <w:pPr>
                    <w:jc w:val="center"/>
                    <w:rPr>
                      <w:rFonts w:cs="Times New Roman"/>
                      <w:sz w:val="18"/>
                      <w:szCs w:val="18"/>
                    </w:rPr>
                  </w:pPr>
                  <w:r>
                    <w:rPr>
                      <w:rFonts w:cs="Times New Roman"/>
                      <w:sz w:val="18"/>
                      <w:szCs w:val="18"/>
                    </w:rPr>
                    <w:t>2400</w:t>
                  </w:r>
                </w:p>
              </w:tc>
              <w:tc>
                <w:tcPr>
                  <w:tcW w:w="324" w:type="pct"/>
                  <w:vAlign w:val="center"/>
                </w:tcPr>
                <w:p>
                  <w:pPr>
                    <w:jc w:val="center"/>
                    <w:rPr>
                      <w:rFonts w:cs="Times New Roman"/>
                      <w:sz w:val="18"/>
                      <w:szCs w:val="18"/>
                    </w:rPr>
                  </w:pPr>
                  <w:r>
                    <w:rPr>
                      <w:rFonts w:cs="Times New Roman"/>
                      <w:sz w:val="18"/>
                      <w:szCs w:val="18"/>
                    </w:rPr>
                    <w:t>DA097</w:t>
                  </w:r>
                </w:p>
              </w:tc>
              <w:tc>
                <w:tcPr>
                  <w:tcW w:w="243" w:type="pct"/>
                  <w:vAlign w:val="center"/>
                </w:tcPr>
                <w:p>
                  <w:pPr>
                    <w:jc w:val="center"/>
                    <w:rPr>
                      <w:rFonts w:cs="Times New Roman"/>
                      <w:sz w:val="18"/>
                      <w:szCs w:val="18"/>
                    </w:rPr>
                  </w:pPr>
                  <w:r>
                    <w:rPr>
                      <w:rFonts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pPr>
                    <w:jc w:val="center"/>
                    <w:rPr>
                      <w:sz w:val="18"/>
                      <w:szCs w:val="18"/>
                    </w:rPr>
                  </w:pPr>
                  <w:r>
                    <w:rPr>
                      <w:rFonts w:hint="eastAsia"/>
                      <w:sz w:val="18"/>
                      <w:szCs w:val="18"/>
                    </w:rPr>
                    <w:t>新建钢板仓（含装车）</w:t>
                  </w:r>
                </w:p>
              </w:tc>
              <w:tc>
                <w:tcPr>
                  <w:tcW w:w="310" w:type="pct"/>
                  <w:vAlign w:val="center"/>
                </w:tcPr>
                <w:p>
                  <w:pPr>
                    <w:jc w:val="center"/>
                    <w:rPr>
                      <w:rFonts w:cs="Times New Roman"/>
                      <w:sz w:val="18"/>
                      <w:szCs w:val="18"/>
                    </w:rPr>
                  </w:pPr>
                  <w:r>
                    <w:rPr>
                      <w:rFonts w:hint="eastAsia" w:cs="Times New Roman"/>
                      <w:sz w:val="18"/>
                      <w:szCs w:val="18"/>
                    </w:rPr>
                    <w:t>颗粒物</w:t>
                  </w:r>
                </w:p>
              </w:tc>
              <w:tc>
                <w:tcPr>
                  <w:tcW w:w="311" w:type="pct"/>
                  <w:vAlign w:val="center"/>
                </w:tcPr>
                <w:p>
                  <w:pPr>
                    <w:jc w:val="center"/>
                    <w:rPr>
                      <w:rFonts w:cs="Times New Roman"/>
                      <w:sz w:val="18"/>
                      <w:szCs w:val="18"/>
                    </w:rPr>
                  </w:pPr>
                  <w:r>
                    <w:rPr>
                      <w:rFonts w:hint="eastAsia" w:cs="Times New Roman"/>
                      <w:sz w:val="18"/>
                      <w:szCs w:val="18"/>
                    </w:rPr>
                    <w:t>产污系数法</w:t>
                  </w:r>
                </w:p>
              </w:tc>
              <w:tc>
                <w:tcPr>
                  <w:tcW w:w="310" w:type="pct"/>
                  <w:vAlign w:val="center"/>
                </w:tcPr>
                <w:p>
                  <w:pPr>
                    <w:jc w:val="center"/>
                    <w:rPr>
                      <w:rFonts w:cs="Times New Roman"/>
                      <w:kern w:val="0"/>
                      <w:sz w:val="18"/>
                      <w:szCs w:val="18"/>
                    </w:rPr>
                  </w:pPr>
                  <w:r>
                    <w:rPr>
                      <w:rFonts w:hint="eastAsia"/>
                      <w:sz w:val="18"/>
                      <w:szCs w:val="18"/>
                    </w:rPr>
                    <w:t>46.2</w:t>
                  </w:r>
                </w:p>
              </w:tc>
              <w:tc>
                <w:tcPr>
                  <w:tcW w:w="311" w:type="pct"/>
                  <w:vAlign w:val="center"/>
                </w:tcPr>
                <w:p>
                  <w:pPr>
                    <w:jc w:val="center"/>
                    <w:rPr>
                      <w:rFonts w:cs="Times New Roman"/>
                      <w:sz w:val="18"/>
                      <w:szCs w:val="18"/>
                    </w:rPr>
                  </w:pPr>
                  <w:r>
                    <w:rPr>
                      <w:rFonts w:cs="Times New Roman"/>
                      <w:sz w:val="18"/>
                      <w:szCs w:val="18"/>
                    </w:rPr>
                    <w:t>100</w:t>
                  </w:r>
                  <w:r>
                    <w:rPr>
                      <w:rFonts w:hint="eastAsia" w:cs="Times New Roman"/>
                      <w:sz w:val="18"/>
                      <w:szCs w:val="18"/>
                    </w:rPr>
                    <w:t>（装车90）</w:t>
                  </w:r>
                </w:p>
              </w:tc>
              <w:tc>
                <w:tcPr>
                  <w:tcW w:w="467" w:type="pct"/>
                  <w:vAlign w:val="center"/>
                </w:tcPr>
                <w:p>
                  <w:pPr>
                    <w:jc w:val="center"/>
                    <w:rPr>
                      <w:rFonts w:cs="Times New Roman"/>
                      <w:sz w:val="18"/>
                      <w:szCs w:val="18"/>
                    </w:rPr>
                  </w:pPr>
                  <w:r>
                    <w:rPr>
                      <w:rFonts w:hint="eastAsia" w:cs="Times New Roman"/>
                      <w:sz w:val="18"/>
                      <w:szCs w:val="18"/>
                    </w:rPr>
                    <w:t>贮仓密闭管道收尘+袋式除尘器；装车区封闭，设集气罩接入除尘器</w:t>
                  </w:r>
                </w:p>
              </w:tc>
              <w:tc>
                <w:tcPr>
                  <w:tcW w:w="311" w:type="pct"/>
                  <w:vAlign w:val="center"/>
                </w:tcPr>
                <w:p>
                  <w:pPr>
                    <w:jc w:val="center"/>
                    <w:rPr>
                      <w:rFonts w:cs="Times New Roman"/>
                      <w:sz w:val="18"/>
                      <w:szCs w:val="18"/>
                    </w:rPr>
                  </w:pPr>
                  <w:r>
                    <w:rPr>
                      <w:rFonts w:cs="Times New Roman"/>
                      <w:sz w:val="18"/>
                      <w:szCs w:val="18"/>
                    </w:rPr>
                    <w:t>99.9</w:t>
                  </w:r>
                </w:p>
              </w:tc>
              <w:tc>
                <w:tcPr>
                  <w:tcW w:w="310" w:type="pct"/>
                  <w:vAlign w:val="center"/>
                </w:tcPr>
                <w:p>
                  <w:pPr>
                    <w:jc w:val="center"/>
                    <w:rPr>
                      <w:rFonts w:cs="Times New Roman"/>
                      <w:sz w:val="18"/>
                      <w:szCs w:val="18"/>
                    </w:rPr>
                  </w:pPr>
                  <w:r>
                    <w:rPr>
                      <w:rFonts w:cs="Times New Roman"/>
                      <w:sz w:val="18"/>
                      <w:szCs w:val="18"/>
                    </w:rPr>
                    <w:t>4320</w:t>
                  </w:r>
                </w:p>
              </w:tc>
              <w:tc>
                <w:tcPr>
                  <w:tcW w:w="295" w:type="pct"/>
                  <w:vAlign w:val="center"/>
                </w:tcPr>
                <w:p>
                  <w:pPr>
                    <w:jc w:val="center"/>
                    <w:rPr>
                      <w:rFonts w:cs="Times New Roman"/>
                      <w:sz w:val="18"/>
                      <w:szCs w:val="18"/>
                    </w:rPr>
                  </w:pPr>
                  <w:r>
                    <w:rPr>
                      <w:rFonts w:cs="Times New Roman"/>
                      <w:sz w:val="18"/>
                      <w:szCs w:val="18"/>
                    </w:rPr>
                    <w:t>4.392</w:t>
                  </w:r>
                </w:p>
              </w:tc>
              <w:tc>
                <w:tcPr>
                  <w:tcW w:w="295" w:type="pct"/>
                  <w:vAlign w:val="center"/>
                </w:tcPr>
                <w:p>
                  <w:pPr>
                    <w:widowControl/>
                    <w:jc w:val="center"/>
                    <w:rPr>
                      <w:rFonts w:cs="Times New Roman"/>
                      <w:sz w:val="18"/>
                      <w:szCs w:val="18"/>
                    </w:rPr>
                  </w:pPr>
                  <w:r>
                    <w:rPr>
                      <w:rFonts w:cs="Times New Roman"/>
                      <w:sz w:val="18"/>
                      <w:szCs w:val="18"/>
                    </w:rPr>
                    <w:t>0.019</w:t>
                  </w:r>
                </w:p>
              </w:tc>
              <w:tc>
                <w:tcPr>
                  <w:tcW w:w="296" w:type="pct"/>
                  <w:vAlign w:val="center"/>
                </w:tcPr>
                <w:p>
                  <w:pPr>
                    <w:jc w:val="center"/>
                    <w:rPr>
                      <w:rFonts w:cs="Times New Roman"/>
                      <w:sz w:val="18"/>
                      <w:szCs w:val="18"/>
                    </w:rPr>
                  </w:pPr>
                  <w:r>
                    <w:rPr>
                      <w:rFonts w:cs="Times New Roman"/>
                      <w:sz w:val="18"/>
                      <w:szCs w:val="18"/>
                    </w:rPr>
                    <w:t>0.046</w:t>
                  </w:r>
                </w:p>
              </w:tc>
              <w:tc>
                <w:tcPr>
                  <w:tcW w:w="296" w:type="pct"/>
                  <w:vAlign w:val="center"/>
                </w:tcPr>
                <w:p>
                  <w:pPr>
                    <w:jc w:val="center"/>
                    <w:rPr>
                      <w:rFonts w:cs="Times New Roman"/>
                      <w:sz w:val="18"/>
                      <w:szCs w:val="18"/>
                    </w:rPr>
                  </w:pPr>
                  <w:r>
                    <w:rPr>
                      <w:rFonts w:cs="Times New Roman"/>
                      <w:sz w:val="18"/>
                      <w:szCs w:val="18"/>
                    </w:rPr>
                    <w:t>0.003</w:t>
                  </w:r>
                </w:p>
              </w:tc>
              <w:tc>
                <w:tcPr>
                  <w:tcW w:w="296" w:type="pct"/>
                  <w:vAlign w:val="center"/>
                </w:tcPr>
                <w:p>
                  <w:pPr>
                    <w:jc w:val="center"/>
                    <w:rPr>
                      <w:rFonts w:cs="Times New Roman"/>
                      <w:sz w:val="18"/>
                      <w:szCs w:val="18"/>
                    </w:rPr>
                  </w:pPr>
                  <w:r>
                    <w:rPr>
                      <w:rFonts w:cs="Times New Roman"/>
                      <w:sz w:val="18"/>
                      <w:szCs w:val="18"/>
                    </w:rPr>
                    <w:t>0.007</w:t>
                  </w:r>
                </w:p>
              </w:tc>
              <w:tc>
                <w:tcPr>
                  <w:tcW w:w="307" w:type="pct"/>
                  <w:vAlign w:val="center"/>
                </w:tcPr>
                <w:p>
                  <w:pPr>
                    <w:jc w:val="center"/>
                    <w:rPr>
                      <w:rFonts w:cs="Times New Roman"/>
                      <w:sz w:val="18"/>
                      <w:szCs w:val="18"/>
                    </w:rPr>
                  </w:pPr>
                  <w:r>
                    <w:rPr>
                      <w:rFonts w:cs="Times New Roman"/>
                      <w:sz w:val="18"/>
                      <w:szCs w:val="18"/>
                    </w:rPr>
                    <w:t>2400</w:t>
                  </w:r>
                </w:p>
              </w:tc>
              <w:tc>
                <w:tcPr>
                  <w:tcW w:w="324" w:type="pct"/>
                  <w:vAlign w:val="center"/>
                </w:tcPr>
                <w:p>
                  <w:pPr>
                    <w:jc w:val="center"/>
                    <w:rPr>
                      <w:rFonts w:cs="Times New Roman"/>
                      <w:sz w:val="18"/>
                      <w:szCs w:val="18"/>
                    </w:rPr>
                  </w:pPr>
                  <w:r>
                    <w:rPr>
                      <w:rFonts w:cs="Times New Roman"/>
                      <w:sz w:val="18"/>
                      <w:szCs w:val="18"/>
                    </w:rPr>
                    <w:t>DA</w:t>
                  </w:r>
                  <w:r>
                    <w:rPr>
                      <w:rFonts w:hint="eastAsia" w:cs="Times New Roman"/>
                      <w:sz w:val="18"/>
                      <w:szCs w:val="18"/>
                    </w:rPr>
                    <w:t>153</w:t>
                  </w:r>
                </w:p>
              </w:tc>
              <w:tc>
                <w:tcPr>
                  <w:tcW w:w="243" w:type="pct"/>
                  <w:vAlign w:val="center"/>
                </w:tcPr>
                <w:p>
                  <w:pPr>
                    <w:jc w:val="center"/>
                    <w:rPr>
                      <w:rFonts w:cs="Times New Roman"/>
                      <w:sz w:val="18"/>
                      <w:szCs w:val="18"/>
                    </w:rPr>
                  </w:pPr>
                  <w:r>
                    <w:rPr>
                      <w:rFonts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pPr>
                    <w:jc w:val="center"/>
                    <w:rPr>
                      <w:sz w:val="18"/>
                      <w:szCs w:val="18"/>
                    </w:rPr>
                  </w:pPr>
                  <w:r>
                    <w:rPr>
                      <w:rFonts w:hint="eastAsia"/>
                      <w:sz w:val="18"/>
                      <w:szCs w:val="18"/>
                    </w:rPr>
                    <w:t>成品砂库（含装车）</w:t>
                  </w:r>
                </w:p>
              </w:tc>
              <w:tc>
                <w:tcPr>
                  <w:tcW w:w="310" w:type="pct"/>
                  <w:vAlign w:val="center"/>
                </w:tcPr>
                <w:p>
                  <w:pPr>
                    <w:jc w:val="center"/>
                    <w:rPr>
                      <w:rFonts w:cs="Times New Roman"/>
                      <w:sz w:val="18"/>
                      <w:szCs w:val="18"/>
                    </w:rPr>
                  </w:pPr>
                  <w:r>
                    <w:rPr>
                      <w:rFonts w:hint="eastAsia" w:cs="Times New Roman"/>
                      <w:sz w:val="18"/>
                      <w:szCs w:val="18"/>
                    </w:rPr>
                    <w:t>颗粒物</w:t>
                  </w:r>
                </w:p>
              </w:tc>
              <w:tc>
                <w:tcPr>
                  <w:tcW w:w="311" w:type="pct"/>
                  <w:vAlign w:val="center"/>
                </w:tcPr>
                <w:p>
                  <w:pPr>
                    <w:jc w:val="center"/>
                    <w:rPr>
                      <w:rFonts w:cs="Times New Roman"/>
                      <w:sz w:val="18"/>
                      <w:szCs w:val="18"/>
                    </w:rPr>
                  </w:pPr>
                  <w:r>
                    <w:rPr>
                      <w:rFonts w:hint="eastAsia" w:cs="Times New Roman"/>
                      <w:sz w:val="18"/>
                      <w:szCs w:val="18"/>
                    </w:rPr>
                    <w:t>产污系数法</w:t>
                  </w:r>
                </w:p>
              </w:tc>
              <w:tc>
                <w:tcPr>
                  <w:tcW w:w="310" w:type="pct"/>
                  <w:vAlign w:val="center"/>
                </w:tcPr>
                <w:p>
                  <w:pPr>
                    <w:jc w:val="center"/>
                    <w:rPr>
                      <w:rFonts w:cs="Times New Roman"/>
                      <w:kern w:val="0"/>
                      <w:sz w:val="18"/>
                      <w:szCs w:val="18"/>
                    </w:rPr>
                  </w:pPr>
                  <w:r>
                    <w:rPr>
                      <w:rFonts w:hint="eastAsia" w:cs="Times New Roman"/>
                      <w:sz w:val="18"/>
                      <w:szCs w:val="18"/>
                    </w:rPr>
                    <w:t>42</w:t>
                  </w:r>
                </w:p>
              </w:tc>
              <w:tc>
                <w:tcPr>
                  <w:tcW w:w="311" w:type="pct"/>
                  <w:vAlign w:val="center"/>
                </w:tcPr>
                <w:p>
                  <w:pPr>
                    <w:jc w:val="center"/>
                    <w:rPr>
                      <w:rFonts w:cs="Times New Roman"/>
                      <w:sz w:val="18"/>
                      <w:szCs w:val="18"/>
                    </w:rPr>
                  </w:pPr>
                  <w:r>
                    <w:rPr>
                      <w:rFonts w:cs="Times New Roman"/>
                      <w:sz w:val="18"/>
                      <w:szCs w:val="18"/>
                    </w:rPr>
                    <w:t>100</w:t>
                  </w:r>
                  <w:r>
                    <w:rPr>
                      <w:rFonts w:hint="eastAsia" w:cs="Times New Roman"/>
                      <w:sz w:val="18"/>
                      <w:szCs w:val="18"/>
                    </w:rPr>
                    <w:t>（装车90）</w:t>
                  </w:r>
                </w:p>
              </w:tc>
              <w:tc>
                <w:tcPr>
                  <w:tcW w:w="467" w:type="pct"/>
                  <w:vAlign w:val="center"/>
                </w:tcPr>
                <w:p>
                  <w:pPr>
                    <w:jc w:val="center"/>
                    <w:rPr>
                      <w:rFonts w:cs="Times New Roman"/>
                      <w:sz w:val="18"/>
                      <w:szCs w:val="18"/>
                    </w:rPr>
                  </w:pPr>
                  <w:r>
                    <w:rPr>
                      <w:rFonts w:hint="eastAsia" w:cs="Times New Roman"/>
                      <w:sz w:val="18"/>
                      <w:szCs w:val="18"/>
                    </w:rPr>
                    <w:t>贮仓密闭管道收尘+袋式除尘器；装车区封闭，设集气罩接入除尘器</w:t>
                  </w:r>
                </w:p>
              </w:tc>
              <w:tc>
                <w:tcPr>
                  <w:tcW w:w="311" w:type="pct"/>
                  <w:vAlign w:val="center"/>
                </w:tcPr>
                <w:p>
                  <w:pPr>
                    <w:jc w:val="center"/>
                    <w:rPr>
                      <w:rFonts w:cs="Times New Roman"/>
                      <w:sz w:val="18"/>
                      <w:szCs w:val="18"/>
                    </w:rPr>
                  </w:pPr>
                  <w:r>
                    <w:rPr>
                      <w:rFonts w:cs="Times New Roman"/>
                      <w:sz w:val="18"/>
                      <w:szCs w:val="18"/>
                    </w:rPr>
                    <w:t>99.9</w:t>
                  </w:r>
                </w:p>
              </w:tc>
              <w:tc>
                <w:tcPr>
                  <w:tcW w:w="310" w:type="pct"/>
                  <w:vAlign w:val="center"/>
                </w:tcPr>
                <w:p>
                  <w:pPr>
                    <w:jc w:val="center"/>
                    <w:rPr>
                      <w:rFonts w:cs="Times New Roman"/>
                      <w:sz w:val="18"/>
                      <w:szCs w:val="18"/>
                    </w:rPr>
                  </w:pPr>
                  <w:r>
                    <w:rPr>
                      <w:rFonts w:cs="Times New Roman"/>
                      <w:sz w:val="18"/>
                      <w:szCs w:val="18"/>
                    </w:rPr>
                    <w:t>13248</w:t>
                  </w:r>
                </w:p>
              </w:tc>
              <w:tc>
                <w:tcPr>
                  <w:tcW w:w="295" w:type="pct"/>
                  <w:vAlign w:val="center"/>
                </w:tcPr>
                <w:p>
                  <w:pPr>
                    <w:jc w:val="center"/>
                    <w:rPr>
                      <w:rFonts w:cs="Times New Roman"/>
                      <w:sz w:val="18"/>
                      <w:szCs w:val="18"/>
                    </w:rPr>
                  </w:pPr>
                  <w:r>
                    <w:rPr>
                      <w:rFonts w:cs="Times New Roman"/>
                      <w:sz w:val="18"/>
                      <w:szCs w:val="18"/>
                    </w:rPr>
                    <w:t>1.302</w:t>
                  </w:r>
                </w:p>
              </w:tc>
              <w:tc>
                <w:tcPr>
                  <w:tcW w:w="295" w:type="pct"/>
                  <w:vAlign w:val="center"/>
                </w:tcPr>
                <w:p>
                  <w:pPr>
                    <w:widowControl/>
                    <w:jc w:val="center"/>
                    <w:rPr>
                      <w:rFonts w:cs="Times New Roman"/>
                      <w:sz w:val="18"/>
                      <w:szCs w:val="18"/>
                    </w:rPr>
                  </w:pPr>
                  <w:r>
                    <w:rPr>
                      <w:rFonts w:cs="Times New Roman"/>
                      <w:sz w:val="18"/>
                      <w:szCs w:val="18"/>
                    </w:rPr>
                    <w:t>0.017</w:t>
                  </w:r>
                </w:p>
              </w:tc>
              <w:tc>
                <w:tcPr>
                  <w:tcW w:w="296" w:type="pct"/>
                  <w:vAlign w:val="center"/>
                </w:tcPr>
                <w:p>
                  <w:pPr>
                    <w:jc w:val="center"/>
                    <w:rPr>
                      <w:rFonts w:cs="Times New Roman"/>
                      <w:sz w:val="18"/>
                      <w:szCs w:val="18"/>
                    </w:rPr>
                  </w:pPr>
                  <w:r>
                    <w:rPr>
                      <w:rFonts w:cs="Times New Roman"/>
                      <w:sz w:val="18"/>
                      <w:szCs w:val="18"/>
                    </w:rPr>
                    <w:t>0.041</w:t>
                  </w:r>
                </w:p>
              </w:tc>
              <w:tc>
                <w:tcPr>
                  <w:tcW w:w="296" w:type="pct"/>
                  <w:vAlign w:val="center"/>
                </w:tcPr>
                <w:p>
                  <w:pPr>
                    <w:jc w:val="center"/>
                    <w:rPr>
                      <w:rFonts w:cs="Times New Roman"/>
                      <w:sz w:val="18"/>
                      <w:szCs w:val="18"/>
                    </w:rPr>
                  </w:pPr>
                  <w:r>
                    <w:rPr>
                      <w:rFonts w:cs="Times New Roman"/>
                      <w:sz w:val="18"/>
                      <w:szCs w:val="18"/>
                    </w:rPr>
                    <w:t>0.003</w:t>
                  </w:r>
                </w:p>
              </w:tc>
              <w:tc>
                <w:tcPr>
                  <w:tcW w:w="296" w:type="pct"/>
                  <w:vAlign w:val="center"/>
                </w:tcPr>
                <w:p>
                  <w:pPr>
                    <w:jc w:val="center"/>
                    <w:rPr>
                      <w:rFonts w:cs="Times New Roman"/>
                      <w:sz w:val="18"/>
                      <w:szCs w:val="18"/>
                    </w:rPr>
                  </w:pPr>
                  <w:r>
                    <w:rPr>
                      <w:rFonts w:cs="Times New Roman"/>
                      <w:sz w:val="18"/>
                      <w:szCs w:val="18"/>
                    </w:rPr>
                    <w:t>0.006</w:t>
                  </w:r>
                </w:p>
              </w:tc>
              <w:tc>
                <w:tcPr>
                  <w:tcW w:w="307" w:type="pct"/>
                  <w:vAlign w:val="center"/>
                </w:tcPr>
                <w:p>
                  <w:pPr>
                    <w:jc w:val="center"/>
                    <w:rPr>
                      <w:rFonts w:cs="Times New Roman"/>
                      <w:sz w:val="18"/>
                      <w:szCs w:val="18"/>
                    </w:rPr>
                  </w:pPr>
                  <w:r>
                    <w:rPr>
                      <w:rFonts w:cs="Times New Roman"/>
                      <w:sz w:val="18"/>
                      <w:szCs w:val="18"/>
                    </w:rPr>
                    <w:t>2400</w:t>
                  </w:r>
                </w:p>
              </w:tc>
              <w:tc>
                <w:tcPr>
                  <w:tcW w:w="324" w:type="pct"/>
                  <w:vAlign w:val="center"/>
                </w:tcPr>
                <w:p>
                  <w:pPr>
                    <w:jc w:val="center"/>
                    <w:rPr>
                      <w:rFonts w:cs="Times New Roman"/>
                      <w:sz w:val="18"/>
                      <w:szCs w:val="18"/>
                    </w:rPr>
                  </w:pPr>
                  <w:r>
                    <w:rPr>
                      <w:rFonts w:cs="Times New Roman"/>
                      <w:sz w:val="18"/>
                      <w:szCs w:val="18"/>
                    </w:rPr>
                    <w:t>DA</w:t>
                  </w:r>
                  <w:r>
                    <w:rPr>
                      <w:rFonts w:hint="eastAsia" w:cs="Times New Roman"/>
                      <w:sz w:val="18"/>
                      <w:szCs w:val="18"/>
                    </w:rPr>
                    <w:t>154</w:t>
                  </w:r>
                </w:p>
              </w:tc>
              <w:tc>
                <w:tcPr>
                  <w:tcW w:w="243" w:type="pct"/>
                  <w:vAlign w:val="center"/>
                </w:tcPr>
                <w:p>
                  <w:pPr>
                    <w:jc w:val="center"/>
                    <w:rPr>
                      <w:rFonts w:cs="Times New Roman"/>
                      <w:sz w:val="18"/>
                      <w:szCs w:val="18"/>
                    </w:rPr>
                  </w:pPr>
                  <w:r>
                    <w:rPr>
                      <w:rFonts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pPr>
                    <w:jc w:val="center"/>
                    <w:rPr>
                      <w:sz w:val="18"/>
                      <w:szCs w:val="18"/>
                    </w:rPr>
                  </w:pPr>
                  <w:r>
                    <w:rPr>
                      <w:rFonts w:hint="eastAsia"/>
                      <w:sz w:val="18"/>
                      <w:szCs w:val="18"/>
                    </w:rPr>
                    <w:t>微粉库</w:t>
                  </w:r>
                </w:p>
              </w:tc>
              <w:tc>
                <w:tcPr>
                  <w:tcW w:w="310" w:type="pct"/>
                  <w:vAlign w:val="center"/>
                </w:tcPr>
                <w:p>
                  <w:pPr>
                    <w:jc w:val="center"/>
                    <w:rPr>
                      <w:rFonts w:cs="Times New Roman"/>
                      <w:sz w:val="18"/>
                      <w:szCs w:val="18"/>
                    </w:rPr>
                  </w:pPr>
                  <w:r>
                    <w:rPr>
                      <w:rFonts w:hint="eastAsia" w:cs="Times New Roman"/>
                      <w:sz w:val="18"/>
                      <w:szCs w:val="18"/>
                    </w:rPr>
                    <w:t>颗粒物</w:t>
                  </w:r>
                </w:p>
              </w:tc>
              <w:tc>
                <w:tcPr>
                  <w:tcW w:w="311" w:type="pct"/>
                  <w:vAlign w:val="center"/>
                </w:tcPr>
                <w:p>
                  <w:pPr>
                    <w:jc w:val="center"/>
                    <w:rPr>
                      <w:rFonts w:cs="Times New Roman"/>
                      <w:sz w:val="18"/>
                      <w:szCs w:val="18"/>
                    </w:rPr>
                  </w:pPr>
                  <w:r>
                    <w:rPr>
                      <w:rFonts w:hint="eastAsia" w:cs="Times New Roman"/>
                      <w:sz w:val="18"/>
                      <w:szCs w:val="18"/>
                    </w:rPr>
                    <w:t>产污系数法</w:t>
                  </w:r>
                </w:p>
              </w:tc>
              <w:tc>
                <w:tcPr>
                  <w:tcW w:w="310" w:type="pct"/>
                  <w:vAlign w:val="center"/>
                </w:tcPr>
                <w:p>
                  <w:pPr>
                    <w:jc w:val="center"/>
                    <w:rPr>
                      <w:rFonts w:cs="Times New Roman"/>
                      <w:kern w:val="0"/>
                      <w:sz w:val="18"/>
                      <w:szCs w:val="18"/>
                    </w:rPr>
                  </w:pPr>
                  <w:r>
                    <w:rPr>
                      <w:rFonts w:hint="eastAsia" w:cs="Times New Roman"/>
                      <w:sz w:val="18"/>
                      <w:szCs w:val="18"/>
                    </w:rPr>
                    <w:t>3.6</w:t>
                  </w:r>
                </w:p>
              </w:tc>
              <w:tc>
                <w:tcPr>
                  <w:tcW w:w="311" w:type="pct"/>
                  <w:vAlign w:val="center"/>
                </w:tcPr>
                <w:p>
                  <w:pPr>
                    <w:jc w:val="center"/>
                    <w:rPr>
                      <w:rFonts w:cs="Times New Roman"/>
                      <w:sz w:val="18"/>
                      <w:szCs w:val="18"/>
                    </w:rPr>
                  </w:pPr>
                  <w:r>
                    <w:rPr>
                      <w:rFonts w:cs="Times New Roman"/>
                      <w:sz w:val="18"/>
                      <w:szCs w:val="18"/>
                    </w:rPr>
                    <w:t>100</w:t>
                  </w:r>
                </w:p>
              </w:tc>
              <w:tc>
                <w:tcPr>
                  <w:tcW w:w="467" w:type="pct"/>
                  <w:vAlign w:val="center"/>
                </w:tcPr>
                <w:p>
                  <w:pPr>
                    <w:jc w:val="center"/>
                    <w:rPr>
                      <w:rFonts w:cs="Times New Roman"/>
                      <w:sz w:val="18"/>
                      <w:szCs w:val="18"/>
                    </w:rPr>
                  </w:pPr>
                  <w:r>
                    <w:rPr>
                      <w:rFonts w:hint="eastAsia" w:cs="Times New Roman"/>
                      <w:sz w:val="18"/>
                      <w:szCs w:val="18"/>
                    </w:rPr>
                    <w:t>密闭管道收尘+袋式除尘器</w:t>
                  </w:r>
                </w:p>
              </w:tc>
              <w:tc>
                <w:tcPr>
                  <w:tcW w:w="311" w:type="pct"/>
                  <w:vAlign w:val="center"/>
                </w:tcPr>
                <w:p>
                  <w:pPr>
                    <w:jc w:val="center"/>
                    <w:rPr>
                      <w:rFonts w:cs="Times New Roman"/>
                      <w:sz w:val="18"/>
                      <w:szCs w:val="18"/>
                    </w:rPr>
                  </w:pPr>
                  <w:r>
                    <w:rPr>
                      <w:rFonts w:cs="Times New Roman"/>
                      <w:sz w:val="18"/>
                      <w:szCs w:val="18"/>
                    </w:rPr>
                    <w:t>99.9</w:t>
                  </w:r>
                </w:p>
              </w:tc>
              <w:tc>
                <w:tcPr>
                  <w:tcW w:w="310" w:type="pct"/>
                  <w:vAlign w:val="center"/>
                </w:tcPr>
                <w:p>
                  <w:pPr>
                    <w:jc w:val="center"/>
                    <w:rPr>
                      <w:rFonts w:cs="Times New Roman"/>
                      <w:sz w:val="18"/>
                      <w:szCs w:val="18"/>
                    </w:rPr>
                  </w:pPr>
                  <w:r>
                    <w:rPr>
                      <w:rFonts w:cs="Times New Roman"/>
                      <w:sz w:val="18"/>
                      <w:szCs w:val="18"/>
                    </w:rPr>
                    <w:t>4320</w:t>
                  </w:r>
                </w:p>
              </w:tc>
              <w:tc>
                <w:tcPr>
                  <w:tcW w:w="295" w:type="pct"/>
                  <w:vAlign w:val="center"/>
                </w:tcPr>
                <w:p>
                  <w:pPr>
                    <w:jc w:val="center"/>
                    <w:rPr>
                      <w:rFonts w:cs="Times New Roman"/>
                      <w:sz w:val="18"/>
                      <w:szCs w:val="18"/>
                    </w:rPr>
                  </w:pPr>
                  <w:r>
                    <w:rPr>
                      <w:rFonts w:cs="Times New Roman"/>
                      <w:sz w:val="18"/>
                      <w:szCs w:val="18"/>
                    </w:rPr>
                    <w:t>0.347</w:t>
                  </w:r>
                </w:p>
              </w:tc>
              <w:tc>
                <w:tcPr>
                  <w:tcW w:w="295" w:type="pct"/>
                  <w:vAlign w:val="center"/>
                </w:tcPr>
                <w:p>
                  <w:pPr>
                    <w:widowControl/>
                    <w:jc w:val="center"/>
                    <w:rPr>
                      <w:rFonts w:cs="Times New Roman"/>
                      <w:sz w:val="18"/>
                      <w:szCs w:val="18"/>
                    </w:rPr>
                  </w:pPr>
                  <w:r>
                    <w:rPr>
                      <w:rFonts w:cs="Times New Roman"/>
                      <w:sz w:val="18"/>
                      <w:szCs w:val="18"/>
                    </w:rPr>
                    <w:t>0.001</w:t>
                  </w:r>
                </w:p>
              </w:tc>
              <w:tc>
                <w:tcPr>
                  <w:tcW w:w="296" w:type="pct"/>
                  <w:vAlign w:val="center"/>
                </w:tcPr>
                <w:p>
                  <w:pPr>
                    <w:jc w:val="center"/>
                    <w:rPr>
                      <w:rFonts w:cs="Times New Roman"/>
                      <w:sz w:val="18"/>
                      <w:szCs w:val="18"/>
                    </w:rPr>
                  </w:pPr>
                  <w:r>
                    <w:rPr>
                      <w:rFonts w:cs="Times New Roman"/>
                      <w:sz w:val="18"/>
                      <w:szCs w:val="18"/>
                    </w:rPr>
                    <w:t>0.004</w:t>
                  </w:r>
                </w:p>
              </w:tc>
              <w:tc>
                <w:tcPr>
                  <w:tcW w:w="296" w:type="pct"/>
                  <w:vAlign w:val="center"/>
                </w:tcPr>
                <w:p>
                  <w:pPr>
                    <w:jc w:val="center"/>
                    <w:rPr>
                      <w:rFonts w:cs="Times New Roman"/>
                      <w:sz w:val="18"/>
                      <w:szCs w:val="18"/>
                    </w:rPr>
                  </w:pPr>
                  <w:r>
                    <w:rPr>
                      <w:rFonts w:hint="eastAsia" w:cs="Times New Roman"/>
                      <w:sz w:val="18"/>
                      <w:szCs w:val="18"/>
                    </w:rPr>
                    <w:t>/</w:t>
                  </w:r>
                </w:p>
              </w:tc>
              <w:tc>
                <w:tcPr>
                  <w:tcW w:w="296" w:type="pct"/>
                  <w:vAlign w:val="center"/>
                </w:tcPr>
                <w:p>
                  <w:pPr>
                    <w:jc w:val="center"/>
                    <w:rPr>
                      <w:rFonts w:cs="Times New Roman"/>
                      <w:sz w:val="18"/>
                      <w:szCs w:val="18"/>
                    </w:rPr>
                  </w:pPr>
                  <w:r>
                    <w:rPr>
                      <w:rFonts w:hint="eastAsia" w:cs="Times New Roman"/>
                      <w:sz w:val="18"/>
                      <w:szCs w:val="18"/>
                    </w:rPr>
                    <w:t>/</w:t>
                  </w:r>
                </w:p>
              </w:tc>
              <w:tc>
                <w:tcPr>
                  <w:tcW w:w="307" w:type="pct"/>
                  <w:vAlign w:val="center"/>
                </w:tcPr>
                <w:p>
                  <w:pPr>
                    <w:jc w:val="center"/>
                    <w:rPr>
                      <w:rFonts w:cs="Times New Roman"/>
                      <w:sz w:val="18"/>
                      <w:szCs w:val="18"/>
                    </w:rPr>
                  </w:pPr>
                  <w:r>
                    <w:rPr>
                      <w:rFonts w:cs="Times New Roman"/>
                      <w:sz w:val="18"/>
                      <w:szCs w:val="18"/>
                    </w:rPr>
                    <w:t>2400</w:t>
                  </w:r>
                </w:p>
              </w:tc>
              <w:tc>
                <w:tcPr>
                  <w:tcW w:w="324" w:type="pct"/>
                  <w:vAlign w:val="center"/>
                </w:tcPr>
                <w:p>
                  <w:pPr>
                    <w:jc w:val="center"/>
                    <w:rPr>
                      <w:rFonts w:cs="Times New Roman"/>
                      <w:sz w:val="18"/>
                      <w:szCs w:val="18"/>
                    </w:rPr>
                  </w:pPr>
                  <w:r>
                    <w:rPr>
                      <w:rFonts w:cs="Times New Roman"/>
                      <w:sz w:val="18"/>
                      <w:szCs w:val="18"/>
                    </w:rPr>
                    <w:t>DA</w:t>
                  </w:r>
                  <w:r>
                    <w:rPr>
                      <w:rFonts w:hint="eastAsia" w:cs="Times New Roman"/>
                      <w:sz w:val="18"/>
                      <w:szCs w:val="18"/>
                    </w:rPr>
                    <w:t>155</w:t>
                  </w:r>
                </w:p>
              </w:tc>
              <w:tc>
                <w:tcPr>
                  <w:tcW w:w="243" w:type="pct"/>
                  <w:vAlign w:val="center"/>
                </w:tcPr>
                <w:p>
                  <w:pPr>
                    <w:jc w:val="center"/>
                    <w:rPr>
                      <w:rFonts w:cs="Times New Roman"/>
                      <w:sz w:val="18"/>
                      <w:szCs w:val="18"/>
                    </w:rPr>
                  </w:pPr>
                  <w:r>
                    <w:rPr>
                      <w:rFonts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pPr>
                    <w:jc w:val="center"/>
                    <w:rPr>
                      <w:sz w:val="18"/>
                      <w:szCs w:val="18"/>
                    </w:rPr>
                  </w:pPr>
                  <w:r>
                    <w:rPr>
                      <w:rFonts w:hint="eastAsia"/>
                      <w:sz w:val="18"/>
                      <w:szCs w:val="18"/>
                    </w:rPr>
                    <w:t>合计</w:t>
                  </w:r>
                </w:p>
              </w:tc>
              <w:tc>
                <w:tcPr>
                  <w:tcW w:w="310" w:type="pct"/>
                  <w:vAlign w:val="center"/>
                </w:tcPr>
                <w:p>
                  <w:pPr>
                    <w:jc w:val="center"/>
                    <w:rPr>
                      <w:rFonts w:cs="Times New Roman"/>
                      <w:sz w:val="18"/>
                      <w:szCs w:val="18"/>
                    </w:rPr>
                  </w:pPr>
                  <w:r>
                    <w:rPr>
                      <w:rFonts w:hint="eastAsia" w:cs="Times New Roman"/>
                      <w:sz w:val="18"/>
                      <w:szCs w:val="18"/>
                    </w:rPr>
                    <w:t>颗粒物</w:t>
                  </w:r>
                </w:p>
              </w:tc>
              <w:tc>
                <w:tcPr>
                  <w:tcW w:w="311" w:type="pct"/>
                  <w:vAlign w:val="center"/>
                </w:tcPr>
                <w:p>
                  <w:pPr>
                    <w:jc w:val="center"/>
                    <w:rPr>
                      <w:rFonts w:cs="Times New Roman"/>
                      <w:sz w:val="18"/>
                      <w:szCs w:val="18"/>
                    </w:rPr>
                  </w:pPr>
                  <w:r>
                    <w:rPr>
                      <w:rFonts w:hint="eastAsia" w:cs="Times New Roman"/>
                      <w:sz w:val="18"/>
                      <w:szCs w:val="18"/>
                    </w:rPr>
                    <w:t>/</w:t>
                  </w:r>
                </w:p>
              </w:tc>
              <w:tc>
                <w:tcPr>
                  <w:tcW w:w="310" w:type="pct"/>
                  <w:vAlign w:val="center"/>
                </w:tcPr>
                <w:p>
                  <w:pPr>
                    <w:jc w:val="center"/>
                    <w:rPr>
                      <w:rFonts w:cs="Times New Roman"/>
                      <w:sz w:val="18"/>
                      <w:szCs w:val="18"/>
                    </w:rPr>
                  </w:pPr>
                  <w:r>
                    <w:rPr>
                      <w:rFonts w:hint="eastAsia" w:cs="Times New Roman"/>
                      <w:sz w:val="18"/>
                      <w:szCs w:val="18"/>
                    </w:rPr>
                    <w:t>942.8</w:t>
                  </w:r>
                </w:p>
              </w:tc>
              <w:tc>
                <w:tcPr>
                  <w:tcW w:w="311" w:type="pct"/>
                  <w:vAlign w:val="center"/>
                </w:tcPr>
                <w:p>
                  <w:pPr>
                    <w:jc w:val="center"/>
                    <w:rPr>
                      <w:rFonts w:cs="Times New Roman"/>
                      <w:sz w:val="18"/>
                      <w:szCs w:val="18"/>
                    </w:rPr>
                  </w:pPr>
                  <w:r>
                    <w:rPr>
                      <w:rFonts w:hint="eastAsia" w:cs="Times New Roman"/>
                      <w:sz w:val="18"/>
                      <w:szCs w:val="18"/>
                    </w:rPr>
                    <w:t>/</w:t>
                  </w:r>
                </w:p>
              </w:tc>
              <w:tc>
                <w:tcPr>
                  <w:tcW w:w="467" w:type="pct"/>
                  <w:vAlign w:val="center"/>
                </w:tcPr>
                <w:p>
                  <w:pPr>
                    <w:jc w:val="center"/>
                    <w:rPr>
                      <w:rFonts w:cs="Times New Roman"/>
                      <w:sz w:val="18"/>
                      <w:szCs w:val="18"/>
                    </w:rPr>
                  </w:pPr>
                  <w:r>
                    <w:rPr>
                      <w:rFonts w:hint="eastAsia" w:cs="Times New Roman"/>
                      <w:sz w:val="18"/>
                      <w:szCs w:val="18"/>
                    </w:rPr>
                    <w:t>/</w:t>
                  </w:r>
                </w:p>
              </w:tc>
              <w:tc>
                <w:tcPr>
                  <w:tcW w:w="311" w:type="pct"/>
                  <w:vAlign w:val="center"/>
                </w:tcPr>
                <w:p>
                  <w:pPr>
                    <w:jc w:val="center"/>
                    <w:rPr>
                      <w:rFonts w:cs="Times New Roman"/>
                      <w:sz w:val="18"/>
                      <w:szCs w:val="18"/>
                    </w:rPr>
                  </w:pPr>
                  <w:r>
                    <w:rPr>
                      <w:rFonts w:hint="eastAsia" w:cs="Times New Roman"/>
                      <w:sz w:val="18"/>
                      <w:szCs w:val="18"/>
                    </w:rPr>
                    <w:t>/</w:t>
                  </w:r>
                </w:p>
              </w:tc>
              <w:tc>
                <w:tcPr>
                  <w:tcW w:w="310" w:type="pct"/>
                  <w:vAlign w:val="center"/>
                </w:tcPr>
                <w:p>
                  <w:pPr>
                    <w:jc w:val="center"/>
                    <w:rPr>
                      <w:rFonts w:cs="Times New Roman"/>
                      <w:sz w:val="18"/>
                      <w:szCs w:val="18"/>
                    </w:rPr>
                  </w:pPr>
                  <w:r>
                    <w:rPr>
                      <w:rFonts w:hint="eastAsia" w:cs="Times New Roman"/>
                      <w:sz w:val="18"/>
                      <w:szCs w:val="18"/>
                    </w:rPr>
                    <w:t>/</w:t>
                  </w:r>
                </w:p>
              </w:tc>
              <w:tc>
                <w:tcPr>
                  <w:tcW w:w="295" w:type="pct"/>
                  <w:vAlign w:val="center"/>
                </w:tcPr>
                <w:p>
                  <w:pPr>
                    <w:jc w:val="center"/>
                    <w:rPr>
                      <w:rFonts w:cs="Times New Roman"/>
                      <w:sz w:val="18"/>
                      <w:szCs w:val="18"/>
                    </w:rPr>
                  </w:pPr>
                  <w:r>
                    <w:rPr>
                      <w:rFonts w:hint="eastAsia" w:cs="Times New Roman"/>
                      <w:sz w:val="18"/>
                      <w:szCs w:val="18"/>
                    </w:rPr>
                    <w:t>/</w:t>
                  </w:r>
                </w:p>
              </w:tc>
              <w:tc>
                <w:tcPr>
                  <w:tcW w:w="295" w:type="pct"/>
                  <w:vAlign w:val="center"/>
                </w:tcPr>
                <w:p>
                  <w:pPr>
                    <w:widowControl/>
                    <w:jc w:val="center"/>
                    <w:rPr>
                      <w:rFonts w:cs="Times New Roman"/>
                      <w:sz w:val="18"/>
                      <w:szCs w:val="18"/>
                    </w:rPr>
                  </w:pPr>
                  <w:r>
                    <w:rPr>
                      <w:rFonts w:hint="eastAsia" w:cs="Times New Roman"/>
                      <w:sz w:val="18"/>
                      <w:szCs w:val="18"/>
                    </w:rPr>
                    <w:t>/</w:t>
                  </w:r>
                </w:p>
              </w:tc>
              <w:tc>
                <w:tcPr>
                  <w:tcW w:w="296" w:type="pct"/>
                  <w:vAlign w:val="center"/>
                </w:tcPr>
                <w:p>
                  <w:pPr>
                    <w:jc w:val="center"/>
                    <w:rPr>
                      <w:rFonts w:cs="Times New Roman"/>
                      <w:sz w:val="18"/>
                      <w:szCs w:val="18"/>
                    </w:rPr>
                  </w:pPr>
                  <w:r>
                    <w:rPr>
                      <w:rFonts w:cs="Times New Roman"/>
                      <w:sz w:val="18"/>
                      <w:szCs w:val="18"/>
                    </w:rPr>
                    <w:t>0.87</w:t>
                  </w:r>
                  <w:r>
                    <w:rPr>
                      <w:rFonts w:hint="eastAsia" w:cs="Times New Roman"/>
                      <w:sz w:val="18"/>
                      <w:szCs w:val="18"/>
                    </w:rPr>
                    <w:t>0</w:t>
                  </w:r>
                </w:p>
              </w:tc>
              <w:tc>
                <w:tcPr>
                  <w:tcW w:w="296" w:type="pct"/>
                  <w:vAlign w:val="center"/>
                </w:tcPr>
                <w:p>
                  <w:pPr>
                    <w:jc w:val="center"/>
                    <w:rPr>
                      <w:rFonts w:cs="Times New Roman"/>
                      <w:sz w:val="18"/>
                      <w:szCs w:val="18"/>
                    </w:rPr>
                  </w:pPr>
                  <w:r>
                    <w:rPr>
                      <w:rFonts w:hint="eastAsia" w:cs="Times New Roman"/>
                      <w:sz w:val="18"/>
                      <w:szCs w:val="18"/>
                    </w:rPr>
                    <w:t>/</w:t>
                  </w:r>
                </w:p>
              </w:tc>
              <w:tc>
                <w:tcPr>
                  <w:tcW w:w="296" w:type="pct"/>
                  <w:vAlign w:val="center"/>
                </w:tcPr>
                <w:p>
                  <w:pPr>
                    <w:jc w:val="center"/>
                    <w:rPr>
                      <w:rFonts w:cs="Times New Roman"/>
                      <w:sz w:val="18"/>
                      <w:szCs w:val="18"/>
                    </w:rPr>
                  </w:pPr>
                  <w:r>
                    <w:rPr>
                      <w:rFonts w:hint="eastAsia" w:cs="Times New Roman"/>
                      <w:sz w:val="18"/>
                      <w:szCs w:val="18"/>
                    </w:rPr>
                    <w:t>0.0745</w:t>
                  </w:r>
                </w:p>
              </w:tc>
              <w:tc>
                <w:tcPr>
                  <w:tcW w:w="307" w:type="pct"/>
                  <w:vAlign w:val="center"/>
                </w:tcPr>
                <w:p>
                  <w:pPr>
                    <w:jc w:val="center"/>
                    <w:rPr>
                      <w:rFonts w:cs="Times New Roman"/>
                      <w:sz w:val="18"/>
                      <w:szCs w:val="18"/>
                    </w:rPr>
                  </w:pPr>
                  <w:r>
                    <w:rPr>
                      <w:rFonts w:hint="eastAsia" w:cs="Times New Roman"/>
                      <w:sz w:val="18"/>
                      <w:szCs w:val="18"/>
                    </w:rPr>
                    <w:t>/</w:t>
                  </w:r>
                </w:p>
              </w:tc>
              <w:tc>
                <w:tcPr>
                  <w:tcW w:w="324" w:type="pct"/>
                  <w:vAlign w:val="center"/>
                </w:tcPr>
                <w:p>
                  <w:pPr>
                    <w:jc w:val="center"/>
                    <w:rPr>
                      <w:rFonts w:cs="Times New Roman"/>
                      <w:sz w:val="18"/>
                      <w:szCs w:val="18"/>
                    </w:rPr>
                  </w:pPr>
                  <w:r>
                    <w:rPr>
                      <w:rFonts w:hint="eastAsia" w:cs="Times New Roman"/>
                      <w:sz w:val="18"/>
                      <w:szCs w:val="18"/>
                    </w:rPr>
                    <w:t>/</w:t>
                  </w:r>
                </w:p>
              </w:tc>
              <w:tc>
                <w:tcPr>
                  <w:tcW w:w="243" w:type="pct"/>
                  <w:vAlign w:val="center"/>
                </w:tcPr>
                <w:p>
                  <w:pPr>
                    <w:jc w:val="center"/>
                    <w:rPr>
                      <w:rFonts w:cs="Times New Roman"/>
                      <w:sz w:val="18"/>
                      <w:szCs w:val="18"/>
                    </w:rPr>
                  </w:pPr>
                  <w:r>
                    <w:rPr>
                      <w:rFonts w:hint="eastAsia"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pPr>
                    <w:jc w:val="center"/>
                    <w:rPr>
                      <w:sz w:val="18"/>
                      <w:szCs w:val="18"/>
                    </w:rPr>
                  </w:pPr>
                  <w:r>
                    <w:rPr>
                      <w:rFonts w:hint="eastAsia"/>
                      <w:sz w:val="18"/>
                      <w:szCs w:val="18"/>
                    </w:rPr>
                    <w:t>本次改建新增</w:t>
                  </w:r>
                </w:p>
              </w:tc>
              <w:tc>
                <w:tcPr>
                  <w:tcW w:w="310" w:type="pct"/>
                  <w:vAlign w:val="center"/>
                </w:tcPr>
                <w:p>
                  <w:pPr>
                    <w:jc w:val="center"/>
                    <w:rPr>
                      <w:rFonts w:cs="Times New Roman"/>
                      <w:sz w:val="18"/>
                      <w:szCs w:val="18"/>
                    </w:rPr>
                  </w:pPr>
                  <w:r>
                    <w:rPr>
                      <w:rFonts w:hint="eastAsia" w:cs="Times New Roman"/>
                      <w:sz w:val="18"/>
                      <w:szCs w:val="18"/>
                    </w:rPr>
                    <w:t>颗粒物</w:t>
                  </w:r>
                </w:p>
              </w:tc>
              <w:tc>
                <w:tcPr>
                  <w:tcW w:w="311" w:type="pct"/>
                  <w:vAlign w:val="center"/>
                </w:tcPr>
                <w:p>
                  <w:pPr>
                    <w:jc w:val="center"/>
                    <w:rPr>
                      <w:rFonts w:cs="Times New Roman"/>
                      <w:sz w:val="18"/>
                      <w:szCs w:val="18"/>
                    </w:rPr>
                  </w:pPr>
                  <w:r>
                    <w:rPr>
                      <w:rFonts w:hint="eastAsia" w:cs="Times New Roman"/>
                      <w:sz w:val="18"/>
                      <w:szCs w:val="18"/>
                    </w:rPr>
                    <w:t>/</w:t>
                  </w:r>
                </w:p>
              </w:tc>
              <w:tc>
                <w:tcPr>
                  <w:tcW w:w="310" w:type="pct"/>
                  <w:vAlign w:val="center"/>
                </w:tcPr>
                <w:p>
                  <w:pPr>
                    <w:jc w:val="center"/>
                    <w:rPr>
                      <w:rFonts w:cs="Times New Roman"/>
                      <w:sz w:val="18"/>
                      <w:szCs w:val="18"/>
                    </w:rPr>
                  </w:pPr>
                  <w:r>
                    <w:rPr>
                      <w:rFonts w:cs="Times New Roman"/>
                      <w:sz w:val="18"/>
                      <w:szCs w:val="18"/>
                    </w:rPr>
                    <w:t>763.2</w:t>
                  </w:r>
                </w:p>
              </w:tc>
              <w:tc>
                <w:tcPr>
                  <w:tcW w:w="311" w:type="pct"/>
                  <w:vAlign w:val="center"/>
                </w:tcPr>
                <w:p>
                  <w:pPr>
                    <w:jc w:val="center"/>
                    <w:rPr>
                      <w:rFonts w:cs="Times New Roman"/>
                      <w:sz w:val="18"/>
                      <w:szCs w:val="18"/>
                    </w:rPr>
                  </w:pPr>
                  <w:r>
                    <w:rPr>
                      <w:rFonts w:hint="eastAsia" w:cs="Times New Roman"/>
                      <w:sz w:val="18"/>
                      <w:szCs w:val="18"/>
                    </w:rPr>
                    <w:t>/</w:t>
                  </w:r>
                </w:p>
              </w:tc>
              <w:tc>
                <w:tcPr>
                  <w:tcW w:w="467" w:type="pct"/>
                  <w:vAlign w:val="center"/>
                </w:tcPr>
                <w:p>
                  <w:pPr>
                    <w:jc w:val="center"/>
                    <w:rPr>
                      <w:rFonts w:cs="Times New Roman"/>
                      <w:sz w:val="18"/>
                      <w:szCs w:val="18"/>
                    </w:rPr>
                  </w:pPr>
                  <w:r>
                    <w:rPr>
                      <w:rFonts w:hint="eastAsia" w:cs="Times New Roman"/>
                      <w:sz w:val="18"/>
                      <w:szCs w:val="18"/>
                    </w:rPr>
                    <w:t>/</w:t>
                  </w:r>
                </w:p>
              </w:tc>
              <w:tc>
                <w:tcPr>
                  <w:tcW w:w="311" w:type="pct"/>
                  <w:vAlign w:val="center"/>
                </w:tcPr>
                <w:p>
                  <w:pPr>
                    <w:jc w:val="center"/>
                    <w:rPr>
                      <w:rFonts w:cs="Times New Roman"/>
                      <w:sz w:val="18"/>
                      <w:szCs w:val="18"/>
                    </w:rPr>
                  </w:pPr>
                  <w:r>
                    <w:rPr>
                      <w:rFonts w:hint="eastAsia" w:cs="Times New Roman"/>
                      <w:sz w:val="18"/>
                      <w:szCs w:val="18"/>
                    </w:rPr>
                    <w:t>/</w:t>
                  </w:r>
                </w:p>
              </w:tc>
              <w:tc>
                <w:tcPr>
                  <w:tcW w:w="310" w:type="pct"/>
                  <w:vAlign w:val="center"/>
                </w:tcPr>
                <w:p>
                  <w:pPr>
                    <w:jc w:val="center"/>
                    <w:rPr>
                      <w:rFonts w:cs="Times New Roman"/>
                      <w:sz w:val="18"/>
                      <w:szCs w:val="18"/>
                    </w:rPr>
                  </w:pPr>
                  <w:r>
                    <w:rPr>
                      <w:rFonts w:hint="eastAsia" w:cs="Times New Roman"/>
                      <w:sz w:val="18"/>
                      <w:szCs w:val="18"/>
                    </w:rPr>
                    <w:t>/</w:t>
                  </w:r>
                </w:p>
              </w:tc>
              <w:tc>
                <w:tcPr>
                  <w:tcW w:w="295" w:type="pct"/>
                  <w:vAlign w:val="center"/>
                </w:tcPr>
                <w:p>
                  <w:pPr>
                    <w:jc w:val="center"/>
                    <w:rPr>
                      <w:rFonts w:cs="Times New Roman"/>
                      <w:sz w:val="18"/>
                      <w:szCs w:val="18"/>
                    </w:rPr>
                  </w:pPr>
                  <w:r>
                    <w:rPr>
                      <w:rFonts w:hint="eastAsia" w:cs="Times New Roman"/>
                      <w:sz w:val="18"/>
                      <w:szCs w:val="18"/>
                    </w:rPr>
                    <w:t>/</w:t>
                  </w:r>
                </w:p>
              </w:tc>
              <w:tc>
                <w:tcPr>
                  <w:tcW w:w="295" w:type="pct"/>
                  <w:vAlign w:val="center"/>
                </w:tcPr>
                <w:p>
                  <w:pPr>
                    <w:widowControl/>
                    <w:jc w:val="center"/>
                    <w:rPr>
                      <w:rFonts w:cs="Times New Roman"/>
                      <w:sz w:val="18"/>
                      <w:szCs w:val="18"/>
                    </w:rPr>
                  </w:pPr>
                  <w:r>
                    <w:rPr>
                      <w:rFonts w:hint="eastAsia" w:cs="Times New Roman"/>
                      <w:sz w:val="18"/>
                      <w:szCs w:val="18"/>
                    </w:rPr>
                    <w:t>/</w:t>
                  </w:r>
                </w:p>
              </w:tc>
              <w:tc>
                <w:tcPr>
                  <w:tcW w:w="296" w:type="pct"/>
                  <w:vAlign w:val="center"/>
                </w:tcPr>
                <w:p>
                  <w:pPr>
                    <w:jc w:val="center"/>
                    <w:rPr>
                      <w:rFonts w:cs="Times New Roman"/>
                      <w:sz w:val="18"/>
                      <w:szCs w:val="18"/>
                    </w:rPr>
                  </w:pPr>
                  <w:r>
                    <w:rPr>
                      <w:rFonts w:cs="Times New Roman"/>
                      <w:sz w:val="18"/>
                      <w:szCs w:val="18"/>
                    </w:rPr>
                    <w:t>0.692</w:t>
                  </w:r>
                </w:p>
              </w:tc>
              <w:tc>
                <w:tcPr>
                  <w:tcW w:w="296" w:type="pct"/>
                  <w:vAlign w:val="center"/>
                </w:tcPr>
                <w:p>
                  <w:pPr>
                    <w:jc w:val="center"/>
                    <w:rPr>
                      <w:rFonts w:cs="Times New Roman"/>
                      <w:sz w:val="18"/>
                      <w:szCs w:val="18"/>
                    </w:rPr>
                  </w:pPr>
                  <w:r>
                    <w:rPr>
                      <w:rFonts w:hint="eastAsia" w:cs="Times New Roman"/>
                      <w:sz w:val="18"/>
                      <w:szCs w:val="18"/>
                    </w:rPr>
                    <w:t>/</w:t>
                  </w:r>
                </w:p>
              </w:tc>
              <w:tc>
                <w:tcPr>
                  <w:tcW w:w="296" w:type="pct"/>
                  <w:vAlign w:val="center"/>
                </w:tcPr>
                <w:p>
                  <w:pPr>
                    <w:jc w:val="center"/>
                    <w:rPr>
                      <w:rFonts w:cs="Times New Roman"/>
                      <w:sz w:val="18"/>
                      <w:szCs w:val="18"/>
                    </w:rPr>
                  </w:pPr>
                  <w:r>
                    <w:rPr>
                      <w:rFonts w:cs="Times New Roman"/>
                      <w:sz w:val="18"/>
                      <w:szCs w:val="18"/>
                    </w:rPr>
                    <w:t>0.725</w:t>
                  </w:r>
                </w:p>
              </w:tc>
              <w:tc>
                <w:tcPr>
                  <w:tcW w:w="307" w:type="pct"/>
                  <w:vAlign w:val="center"/>
                </w:tcPr>
                <w:p>
                  <w:pPr>
                    <w:jc w:val="center"/>
                    <w:rPr>
                      <w:rFonts w:cs="Times New Roman"/>
                      <w:sz w:val="18"/>
                      <w:szCs w:val="18"/>
                    </w:rPr>
                  </w:pPr>
                  <w:r>
                    <w:rPr>
                      <w:rFonts w:hint="eastAsia" w:cs="Times New Roman"/>
                      <w:sz w:val="18"/>
                      <w:szCs w:val="18"/>
                    </w:rPr>
                    <w:t>/</w:t>
                  </w:r>
                </w:p>
              </w:tc>
              <w:tc>
                <w:tcPr>
                  <w:tcW w:w="324" w:type="pct"/>
                  <w:vAlign w:val="center"/>
                </w:tcPr>
                <w:p>
                  <w:pPr>
                    <w:jc w:val="center"/>
                    <w:rPr>
                      <w:rFonts w:cs="Times New Roman"/>
                      <w:sz w:val="18"/>
                      <w:szCs w:val="18"/>
                    </w:rPr>
                  </w:pPr>
                  <w:r>
                    <w:rPr>
                      <w:rFonts w:hint="eastAsia" w:cs="Times New Roman"/>
                      <w:sz w:val="18"/>
                      <w:szCs w:val="18"/>
                    </w:rPr>
                    <w:t>/</w:t>
                  </w:r>
                </w:p>
              </w:tc>
              <w:tc>
                <w:tcPr>
                  <w:tcW w:w="243" w:type="pct"/>
                  <w:vAlign w:val="center"/>
                </w:tcPr>
                <w:p>
                  <w:pPr>
                    <w:jc w:val="center"/>
                    <w:rPr>
                      <w:rFonts w:cs="Times New Roman"/>
                      <w:sz w:val="18"/>
                      <w:szCs w:val="18"/>
                    </w:rPr>
                  </w:pPr>
                  <w:r>
                    <w:rPr>
                      <w:rFonts w:hint="eastAsia"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6"/>
                  <w:vAlign w:val="center"/>
                </w:tcPr>
                <w:p>
                  <w:pPr>
                    <w:rPr>
                      <w:rFonts w:cs="Times New Roman"/>
                      <w:sz w:val="18"/>
                      <w:szCs w:val="18"/>
                    </w:rPr>
                  </w:pPr>
                  <w:r>
                    <w:rPr>
                      <w:rFonts w:hint="eastAsia" w:cs="Times New Roman"/>
                      <w:sz w:val="18"/>
                      <w:szCs w:val="18"/>
                    </w:rPr>
                    <w:t>注：因《四川省水泥工业大气污染物排放标准》（DB51/2864-2021）无等效排气筒核算要求，故本次环评不予核算等效排气筒。</w:t>
                  </w:r>
                </w:p>
              </w:tc>
            </w:tr>
          </w:tbl>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tc>
      </w:tr>
    </w:tbl>
    <w:p>
      <w:pPr>
        <w:rPr>
          <w:rFonts w:hint="eastAsia" w:ascii="宋体" w:hAnsi="宋体"/>
          <w:sz w:val="28"/>
          <w:szCs w:val="28"/>
        </w:rPr>
        <w:sectPr>
          <w:pgSz w:w="16838" w:h="11906" w:orient="landscape"/>
          <w:pgMar w:top="1134" w:right="1134" w:bottom="1134" w:left="1134" w:header="851" w:footer="992" w:gutter="0"/>
          <w:cols w:space="720" w:num="1"/>
          <w:docGrid w:type="lines" w:linePitch="312" w:charSpace="0"/>
        </w:sect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9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8" w:type="pct"/>
            <w:vAlign w:val="center"/>
          </w:tcPr>
          <w:p>
            <w:pPr>
              <w:spacing w:line="360" w:lineRule="auto"/>
              <w:jc w:val="center"/>
              <w:rPr>
                <w:rFonts w:cs="Times New Roman"/>
                <w:sz w:val="24"/>
                <w:szCs w:val="24"/>
              </w:rPr>
            </w:pPr>
            <w:r>
              <w:rPr>
                <w:rFonts w:hint="eastAsia" w:cs="Times New Roman"/>
                <w:sz w:val="24"/>
                <w:szCs w:val="24"/>
              </w:rPr>
              <w:t>运营期环境影响和保护措施</w:t>
            </w:r>
          </w:p>
        </w:tc>
        <w:tc>
          <w:tcPr>
            <w:tcW w:w="4762" w:type="pct"/>
            <w:vAlign w:val="center"/>
          </w:tcPr>
          <w:p>
            <w:pPr>
              <w:spacing w:line="360" w:lineRule="auto"/>
              <w:ind w:firstLine="480" w:firstLineChars="200"/>
              <w:rPr>
                <w:rFonts w:cs="Times New Roman"/>
                <w:sz w:val="24"/>
                <w:szCs w:val="24"/>
              </w:rPr>
            </w:pPr>
            <w:r>
              <w:rPr>
                <w:rFonts w:hint="eastAsia" w:cs="Times New Roman"/>
                <w:sz w:val="24"/>
                <w:szCs w:val="24"/>
              </w:rPr>
              <w:t>本次改建项目新增废气污染物排放统计如下：</w:t>
            </w:r>
          </w:p>
          <w:p>
            <w:pPr>
              <w:spacing w:line="360" w:lineRule="auto"/>
              <w:jc w:val="center"/>
              <w:rPr>
                <w:rFonts w:eastAsia="黑体" w:cstheme="minorHAnsi"/>
                <w:szCs w:val="21"/>
              </w:rPr>
            </w:pPr>
            <w:r>
              <w:rPr>
                <w:rFonts w:hint="eastAsia" w:eastAsia="黑体" w:cstheme="minorHAnsi"/>
                <w:szCs w:val="21"/>
              </w:rPr>
              <w:t>表</w:t>
            </w:r>
            <w:r>
              <w:rPr>
                <w:rFonts w:eastAsia="黑体" w:cstheme="minorHAnsi"/>
                <w:szCs w:val="21"/>
              </w:rPr>
              <w:t>4</w:t>
            </w:r>
            <w:r>
              <w:rPr>
                <w:rFonts w:hint="eastAsia" w:eastAsia="黑体" w:cstheme="minorHAnsi"/>
                <w:szCs w:val="21"/>
              </w:rPr>
              <w:t>-</w:t>
            </w:r>
            <w:r>
              <w:rPr>
                <w:rFonts w:eastAsia="黑体" w:cstheme="minorHAnsi"/>
                <w:szCs w:val="21"/>
              </w:rPr>
              <w:t>1</w:t>
            </w:r>
            <w:r>
              <w:rPr>
                <w:rFonts w:hint="eastAsia" w:eastAsia="黑体" w:cstheme="minorHAnsi"/>
                <w:szCs w:val="21"/>
              </w:rPr>
              <w:t>2</w:t>
            </w:r>
            <w:r>
              <w:rPr>
                <w:rFonts w:eastAsia="黑体" w:cstheme="minorHAnsi"/>
                <w:szCs w:val="21"/>
              </w:rPr>
              <w:t xml:space="preserve">  </w:t>
            </w:r>
            <w:r>
              <w:rPr>
                <w:rFonts w:hint="eastAsia" w:eastAsia="黑体" w:cstheme="minorHAnsi"/>
                <w:szCs w:val="21"/>
              </w:rPr>
              <w:t>运营期新增</w:t>
            </w:r>
            <w:r>
              <w:rPr>
                <w:rFonts w:eastAsia="黑体" w:cstheme="minorHAnsi"/>
                <w:szCs w:val="21"/>
              </w:rPr>
              <w:t>废气</w:t>
            </w:r>
            <w:r>
              <w:rPr>
                <w:rFonts w:hint="eastAsia" w:eastAsia="黑体" w:cstheme="minorHAnsi"/>
                <w:szCs w:val="21"/>
              </w:rPr>
              <w:t>污染物排放量统计表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2403"/>
              <w:gridCol w:w="2403"/>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066" w:type="pct"/>
                  <w:vAlign w:val="center"/>
                </w:tcPr>
                <w:p>
                  <w:pPr>
                    <w:jc w:val="center"/>
                    <w:rPr>
                      <w:szCs w:val="21"/>
                    </w:rPr>
                  </w:pPr>
                  <w:r>
                    <w:rPr>
                      <w:szCs w:val="21"/>
                    </w:rPr>
                    <w:t>污染物</w:t>
                  </w:r>
                </w:p>
              </w:tc>
              <w:tc>
                <w:tcPr>
                  <w:tcW w:w="1312" w:type="pct"/>
                  <w:vAlign w:val="center"/>
                </w:tcPr>
                <w:p>
                  <w:pPr>
                    <w:jc w:val="center"/>
                    <w:rPr>
                      <w:rFonts w:cs="Times New Roman"/>
                      <w:szCs w:val="21"/>
                    </w:rPr>
                  </w:pPr>
                  <w:r>
                    <w:rPr>
                      <w:rFonts w:hint="eastAsia" w:cs="Times New Roman"/>
                      <w:szCs w:val="21"/>
                    </w:rPr>
                    <w:t>有组织</w:t>
                  </w:r>
                  <w:r>
                    <w:rPr>
                      <w:rFonts w:cs="Times New Roman"/>
                      <w:szCs w:val="21"/>
                    </w:rPr>
                    <w:t>排放量</w:t>
                  </w:r>
                  <w:r>
                    <w:rPr>
                      <w:rFonts w:hint="eastAsia" w:cs="Times New Roman"/>
                      <w:szCs w:val="21"/>
                    </w:rPr>
                    <w:t>（</w:t>
                  </w:r>
                  <w:r>
                    <w:rPr>
                      <w:rFonts w:cs="Times New Roman"/>
                      <w:szCs w:val="21"/>
                    </w:rPr>
                    <w:t>t/a</w:t>
                  </w:r>
                  <w:r>
                    <w:rPr>
                      <w:rFonts w:hint="eastAsia" w:cs="Times New Roman"/>
                      <w:szCs w:val="21"/>
                    </w:rPr>
                    <w:t>）</w:t>
                  </w:r>
                </w:p>
              </w:tc>
              <w:tc>
                <w:tcPr>
                  <w:tcW w:w="1312" w:type="pct"/>
                  <w:vAlign w:val="center"/>
                </w:tcPr>
                <w:p>
                  <w:pPr>
                    <w:jc w:val="center"/>
                    <w:rPr>
                      <w:rFonts w:cs="Times New Roman"/>
                      <w:szCs w:val="21"/>
                    </w:rPr>
                  </w:pPr>
                  <w:r>
                    <w:rPr>
                      <w:rFonts w:hint="eastAsia" w:cs="Times New Roman"/>
                      <w:szCs w:val="21"/>
                    </w:rPr>
                    <w:t>无组织排放量（</w:t>
                  </w:r>
                  <w:r>
                    <w:rPr>
                      <w:rFonts w:cs="Times New Roman"/>
                      <w:szCs w:val="21"/>
                    </w:rPr>
                    <w:t>t</w:t>
                  </w:r>
                  <w:r>
                    <w:rPr>
                      <w:rFonts w:hint="eastAsia" w:cs="Times New Roman"/>
                      <w:szCs w:val="21"/>
                    </w:rPr>
                    <w:t>/a）</w:t>
                  </w:r>
                </w:p>
              </w:tc>
              <w:tc>
                <w:tcPr>
                  <w:tcW w:w="1310" w:type="pct"/>
                  <w:vAlign w:val="center"/>
                </w:tcPr>
                <w:p>
                  <w:pPr>
                    <w:jc w:val="center"/>
                    <w:rPr>
                      <w:rFonts w:cs="Times New Roman"/>
                      <w:szCs w:val="21"/>
                    </w:rPr>
                  </w:pPr>
                  <w:r>
                    <w:rPr>
                      <w:rFonts w:cs="Times New Roman"/>
                      <w:szCs w:val="21"/>
                    </w:rPr>
                    <w:t>合计</w:t>
                  </w:r>
                  <w:r>
                    <w:rPr>
                      <w:rFonts w:hint="eastAsia" w:cs="Times New Roman"/>
                      <w:szCs w:val="21"/>
                    </w:rPr>
                    <w:t>（</w:t>
                  </w:r>
                  <w:r>
                    <w:rPr>
                      <w:rFonts w:cs="Times New Roman"/>
                      <w:szCs w:val="21"/>
                    </w:rPr>
                    <w:t>t</w:t>
                  </w:r>
                  <w:r>
                    <w:rPr>
                      <w:rFonts w:hint="eastAsia"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pct"/>
                  <w:vAlign w:val="center"/>
                </w:tcPr>
                <w:p>
                  <w:pPr>
                    <w:jc w:val="center"/>
                    <w:rPr>
                      <w:szCs w:val="21"/>
                    </w:rPr>
                  </w:pPr>
                  <w:r>
                    <w:rPr>
                      <w:rFonts w:hint="eastAsia"/>
                      <w:szCs w:val="21"/>
                    </w:rPr>
                    <w:t>颗粒物</w:t>
                  </w:r>
                </w:p>
              </w:tc>
              <w:tc>
                <w:tcPr>
                  <w:tcW w:w="1312" w:type="pct"/>
                  <w:vAlign w:val="center"/>
                </w:tcPr>
                <w:p>
                  <w:pPr>
                    <w:widowControl/>
                    <w:jc w:val="center"/>
                    <w:rPr>
                      <w:rFonts w:cs="Times New Roman"/>
                      <w:szCs w:val="21"/>
                    </w:rPr>
                  </w:pPr>
                  <w:r>
                    <w:rPr>
                      <w:rFonts w:hint="eastAsia" w:cs="Times New Roman"/>
                      <w:szCs w:val="21"/>
                    </w:rPr>
                    <w:t>0.692</w:t>
                  </w:r>
                </w:p>
              </w:tc>
              <w:tc>
                <w:tcPr>
                  <w:tcW w:w="1312" w:type="pct"/>
                  <w:vAlign w:val="center"/>
                </w:tcPr>
                <w:p>
                  <w:pPr>
                    <w:jc w:val="center"/>
                    <w:rPr>
                      <w:rFonts w:cs="Times New Roman"/>
                      <w:szCs w:val="21"/>
                    </w:rPr>
                  </w:pPr>
                  <w:r>
                    <w:rPr>
                      <w:rFonts w:hint="eastAsia" w:cs="Times New Roman"/>
                      <w:szCs w:val="21"/>
                    </w:rPr>
                    <w:t>0.725</w:t>
                  </w:r>
                </w:p>
              </w:tc>
              <w:tc>
                <w:tcPr>
                  <w:tcW w:w="1310" w:type="pct"/>
                  <w:vAlign w:val="center"/>
                </w:tcPr>
                <w:p>
                  <w:pPr>
                    <w:jc w:val="center"/>
                    <w:rPr>
                      <w:rFonts w:cs="Times New Roman"/>
                      <w:szCs w:val="21"/>
                    </w:rPr>
                  </w:pPr>
                  <w:r>
                    <w:rPr>
                      <w:rFonts w:hint="eastAsia" w:cs="Times New Roman"/>
                      <w:szCs w:val="21"/>
                    </w:rPr>
                    <w:t>1.417</w:t>
                  </w:r>
                </w:p>
              </w:tc>
            </w:tr>
          </w:tbl>
          <w:p>
            <w:pPr>
              <w:spacing w:line="360" w:lineRule="auto"/>
              <w:ind w:firstLine="482" w:firstLineChars="200"/>
              <w:rPr>
                <w:b/>
                <w:sz w:val="24"/>
                <w:szCs w:val="24"/>
              </w:rPr>
            </w:pPr>
            <w:r>
              <w:rPr>
                <w:rFonts w:hint="eastAsia"/>
                <w:b/>
                <w:sz w:val="24"/>
                <w:szCs w:val="24"/>
              </w:rPr>
              <w:t>（</w:t>
            </w:r>
            <w:r>
              <w:rPr>
                <w:b/>
                <w:sz w:val="24"/>
                <w:szCs w:val="24"/>
              </w:rPr>
              <w:t>4</w:t>
            </w:r>
            <w:r>
              <w:rPr>
                <w:rFonts w:hint="eastAsia"/>
                <w:b/>
                <w:sz w:val="24"/>
                <w:szCs w:val="24"/>
              </w:rPr>
              <w:t>）非正常排放源分析</w:t>
            </w:r>
          </w:p>
          <w:p>
            <w:pPr>
              <w:spacing w:line="360" w:lineRule="auto"/>
              <w:ind w:firstLine="482" w:firstLineChars="200"/>
              <w:rPr>
                <w:rFonts w:cs="Times New Roman"/>
                <w:b/>
                <w:bCs/>
                <w:sz w:val="24"/>
                <w:szCs w:val="24"/>
              </w:rPr>
            </w:pPr>
            <w:r>
              <w:rPr>
                <w:rFonts w:hint="eastAsia" w:cs="Times New Roman"/>
                <w:b/>
                <w:bCs/>
                <w:sz w:val="24"/>
                <w:szCs w:val="24"/>
              </w:rPr>
              <w:t>1）非正常排放情形</w:t>
            </w:r>
          </w:p>
          <w:p>
            <w:pPr>
              <w:spacing w:line="360" w:lineRule="auto"/>
              <w:ind w:firstLine="480" w:firstLineChars="200"/>
              <w:rPr>
                <w:b/>
                <w:bCs/>
                <w:sz w:val="24"/>
                <w:szCs w:val="24"/>
              </w:rPr>
            </w:pPr>
            <w:r>
              <w:rPr>
                <w:rFonts w:hint="eastAsia"/>
                <w:sz w:val="24"/>
                <w:szCs w:val="24"/>
              </w:rPr>
              <w:t>非正常排放是指生产过程中开停工、设备检修、工艺设备运转异常等非正常工况下的污染物排放，以及污染物排放控制措施达不到应有效率等情况下的排放。根据工艺设备运行分析，项目可能发生的非正常排放主要为袋式除尘器故障：袋式除尘器正常情况下，滤袋可在检修时按使用周期成批或根据滤袋破损情况更换，由厂商回收处置。根据同类型企业运营经验，袋式除尘器发生故障时，对颗粒物的去除效率会下降至90%，平均每次持续时间1h，每年不超过2次。</w:t>
            </w:r>
          </w:p>
          <w:p>
            <w:pPr>
              <w:spacing w:line="360" w:lineRule="auto"/>
              <w:ind w:firstLine="482" w:firstLineChars="200"/>
              <w:rPr>
                <w:b/>
                <w:sz w:val="24"/>
                <w:szCs w:val="24"/>
              </w:rPr>
            </w:pPr>
            <w:r>
              <w:rPr>
                <w:rFonts w:hint="eastAsia"/>
                <w:b/>
                <w:sz w:val="24"/>
                <w:szCs w:val="24"/>
              </w:rPr>
              <w:t>2）非正常排放源核算</w:t>
            </w:r>
          </w:p>
          <w:p>
            <w:pPr>
              <w:spacing w:line="360" w:lineRule="auto"/>
              <w:ind w:firstLine="480" w:firstLineChars="200"/>
              <w:rPr>
                <w:sz w:val="24"/>
                <w:szCs w:val="24"/>
              </w:rPr>
            </w:pPr>
            <w:r>
              <w:rPr>
                <w:rFonts w:hint="eastAsia"/>
                <w:sz w:val="24"/>
                <w:szCs w:val="24"/>
              </w:rPr>
              <w:t>根据分析，项目非正常排放源核算结果见下表。</w:t>
            </w:r>
          </w:p>
          <w:p>
            <w:pPr>
              <w:spacing w:line="360" w:lineRule="auto"/>
              <w:jc w:val="center"/>
              <w:rPr>
                <w:rFonts w:eastAsia="黑体" w:cstheme="minorHAnsi"/>
                <w:szCs w:val="21"/>
              </w:rPr>
            </w:pPr>
            <w:r>
              <w:rPr>
                <w:rFonts w:hint="eastAsia" w:eastAsia="黑体" w:cstheme="minorHAnsi"/>
                <w:szCs w:val="21"/>
              </w:rPr>
              <w:t>表</w:t>
            </w:r>
            <w:r>
              <w:rPr>
                <w:rFonts w:eastAsia="黑体" w:cstheme="minorHAnsi"/>
                <w:szCs w:val="21"/>
              </w:rPr>
              <w:t>4</w:t>
            </w:r>
            <w:r>
              <w:rPr>
                <w:rFonts w:hint="eastAsia" w:eastAsia="黑体" w:cstheme="minorHAnsi"/>
                <w:szCs w:val="21"/>
              </w:rPr>
              <w:t>-</w:t>
            </w:r>
            <w:r>
              <w:rPr>
                <w:rFonts w:eastAsia="黑体" w:cstheme="minorHAnsi"/>
                <w:szCs w:val="21"/>
              </w:rPr>
              <w:t>1</w:t>
            </w:r>
            <w:r>
              <w:rPr>
                <w:rFonts w:hint="eastAsia" w:eastAsia="黑体" w:cstheme="minorHAnsi"/>
                <w:szCs w:val="21"/>
              </w:rPr>
              <w:t>3</w:t>
            </w:r>
            <w:r>
              <w:rPr>
                <w:rFonts w:eastAsia="黑体" w:cstheme="minorHAnsi"/>
                <w:szCs w:val="21"/>
              </w:rPr>
              <w:t xml:space="preserve">  </w:t>
            </w:r>
            <w:r>
              <w:rPr>
                <w:rFonts w:hint="eastAsia" w:eastAsia="黑体" w:cstheme="minorHAnsi"/>
                <w:szCs w:val="21"/>
              </w:rPr>
              <w:t>非正常排放源强核算表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2546"/>
              <w:gridCol w:w="1198"/>
              <w:gridCol w:w="1627"/>
              <w:gridCol w:w="1396"/>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blHeader/>
                <w:jc w:val="center"/>
              </w:trPr>
              <w:tc>
                <w:tcPr>
                  <w:tcW w:w="651" w:type="pct"/>
                  <w:shd w:val="clear" w:color="auto" w:fill="auto"/>
                  <w:vAlign w:val="center"/>
                </w:tcPr>
                <w:p>
                  <w:pPr>
                    <w:jc w:val="center"/>
                    <w:rPr>
                      <w:rFonts w:cstheme="minorHAnsi"/>
                      <w:szCs w:val="21"/>
                    </w:rPr>
                  </w:pPr>
                  <w:r>
                    <w:rPr>
                      <w:rFonts w:cstheme="minorHAnsi"/>
                      <w:szCs w:val="21"/>
                    </w:rPr>
                    <w:t>非正常排放源</w:t>
                  </w:r>
                </w:p>
              </w:tc>
              <w:tc>
                <w:tcPr>
                  <w:tcW w:w="1390" w:type="pct"/>
                  <w:shd w:val="clear" w:color="auto" w:fill="auto"/>
                  <w:vAlign w:val="center"/>
                </w:tcPr>
                <w:p>
                  <w:pPr>
                    <w:jc w:val="center"/>
                    <w:rPr>
                      <w:rFonts w:cstheme="minorHAnsi"/>
                      <w:szCs w:val="21"/>
                    </w:rPr>
                  </w:pPr>
                  <w:r>
                    <w:rPr>
                      <w:rFonts w:hint="eastAsia" w:cstheme="minorHAnsi"/>
                      <w:szCs w:val="21"/>
                    </w:rPr>
                    <w:t>非</w:t>
                  </w:r>
                  <w:r>
                    <w:rPr>
                      <w:rFonts w:cstheme="minorHAnsi"/>
                      <w:szCs w:val="21"/>
                    </w:rPr>
                    <w:t>正常排放原因</w:t>
                  </w:r>
                </w:p>
              </w:tc>
              <w:tc>
                <w:tcPr>
                  <w:tcW w:w="654" w:type="pct"/>
                  <w:vAlign w:val="center"/>
                </w:tcPr>
                <w:p>
                  <w:pPr>
                    <w:jc w:val="center"/>
                    <w:rPr>
                      <w:rFonts w:cstheme="minorHAnsi"/>
                      <w:szCs w:val="21"/>
                    </w:rPr>
                  </w:pPr>
                  <w:r>
                    <w:rPr>
                      <w:rFonts w:cstheme="minorHAnsi"/>
                      <w:szCs w:val="21"/>
                    </w:rPr>
                    <w:t>污染因子</w:t>
                  </w:r>
                </w:p>
              </w:tc>
              <w:tc>
                <w:tcPr>
                  <w:tcW w:w="888" w:type="pct"/>
                  <w:shd w:val="clear" w:color="auto" w:fill="auto"/>
                  <w:vAlign w:val="center"/>
                </w:tcPr>
                <w:p>
                  <w:pPr>
                    <w:jc w:val="center"/>
                    <w:rPr>
                      <w:rFonts w:cstheme="minorHAnsi"/>
                      <w:szCs w:val="21"/>
                    </w:rPr>
                  </w:pPr>
                  <w:r>
                    <w:rPr>
                      <w:rFonts w:cstheme="minorHAnsi"/>
                      <w:szCs w:val="21"/>
                    </w:rPr>
                    <w:t>非正常排放速率</w:t>
                  </w:r>
                  <w:r>
                    <w:rPr>
                      <w:rFonts w:hint="eastAsia" w:cstheme="minorHAnsi"/>
                      <w:szCs w:val="21"/>
                    </w:rPr>
                    <w:t>（kg</w:t>
                  </w:r>
                  <w:r>
                    <w:rPr>
                      <w:rFonts w:cstheme="minorHAnsi"/>
                      <w:szCs w:val="21"/>
                    </w:rPr>
                    <w:t>/h</w:t>
                  </w:r>
                  <w:r>
                    <w:rPr>
                      <w:rFonts w:hint="eastAsia" w:cstheme="minorHAnsi"/>
                      <w:szCs w:val="21"/>
                    </w:rPr>
                    <w:t>）</w:t>
                  </w:r>
                </w:p>
              </w:tc>
              <w:tc>
                <w:tcPr>
                  <w:tcW w:w="762" w:type="pct"/>
                  <w:shd w:val="clear" w:color="auto" w:fill="auto"/>
                  <w:vAlign w:val="center"/>
                </w:tcPr>
                <w:p>
                  <w:pPr>
                    <w:jc w:val="center"/>
                    <w:rPr>
                      <w:rFonts w:cstheme="minorHAnsi"/>
                      <w:szCs w:val="21"/>
                    </w:rPr>
                  </w:pPr>
                  <w:r>
                    <w:rPr>
                      <w:rFonts w:cstheme="minorHAnsi"/>
                      <w:szCs w:val="21"/>
                    </w:rPr>
                    <w:t>单次持续时间</w:t>
                  </w:r>
                  <w:r>
                    <w:rPr>
                      <w:rFonts w:hint="eastAsia" w:cstheme="minorHAnsi"/>
                      <w:szCs w:val="21"/>
                    </w:rPr>
                    <w:t>（</w:t>
                  </w:r>
                  <w:r>
                    <w:rPr>
                      <w:rFonts w:cstheme="minorHAnsi"/>
                      <w:szCs w:val="21"/>
                    </w:rPr>
                    <w:t>h</w:t>
                  </w:r>
                  <w:r>
                    <w:rPr>
                      <w:rFonts w:hint="eastAsia" w:cstheme="minorHAnsi"/>
                      <w:szCs w:val="21"/>
                    </w:rPr>
                    <w:t>）</w:t>
                  </w:r>
                </w:p>
              </w:tc>
              <w:tc>
                <w:tcPr>
                  <w:tcW w:w="655" w:type="pct"/>
                  <w:shd w:val="clear" w:color="auto" w:fill="auto"/>
                  <w:vAlign w:val="center"/>
                </w:tcPr>
                <w:p>
                  <w:pPr>
                    <w:jc w:val="center"/>
                    <w:rPr>
                      <w:rFonts w:cstheme="minorHAnsi"/>
                      <w:szCs w:val="21"/>
                    </w:rPr>
                  </w:pPr>
                  <w:r>
                    <w:rPr>
                      <w:rFonts w:cstheme="minorHAnsi"/>
                      <w:szCs w:val="21"/>
                    </w:rPr>
                    <w:t>年发生频次</w:t>
                  </w:r>
                  <w:r>
                    <w:rPr>
                      <w:rFonts w:hint="eastAsia" w:cstheme="minorHAnsi"/>
                      <w:szCs w:val="21"/>
                    </w:rPr>
                    <w:t>（</w:t>
                  </w:r>
                  <w:r>
                    <w:rPr>
                      <w:rFonts w:cstheme="minorHAnsi"/>
                      <w:szCs w:val="21"/>
                    </w:rPr>
                    <w:t>次</w:t>
                  </w:r>
                  <w:r>
                    <w:rPr>
                      <w:rFonts w:hint="eastAsia" w:cstheme="minorHAns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shd w:val="clear" w:color="auto" w:fill="auto"/>
                  <w:vAlign w:val="center"/>
                </w:tcPr>
                <w:p>
                  <w:pPr>
                    <w:jc w:val="center"/>
                    <w:rPr>
                      <w:rFonts w:cstheme="minorHAnsi"/>
                      <w:szCs w:val="21"/>
                    </w:rPr>
                  </w:pPr>
                  <w:r>
                    <w:rPr>
                      <w:rFonts w:hint="eastAsia" w:cs="Times New Roman"/>
                      <w:szCs w:val="21"/>
                    </w:rPr>
                    <w:t>DA</w:t>
                  </w:r>
                  <w:r>
                    <w:rPr>
                      <w:rFonts w:cs="Times New Roman"/>
                      <w:szCs w:val="21"/>
                    </w:rPr>
                    <w:t>151</w:t>
                  </w:r>
                </w:p>
              </w:tc>
              <w:tc>
                <w:tcPr>
                  <w:tcW w:w="1390" w:type="pct"/>
                  <w:vMerge w:val="restart"/>
                  <w:shd w:val="clear" w:color="auto" w:fill="auto"/>
                  <w:vAlign w:val="center"/>
                </w:tcPr>
                <w:p>
                  <w:pPr>
                    <w:jc w:val="center"/>
                    <w:rPr>
                      <w:rFonts w:cstheme="minorHAnsi"/>
                      <w:szCs w:val="21"/>
                    </w:rPr>
                  </w:pPr>
                  <w:r>
                    <w:rPr>
                      <w:rFonts w:hint="eastAsia" w:cstheme="minorHAnsi"/>
                      <w:szCs w:val="21"/>
                    </w:rPr>
                    <w:t>袋式除尘器故障，除尘效率降为90%</w:t>
                  </w:r>
                </w:p>
              </w:tc>
              <w:tc>
                <w:tcPr>
                  <w:tcW w:w="654" w:type="pct"/>
                  <w:vAlign w:val="center"/>
                </w:tcPr>
                <w:p>
                  <w:pPr>
                    <w:jc w:val="center"/>
                    <w:rPr>
                      <w:rFonts w:cstheme="minorHAnsi"/>
                      <w:szCs w:val="21"/>
                    </w:rPr>
                  </w:pPr>
                  <w:r>
                    <w:rPr>
                      <w:rFonts w:cstheme="minorHAnsi"/>
                      <w:szCs w:val="21"/>
                    </w:rPr>
                    <w:t>颗粒物</w:t>
                  </w:r>
                </w:p>
              </w:tc>
              <w:tc>
                <w:tcPr>
                  <w:tcW w:w="888" w:type="pct"/>
                  <w:shd w:val="clear" w:color="auto" w:fill="auto"/>
                  <w:vAlign w:val="center"/>
                </w:tcPr>
                <w:p>
                  <w:pPr>
                    <w:jc w:val="center"/>
                    <w:rPr>
                      <w:rFonts w:cstheme="minorHAnsi"/>
                      <w:szCs w:val="21"/>
                    </w:rPr>
                  </w:pPr>
                  <w:r>
                    <w:rPr>
                      <w:rFonts w:hint="eastAsia" w:cstheme="minorHAnsi"/>
                      <w:szCs w:val="21"/>
                    </w:rPr>
                    <w:t>2</w:t>
                  </w:r>
                  <w:r>
                    <w:rPr>
                      <w:rFonts w:cstheme="minorHAnsi"/>
                      <w:szCs w:val="21"/>
                    </w:rPr>
                    <w:t>5.425</w:t>
                  </w:r>
                </w:p>
              </w:tc>
              <w:tc>
                <w:tcPr>
                  <w:tcW w:w="762" w:type="pct"/>
                  <w:vMerge w:val="restart"/>
                  <w:shd w:val="clear" w:color="auto" w:fill="auto"/>
                  <w:vAlign w:val="center"/>
                </w:tcPr>
                <w:p>
                  <w:pPr>
                    <w:jc w:val="center"/>
                    <w:rPr>
                      <w:rFonts w:cstheme="minorHAnsi"/>
                      <w:szCs w:val="21"/>
                    </w:rPr>
                  </w:pPr>
                  <w:r>
                    <w:rPr>
                      <w:rFonts w:cstheme="minorHAnsi"/>
                      <w:szCs w:val="21"/>
                    </w:rPr>
                    <w:t>1</w:t>
                  </w:r>
                </w:p>
              </w:tc>
              <w:tc>
                <w:tcPr>
                  <w:tcW w:w="655" w:type="pct"/>
                  <w:vMerge w:val="restart"/>
                  <w:shd w:val="clear" w:color="auto" w:fill="auto"/>
                  <w:vAlign w:val="center"/>
                </w:tcPr>
                <w:p>
                  <w:pPr>
                    <w:jc w:val="center"/>
                    <w:rPr>
                      <w:rFonts w:cstheme="minorHAnsi"/>
                      <w:szCs w:val="21"/>
                    </w:rPr>
                  </w:pPr>
                  <w:r>
                    <w:rPr>
                      <w:rFonts w:cstheme="minorHAnsi"/>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shd w:val="clear" w:color="auto" w:fill="auto"/>
                  <w:vAlign w:val="center"/>
                </w:tcPr>
                <w:p>
                  <w:pPr>
                    <w:jc w:val="center"/>
                    <w:rPr>
                      <w:rFonts w:cstheme="minorHAnsi"/>
                      <w:szCs w:val="21"/>
                    </w:rPr>
                  </w:pPr>
                  <w:r>
                    <w:rPr>
                      <w:rFonts w:hint="eastAsia" w:cs="Times New Roman"/>
                      <w:szCs w:val="21"/>
                    </w:rPr>
                    <w:t>DA</w:t>
                  </w:r>
                  <w:r>
                    <w:rPr>
                      <w:rFonts w:cs="Times New Roman"/>
                      <w:szCs w:val="21"/>
                    </w:rPr>
                    <w:t>152</w:t>
                  </w:r>
                </w:p>
              </w:tc>
              <w:tc>
                <w:tcPr>
                  <w:tcW w:w="1390" w:type="pct"/>
                  <w:vMerge w:val="continue"/>
                  <w:shd w:val="clear" w:color="auto" w:fill="auto"/>
                  <w:vAlign w:val="center"/>
                </w:tcPr>
                <w:p>
                  <w:pPr>
                    <w:jc w:val="center"/>
                    <w:rPr>
                      <w:rFonts w:cstheme="minorHAnsi"/>
                      <w:szCs w:val="21"/>
                    </w:rPr>
                  </w:pPr>
                </w:p>
              </w:tc>
              <w:tc>
                <w:tcPr>
                  <w:tcW w:w="654" w:type="pct"/>
                </w:tcPr>
                <w:p>
                  <w:pPr>
                    <w:jc w:val="center"/>
                    <w:rPr>
                      <w:rFonts w:cstheme="minorHAnsi"/>
                      <w:szCs w:val="21"/>
                    </w:rPr>
                  </w:pPr>
                  <w:r>
                    <w:rPr>
                      <w:rFonts w:cstheme="minorHAnsi"/>
                      <w:szCs w:val="21"/>
                    </w:rPr>
                    <w:t>颗粒物</w:t>
                  </w:r>
                </w:p>
              </w:tc>
              <w:tc>
                <w:tcPr>
                  <w:tcW w:w="888" w:type="pct"/>
                  <w:shd w:val="clear" w:color="auto" w:fill="auto"/>
                  <w:vAlign w:val="center"/>
                </w:tcPr>
                <w:p>
                  <w:pPr>
                    <w:jc w:val="center"/>
                    <w:rPr>
                      <w:rFonts w:cstheme="minorHAnsi"/>
                      <w:szCs w:val="21"/>
                    </w:rPr>
                  </w:pPr>
                  <w:r>
                    <w:rPr>
                      <w:rFonts w:hint="eastAsia" w:cstheme="minorHAnsi"/>
                      <w:szCs w:val="21"/>
                    </w:rPr>
                    <w:t>1</w:t>
                  </w:r>
                  <w:r>
                    <w:rPr>
                      <w:rFonts w:cstheme="minorHAnsi"/>
                      <w:szCs w:val="21"/>
                    </w:rPr>
                    <w:t>.485</w:t>
                  </w:r>
                </w:p>
              </w:tc>
              <w:tc>
                <w:tcPr>
                  <w:tcW w:w="762" w:type="pct"/>
                  <w:vMerge w:val="continue"/>
                  <w:shd w:val="clear" w:color="auto" w:fill="auto"/>
                  <w:vAlign w:val="center"/>
                </w:tcPr>
                <w:p>
                  <w:pPr>
                    <w:jc w:val="center"/>
                    <w:rPr>
                      <w:rFonts w:cstheme="minorHAnsi"/>
                      <w:szCs w:val="21"/>
                    </w:rPr>
                  </w:pPr>
                </w:p>
              </w:tc>
              <w:tc>
                <w:tcPr>
                  <w:tcW w:w="655" w:type="pct"/>
                  <w:vMerge w:val="continue"/>
                  <w:shd w:val="clear" w:color="auto" w:fill="auto"/>
                  <w:vAlign w:val="center"/>
                </w:tcPr>
                <w:p>
                  <w:pPr>
                    <w:jc w:val="center"/>
                    <w:rPr>
                      <w:rFonts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shd w:val="clear" w:color="auto" w:fill="auto"/>
                  <w:vAlign w:val="center"/>
                </w:tcPr>
                <w:p>
                  <w:pPr>
                    <w:jc w:val="center"/>
                    <w:rPr>
                      <w:rFonts w:cstheme="minorHAnsi"/>
                      <w:szCs w:val="21"/>
                    </w:rPr>
                  </w:pPr>
                  <w:r>
                    <w:rPr>
                      <w:rFonts w:cs="Times New Roman"/>
                      <w:szCs w:val="21"/>
                    </w:rPr>
                    <w:t>DA115</w:t>
                  </w:r>
                </w:p>
              </w:tc>
              <w:tc>
                <w:tcPr>
                  <w:tcW w:w="1390" w:type="pct"/>
                  <w:vMerge w:val="continue"/>
                  <w:shd w:val="clear" w:color="auto" w:fill="auto"/>
                  <w:vAlign w:val="center"/>
                </w:tcPr>
                <w:p>
                  <w:pPr>
                    <w:jc w:val="center"/>
                    <w:rPr>
                      <w:rFonts w:cstheme="minorHAnsi"/>
                      <w:szCs w:val="21"/>
                    </w:rPr>
                  </w:pPr>
                </w:p>
              </w:tc>
              <w:tc>
                <w:tcPr>
                  <w:tcW w:w="654" w:type="pct"/>
                </w:tcPr>
                <w:p>
                  <w:pPr>
                    <w:jc w:val="center"/>
                    <w:rPr>
                      <w:rFonts w:cstheme="minorHAnsi"/>
                      <w:szCs w:val="21"/>
                    </w:rPr>
                  </w:pPr>
                  <w:r>
                    <w:rPr>
                      <w:rFonts w:cstheme="minorHAnsi"/>
                      <w:szCs w:val="21"/>
                    </w:rPr>
                    <w:t>颗粒物</w:t>
                  </w:r>
                </w:p>
              </w:tc>
              <w:tc>
                <w:tcPr>
                  <w:tcW w:w="888" w:type="pct"/>
                  <w:shd w:val="clear" w:color="auto" w:fill="auto"/>
                  <w:vAlign w:val="center"/>
                </w:tcPr>
                <w:p>
                  <w:pPr>
                    <w:jc w:val="center"/>
                    <w:rPr>
                      <w:rFonts w:cstheme="minorHAnsi"/>
                      <w:szCs w:val="21"/>
                    </w:rPr>
                  </w:pPr>
                  <w:r>
                    <w:rPr>
                      <w:rFonts w:cs="Times New Roman"/>
                      <w:szCs w:val="21"/>
                    </w:rPr>
                    <w:t>1.650</w:t>
                  </w:r>
                </w:p>
              </w:tc>
              <w:tc>
                <w:tcPr>
                  <w:tcW w:w="762" w:type="pct"/>
                  <w:vMerge w:val="continue"/>
                  <w:shd w:val="clear" w:color="auto" w:fill="auto"/>
                  <w:vAlign w:val="center"/>
                </w:tcPr>
                <w:p>
                  <w:pPr>
                    <w:jc w:val="center"/>
                    <w:rPr>
                      <w:rFonts w:cstheme="minorHAnsi"/>
                      <w:szCs w:val="21"/>
                    </w:rPr>
                  </w:pPr>
                </w:p>
              </w:tc>
              <w:tc>
                <w:tcPr>
                  <w:tcW w:w="655" w:type="pct"/>
                  <w:vMerge w:val="continue"/>
                  <w:shd w:val="clear" w:color="auto" w:fill="auto"/>
                  <w:vAlign w:val="center"/>
                </w:tcPr>
                <w:p>
                  <w:pPr>
                    <w:jc w:val="center"/>
                    <w:rPr>
                      <w:rFonts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shd w:val="clear" w:color="auto" w:fill="auto"/>
                  <w:vAlign w:val="center"/>
                </w:tcPr>
                <w:p>
                  <w:pPr>
                    <w:jc w:val="center"/>
                    <w:rPr>
                      <w:rFonts w:cstheme="minorHAnsi"/>
                      <w:szCs w:val="21"/>
                    </w:rPr>
                  </w:pPr>
                  <w:r>
                    <w:rPr>
                      <w:rFonts w:cs="Times New Roman"/>
                      <w:szCs w:val="21"/>
                    </w:rPr>
                    <w:t>DA090</w:t>
                  </w:r>
                </w:p>
              </w:tc>
              <w:tc>
                <w:tcPr>
                  <w:tcW w:w="1390" w:type="pct"/>
                  <w:vMerge w:val="continue"/>
                  <w:shd w:val="clear" w:color="auto" w:fill="auto"/>
                  <w:vAlign w:val="center"/>
                </w:tcPr>
                <w:p>
                  <w:pPr>
                    <w:jc w:val="center"/>
                    <w:rPr>
                      <w:rFonts w:cstheme="minorHAnsi"/>
                      <w:szCs w:val="21"/>
                    </w:rPr>
                  </w:pPr>
                </w:p>
              </w:tc>
              <w:tc>
                <w:tcPr>
                  <w:tcW w:w="654" w:type="pct"/>
                </w:tcPr>
                <w:p>
                  <w:pPr>
                    <w:jc w:val="center"/>
                    <w:rPr>
                      <w:rFonts w:cstheme="minorHAnsi"/>
                      <w:szCs w:val="21"/>
                    </w:rPr>
                  </w:pPr>
                  <w:r>
                    <w:rPr>
                      <w:rFonts w:cstheme="minorHAnsi"/>
                      <w:szCs w:val="21"/>
                    </w:rPr>
                    <w:t>颗粒物</w:t>
                  </w:r>
                </w:p>
              </w:tc>
              <w:tc>
                <w:tcPr>
                  <w:tcW w:w="888" w:type="pct"/>
                  <w:shd w:val="clear" w:color="auto" w:fill="auto"/>
                  <w:vAlign w:val="center"/>
                </w:tcPr>
                <w:p>
                  <w:pPr>
                    <w:jc w:val="center"/>
                    <w:rPr>
                      <w:rFonts w:cstheme="minorHAnsi"/>
                      <w:szCs w:val="21"/>
                    </w:rPr>
                  </w:pPr>
                  <w:r>
                    <w:rPr>
                      <w:rFonts w:cs="Times New Roman"/>
                      <w:szCs w:val="21"/>
                    </w:rPr>
                    <w:t>1.898</w:t>
                  </w:r>
                </w:p>
              </w:tc>
              <w:tc>
                <w:tcPr>
                  <w:tcW w:w="762" w:type="pct"/>
                  <w:vMerge w:val="continue"/>
                  <w:shd w:val="clear" w:color="auto" w:fill="auto"/>
                  <w:vAlign w:val="center"/>
                </w:tcPr>
                <w:p>
                  <w:pPr>
                    <w:jc w:val="center"/>
                    <w:rPr>
                      <w:rFonts w:cstheme="minorHAnsi"/>
                      <w:szCs w:val="21"/>
                    </w:rPr>
                  </w:pPr>
                </w:p>
              </w:tc>
              <w:tc>
                <w:tcPr>
                  <w:tcW w:w="655" w:type="pct"/>
                  <w:vMerge w:val="continue"/>
                  <w:shd w:val="clear" w:color="auto" w:fill="auto"/>
                  <w:vAlign w:val="center"/>
                </w:tcPr>
                <w:p>
                  <w:pPr>
                    <w:jc w:val="center"/>
                    <w:rPr>
                      <w:rFonts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shd w:val="clear" w:color="auto" w:fill="auto"/>
                  <w:vAlign w:val="center"/>
                </w:tcPr>
                <w:p>
                  <w:pPr>
                    <w:jc w:val="center"/>
                    <w:rPr>
                      <w:rFonts w:cstheme="minorHAnsi"/>
                      <w:szCs w:val="21"/>
                    </w:rPr>
                  </w:pPr>
                  <w:r>
                    <w:rPr>
                      <w:rFonts w:cs="Times New Roman"/>
                      <w:szCs w:val="21"/>
                    </w:rPr>
                    <w:t>DA097</w:t>
                  </w:r>
                </w:p>
              </w:tc>
              <w:tc>
                <w:tcPr>
                  <w:tcW w:w="1390" w:type="pct"/>
                  <w:vMerge w:val="continue"/>
                  <w:shd w:val="clear" w:color="auto" w:fill="auto"/>
                  <w:vAlign w:val="center"/>
                </w:tcPr>
                <w:p>
                  <w:pPr>
                    <w:jc w:val="center"/>
                    <w:rPr>
                      <w:rFonts w:cstheme="minorHAnsi"/>
                      <w:szCs w:val="21"/>
                    </w:rPr>
                  </w:pPr>
                </w:p>
              </w:tc>
              <w:tc>
                <w:tcPr>
                  <w:tcW w:w="654" w:type="pct"/>
                </w:tcPr>
                <w:p>
                  <w:pPr>
                    <w:jc w:val="center"/>
                    <w:rPr>
                      <w:rFonts w:cstheme="minorHAnsi"/>
                      <w:szCs w:val="21"/>
                    </w:rPr>
                  </w:pPr>
                  <w:r>
                    <w:rPr>
                      <w:rFonts w:cstheme="minorHAnsi"/>
                      <w:szCs w:val="21"/>
                    </w:rPr>
                    <w:t>颗粒物</w:t>
                  </w:r>
                </w:p>
              </w:tc>
              <w:tc>
                <w:tcPr>
                  <w:tcW w:w="888" w:type="pct"/>
                  <w:shd w:val="clear" w:color="auto" w:fill="auto"/>
                  <w:vAlign w:val="center"/>
                </w:tcPr>
                <w:p>
                  <w:pPr>
                    <w:jc w:val="center"/>
                    <w:rPr>
                      <w:rFonts w:cstheme="minorHAnsi"/>
                      <w:szCs w:val="21"/>
                    </w:rPr>
                  </w:pPr>
                  <w:r>
                    <w:rPr>
                      <w:rFonts w:cs="Times New Roman"/>
                      <w:szCs w:val="21"/>
                    </w:rPr>
                    <w:t>1.955</w:t>
                  </w:r>
                </w:p>
              </w:tc>
              <w:tc>
                <w:tcPr>
                  <w:tcW w:w="762" w:type="pct"/>
                  <w:vMerge w:val="continue"/>
                  <w:shd w:val="clear" w:color="auto" w:fill="auto"/>
                  <w:vAlign w:val="center"/>
                </w:tcPr>
                <w:p>
                  <w:pPr>
                    <w:jc w:val="center"/>
                    <w:rPr>
                      <w:rFonts w:cstheme="minorHAnsi"/>
                      <w:szCs w:val="21"/>
                    </w:rPr>
                  </w:pPr>
                </w:p>
              </w:tc>
              <w:tc>
                <w:tcPr>
                  <w:tcW w:w="655" w:type="pct"/>
                  <w:vMerge w:val="continue"/>
                  <w:shd w:val="clear" w:color="auto" w:fill="auto"/>
                  <w:vAlign w:val="center"/>
                </w:tcPr>
                <w:p>
                  <w:pPr>
                    <w:jc w:val="center"/>
                    <w:rPr>
                      <w:rFonts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651" w:type="pct"/>
                  <w:shd w:val="clear" w:color="auto" w:fill="auto"/>
                  <w:vAlign w:val="center"/>
                </w:tcPr>
                <w:p>
                  <w:pPr>
                    <w:jc w:val="center"/>
                    <w:rPr>
                      <w:rFonts w:cstheme="minorHAnsi"/>
                      <w:szCs w:val="21"/>
                    </w:rPr>
                  </w:pPr>
                  <w:r>
                    <w:rPr>
                      <w:rFonts w:cs="Times New Roman"/>
                      <w:szCs w:val="21"/>
                    </w:rPr>
                    <w:t>DA</w:t>
                  </w:r>
                  <w:r>
                    <w:rPr>
                      <w:rFonts w:hint="eastAsia" w:cs="Times New Roman"/>
                      <w:szCs w:val="21"/>
                    </w:rPr>
                    <w:t>153</w:t>
                  </w:r>
                </w:p>
              </w:tc>
              <w:tc>
                <w:tcPr>
                  <w:tcW w:w="1390" w:type="pct"/>
                  <w:vMerge w:val="continue"/>
                  <w:shd w:val="clear" w:color="auto" w:fill="auto"/>
                  <w:vAlign w:val="center"/>
                </w:tcPr>
                <w:p>
                  <w:pPr>
                    <w:jc w:val="center"/>
                    <w:rPr>
                      <w:rFonts w:cstheme="minorHAnsi"/>
                      <w:szCs w:val="21"/>
                    </w:rPr>
                  </w:pPr>
                </w:p>
              </w:tc>
              <w:tc>
                <w:tcPr>
                  <w:tcW w:w="654" w:type="pct"/>
                </w:tcPr>
                <w:p>
                  <w:pPr>
                    <w:jc w:val="center"/>
                    <w:rPr>
                      <w:rFonts w:cstheme="minorHAnsi"/>
                      <w:szCs w:val="21"/>
                    </w:rPr>
                  </w:pPr>
                  <w:r>
                    <w:rPr>
                      <w:rFonts w:cstheme="minorHAnsi"/>
                      <w:szCs w:val="21"/>
                    </w:rPr>
                    <w:t>颗粒物</w:t>
                  </w:r>
                </w:p>
              </w:tc>
              <w:tc>
                <w:tcPr>
                  <w:tcW w:w="888" w:type="pct"/>
                  <w:shd w:val="clear" w:color="auto" w:fill="auto"/>
                  <w:vAlign w:val="center"/>
                </w:tcPr>
                <w:p>
                  <w:pPr>
                    <w:jc w:val="center"/>
                    <w:rPr>
                      <w:rFonts w:cstheme="minorHAnsi"/>
                      <w:szCs w:val="21"/>
                    </w:rPr>
                  </w:pPr>
                  <w:r>
                    <w:rPr>
                      <w:rFonts w:cs="Times New Roman"/>
                      <w:szCs w:val="21"/>
                    </w:rPr>
                    <w:t>1.898</w:t>
                  </w:r>
                </w:p>
              </w:tc>
              <w:tc>
                <w:tcPr>
                  <w:tcW w:w="762" w:type="pct"/>
                  <w:vMerge w:val="continue"/>
                  <w:shd w:val="clear" w:color="auto" w:fill="auto"/>
                  <w:vAlign w:val="center"/>
                </w:tcPr>
                <w:p>
                  <w:pPr>
                    <w:jc w:val="center"/>
                    <w:rPr>
                      <w:rFonts w:cstheme="minorHAnsi"/>
                      <w:szCs w:val="21"/>
                    </w:rPr>
                  </w:pPr>
                </w:p>
              </w:tc>
              <w:tc>
                <w:tcPr>
                  <w:tcW w:w="655" w:type="pct"/>
                  <w:vMerge w:val="continue"/>
                  <w:shd w:val="clear" w:color="auto" w:fill="auto"/>
                  <w:vAlign w:val="center"/>
                </w:tcPr>
                <w:p>
                  <w:pPr>
                    <w:jc w:val="center"/>
                    <w:rPr>
                      <w:rFonts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shd w:val="clear" w:color="auto" w:fill="auto"/>
                  <w:vAlign w:val="center"/>
                </w:tcPr>
                <w:p>
                  <w:pPr>
                    <w:jc w:val="center"/>
                    <w:rPr>
                      <w:rFonts w:cstheme="minorHAnsi"/>
                      <w:szCs w:val="21"/>
                    </w:rPr>
                  </w:pPr>
                  <w:r>
                    <w:rPr>
                      <w:rFonts w:cs="Times New Roman"/>
                      <w:szCs w:val="21"/>
                    </w:rPr>
                    <w:t>DA</w:t>
                  </w:r>
                  <w:r>
                    <w:rPr>
                      <w:rFonts w:hint="eastAsia" w:cs="Times New Roman"/>
                      <w:szCs w:val="21"/>
                    </w:rPr>
                    <w:t>154</w:t>
                  </w:r>
                </w:p>
              </w:tc>
              <w:tc>
                <w:tcPr>
                  <w:tcW w:w="1390" w:type="pct"/>
                  <w:vMerge w:val="continue"/>
                  <w:shd w:val="clear" w:color="auto" w:fill="auto"/>
                  <w:vAlign w:val="center"/>
                </w:tcPr>
                <w:p>
                  <w:pPr>
                    <w:jc w:val="center"/>
                    <w:rPr>
                      <w:rFonts w:cstheme="minorHAnsi"/>
                      <w:szCs w:val="21"/>
                    </w:rPr>
                  </w:pPr>
                </w:p>
              </w:tc>
              <w:tc>
                <w:tcPr>
                  <w:tcW w:w="654" w:type="pct"/>
                </w:tcPr>
                <w:p>
                  <w:pPr>
                    <w:jc w:val="center"/>
                    <w:rPr>
                      <w:rFonts w:cstheme="minorHAnsi"/>
                      <w:szCs w:val="21"/>
                    </w:rPr>
                  </w:pPr>
                  <w:r>
                    <w:rPr>
                      <w:rFonts w:cstheme="minorHAnsi"/>
                      <w:szCs w:val="21"/>
                    </w:rPr>
                    <w:t>颗粒物</w:t>
                  </w:r>
                </w:p>
              </w:tc>
              <w:tc>
                <w:tcPr>
                  <w:tcW w:w="888" w:type="pct"/>
                  <w:shd w:val="clear" w:color="auto" w:fill="auto"/>
                  <w:vAlign w:val="center"/>
                </w:tcPr>
                <w:p>
                  <w:pPr>
                    <w:jc w:val="center"/>
                    <w:rPr>
                      <w:rFonts w:cstheme="minorHAnsi"/>
                      <w:szCs w:val="21"/>
                    </w:rPr>
                  </w:pPr>
                  <w:r>
                    <w:rPr>
                      <w:rFonts w:cs="Times New Roman"/>
                      <w:szCs w:val="21"/>
                    </w:rPr>
                    <w:t>1.725</w:t>
                  </w:r>
                </w:p>
              </w:tc>
              <w:tc>
                <w:tcPr>
                  <w:tcW w:w="762" w:type="pct"/>
                  <w:vMerge w:val="continue"/>
                  <w:shd w:val="clear" w:color="auto" w:fill="auto"/>
                  <w:vAlign w:val="center"/>
                </w:tcPr>
                <w:p>
                  <w:pPr>
                    <w:jc w:val="center"/>
                    <w:rPr>
                      <w:rFonts w:cstheme="minorHAnsi"/>
                      <w:szCs w:val="21"/>
                    </w:rPr>
                  </w:pPr>
                </w:p>
              </w:tc>
              <w:tc>
                <w:tcPr>
                  <w:tcW w:w="655" w:type="pct"/>
                  <w:vMerge w:val="continue"/>
                  <w:shd w:val="clear" w:color="auto" w:fill="auto"/>
                  <w:vAlign w:val="center"/>
                </w:tcPr>
                <w:p>
                  <w:pPr>
                    <w:jc w:val="center"/>
                    <w:rPr>
                      <w:rFonts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shd w:val="clear" w:color="auto" w:fill="auto"/>
                  <w:vAlign w:val="center"/>
                </w:tcPr>
                <w:p>
                  <w:pPr>
                    <w:jc w:val="center"/>
                    <w:rPr>
                      <w:rFonts w:cstheme="minorHAnsi"/>
                      <w:szCs w:val="21"/>
                    </w:rPr>
                  </w:pPr>
                  <w:r>
                    <w:rPr>
                      <w:rFonts w:cs="Times New Roman"/>
                      <w:szCs w:val="21"/>
                    </w:rPr>
                    <w:t>DA155</w:t>
                  </w:r>
                </w:p>
              </w:tc>
              <w:tc>
                <w:tcPr>
                  <w:tcW w:w="1390" w:type="pct"/>
                  <w:vMerge w:val="continue"/>
                  <w:shd w:val="clear" w:color="auto" w:fill="auto"/>
                  <w:vAlign w:val="center"/>
                </w:tcPr>
                <w:p>
                  <w:pPr>
                    <w:jc w:val="center"/>
                    <w:rPr>
                      <w:rFonts w:cstheme="minorHAnsi"/>
                      <w:szCs w:val="21"/>
                    </w:rPr>
                  </w:pPr>
                </w:p>
              </w:tc>
              <w:tc>
                <w:tcPr>
                  <w:tcW w:w="654" w:type="pct"/>
                </w:tcPr>
                <w:p>
                  <w:pPr>
                    <w:jc w:val="center"/>
                    <w:rPr>
                      <w:rFonts w:cstheme="minorHAnsi"/>
                      <w:szCs w:val="21"/>
                    </w:rPr>
                  </w:pPr>
                  <w:r>
                    <w:rPr>
                      <w:rFonts w:cstheme="minorHAnsi"/>
                      <w:szCs w:val="21"/>
                    </w:rPr>
                    <w:t>颗粒物</w:t>
                  </w:r>
                </w:p>
              </w:tc>
              <w:tc>
                <w:tcPr>
                  <w:tcW w:w="888" w:type="pct"/>
                  <w:shd w:val="clear" w:color="auto" w:fill="auto"/>
                  <w:vAlign w:val="center"/>
                </w:tcPr>
                <w:p>
                  <w:pPr>
                    <w:jc w:val="center"/>
                    <w:rPr>
                      <w:rFonts w:cstheme="minorHAnsi"/>
                      <w:szCs w:val="21"/>
                    </w:rPr>
                  </w:pPr>
                  <w:r>
                    <w:rPr>
                      <w:rFonts w:cs="Times New Roman"/>
                      <w:szCs w:val="21"/>
                    </w:rPr>
                    <w:t>0.150</w:t>
                  </w:r>
                </w:p>
              </w:tc>
              <w:tc>
                <w:tcPr>
                  <w:tcW w:w="762" w:type="pct"/>
                  <w:vMerge w:val="continue"/>
                  <w:shd w:val="clear" w:color="auto" w:fill="auto"/>
                  <w:vAlign w:val="center"/>
                </w:tcPr>
                <w:p>
                  <w:pPr>
                    <w:jc w:val="center"/>
                    <w:rPr>
                      <w:rFonts w:cstheme="minorHAnsi"/>
                      <w:szCs w:val="21"/>
                    </w:rPr>
                  </w:pPr>
                </w:p>
              </w:tc>
              <w:tc>
                <w:tcPr>
                  <w:tcW w:w="655" w:type="pct"/>
                  <w:vMerge w:val="continue"/>
                  <w:shd w:val="clear" w:color="auto" w:fill="auto"/>
                  <w:vAlign w:val="center"/>
                </w:tcPr>
                <w:p>
                  <w:pPr>
                    <w:jc w:val="center"/>
                    <w:rPr>
                      <w:rFonts w:cstheme="minorHAnsi"/>
                      <w:szCs w:val="21"/>
                    </w:rPr>
                  </w:pPr>
                </w:p>
              </w:tc>
            </w:tr>
          </w:tbl>
          <w:p>
            <w:pPr>
              <w:spacing w:line="360" w:lineRule="auto"/>
              <w:ind w:firstLine="482" w:firstLineChars="200"/>
              <w:rPr>
                <w:b/>
                <w:sz w:val="24"/>
                <w:szCs w:val="24"/>
              </w:rPr>
            </w:pPr>
            <w:r>
              <w:rPr>
                <w:rFonts w:hint="eastAsia"/>
                <w:b/>
                <w:sz w:val="24"/>
                <w:szCs w:val="24"/>
              </w:rPr>
              <w:t>3）非正常排放控制措施</w:t>
            </w:r>
          </w:p>
          <w:p>
            <w:pPr>
              <w:spacing w:line="360" w:lineRule="auto"/>
              <w:ind w:firstLine="480" w:firstLineChars="200"/>
              <w:rPr>
                <w:sz w:val="24"/>
                <w:szCs w:val="24"/>
              </w:rPr>
            </w:pPr>
            <w:r>
              <w:rPr>
                <w:rFonts w:hint="eastAsia"/>
                <w:sz w:val="24"/>
                <w:szCs w:val="24"/>
              </w:rPr>
              <w:t>为防范非正常排放下对环境的影响，环评要求：建设单位应合理安排设备检修，应加强环保设施的日常维护和保养，确保其稳定、正常运行；一旦废气处理设施故障停机，企业必须马上停产维修，待其正常运行后方可恢复生产。</w:t>
            </w:r>
          </w:p>
          <w:p>
            <w:pPr>
              <w:spacing w:line="360" w:lineRule="auto"/>
              <w:ind w:firstLine="482" w:firstLineChars="200"/>
              <w:rPr>
                <w:b/>
                <w:sz w:val="24"/>
                <w:szCs w:val="24"/>
              </w:rPr>
            </w:pPr>
            <w:r>
              <w:rPr>
                <w:rFonts w:hint="eastAsia"/>
                <w:b/>
                <w:sz w:val="24"/>
                <w:szCs w:val="24"/>
              </w:rPr>
              <w:t>（</w:t>
            </w:r>
            <w:r>
              <w:rPr>
                <w:b/>
                <w:sz w:val="24"/>
                <w:szCs w:val="24"/>
              </w:rPr>
              <w:t>5</w:t>
            </w:r>
            <w:r>
              <w:rPr>
                <w:rFonts w:hint="eastAsia"/>
                <w:b/>
                <w:sz w:val="24"/>
                <w:szCs w:val="24"/>
              </w:rPr>
              <w:t>）废气治理技术可行性</w:t>
            </w:r>
          </w:p>
          <w:p>
            <w:pPr>
              <w:spacing w:line="360" w:lineRule="auto"/>
              <w:ind w:firstLine="480" w:firstLineChars="200"/>
              <w:rPr>
                <w:sz w:val="24"/>
                <w:szCs w:val="24"/>
              </w:rPr>
            </w:pPr>
            <w:r>
              <w:rPr>
                <w:sz w:val="24"/>
                <w:szCs w:val="24"/>
              </w:rPr>
              <w:t>项目结合各排放源特征，</w:t>
            </w:r>
            <w:r>
              <w:rPr>
                <w:rFonts w:hint="eastAsia"/>
                <w:sz w:val="24"/>
                <w:szCs w:val="24"/>
              </w:rPr>
              <w:t>针对生产过程产生的粉尘，对各产尘点设置集气罩或密闭管道收尘装置进行收集，采用高效袋式除尘器进行处理；同时，项目制砂采用密闭制砂楼，以减少无组织排放。项目拟采取的治理措施属于《排污许可证申请与核发技术规范 石墨及其他非金属矿物制品制造》（HJ1119-2020）中同类型污染物推荐的可行性技术。因此，项目拟采取的废气治理技术可行。</w:t>
            </w:r>
          </w:p>
          <w:p>
            <w:pPr>
              <w:spacing w:line="360" w:lineRule="auto"/>
              <w:ind w:firstLine="482" w:firstLineChars="200"/>
              <w:rPr>
                <w:b/>
                <w:sz w:val="24"/>
                <w:szCs w:val="24"/>
              </w:rPr>
            </w:pPr>
            <w:r>
              <w:rPr>
                <w:rFonts w:hint="eastAsia"/>
                <w:b/>
                <w:sz w:val="24"/>
                <w:szCs w:val="24"/>
              </w:rPr>
              <w:t>（</w:t>
            </w:r>
            <w:r>
              <w:rPr>
                <w:b/>
                <w:sz w:val="24"/>
                <w:szCs w:val="24"/>
              </w:rPr>
              <w:t>6</w:t>
            </w:r>
            <w:r>
              <w:rPr>
                <w:rFonts w:hint="eastAsia"/>
                <w:b/>
                <w:sz w:val="24"/>
                <w:szCs w:val="24"/>
              </w:rPr>
              <w:t>）监测要求</w:t>
            </w:r>
          </w:p>
          <w:p>
            <w:pPr>
              <w:spacing w:line="360" w:lineRule="auto"/>
              <w:ind w:firstLine="480" w:firstLineChars="200"/>
              <w:rPr>
                <w:sz w:val="24"/>
                <w:szCs w:val="24"/>
              </w:rPr>
            </w:pPr>
            <w:r>
              <w:rPr>
                <w:rFonts w:hint="eastAsia"/>
                <w:sz w:val="24"/>
                <w:szCs w:val="24"/>
              </w:rPr>
              <w:t>本次环评参照《排污许可证申请与核发技术规范 石墨及其他非金属矿物制品制造》（HJ1119-2020）和《排污单位自行监测技术指南 水泥工业》（HJ848-2017）提出项目生产运行阶段的污染源监测计划，详见下表：</w:t>
            </w:r>
          </w:p>
          <w:p>
            <w:pPr>
              <w:spacing w:line="360" w:lineRule="auto"/>
              <w:jc w:val="center"/>
              <w:rPr>
                <w:rFonts w:eastAsia="黑体"/>
                <w:szCs w:val="21"/>
              </w:rPr>
            </w:pPr>
            <w:r>
              <w:rPr>
                <w:rFonts w:eastAsia="黑体"/>
                <w:szCs w:val="21"/>
              </w:rPr>
              <w:t>表4</w:t>
            </w:r>
            <w:r>
              <w:rPr>
                <w:rFonts w:hint="eastAsia" w:eastAsia="黑体"/>
                <w:szCs w:val="21"/>
              </w:rPr>
              <w:t>-</w:t>
            </w:r>
            <w:r>
              <w:rPr>
                <w:rFonts w:eastAsia="黑体"/>
                <w:szCs w:val="21"/>
              </w:rPr>
              <w:t>1</w:t>
            </w:r>
            <w:r>
              <w:rPr>
                <w:rFonts w:hint="eastAsia" w:eastAsia="黑体"/>
                <w:szCs w:val="21"/>
              </w:rPr>
              <w:t>4</w:t>
            </w:r>
            <w:r>
              <w:rPr>
                <w:rFonts w:eastAsia="黑体"/>
                <w:szCs w:val="21"/>
              </w:rPr>
              <w:t xml:space="preserve">  有组织</w:t>
            </w:r>
            <w:r>
              <w:rPr>
                <w:rFonts w:hint="eastAsia" w:eastAsia="黑体"/>
                <w:szCs w:val="21"/>
              </w:rPr>
              <w:t>废气监测方案</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4"/>
              <w:gridCol w:w="1815"/>
              <w:gridCol w:w="1815"/>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80" w:type="pct"/>
                  <w:shd w:val="clear" w:color="auto" w:fill="auto"/>
                  <w:vAlign w:val="center"/>
                </w:tcPr>
                <w:p>
                  <w:pPr>
                    <w:jc w:val="center"/>
                    <w:rPr>
                      <w:szCs w:val="21"/>
                    </w:rPr>
                  </w:pPr>
                  <w:r>
                    <w:rPr>
                      <w:szCs w:val="21"/>
                    </w:rPr>
                    <w:t>监测点位</w:t>
                  </w:r>
                </w:p>
              </w:tc>
              <w:tc>
                <w:tcPr>
                  <w:tcW w:w="991" w:type="pct"/>
                  <w:shd w:val="clear" w:color="auto" w:fill="auto"/>
                  <w:vAlign w:val="center"/>
                </w:tcPr>
                <w:p>
                  <w:pPr>
                    <w:jc w:val="center"/>
                    <w:rPr>
                      <w:szCs w:val="21"/>
                    </w:rPr>
                  </w:pPr>
                  <w:r>
                    <w:rPr>
                      <w:szCs w:val="21"/>
                    </w:rPr>
                    <w:t>监测指标</w:t>
                  </w:r>
                </w:p>
              </w:tc>
              <w:tc>
                <w:tcPr>
                  <w:tcW w:w="991" w:type="pct"/>
                  <w:shd w:val="clear" w:color="auto" w:fill="auto"/>
                  <w:vAlign w:val="center"/>
                </w:tcPr>
                <w:p>
                  <w:pPr>
                    <w:jc w:val="center"/>
                    <w:rPr>
                      <w:szCs w:val="21"/>
                    </w:rPr>
                  </w:pPr>
                  <w:r>
                    <w:rPr>
                      <w:szCs w:val="21"/>
                    </w:rPr>
                    <w:t>监测频次</w:t>
                  </w:r>
                </w:p>
              </w:tc>
              <w:tc>
                <w:tcPr>
                  <w:tcW w:w="1439" w:type="pct"/>
                </w:tcPr>
                <w:p>
                  <w:pPr>
                    <w:jc w:val="center"/>
                    <w:rPr>
                      <w:szCs w:val="21"/>
                    </w:rPr>
                  </w:pPr>
                  <w:r>
                    <w:rPr>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80" w:type="pct"/>
                  <w:shd w:val="clear" w:color="auto" w:fill="auto"/>
                  <w:vAlign w:val="center"/>
                </w:tcPr>
                <w:p>
                  <w:pPr>
                    <w:jc w:val="center"/>
                    <w:rPr>
                      <w:szCs w:val="21"/>
                    </w:rPr>
                  </w:pPr>
                  <w:r>
                    <w:rPr>
                      <w:rFonts w:hint="eastAsia"/>
                      <w:szCs w:val="21"/>
                    </w:rPr>
                    <w:t>DA</w:t>
                  </w:r>
                  <w:r>
                    <w:rPr>
                      <w:szCs w:val="21"/>
                    </w:rPr>
                    <w:t>151</w:t>
                  </w:r>
                  <w:r>
                    <w:rPr>
                      <w:rFonts w:hint="eastAsia"/>
                      <w:szCs w:val="21"/>
                    </w:rPr>
                    <w:t>、DA</w:t>
                  </w:r>
                  <w:r>
                    <w:rPr>
                      <w:szCs w:val="21"/>
                    </w:rPr>
                    <w:t>152</w:t>
                  </w:r>
                  <w:r>
                    <w:rPr>
                      <w:rFonts w:hint="eastAsia"/>
                      <w:szCs w:val="21"/>
                    </w:rPr>
                    <w:t>、DA</w:t>
                  </w:r>
                  <w:r>
                    <w:rPr>
                      <w:szCs w:val="21"/>
                    </w:rPr>
                    <w:t>115</w:t>
                  </w:r>
                  <w:r>
                    <w:rPr>
                      <w:rFonts w:hint="eastAsia"/>
                      <w:szCs w:val="21"/>
                    </w:rPr>
                    <w:t>、DA</w:t>
                  </w:r>
                  <w:r>
                    <w:rPr>
                      <w:szCs w:val="21"/>
                    </w:rPr>
                    <w:t>090</w:t>
                  </w:r>
                  <w:r>
                    <w:rPr>
                      <w:rFonts w:hint="eastAsia"/>
                      <w:szCs w:val="21"/>
                    </w:rPr>
                    <w:t>、DA</w:t>
                  </w:r>
                  <w:r>
                    <w:rPr>
                      <w:szCs w:val="21"/>
                    </w:rPr>
                    <w:t>097</w:t>
                  </w:r>
                  <w:r>
                    <w:rPr>
                      <w:rFonts w:hint="eastAsia"/>
                      <w:szCs w:val="21"/>
                    </w:rPr>
                    <w:t>、DA</w:t>
                  </w:r>
                  <w:r>
                    <w:rPr>
                      <w:szCs w:val="21"/>
                    </w:rPr>
                    <w:t>153</w:t>
                  </w:r>
                  <w:r>
                    <w:rPr>
                      <w:rFonts w:hint="eastAsia"/>
                      <w:szCs w:val="21"/>
                    </w:rPr>
                    <w:t>、DA</w:t>
                  </w:r>
                  <w:r>
                    <w:rPr>
                      <w:szCs w:val="21"/>
                    </w:rPr>
                    <w:t>154</w:t>
                  </w:r>
                  <w:r>
                    <w:rPr>
                      <w:rFonts w:hint="eastAsia"/>
                      <w:szCs w:val="21"/>
                    </w:rPr>
                    <w:t>、DA</w:t>
                  </w:r>
                  <w:r>
                    <w:rPr>
                      <w:szCs w:val="21"/>
                    </w:rPr>
                    <w:t>155</w:t>
                  </w:r>
                </w:p>
              </w:tc>
              <w:tc>
                <w:tcPr>
                  <w:tcW w:w="991" w:type="pct"/>
                  <w:shd w:val="clear" w:color="auto" w:fill="auto"/>
                  <w:vAlign w:val="center"/>
                </w:tcPr>
                <w:p>
                  <w:pPr>
                    <w:jc w:val="center"/>
                    <w:rPr>
                      <w:szCs w:val="21"/>
                    </w:rPr>
                  </w:pPr>
                  <w:r>
                    <w:rPr>
                      <w:rFonts w:hint="eastAsia"/>
                      <w:szCs w:val="21"/>
                    </w:rPr>
                    <w:t>颗粒物</w:t>
                  </w:r>
                </w:p>
              </w:tc>
              <w:tc>
                <w:tcPr>
                  <w:tcW w:w="991" w:type="pct"/>
                  <w:shd w:val="clear" w:color="auto" w:fill="auto"/>
                  <w:vAlign w:val="center"/>
                </w:tcPr>
                <w:p>
                  <w:pPr>
                    <w:jc w:val="center"/>
                    <w:rPr>
                      <w:szCs w:val="21"/>
                    </w:rPr>
                  </w:pPr>
                  <w:r>
                    <w:rPr>
                      <w:rFonts w:hint="eastAsia"/>
                      <w:szCs w:val="21"/>
                    </w:rPr>
                    <w:t>1年/次</w:t>
                  </w:r>
                </w:p>
              </w:tc>
              <w:tc>
                <w:tcPr>
                  <w:tcW w:w="1439" w:type="pct"/>
                  <w:vAlign w:val="center"/>
                </w:tcPr>
                <w:p>
                  <w:pPr>
                    <w:jc w:val="center"/>
                    <w:rPr>
                      <w:szCs w:val="21"/>
                    </w:rPr>
                  </w:pPr>
                  <w:r>
                    <w:rPr>
                      <w:rFonts w:hint="eastAsia"/>
                      <w:szCs w:val="21"/>
                    </w:rPr>
                    <w:t>《四川省水泥工业大气污染物排放标准》（DB51/2864-2021）</w:t>
                  </w:r>
                </w:p>
              </w:tc>
            </w:tr>
          </w:tbl>
          <w:p>
            <w:pPr>
              <w:spacing w:line="360" w:lineRule="auto"/>
              <w:jc w:val="center"/>
              <w:rPr>
                <w:rFonts w:eastAsia="黑体"/>
                <w:szCs w:val="21"/>
              </w:rPr>
            </w:pPr>
            <w:r>
              <w:rPr>
                <w:rFonts w:eastAsia="黑体"/>
                <w:szCs w:val="21"/>
              </w:rPr>
              <w:t>表4</w:t>
            </w:r>
            <w:r>
              <w:rPr>
                <w:rFonts w:hint="eastAsia" w:eastAsia="黑体"/>
                <w:szCs w:val="21"/>
              </w:rPr>
              <w:t>-</w:t>
            </w:r>
            <w:r>
              <w:rPr>
                <w:rFonts w:eastAsia="黑体"/>
                <w:szCs w:val="21"/>
              </w:rPr>
              <w:t>1</w:t>
            </w:r>
            <w:r>
              <w:rPr>
                <w:rFonts w:hint="eastAsia" w:eastAsia="黑体"/>
                <w:szCs w:val="21"/>
              </w:rPr>
              <w:t>5</w:t>
            </w:r>
            <w:r>
              <w:rPr>
                <w:rFonts w:eastAsia="黑体"/>
                <w:szCs w:val="21"/>
              </w:rPr>
              <w:t xml:space="preserve">  </w:t>
            </w:r>
            <w:r>
              <w:rPr>
                <w:rFonts w:hint="eastAsia" w:eastAsia="黑体"/>
                <w:szCs w:val="21"/>
              </w:rPr>
              <w:t>无</w:t>
            </w:r>
            <w:r>
              <w:rPr>
                <w:rFonts w:eastAsia="黑体"/>
                <w:szCs w:val="21"/>
              </w:rPr>
              <w:t>组织</w:t>
            </w:r>
            <w:r>
              <w:rPr>
                <w:rFonts w:hint="eastAsia" w:eastAsia="黑体"/>
                <w:szCs w:val="21"/>
              </w:rPr>
              <w:t>废气监测方案</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0"/>
              <w:gridCol w:w="1929"/>
              <w:gridCol w:w="1929"/>
              <w:gridCol w:w="3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59" w:type="pct"/>
                  <w:shd w:val="clear" w:color="auto" w:fill="auto"/>
                  <w:vAlign w:val="center"/>
                </w:tcPr>
                <w:p>
                  <w:pPr>
                    <w:jc w:val="center"/>
                    <w:rPr>
                      <w:szCs w:val="21"/>
                    </w:rPr>
                  </w:pPr>
                  <w:r>
                    <w:rPr>
                      <w:szCs w:val="21"/>
                    </w:rPr>
                    <w:t>监测点位</w:t>
                  </w:r>
                </w:p>
              </w:tc>
              <w:tc>
                <w:tcPr>
                  <w:tcW w:w="1053" w:type="pct"/>
                  <w:shd w:val="clear" w:color="auto" w:fill="auto"/>
                  <w:vAlign w:val="center"/>
                </w:tcPr>
                <w:p>
                  <w:pPr>
                    <w:jc w:val="center"/>
                    <w:rPr>
                      <w:szCs w:val="21"/>
                    </w:rPr>
                  </w:pPr>
                  <w:r>
                    <w:rPr>
                      <w:szCs w:val="21"/>
                    </w:rPr>
                    <w:t>监测指标</w:t>
                  </w:r>
                </w:p>
              </w:tc>
              <w:tc>
                <w:tcPr>
                  <w:tcW w:w="1053" w:type="pct"/>
                  <w:shd w:val="clear" w:color="auto" w:fill="auto"/>
                  <w:vAlign w:val="center"/>
                </w:tcPr>
                <w:p>
                  <w:pPr>
                    <w:jc w:val="center"/>
                    <w:rPr>
                      <w:szCs w:val="21"/>
                    </w:rPr>
                  </w:pPr>
                  <w:r>
                    <w:rPr>
                      <w:szCs w:val="21"/>
                    </w:rPr>
                    <w:t>监测频次</w:t>
                  </w:r>
                </w:p>
              </w:tc>
              <w:tc>
                <w:tcPr>
                  <w:tcW w:w="1835" w:type="pct"/>
                </w:tcPr>
                <w:p>
                  <w:pPr>
                    <w:jc w:val="center"/>
                    <w:rPr>
                      <w:szCs w:val="21"/>
                    </w:rPr>
                  </w:pPr>
                  <w:r>
                    <w:rPr>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59" w:type="pct"/>
                  <w:shd w:val="clear" w:color="auto" w:fill="auto"/>
                  <w:vAlign w:val="center"/>
                </w:tcPr>
                <w:p>
                  <w:pPr>
                    <w:jc w:val="center"/>
                    <w:rPr>
                      <w:szCs w:val="21"/>
                    </w:rPr>
                  </w:pPr>
                  <w:r>
                    <w:rPr>
                      <w:rFonts w:hint="eastAsia"/>
                      <w:szCs w:val="21"/>
                    </w:rPr>
                    <w:t>厂界</w:t>
                  </w:r>
                </w:p>
              </w:tc>
              <w:tc>
                <w:tcPr>
                  <w:tcW w:w="1053" w:type="pct"/>
                  <w:shd w:val="clear" w:color="auto" w:fill="auto"/>
                  <w:vAlign w:val="center"/>
                </w:tcPr>
                <w:p>
                  <w:pPr>
                    <w:jc w:val="center"/>
                    <w:rPr>
                      <w:szCs w:val="21"/>
                    </w:rPr>
                  </w:pPr>
                  <w:r>
                    <w:rPr>
                      <w:rFonts w:hint="eastAsia"/>
                      <w:szCs w:val="21"/>
                    </w:rPr>
                    <w:t>颗粒物</w:t>
                  </w:r>
                </w:p>
              </w:tc>
              <w:tc>
                <w:tcPr>
                  <w:tcW w:w="1053" w:type="pct"/>
                  <w:shd w:val="clear" w:color="auto" w:fill="auto"/>
                  <w:vAlign w:val="center"/>
                </w:tcPr>
                <w:p>
                  <w:pPr>
                    <w:jc w:val="center"/>
                    <w:rPr>
                      <w:szCs w:val="21"/>
                    </w:rPr>
                  </w:pPr>
                  <w:r>
                    <w:rPr>
                      <w:rFonts w:hint="eastAsia"/>
                      <w:szCs w:val="21"/>
                    </w:rPr>
                    <w:t>1季度/次</w:t>
                  </w:r>
                </w:p>
              </w:tc>
              <w:tc>
                <w:tcPr>
                  <w:tcW w:w="1835" w:type="pct"/>
                  <w:vAlign w:val="center"/>
                </w:tcPr>
                <w:p>
                  <w:pPr>
                    <w:jc w:val="center"/>
                    <w:rPr>
                      <w:szCs w:val="21"/>
                    </w:rPr>
                  </w:pPr>
                  <w:r>
                    <w:rPr>
                      <w:rFonts w:hint="eastAsia"/>
                      <w:szCs w:val="21"/>
                    </w:rPr>
                    <w:t>《四川省水泥工业大气污染物排放标准》（DB51/2864-2021）</w:t>
                  </w:r>
                </w:p>
              </w:tc>
            </w:tr>
          </w:tbl>
          <w:p>
            <w:pPr>
              <w:spacing w:line="360" w:lineRule="auto"/>
              <w:ind w:firstLine="482" w:firstLineChars="200"/>
              <w:rPr>
                <w:b/>
                <w:sz w:val="24"/>
                <w:szCs w:val="24"/>
              </w:rPr>
            </w:pPr>
            <w:r>
              <w:rPr>
                <w:rFonts w:hint="eastAsia"/>
                <w:b/>
                <w:sz w:val="24"/>
                <w:szCs w:val="24"/>
              </w:rPr>
              <w:t>（</w:t>
            </w:r>
            <w:r>
              <w:rPr>
                <w:b/>
                <w:sz w:val="24"/>
                <w:szCs w:val="24"/>
              </w:rPr>
              <w:t>7</w:t>
            </w:r>
            <w:r>
              <w:rPr>
                <w:rFonts w:hint="eastAsia"/>
                <w:b/>
                <w:sz w:val="24"/>
                <w:szCs w:val="24"/>
              </w:rPr>
              <w:t>）环境影响结论</w:t>
            </w:r>
          </w:p>
          <w:p>
            <w:pPr>
              <w:spacing w:line="360" w:lineRule="auto"/>
              <w:ind w:firstLine="480" w:firstLineChars="200"/>
              <w:rPr>
                <w:sz w:val="24"/>
                <w:szCs w:val="24"/>
              </w:rPr>
            </w:pPr>
            <w:r>
              <w:rPr>
                <w:sz w:val="24"/>
                <w:szCs w:val="24"/>
              </w:rPr>
              <w:t>本项目区域为环境空气质量</w:t>
            </w:r>
            <w:r>
              <w:rPr>
                <w:rFonts w:hint="eastAsia"/>
                <w:sz w:val="24"/>
                <w:szCs w:val="24"/>
              </w:rPr>
              <w:t>不</w:t>
            </w:r>
            <w:r>
              <w:rPr>
                <w:sz w:val="24"/>
                <w:szCs w:val="24"/>
              </w:rPr>
              <w:t>达标区</w:t>
            </w:r>
            <w:r>
              <w:rPr>
                <w:rFonts w:hint="eastAsia"/>
                <w:sz w:val="24"/>
                <w:szCs w:val="24"/>
              </w:rPr>
              <w:t>，项目周边为农村地区，500m范围内分布有农户区，无自然保护区、风景名胜区、地下水集中式饮用水水源和热水、矿泉水、温泉等特殊地下水资源以及生态环境敏感区分布。运营期针对各废气排放源均采取针对性治理措施，各污染物均可实现达标排放，拟采取的治理技术可行，不会对区域大气环境造成不利影响。</w:t>
            </w:r>
          </w:p>
          <w:p>
            <w:pPr>
              <w:spacing w:line="360" w:lineRule="auto"/>
              <w:ind w:firstLine="482" w:firstLineChars="200"/>
              <w:rPr>
                <w:b/>
                <w:sz w:val="24"/>
                <w:szCs w:val="24"/>
              </w:rPr>
            </w:pPr>
            <w:r>
              <w:rPr>
                <w:b/>
                <w:sz w:val="24"/>
                <w:szCs w:val="24"/>
              </w:rPr>
              <w:t>2</w:t>
            </w:r>
            <w:r>
              <w:rPr>
                <w:rFonts w:hint="eastAsia"/>
                <w:b/>
                <w:sz w:val="24"/>
                <w:szCs w:val="24"/>
              </w:rPr>
              <w:t>、废水</w:t>
            </w:r>
          </w:p>
          <w:p>
            <w:pPr>
              <w:spacing w:line="360" w:lineRule="auto"/>
              <w:ind w:firstLine="482" w:firstLineChars="200"/>
              <w:rPr>
                <w:b/>
                <w:sz w:val="24"/>
                <w:szCs w:val="24"/>
              </w:rPr>
            </w:pPr>
            <w:r>
              <w:rPr>
                <w:rFonts w:hint="eastAsia"/>
                <w:b/>
                <w:sz w:val="24"/>
                <w:szCs w:val="24"/>
              </w:rPr>
              <w:t>（1）产生情况及治理措施</w:t>
            </w:r>
          </w:p>
          <w:p>
            <w:pPr>
              <w:spacing w:line="360" w:lineRule="auto"/>
              <w:ind w:firstLine="482" w:firstLineChars="200"/>
              <w:rPr>
                <w:b/>
                <w:sz w:val="24"/>
                <w:szCs w:val="24"/>
              </w:rPr>
            </w:pPr>
            <w:r>
              <w:rPr>
                <w:rFonts w:hint="eastAsia"/>
                <w:b/>
                <w:sz w:val="24"/>
                <w:szCs w:val="24"/>
              </w:rPr>
              <w:t>①产生情况</w:t>
            </w:r>
          </w:p>
          <w:p>
            <w:pPr>
              <w:spacing w:line="360" w:lineRule="auto"/>
              <w:ind w:firstLine="480"/>
              <w:rPr>
                <w:kern w:val="24"/>
                <w:sz w:val="24"/>
                <w:szCs w:val="24"/>
              </w:rPr>
            </w:pPr>
            <w:r>
              <w:rPr>
                <w:sz w:val="24"/>
                <w:szCs w:val="24"/>
              </w:rPr>
              <w:t>本</w:t>
            </w:r>
            <w:r>
              <w:rPr>
                <w:rFonts w:hint="eastAsia"/>
                <w:sz w:val="24"/>
                <w:szCs w:val="24"/>
              </w:rPr>
              <w:t>项目</w:t>
            </w:r>
            <w:r>
              <w:rPr>
                <w:rFonts w:hint="eastAsia"/>
                <w:kern w:val="24"/>
                <w:sz w:val="24"/>
                <w:szCs w:val="24"/>
              </w:rPr>
              <w:t>采用干法生产技术，不涉及地面清洗，无生产废水；本次改建不新增劳动定员，无新增生活污水，</w:t>
            </w:r>
            <w:r>
              <w:rPr>
                <w:rFonts w:hint="eastAsia"/>
                <w:sz w:val="24"/>
                <w:szCs w:val="24"/>
              </w:rPr>
              <w:t>运营期新增废水主要为</w:t>
            </w:r>
            <w:r>
              <w:rPr>
                <w:rFonts w:hint="eastAsia"/>
                <w:kern w:val="24"/>
                <w:sz w:val="24"/>
                <w:szCs w:val="24"/>
              </w:rPr>
              <w:t>车辆轮胎冲洗废水。根据水量平衡核算，车辆轮胎冲洗废水产生量约2.55m</w:t>
            </w:r>
            <w:r>
              <w:rPr>
                <w:rFonts w:hint="eastAsia"/>
                <w:kern w:val="24"/>
                <w:sz w:val="24"/>
                <w:szCs w:val="24"/>
                <w:vertAlign w:val="superscript"/>
              </w:rPr>
              <w:t>3</w:t>
            </w:r>
            <w:r>
              <w:rPr>
                <w:rFonts w:hint="eastAsia"/>
                <w:kern w:val="24"/>
                <w:sz w:val="24"/>
                <w:szCs w:val="24"/>
              </w:rPr>
              <w:t>/d，主要污染物</w:t>
            </w:r>
            <w:r>
              <w:rPr>
                <w:rFonts w:hint="eastAsia"/>
                <w:sz w:val="24"/>
                <w:szCs w:val="24"/>
              </w:rPr>
              <w:t>SS：206mg/L。</w:t>
            </w:r>
          </w:p>
          <w:p>
            <w:pPr>
              <w:spacing w:line="360" w:lineRule="auto"/>
              <w:ind w:firstLine="480"/>
              <w:rPr>
                <w:sz w:val="24"/>
                <w:szCs w:val="24"/>
              </w:rPr>
            </w:pPr>
            <w:r>
              <w:rPr>
                <w:rFonts w:hint="eastAsia"/>
                <w:sz w:val="24"/>
                <w:szCs w:val="24"/>
              </w:rPr>
              <w:t>项目废水产排污环节、类别、污染物种类、产生量见下表：</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w:t>
            </w:r>
            <w:r>
              <w:rPr>
                <w:rFonts w:eastAsia="黑体" w:cs="Times New Roman"/>
                <w:szCs w:val="21"/>
              </w:rPr>
              <w:t>1</w:t>
            </w:r>
            <w:r>
              <w:rPr>
                <w:rFonts w:hint="eastAsia" w:eastAsia="黑体" w:cs="Times New Roman"/>
                <w:szCs w:val="21"/>
              </w:rPr>
              <w:t>6</w:t>
            </w:r>
            <w:r>
              <w:rPr>
                <w:rFonts w:eastAsia="黑体" w:cs="Times New Roman"/>
                <w:szCs w:val="21"/>
              </w:rPr>
              <w:t xml:space="preserve">  </w:t>
            </w:r>
            <w:r>
              <w:rPr>
                <w:rFonts w:hint="eastAsia" w:eastAsia="黑体" w:cs="Times New Roman"/>
                <w:szCs w:val="21"/>
              </w:rPr>
              <w:t>废水产排污环节、类别、污染物种类、产生量表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1479"/>
              <w:gridCol w:w="1235"/>
              <w:gridCol w:w="1389"/>
              <w:gridCol w:w="1709"/>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restart"/>
                  <w:vAlign w:val="center"/>
                </w:tcPr>
                <w:p>
                  <w:pPr>
                    <w:jc w:val="center"/>
                    <w:rPr>
                      <w:szCs w:val="21"/>
                    </w:rPr>
                  </w:pPr>
                  <w:r>
                    <w:rPr>
                      <w:rFonts w:hint="eastAsia"/>
                      <w:szCs w:val="21"/>
                    </w:rPr>
                    <w:t>废水产污环节</w:t>
                  </w:r>
                </w:p>
              </w:tc>
              <w:tc>
                <w:tcPr>
                  <w:tcW w:w="807" w:type="pct"/>
                  <w:vMerge w:val="restart"/>
                  <w:vAlign w:val="center"/>
                </w:tcPr>
                <w:p>
                  <w:pPr>
                    <w:jc w:val="center"/>
                    <w:rPr>
                      <w:szCs w:val="21"/>
                    </w:rPr>
                  </w:pPr>
                  <w:r>
                    <w:rPr>
                      <w:szCs w:val="21"/>
                    </w:rPr>
                    <w:t>废水类别</w:t>
                  </w:r>
                </w:p>
              </w:tc>
              <w:tc>
                <w:tcPr>
                  <w:tcW w:w="674" w:type="pct"/>
                  <w:vMerge w:val="restart"/>
                  <w:vAlign w:val="center"/>
                </w:tcPr>
                <w:p>
                  <w:pPr>
                    <w:jc w:val="center"/>
                    <w:rPr>
                      <w:szCs w:val="21"/>
                    </w:rPr>
                  </w:pPr>
                  <w:r>
                    <w:rPr>
                      <w:szCs w:val="21"/>
                    </w:rPr>
                    <w:t>废水量</w:t>
                  </w:r>
                  <w:r>
                    <w:rPr>
                      <w:rFonts w:hint="eastAsia"/>
                      <w:szCs w:val="21"/>
                    </w:rPr>
                    <w:t>（</w:t>
                  </w:r>
                  <w:r>
                    <w:rPr>
                      <w:szCs w:val="21"/>
                    </w:rPr>
                    <w:t>m</w:t>
                  </w:r>
                  <w:r>
                    <w:rPr>
                      <w:szCs w:val="21"/>
                      <w:vertAlign w:val="superscript"/>
                    </w:rPr>
                    <w:t>3</w:t>
                  </w:r>
                  <w:r>
                    <w:rPr>
                      <w:szCs w:val="21"/>
                    </w:rPr>
                    <w:t>/</w:t>
                  </w:r>
                  <w:r>
                    <w:rPr>
                      <w:rFonts w:hint="eastAsia"/>
                      <w:szCs w:val="21"/>
                    </w:rPr>
                    <w:t>a）</w:t>
                  </w:r>
                </w:p>
              </w:tc>
              <w:tc>
                <w:tcPr>
                  <w:tcW w:w="758" w:type="pct"/>
                  <w:vMerge w:val="restart"/>
                  <w:vAlign w:val="center"/>
                </w:tcPr>
                <w:p>
                  <w:pPr>
                    <w:jc w:val="center"/>
                    <w:rPr>
                      <w:szCs w:val="21"/>
                    </w:rPr>
                  </w:pPr>
                  <w:r>
                    <w:rPr>
                      <w:szCs w:val="21"/>
                    </w:rPr>
                    <w:t>污染物</w:t>
                  </w:r>
                  <w:r>
                    <w:rPr>
                      <w:rFonts w:hint="eastAsia"/>
                      <w:szCs w:val="21"/>
                    </w:rPr>
                    <w:t>种类</w:t>
                  </w:r>
                </w:p>
              </w:tc>
              <w:tc>
                <w:tcPr>
                  <w:tcW w:w="1866" w:type="pct"/>
                  <w:gridSpan w:val="2"/>
                  <w:vAlign w:val="center"/>
                </w:tcPr>
                <w:p>
                  <w:pPr>
                    <w:jc w:val="center"/>
                    <w:rPr>
                      <w:szCs w:val="21"/>
                    </w:rPr>
                  </w:pPr>
                  <w:r>
                    <w:rPr>
                      <w:szCs w:val="21"/>
                    </w:rPr>
                    <w:t>污染物产生量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Merge w:val="continue"/>
                  <w:vAlign w:val="center"/>
                </w:tcPr>
                <w:p>
                  <w:pPr>
                    <w:jc w:val="center"/>
                    <w:rPr>
                      <w:szCs w:val="21"/>
                    </w:rPr>
                  </w:pPr>
                </w:p>
              </w:tc>
              <w:tc>
                <w:tcPr>
                  <w:tcW w:w="807" w:type="pct"/>
                  <w:vMerge w:val="continue"/>
                  <w:vAlign w:val="center"/>
                </w:tcPr>
                <w:p>
                  <w:pPr>
                    <w:jc w:val="center"/>
                    <w:rPr>
                      <w:szCs w:val="21"/>
                    </w:rPr>
                  </w:pPr>
                </w:p>
              </w:tc>
              <w:tc>
                <w:tcPr>
                  <w:tcW w:w="674" w:type="pct"/>
                  <w:vMerge w:val="continue"/>
                  <w:vAlign w:val="center"/>
                </w:tcPr>
                <w:p>
                  <w:pPr>
                    <w:jc w:val="center"/>
                    <w:rPr>
                      <w:szCs w:val="21"/>
                    </w:rPr>
                  </w:pPr>
                </w:p>
              </w:tc>
              <w:tc>
                <w:tcPr>
                  <w:tcW w:w="758" w:type="pct"/>
                  <w:vMerge w:val="continue"/>
                  <w:vAlign w:val="center"/>
                </w:tcPr>
                <w:p>
                  <w:pPr>
                    <w:jc w:val="center"/>
                    <w:rPr>
                      <w:szCs w:val="21"/>
                    </w:rPr>
                  </w:pPr>
                </w:p>
              </w:tc>
              <w:tc>
                <w:tcPr>
                  <w:tcW w:w="933" w:type="pct"/>
                  <w:vAlign w:val="center"/>
                </w:tcPr>
                <w:p>
                  <w:pPr>
                    <w:jc w:val="center"/>
                    <w:rPr>
                      <w:szCs w:val="21"/>
                    </w:rPr>
                  </w:pPr>
                  <w:r>
                    <w:rPr>
                      <w:rFonts w:hint="eastAsia"/>
                      <w:szCs w:val="21"/>
                    </w:rPr>
                    <w:t>浓度（</w:t>
                  </w:r>
                  <w:r>
                    <w:rPr>
                      <w:szCs w:val="21"/>
                    </w:rPr>
                    <w:t>mg</w:t>
                  </w:r>
                  <w:r>
                    <w:rPr>
                      <w:rFonts w:hint="eastAsia"/>
                      <w:szCs w:val="21"/>
                    </w:rPr>
                    <w:t>/L）</w:t>
                  </w:r>
                </w:p>
              </w:tc>
              <w:tc>
                <w:tcPr>
                  <w:tcW w:w="933" w:type="pct"/>
                  <w:vAlign w:val="center"/>
                </w:tcPr>
                <w:p>
                  <w:pPr>
                    <w:jc w:val="center"/>
                    <w:rPr>
                      <w:szCs w:val="21"/>
                    </w:rPr>
                  </w:pPr>
                  <w:r>
                    <w:rPr>
                      <w:rFonts w:hint="eastAsia"/>
                      <w:szCs w:val="21"/>
                    </w:rPr>
                    <w:t>产生量（t</w:t>
                  </w:r>
                  <w:r>
                    <w:rPr>
                      <w:szCs w:val="21"/>
                    </w:rPr>
                    <w:t>/a</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vAlign w:val="center"/>
                </w:tcPr>
                <w:p>
                  <w:pPr>
                    <w:jc w:val="center"/>
                    <w:rPr>
                      <w:szCs w:val="21"/>
                    </w:rPr>
                  </w:pPr>
                  <w:r>
                    <w:rPr>
                      <w:rFonts w:hint="eastAsia"/>
                      <w:szCs w:val="21"/>
                    </w:rPr>
                    <w:t>运输车辆轮胎冲洗</w:t>
                  </w:r>
                </w:p>
              </w:tc>
              <w:tc>
                <w:tcPr>
                  <w:tcW w:w="807" w:type="pct"/>
                  <w:vAlign w:val="center"/>
                </w:tcPr>
                <w:p>
                  <w:pPr>
                    <w:jc w:val="center"/>
                    <w:rPr>
                      <w:szCs w:val="21"/>
                    </w:rPr>
                  </w:pPr>
                  <w:r>
                    <w:rPr>
                      <w:rFonts w:hint="eastAsia"/>
                      <w:szCs w:val="21"/>
                    </w:rPr>
                    <w:t>冲洗废水</w:t>
                  </w:r>
                </w:p>
              </w:tc>
              <w:tc>
                <w:tcPr>
                  <w:tcW w:w="674" w:type="pct"/>
                  <w:vAlign w:val="center"/>
                </w:tcPr>
                <w:p>
                  <w:pPr>
                    <w:jc w:val="center"/>
                    <w:rPr>
                      <w:szCs w:val="21"/>
                    </w:rPr>
                  </w:pPr>
                  <w:r>
                    <w:rPr>
                      <w:rFonts w:hint="eastAsia"/>
                      <w:szCs w:val="21"/>
                    </w:rPr>
                    <w:t>765</w:t>
                  </w:r>
                </w:p>
              </w:tc>
              <w:tc>
                <w:tcPr>
                  <w:tcW w:w="758" w:type="pct"/>
                  <w:vAlign w:val="center"/>
                </w:tcPr>
                <w:p>
                  <w:pPr>
                    <w:jc w:val="center"/>
                    <w:rPr>
                      <w:szCs w:val="21"/>
                    </w:rPr>
                  </w:pPr>
                  <w:r>
                    <w:rPr>
                      <w:szCs w:val="21"/>
                    </w:rPr>
                    <w:t>SS</w:t>
                  </w:r>
                </w:p>
              </w:tc>
              <w:tc>
                <w:tcPr>
                  <w:tcW w:w="933" w:type="pct"/>
                  <w:vAlign w:val="center"/>
                </w:tcPr>
                <w:p>
                  <w:pPr>
                    <w:widowControl/>
                    <w:jc w:val="center"/>
                    <w:rPr>
                      <w:rFonts w:cs="Times New Roman"/>
                      <w:kern w:val="0"/>
                      <w:szCs w:val="21"/>
                    </w:rPr>
                  </w:pPr>
                  <w:r>
                    <w:rPr>
                      <w:rFonts w:hint="eastAsia" w:cs="Times New Roman"/>
                      <w:szCs w:val="21"/>
                    </w:rPr>
                    <w:t>2</w:t>
                  </w:r>
                  <w:r>
                    <w:rPr>
                      <w:rFonts w:cs="Times New Roman"/>
                      <w:szCs w:val="21"/>
                    </w:rPr>
                    <w:t>0</w:t>
                  </w:r>
                  <w:r>
                    <w:rPr>
                      <w:rFonts w:hint="eastAsia" w:cs="Times New Roman"/>
                      <w:szCs w:val="21"/>
                    </w:rPr>
                    <w:t>6</w:t>
                  </w:r>
                </w:p>
              </w:tc>
              <w:tc>
                <w:tcPr>
                  <w:tcW w:w="933" w:type="pct"/>
                  <w:vAlign w:val="center"/>
                </w:tcPr>
                <w:p>
                  <w:pPr>
                    <w:widowControl/>
                    <w:jc w:val="center"/>
                    <w:rPr>
                      <w:rFonts w:cs="Times New Roman"/>
                      <w:kern w:val="0"/>
                      <w:szCs w:val="21"/>
                    </w:rPr>
                  </w:pPr>
                  <w:r>
                    <w:rPr>
                      <w:rFonts w:hint="eastAsia" w:eastAsia="等线" w:cs="Times New Roman"/>
                      <w:szCs w:val="21"/>
                    </w:rPr>
                    <w:t>0.1576</w:t>
                  </w:r>
                </w:p>
              </w:tc>
            </w:tr>
          </w:tbl>
          <w:p>
            <w:pPr>
              <w:spacing w:line="360" w:lineRule="auto"/>
              <w:ind w:firstLine="482" w:firstLineChars="200"/>
              <w:rPr>
                <w:b/>
                <w:sz w:val="24"/>
                <w:szCs w:val="24"/>
              </w:rPr>
            </w:pPr>
            <w:r>
              <w:rPr>
                <w:rFonts w:hint="eastAsia"/>
                <w:b/>
                <w:sz w:val="24"/>
                <w:szCs w:val="24"/>
              </w:rPr>
              <w:t>②治理措施</w:t>
            </w:r>
          </w:p>
          <w:p>
            <w:pPr>
              <w:spacing w:line="360" w:lineRule="auto"/>
              <w:ind w:firstLine="480"/>
              <w:rPr>
                <w:b/>
                <w:bCs/>
                <w:sz w:val="24"/>
                <w:szCs w:val="24"/>
              </w:rPr>
            </w:pPr>
            <w:r>
              <w:rPr>
                <w:rFonts w:hint="eastAsia"/>
                <w:b/>
                <w:bCs/>
                <w:sz w:val="24"/>
                <w:szCs w:val="24"/>
              </w:rPr>
              <w:t>项目依托现有洗车平台配套沉淀池（1个，容积约50m</w:t>
            </w:r>
            <w:r>
              <w:rPr>
                <w:rFonts w:hint="eastAsia"/>
                <w:b/>
                <w:bCs/>
                <w:sz w:val="24"/>
                <w:szCs w:val="24"/>
                <w:vertAlign w:val="superscript"/>
              </w:rPr>
              <w:t>3</w:t>
            </w:r>
            <w:r>
              <w:rPr>
                <w:rFonts w:hint="eastAsia"/>
                <w:b/>
                <w:bCs/>
                <w:sz w:val="24"/>
                <w:szCs w:val="24"/>
              </w:rPr>
              <w:t>），车辆轮胎冲洗废水经沉淀处理后循环使用，不外排。</w:t>
            </w:r>
          </w:p>
          <w:p>
            <w:pPr>
              <w:spacing w:line="360" w:lineRule="auto"/>
              <w:ind w:firstLine="482" w:firstLineChars="200"/>
              <w:rPr>
                <w:b/>
                <w:sz w:val="24"/>
                <w:szCs w:val="24"/>
              </w:rPr>
            </w:pPr>
            <w:r>
              <w:rPr>
                <w:rFonts w:hint="eastAsia"/>
                <w:b/>
                <w:sz w:val="24"/>
                <w:szCs w:val="24"/>
              </w:rPr>
              <w:t>（2）废水治理设施基本信息</w:t>
            </w:r>
          </w:p>
          <w:p>
            <w:pPr>
              <w:spacing w:line="360" w:lineRule="auto"/>
              <w:ind w:firstLine="480" w:firstLineChars="200"/>
              <w:rPr>
                <w:sz w:val="24"/>
                <w:szCs w:val="24"/>
              </w:rPr>
            </w:pPr>
            <w:r>
              <w:rPr>
                <w:sz w:val="24"/>
                <w:szCs w:val="24"/>
              </w:rPr>
              <w:t>项目</w:t>
            </w:r>
            <w:r>
              <w:rPr>
                <w:rFonts w:hint="eastAsia"/>
                <w:sz w:val="24"/>
                <w:szCs w:val="24"/>
              </w:rPr>
              <w:t>废水治理设施基本信息见下表：</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w:t>
            </w:r>
            <w:r>
              <w:rPr>
                <w:rFonts w:eastAsia="黑体" w:cs="Times New Roman"/>
                <w:szCs w:val="21"/>
              </w:rPr>
              <w:t>1</w:t>
            </w:r>
            <w:r>
              <w:rPr>
                <w:rFonts w:hint="eastAsia" w:eastAsia="黑体" w:cs="Times New Roman"/>
                <w:szCs w:val="21"/>
              </w:rPr>
              <w:t>7</w:t>
            </w:r>
            <w:r>
              <w:rPr>
                <w:rFonts w:eastAsia="黑体" w:cs="Times New Roman"/>
                <w:szCs w:val="21"/>
              </w:rPr>
              <w:t xml:space="preserve">  </w:t>
            </w:r>
            <w:r>
              <w:rPr>
                <w:rFonts w:hint="eastAsia" w:eastAsia="黑体" w:cs="Times New Roman"/>
                <w:szCs w:val="21"/>
              </w:rPr>
              <w:t>废水治理设施信息表</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426"/>
              <w:gridCol w:w="1452"/>
              <w:gridCol w:w="1160"/>
              <w:gridCol w:w="1305"/>
              <w:gridCol w:w="1164"/>
              <w:gridCol w:w="132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25" w:type="pct"/>
                  <w:vMerge w:val="restart"/>
                  <w:vAlign w:val="center"/>
                </w:tcPr>
                <w:p>
                  <w:pPr>
                    <w:jc w:val="center"/>
                    <w:rPr>
                      <w:szCs w:val="21"/>
                    </w:rPr>
                  </w:pPr>
                  <w:r>
                    <w:rPr>
                      <w:szCs w:val="21"/>
                    </w:rPr>
                    <w:t>废水类别</w:t>
                  </w:r>
                </w:p>
              </w:tc>
              <w:tc>
                <w:tcPr>
                  <w:tcW w:w="778" w:type="pct"/>
                  <w:vMerge w:val="restart"/>
                  <w:vAlign w:val="center"/>
                </w:tcPr>
                <w:p>
                  <w:pPr>
                    <w:jc w:val="center"/>
                    <w:rPr>
                      <w:szCs w:val="21"/>
                    </w:rPr>
                  </w:pPr>
                  <w:r>
                    <w:rPr>
                      <w:szCs w:val="21"/>
                    </w:rPr>
                    <w:t>污染物种类</w:t>
                  </w:r>
                </w:p>
              </w:tc>
              <w:tc>
                <w:tcPr>
                  <w:tcW w:w="2772" w:type="pct"/>
                  <w:gridSpan w:val="4"/>
                  <w:vAlign w:val="center"/>
                </w:tcPr>
                <w:p>
                  <w:pPr>
                    <w:jc w:val="center"/>
                    <w:rPr>
                      <w:szCs w:val="21"/>
                    </w:rPr>
                  </w:pPr>
                  <w:r>
                    <w:rPr>
                      <w:szCs w:val="21"/>
                    </w:rPr>
                    <w:t>污染治理设施</w:t>
                  </w:r>
                </w:p>
              </w:tc>
              <w:tc>
                <w:tcPr>
                  <w:tcW w:w="726" w:type="pct"/>
                  <w:vMerge w:val="restart"/>
                  <w:vAlign w:val="center"/>
                </w:tcPr>
                <w:p>
                  <w:pPr>
                    <w:jc w:val="center"/>
                    <w:rPr>
                      <w:szCs w:val="21"/>
                    </w:rPr>
                  </w:pPr>
                  <w:r>
                    <w:rPr>
                      <w:szCs w:val="21"/>
                    </w:rPr>
                    <w:t>排放方式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25" w:type="pct"/>
                  <w:vMerge w:val="continue"/>
                  <w:vAlign w:val="center"/>
                </w:tcPr>
                <w:p>
                  <w:pPr>
                    <w:jc w:val="center"/>
                    <w:rPr>
                      <w:szCs w:val="21"/>
                    </w:rPr>
                  </w:pPr>
                </w:p>
              </w:tc>
              <w:tc>
                <w:tcPr>
                  <w:tcW w:w="778" w:type="pct"/>
                  <w:vMerge w:val="continue"/>
                  <w:vAlign w:val="center"/>
                </w:tcPr>
                <w:p>
                  <w:pPr>
                    <w:jc w:val="center"/>
                    <w:rPr>
                      <w:szCs w:val="21"/>
                    </w:rPr>
                  </w:pPr>
                </w:p>
              </w:tc>
              <w:tc>
                <w:tcPr>
                  <w:tcW w:w="792" w:type="pct"/>
                  <w:vAlign w:val="center"/>
                </w:tcPr>
                <w:p>
                  <w:pPr>
                    <w:jc w:val="center"/>
                    <w:rPr>
                      <w:szCs w:val="21"/>
                    </w:rPr>
                  </w:pPr>
                  <w:r>
                    <w:rPr>
                      <w:szCs w:val="21"/>
                    </w:rPr>
                    <w:t>名称</w:t>
                  </w:r>
                </w:p>
              </w:tc>
              <w:tc>
                <w:tcPr>
                  <w:tcW w:w="633" w:type="pct"/>
                  <w:vAlign w:val="center"/>
                </w:tcPr>
                <w:p>
                  <w:pPr>
                    <w:jc w:val="center"/>
                    <w:rPr>
                      <w:szCs w:val="21"/>
                    </w:rPr>
                  </w:pPr>
                  <w:r>
                    <w:rPr>
                      <w:szCs w:val="21"/>
                    </w:rPr>
                    <w:t>处理能力</w:t>
                  </w:r>
                  <w:r>
                    <w:rPr>
                      <w:rFonts w:hint="eastAsia"/>
                      <w:szCs w:val="21"/>
                    </w:rPr>
                    <w:t>（</w:t>
                  </w:r>
                  <w:r>
                    <w:rPr>
                      <w:szCs w:val="21"/>
                    </w:rPr>
                    <w:t>t/d</w:t>
                  </w:r>
                  <w:r>
                    <w:rPr>
                      <w:rFonts w:hint="eastAsia"/>
                      <w:szCs w:val="21"/>
                    </w:rPr>
                    <w:t>）</w:t>
                  </w:r>
                </w:p>
              </w:tc>
              <w:tc>
                <w:tcPr>
                  <w:tcW w:w="712" w:type="pct"/>
                  <w:vAlign w:val="center"/>
                </w:tcPr>
                <w:p>
                  <w:pPr>
                    <w:jc w:val="center"/>
                    <w:rPr>
                      <w:szCs w:val="21"/>
                    </w:rPr>
                  </w:pPr>
                  <w:r>
                    <w:rPr>
                      <w:szCs w:val="21"/>
                    </w:rPr>
                    <w:t>治理工艺</w:t>
                  </w:r>
                </w:p>
              </w:tc>
              <w:tc>
                <w:tcPr>
                  <w:tcW w:w="635" w:type="pct"/>
                  <w:vAlign w:val="center"/>
                </w:tcPr>
                <w:p>
                  <w:pPr>
                    <w:jc w:val="center"/>
                    <w:rPr>
                      <w:szCs w:val="21"/>
                    </w:rPr>
                  </w:pPr>
                  <w:r>
                    <w:rPr>
                      <w:szCs w:val="21"/>
                    </w:rPr>
                    <w:t>是否为可行性技术</w:t>
                  </w:r>
                </w:p>
              </w:tc>
              <w:tc>
                <w:tcPr>
                  <w:tcW w:w="726" w:type="pct"/>
                  <w:vMerge w:val="continue"/>
                  <w:vAlign w:val="center"/>
                </w:tcPr>
                <w:p>
                  <w:pPr>
                    <w:jc w:val="center"/>
                    <w:rPr>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25" w:type="pct"/>
                  <w:vAlign w:val="center"/>
                </w:tcPr>
                <w:p>
                  <w:pPr>
                    <w:jc w:val="center"/>
                    <w:rPr>
                      <w:szCs w:val="21"/>
                    </w:rPr>
                  </w:pPr>
                  <w:r>
                    <w:rPr>
                      <w:rFonts w:hint="eastAsia"/>
                      <w:szCs w:val="21"/>
                    </w:rPr>
                    <w:t>车辆轮胎冲洗废水</w:t>
                  </w:r>
                </w:p>
              </w:tc>
              <w:tc>
                <w:tcPr>
                  <w:tcW w:w="778" w:type="pct"/>
                  <w:vAlign w:val="center"/>
                </w:tcPr>
                <w:p>
                  <w:pPr>
                    <w:jc w:val="center"/>
                    <w:rPr>
                      <w:szCs w:val="21"/>
                    </w:rPr>
                  </w:pPr>
                  <w:r>
                    <w:rPr>
                      <w:szCs w:val="21"/>
                    </w:rPr>
                    <w:t>SS</w:t>
                  </w:r>
                </w:p>
              </w:tc>
              <w:tc>
                <w:tcPr>
                  <w:tcW w:w="792" w:type="pct"/>
                  <w:vAlign w:val="center"/>
                </w:tcPr>
                <w:p>
                  <w:pPr>
                    <w:jc w:val="center"/>
                    <w:rPr>
                      <w:szCs w:val="21"/>
                    </w:rPr>
                  </w:pPr>
                  <w:r>
                    <w:rPr>
                      <w:rFonts w:hint="eastAsia"/>
                      <w:szCs w:val="21"/>
                    </w:rPr>
                    <w:t>沉淀池</w:t>
                  </w:r>
                </w:p>
              </w:tc>
              <w:tc>
                <w:tcPr>
                  <w:tcW w:w="633" w:type="pct"/>
                  <w:vAlign w:val="center"/>
                </w:tcPr>
                <w:p>
                  <w:pPr>
                    <w:jc w:val="center"/>
                    <w:rPr>
                      <w:szCs w:val="21"/>
                    </w:rPr>
                  </w:pPr>
                  <w:r>
                    <w:rPr>
                      <w:rFonts w:hint="eastAsia"/>
                      <w:szCs w:val="21"/>
                    </w:rPr>
                    <w:t>50</w:t>
                  </w:r>
                </w:p>
              </w:tc>
              <w:tc>
                <w:tcPr>
                  <w:tcW w:w="712" w:type="pct"/>
                  <w:vAlign w:val="center"/>
                </w:tcPr>
                <w:p>
                  <w:pPr>
                    <w:jc w:val="center"/>
                    <w:rPr>
                      <w:szCs w:val="21"/>
                    </w:rPr>
                  </w:pPr>
                  <w:r>
                    <w:rPr>
                      <w:rFonts w:hint="eastAsia"/>
                      <w:szCs w:val="21"/>
                    </w:rPr>
                    <w:t>沉淀</w:t>
                  </w:r>
                </w:p>
              </w:tc>
              <w:tc>
                <w:tcPr>
                  <w:tcW w:w="635" w:type="pct"/>
                  <w:vAlign w:val="center"/>
                </w:tcPr>
                <w:p>
                  <w:pPr>
                    <w:jc w:val="center"/>
                    <w:rPr>
                      <w:szCs w:val="21"/>
                    </w:rPr>
                  </w:pPr>
                  <w:r>
                    <w:rPr>
                      <w:szCs w:val="21"/>
                    </w:rPr>
                    <w:t>是</w:t>
                  </w:r>
                </w:p>
              </w:tc>
              <w:tc>
                <w:tcPr>
                  <w:tcW w:w="726" w:type="pct"/>
                  <w:vAlign w:val="center"/>
                </w:tcPr>
                <w:p>
                  <w:pPr>
                    <w:jc w:val="center"/>
                    <w:rPr>
                      <w:szCs w:val="21"/>
                    </w:rPr>
                  </w:pPr>
                  <w:r>
                    <w:rPr>
                      <w:rFonts w:hint="eastAsia"/>
                      <w:szCs w:val="21"/>
                    </w:rPr>
                    <w:t>全部回用，不排放</w:t>
                  </w:r>
                </w:p>
              </w:tc>
            </w:tr>
          </w:tbl>
          <w:p>
            <w:pPr>
              <w:spacing w:line="360" w:lineRule="auto"/>
              <w:ind w:firstLine="482" w:firstLineChars="200"/>
              <w:rPr>
                <w:b/>
                <w:sz w:val="24"/>
                <w:szCs w:val="24"/>
              </w:rPr>
            </w:pPr>
            <w:r>
              <w:rPr>
                <w:rFonts w:hint="eastAsia"/>
                <w:b/>
                <w:sz w:val="24"/>
                <w:szCs w:val="24"/>
              </w:rPr>
              <w:t>（3）依托现有沉淀池可行性</w:t>
            </w:r>
          </w:p>
          <w:p>
            <w:pPr>
              <w:spacing w:line="360" w:lineRule="auto"/>
              <w:ind w:firstLine="480" w:firstLineChars="200"/>
              <w:rPr>
                <w:sz w:val="24"/>
                <w:szCs w:val="24"/>
              </w:rPr>
            </w:pPr>
            <w:r>
              <w:rPr>
                <w:rFonts w:hint="eastAsia"/>
                <w:sz w:val="24"/>
                <w:szCs w:val="24"/>
              </w:rPr>
              <w:t>达州海螺水泥厂区出入口已设置1处车辆冲洗平台，配套设有1个沉淀池（容积50m</w:t>
            </w:r>
            <w:r>
              <w:rPr>
                <w:rFonts w:hint="eastAsia"/>
                <w:sz w:val="24"/>
                <w:szCs w:val="24"/>
                <w:vertAlign w:val="superscript"/>
              </w:rPr>
              <w:t>3</w:t>
            </w:r>
            <w:r>
              <w:rPr>
                <w:rFonts w:hint="eastAsia"/>
                <w:sz w:val="24"/>
                <w:szCs w:val="24"/>
              </w:rPr>
              <w:t>），用于厂区运输车辆轮胎冲洗。根据建设单位提供的资料，厂区现有运输车辆冲洗废水产生量约34.55m</w:t>
            </w:r>
            <w:r>
              <w:rPr>
                <w:rFonts w:hint="eastAsia"/>
                <w:sz w:val="24"/>
                <w:szCs w:val="24"/>
                <w:vertAlign w:val="superscript"/>
              </w:rPr>
              <w:t>3</w:t>
            </w:r>
            <w:r>
              <w:rPr>
                <w:rFonts w:hint="eastAsia"/>
                <w:sz w:val="24"/>
                <w:szCs w:val="24"/>
              </w:rPr>
              <w:t>/d，本次改建新增车辆轮胎冲洗废水约</w:t>
            </w:r>
            <w:r>
              <w:rPr>
                <w:rFonts w:hint="eastAsia"/>
                <w:kern w:val="24"/>
                <w:sz w:val="24"/>
                <w:szCs w:val="24"/>
              </w:rPr>
              <w:t>2.55m</w:t>
            </w:r>
            <w:r>
              <w:rPr>
                <w:rFonts w:hint="eastAsia"/>
                <w:kern w:val="24"/>
                <w:sz w:val="24"/>
                <w:szCs w:val="24"/>
                <w:vertAlign w:val="superscript"/>
              </w:rPr>
              <w:t>3</w:t>
            </w:r>
            <w:r>
              <w:rPr>
                <w:rFonts w:hint="eastAsia"/>
                <w:kern w:val="24"/>
                <w:sz w:val="24"/>
                <w:szCs w:val="24"/>
              </w:rPr>
              <w:t>/d，改建后车辆冲洗废水合计37.1</w:t>
            </w:r>
            <w:r>
              <w:rPr>
                <w:rFonts w:hint="eastAsia"/>
                <w:sz w:val="24"/>
                <w:szCs w:val="24"/>
              </w:rPr>
              <w:t>m</w:t>
            </w:r>
            <w:r>
              <w:rPr>
                <w:rFonts w:hint="eastAsia"/>
                <w:sz w:val="24"/>
                <w:szCs w:val="24"/>
                <w:vertAlign w:val="superscript"/>
              </w:rPr>
              <w:t>3</w:t>
            </w:r>
            <w:r>
              <w:rPr>
                <w:rFonts w:hint="eastAsia"/>
                <w:sz w:val="24"/>
                <w:szCs w:val="24"/>
              </w:rPr>
              <w:t>/d，现有沉淀池处理能力满足废水处理需求。</w:t>
            </w:r>
          </w:p>
          <w:p>
            <w:pPr>
              <w:spacing w:line="360" w:lineRule="auto"/>
              <w:ind w:firstLine="482" w:firstLineChars="200"/>
              <w:rPr>
                <w:b/>
                <w:sz w:val="24"/>
                <w:szCs w:val="24"/>
              </w:rPr>
            </w:pPr>
            <w:r>
              <w:rPr>
                <w:b/>
                <w:sz w:val="24"/>
                <w:szCs w:val="24"/>
              </w:rPr>
              <w:t>3</w:t>
            </w:r>
            <w:r>
              <w:rPr>
                <w:rFonts w:hint="eastAsia"/>
                <w:b/>
                <w:sz w:val="24"/>
                <w:szCs w:val="24"/>
              </w:rPr>
              <w:t>、噪声</w:t>
            </w:r>
          </w:p>
          <w:p>
            <w:pPr>
              <w:spacing w:line="360" w:lineRule="auto"/>
              <w:ind w:firstLine="482" w:firstLineChars="200"/>
              <w:rPr>
                <w:b/>
                <w:sz w:val="24"/>
                <w:szCs w:val="24"/>
              </w:rPr>
            </w:pPr>
            <w:r>
              <w:rPr>
                <w:rFonts w:hint="eastAsia"/>
                <w:b/>
                <w:sz w:val="24"/>
                <w:szCs w:val="24"/>
              </w:rPr>
              <w:t>（1）噪声源强及治理措施</w:t>
            </w:r>
          </w:p>
          <w:p>
            <w:pPr>
              <w:spacing w:line="360" w:lineRule="auto"/>
              <w:ind w:firstLine="480"/>
              <w:rPr>
                <w:sz w:val="24"/>
                <w:szCs w:val="24"/>
              </w:rPr>
            </w:pPr>
            <w:r>
              <w:rPr>
                <w:rFonts w:hint="eastAsia"/>
                <w:sz w:val="24"/>
                <w:szCs w:val="24"/>
              </w:rPr>
              <w:t>本项目</w:t>
            </w:r>
            <w:r>
              <w:rPr>
                <w:sz w:val="24"/>
                <w:szCs w:val="24"/>
              </w:rPr>
              <w:t>主要噪声源</w:t>
            </w:r>
            <w:r>
              <w:rPr>
                <w:rFonts w:hint="eastAsia"/>
                <w:sz w:val="24"/>
                <w:szCs w:val="24"/>
              </w:rPr>
              <w:t>来自制砂机、筛分机、输送机、空压机等设施设备和风机运行时产生的噪声，各设备噪声源强值在</w:t>
            </w:r>
            <w:r>
              <w:rPr>
                <w:sz w:val="24"/>
                <w:szCs w:val="24"/>
              </w:rPr>
              <w:t>75</w:t>
            </w:r>
            <w:r>
              <w:rPr>
                <w:rFonts w:hint="eastAsia"/>
                <w:sz w:val="24"/>
                <w:szCs w:val="24"/>
              </w:rPr>
              <w:t>~</w:t>
            </w:r>
            <w:r>
              <w:rPr>
                <w:sz w:val="24"/>
                <w:szCs w:val="24"/>
              </w:rPr>
              <w:t>95</w:t>
            </w:r>
            <w:r>
              <w:rPr>
                <w:rFonts w:hint="eastAsia"/>
                <w:sz w:val="24"/>
                <w:szCs w:val="24"/>
              </w:rPr>
              <w:t>dB（A）之间，项目拟采取的噪声治理措施如下：</w:t>
            </w:r>
          </w:p>
          <w:p>
            <w:pPr>
              <w:spacing w:line="360" w:lineRule="auto"/>
              <w:ind w:firstLine="480"/>
              <w:rPr>
                <w:sz w:val="24"/>
                <w:szCs w:val="24"/>
              </w:rPr>
            </w:pPr>
            <w:r>
              <w:rPr>
                <w:rFonts w:hint="eastAsia"/>
                <w:sz w:val="24"/>
                <w:szCs w:val="24"/>
              </w:rPr>
              <w:t>①选用符合国家标准的低噪声设备，改进工艺、设施结构和操作方法，定期进行设备检修，保证设备正常运行。</w:t>
            </w:r>
          </w:p>
          <w:p>
            <w:pPr>
              <w:spacing w:line="360" w:lineRule="auto"/>
              <w:ind w:firstLine="480"/>
              <w:rPr>
                <w:sz w:val="24"/>
                <w:szCs w:val="24"/>
              </w:rPr>
            </w:pPr>
            <w:r>
              <w:rPr>
                <w:rFonts w:hint="eastAsia"/>
                <w:sz w:val="24"/>
                <w:szCs w:val="24"/>
              </w:rPr>
              <w:t>②制砂机、筛分机设于密闭制砂楼，空压机设于密闭空压站，底部采取橡胶减震垫减振处理，制砂楼采用隔音棉做隔声处理；风机采取基础减震，增设隔声罩。</w:t>
            </w:r>
          </w:p>
          <w:p>
            <w:pPr>
              <w:spacing w:line="360" w:lineRule="auto"/>
              <w:ind w:firstLine="480"/>
              <w:rPr>
                <w:sz w:val="24"/>
                <w:szCs w:val="24"/>
              </w:rPr>
            </w:pPr>
            <w:r>
              <w:rPr>
                <w:rFonts w:hint="eastAsia"/>
                <w:sz w:val="24"/>
                <w:szCs w:val="24"/>
              </w:rPr>
              <w:t>③严控生产时间，禁止夜间（22:00~6:00）生产。</w:t>
            </w:r>
          </w:p>
          <w:p>
            <w:pPr>
              <w:spacing w:line="360" w:lineRule="auto"/>
              <w:ind w:firstLine="480"/>
              <w:rPr>
                <w:sz w:val="24"/>
                <w:szCs w:val="24"/>
              </w:rPr>
            </w:pPr>
            <w:r>
              <w:rPr>
                <w:rFonts w:hint="eastAsia"/>
                <w:sz w:val="24"/>
                <w:szCs w:val="24"/>
              </w:rPr>
              <w:t>④合理安排运输和装卸，规范操作，减少撞击和其它人为噪声。</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）达标情况</w:t>
            </w:r>
          </w:p>
          <w:p>
            <w:pPr>
              <w:spacing w:line="360" w:lineRule="auto"/>
              <w:ind w:firstLine="480" w:firstLineChars="200"/>
              <w:rPr>
                <w:sz w:val="24"/>
                <w:szCs w:val="24"/>
              </w:rPr>
            </w:pPr>
            <w:r>
              <w:rPr>
                <w:rFonts w:hint="eastAsia"/>
                <w:sz w:val="24"/>
                <w:szCs w:val="24"/>
              </w:rPr>
              <w:t>本次环评按照《环境影响评价技术导则 声环境》（HJ2.4-2021）中有关要求进行预测，以厂界作为预测点和评价点。</w:t>
            </w:r>
          </w:p>
          <w:p>
            <w:pPr>
              <w:spacing w:line="360" w:lineRule="auto"/>
              <w:ind w:firstLine="482" w:firstLineChars="200"/>
              <w:rPr>
                <w:b/>
                <w:bCs/>
                <w:sz w:val="24"/>
                <w:szCs w:val="24"/>
              </w:rPr>
            </w:pPr>
            <w:r>
              <w:rPr>
                <w:rFonts w:hint="eastAsia"/>
                <w:b/>
                <w:bCs/>
                <w:sz w:val="24"/>
                <w:szCs w:val="24"/>
              </w:rPr>
              <w:t>1）声源数据</w:t>
            </w:r>
          </w:p>
          <w:p>
            <w:pPr>
              <w:spacing w:line="360" w:lineRule="auto"/>
              <w:ind w:firstLine="480" w:firstLineChars="200"/>
              <w:rPr>
                <w:sz w:val="24"/>
                <w:szCs w:val="24"/>
              </w:rPr>
            </w:pPr>
            <w:r>
              <w:rPr>
                <w:rFonts w:hint="eastAsia"/>
                <w:sz w:val="24"/>
                <w:szCs w:val="24"/>
              </w:rPr>
              <w:t>项目主要噪声源调查情况见下表：</w:t>
            </w:r>
          </w:p>
          <w:p>
            <w:pPr>
              <w:spacing w:line="360" w:lineRule="auto"/>
              <w:ind w:firstLine="480" w:firstLineChars="200"/>
              <w:rPr>
                <w:bCs/>
                <w:sz w:val="24"/>
                <w:szCs w:val="24"/>
              </w:rPr>
            </w:pPr>
          </w:p>
        </w:tc>
      </w:tr>
    </w:tbl>
    <w:p>
      <w:pPr>
        <w:rPr>
          <w:rFonts w:hint="eastAsia" w:ascii="宋体" w:hAnsi="宋体"/>
          <w:sz w:val="28"/>
          <w:szCs w:val="28"/>
        </w:rPr>
        <w:sectPr>
          <w:pgSz w:w="11906" w:h="16838"/>
          <w:pgMar w:top="1134" w:right="1134" w:bottom="1134" w:left="1134" w:header="851" w:footer="992" w:gutter="0"/>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0" w:type="dxa"/>
          </w:tcPr>
          <w:p>
            <w:pPr>
              <w:spacing w:line="360" w:lineRule="auto"/>
              <w:jc w:val="center"/>
              <w:rPr>
                <w:rFonts w:eastAsia="黑体"/>
                <w:szCs w:val="21"/>
              </w:rPr>
            </w:pPr>
            <w:r>
              <w:rPr>
                <w:rFonts w:eastAsia="黑体"/>
                <w:szCs w:val="21"/>
              </w:rPr>
              <w:t>表4</w:t>
            </w:r>
            <w:r>
              <w:rPr>
                <w:rFonts w:hint="eastAsia" w:eastAsia="黑体"/>
                <w:szCs w:val="21"/>
              </w:rPr>
              <w:t>-</w:t>
            </w:r>
            <w:r>
              <w:rPr>
                <w:rFonts w:eastAsia="黑体"/>
                <w:szCs w:val="21"/>
              </w:rPr>
              <w:t>1</w:t>
            </w:r>
            <w:r>
              <w:rPr>
                <w:rFonts w:hint="eastAsia" w:eastAsia="黑体"/>
                <w:szCs w:val="21"/>
              </w:rPr>
              <w:t>8</w:t>
            </w:r>
            <w:r>
              <w:rPr>
                <w:rFonts w:eastAsia="黑体"/>
                <w:szCs w:val="21"/>
              </w:rPr>
              <w:t xml:space="preserve">  </w:t>
            </w:r>
            <w:r>
              <w:rPr>
                <w:rFonts w:hint="eastAsia" w:eastAsia="黑体"/>
                <w:szCs w:val="21"/>
              </w:rPr>
              <w:t>工业企业噪声源强调查清单（新增室外声源）</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84"/>
              <w:gridCol w:w="975"/>
              <w:gridCol w:w="1175"/>
              <w:gridCol w:w="1175"/>
              <w:gridCol w:w="1175"/>
              <w:gridCol w:w="2144"/>
              <w:gridCol w:w="2144"/>
              <w:gridCol w:w="2001"/>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7" w:type="pct"/>
                  <w:vMerge w:val="restart"/>
                  <w:shd w:val="clear" w:color="auto" w:fill="auto"/>
                  <w:noWrap/>
                  <w:vAlign w:val="center"/>
                </w:tcPr>
                <w:p>
                  <w:pPr>
                    <w:pStyle w:val="30"/>
                    <w:rPr>
                      <w:rFonts w:eastAsiaTheme="minorEastAsia"/>
                    </w:rPr>
                  </w:pPr>
                  <w:r>
                    <w:rPr>
                      <w:rFonts w:eastAsiaTheme="minorEastAsia"/>
                    </w:rPr>
                    <w:t>序号</w:t>
                  </w:r>
                </w:p>
              </w:tc>
              <w:tc>
                <w:tcPr>
                  <w:tcW w:w="587" w:type="pct"/>
                  <w:vMerge w:val="restart"/>
                  <w:shd w:val="clear" w:color="auto" w:fill="auto"/>
                  <w:noWrap/>
                  <w:vAlign w:val="center"/>
                </w:tcPr>
                <w:p>
                  <w:pPr>
                    <w:pStyle w:val="30"/>
                    <w:rPr>
                      <w:rFonts w:eastAsiaTheme="minorEastAsia"/>
                    </w:rPr>
                  </w:pPr>
                  <w:r>
                    <w:rPr>
                      <w:rFonts w:eastAsiaTheme="minorEastAsia"/>
                    </w:rPr>
                    <w:t>声源名称</w:t>
                  </w:r>
                </w:p>
              </w:tc>
              <w:tc>
                <w:tcPr>
                  <w:tcW w:w="340" w:type="pct"/>
                  <w:vMerge w:val="restart"/>
                  <w:shd w:val="clear" w:color="auto" w:fill="auto"/>
                  <w:noWrap/>
                  <w:vAlign w:val="center"/>
                </w:tcPr>
                <w:p>
                  <w:pPr>
                    <w:pStyle w:val="30"/>
                    <w:rPr>
                      <w:rFonts w:eastAsiaTheme="minorEastAsia"/>
                    </w:rPr>
                  </w:pPr>
                  <w:r>
                    <w:rPr>
                      <w:rFonts w:eastAsiaTheme="minorEastAsia"/>
                    </w:rPr>
                    <w:t>型号</w:t>
                  </w:r>
                </w:p>
              </w:tc>
              <w:tc>
                <w:tcPr>
                  <w:tcW w:w="1230" w:type="pct"/>
                  <w:gridSpan w:val="3"/>
                  <w:shd w:val="clear" w:color="auto" w:fill="auto"/>
                  <w:noWrap/>
                  <w:vAlign w:val="center"/>
                </w:tcPr>
                <w:p>
                  <w:pPr>
                    <w:pStyle w:val="30"/>
                    <w:rPr>
                      <w:rFonts w:eastAsiaTheme="minorEastAsia"/>
                    </w:rPr>
                  </w:pPr>
                  <w:r>
                    <w:rPr>
                      <w:rFonts w:eastAsiaTheme="minorEastAsia"/>
                    </w:rPr>
                    <w:t>空间相对位置/m</w:t>
                  </w:r>
                </w:p>
              </w:tc>
              <w:tc>
                <w:tcPr>
                  <w:tcW w:w="1496" w:type="pct"/>
                  <w:gridSpan w:val="2"/>
                  <w:shd w:val="clear" w:color="auto" w:fill="auto"/>
                  <w:noWrap/>
                  <w:vAlign w:val="center"/>
                </w:tcPr>
                <w:p>
                  <w:pPr>
                    <w:pStyle w:val="30"/>
                    <w:rPr>
                      <w:rFonts w:eastAsiaTheme="minorEastAsia"/>
                    </w:rPr>
                  </w:pPr>
                  <w:r>
                    <w:rPr>
                      <w:rFonts w:eastAsiaTheme="minorEastAsia"/>
                    </w:rPr>
                    <w:t>声源源强（任选一种）</w:t>
                  </w:r>
                </w:p>
              </w:tc>
              <w:tc>
                <w:tcPr>
                  <w:tcW w:w="698" w:type="pct"/>
                  <w:vMerge w:val="restart"/>
                  <w:shd w:val="clear" w:color="auto" w:fill="auto"/>
                  <w:noWrap/>
                  <w:vAlign w:val="center"/>
                </w:tcPr>
                <w:p>
                  <w:pPr>
                    <w:pStyle w:val="30"/>
                    <w:rPr>
                      <w:rFonts w:eastAsiaTheme="minorEastAsia"/>
                    </w:rPr>
                  </w:pPr>
                  <w:r>
                    <w:rPr>
                      <w:rFonts w:eastAsiaTheme="minorEastAsia"/>
                    </w:rPr>
                    <w:t>声源控制措施</w:t>
                  </w:r>
                </w:p>
              </w:tc>
              <w:tc>
                <w:tcPr>
                  <w:tcW w:w="412" w:type="pct"/>
                  <w:vMerge w:val="restart"/>
                  <w:shd w:val="clear" w:color="auto" w:fill="auto"/>
                  <w:noWrap/>
                  <w:vAlign w:val="center"/>
                </w:tcPr>
                <w:p>
                  <w:pPr>
                    <w:pStyle w:val="30"/>
                    <w:rPr>
                      <w:rFonts w:eastAsiaTheme="minorEastAsia"/>
                    </w:rPr>
                  </w:pPr>
                  <w:r>
                    <w:rPr>
                      <w:rFonts w:eastAsiaTheme="minorEastAsia"/>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7" w:type="pct"/>
                  <w:vMerge w:val="continue"/>
                  <w:vAlign w:val="center"/>
                </w:tcPr>
                <w:p>
                  <w:pPr>
                    <w:pStyle w:val="30"/>
                    <w:rPr>
                      <w:rFonts w:eastAsiaTheme="minorEastAsia"/>
                    </w:rPr>
                  </w:pPr>
                </w:p>
              </w:tc>
              <w:tc>
                <w:tcPr>
                  <w:tcW w:w="587" w:type="pct"/>
                  <w:vMerge w:val="continue"/>
                  <w:vAlign w:val="center"/>
                </w:tcPr>
                <w:p>
                  <w:pPr>
                    <w:pStyle w:val="30"/>
                    <w:rPr>
                      <w:rFonts w:eastAsiaTheme="minorEastAsia"/>
                    </w:rPr>
                  </w:pPr>
                </w:p>
              </w:tc>
              <w:tc>
                <w:tcPr>
                  <w:tcW w:w="340" w:type="pct"/>
                  <w:vMerge w:val="continue"/>
                  <w:vAlign w:val="center"/>
                </w:tcPr>
                <w:p>
                  <w:pPr>
                    <w:pStyle w:val="30"/>
                    <w:rPr>
                      <w:rFonts w:eastAsiaTheme="minorEastAsia"/>
                    </w:rPr>
                  </w:pPr>
                </w:p>
              </w:tc>
              <w:tc>
                <w:tcPr>
                  <w:tcW w:w="410" w:type="pct"/>
                  <w:shd w:val="clear" w:color="auto" w:fill="auto"/>
                  <w:noWrap/>
                  <w:vAlign w:val="center"/>
                </w:tcPr>
                <w:p>
                  <w:pPr>
                    <w:pStyle w:val="30"/>
                    <w:rPr>
                      <w:rFonts w:eastAsiaTheme="minorEastAsia"/>
                    </w:rPr>
                  </w:pPr>
                  <w:r>
                    <w:rPr>
                      <w:rFonts w:eastAsiaTheme="minorEastAsia"/>
                    </w:rPr>
                    <w:t>X</w:t>
                  </w:r>
                </w:p>
              </w:tc>
              <w:tc>
                <w:tcPr>
                  <w:tcW w:w="410" w:type="pct"/>
                  <w:shd w:val="clear" w:color="auto" w:fill="auto"/>
                  <w:noWrap/>
                  <w:vAlign w:val="center"/>
                </w:tcPr>
                <w:p>
                  <w:pPr>
                    <w:pStyle w:val="30"/>
                    <w:rPr>
                      <w:rFonts w:eastAsiaTheme="minorEastAsia"/>
                    </w:rPr>
                  </w:pPr>
                  <w:r>
                    <w:rPr>
                      <w:rFonts w:eastAsiaTheme="minorEastAsia"/>
                    </w:rPr>
                    <w:t>Y</w:t>
                  </w:r>
                </w:p>
              </w:tc>
              <w:tc>
                <w:tcPr>
                  <w:tcW w:w="410" w:type="pct"/>
                  <w:shd w:val="clear" w:color="auto" w:fill="auto"/>
                  <w:noWrap/>
                  <w:vAlign w:val="center"/>
                </w:tcPr>
                <w:p>
                  <w:pPr>
                    <w:pStyle w:val="30"/>
                    <w:rPr>
                      <w:rFonts w:eastAsiaTheme="minorEastAsia"/>
                    </w:rPr>
                  </w:pPr>
                  <w:r>
                    <w:rPr>
                      <w:rFonts w:eastAsiaTheme="minorEastAsia"/>
                    </w:rPr>
                    <w:t>Z</w:t>
                  </w:r>
                </w:p>
              </w:tc>
              <w:tc>
                <w:tcPr>
                  <w:tcW w:w="748" w:type="pct"/>
                  <w:shd w:val="clear" w:color="auto" w:fill="auto"/>
                  <w:vAlign w:val="center"/>
                </w:tcPr>
                <w:p>
                  <w:pPr>
                    <w:pStyle w:val="30"/>
                    <w:rPr>
                      <w:rFonts w:eastAsiaTheme="minorEastAsia"/>
                    </w:rPr>
                  </w:pPr>
                  <w:r>
                    <w:rPr>
                      <w:rFonts w:eastAsiaTheme="minorEastAsia"/>
                    </w:rPr>
                    <w:t>（声压级/距声源距离）/（dB(A)/m）</w:t>
                  </w:r>
                </w:p>
              </w:tc>
              <w:tc>
                <w:tcPr>
                  <w:tcW w:w="748" w:type="pct"/>
                  <w:shd w:val="clear" w:color="auto" w:fill="auto"/>
                  <w:vAlign w:val="center"/>
                </w:tcPr>
                <w:p>
                  <w:pPr>
                    <w:pStyle w:val="30"/>
                    <w:rPr>
                      <w:rFonts w:eastAsiaTheme="minorEastAsia"/>
                    </w:rPr>
                  </w:pPr>
                  <w:r>
                    <w:rPr>
                      <w:rFonts w:eastAsiaTheme="minorEastAsia"/>
                    </w:rPr>
                    <w:t>声功率/dB(A)</w:t>
                  </w:r>
                </w:p>
              </w:tc>
              <w:tc>
                <w:tcPr>
                  <w:tcW w:w="698" w:type="pct"/>
                  <w:vMerge w:val="continue"/>
                  <w:vAlign w:val="center"/>
                </w:tcPr>
                <w:p>
                  <w:pPr>
                    <w:pStyle w:val="30"/>
                    <w:rPr>
                      <w:rFonts w:eastAsiaTheme="minorEastAsia"/>
                    </w:rPr>
                  </w:pPr>
                </w:p>
              </w:tc>
              <w:tc>
                <w:tcPr>
                  <w:tcW w:w="412" w:type="pct"/>
                  <w:vMerge w:val="continue"/>
                  <w:vAlign w:val="center"/>
                </w:tcPr>
                <w:p>
                  <w:pPr>
                    <w:pStyle w:val="3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37" w:type="pct"/>
                  <w:shd w:val="clear" w:color="auto" w:fill="auto"/>
                  <w:noWrap/>
                  <w:vAlign w:val="center"/>
                </w:tcPr>
                <w:p>
                  <w:pPr>
                    <w:pStyle w:val="30"/>
                    <w:rPr>
                      <w:rFonts w:eastAsiaTheme="minorEastAsia"/>
                    </w:rPr>
                  </w:pPr>
                  <w:r>
                    <w:rPr>
                      <w:rFonts w:eastAsiaTheme="minorEastAsia"/>
                    </w:rPr>
                    <w:t>1</w:t>
                  </w:r>
                </w:p>
              </w:tc>
              <w:tc>
                <w:tcPr>
                  <w:tcW w:w="587" w:type="pct"/>
                  <w:shd w:val="clear" w:color="auto" w:fill="auto"/>
                  <w:noWrap/>
                  <w:vAlign w:val="center"/>
                </w:tcPr>
                <w:p>
                  <w:pPr>
                    <w:pStyle w:val="30"/>
                    <w:rPr>
                      <w:rFonts w:eastAsiaTheme="minorEastAsia"/>
                    </w:rPr>
                  </w:pPr>
                  <w:r>
                    <w:rPr>
                      <w:rFonts w:hint="eastAsia" w:eastAsiaTheme="minorEastAsia"/>
                    </w:rPr>
                    <w:t>风机1</w:t>
                  </w:r>
                </w:p>
              </w:tc>
              <w:tc>
                <w:tcPr>
                  <w:tcW w:w="340" w:type="pct"/>
                  <w:shd w:val="clear" w:color="auto" w:fill="auto"/>
                  <w:noWrap/>
                  <w:vAlign w:val="center"/>
                </w:tcPr>
                <w:p>
                  <w:pPr>
                    <w:pStyle w:val="30"/>
                    <w:rPr>
                      <w:rFonts w:eastAsiaTheme="minorEastAsia"/>
                    </w:rPr>
                  </w:pPr>
                  <w:r>
                    <w:rPr>
                      <w:rFonts w:hint="eastAsia" w:eastAsiaTheme="minorEastAsia"/>
                    </w:rPr>
                    <w:t>/</w:t>
                  </w:r>
                </w:p>
              </w:tc>
              <w:tc>
                <w:tcPr>
                  <w:tcW w:w="410" w:type="pct"/>
                  <w:shd w:val="clear" w:color="auto" w:fill="auto"/>
                  <w:noWrap/>
                </w:tcPr>
                <w:p>
                  <w:pPr>
                    <w:pStyle w:val="30"/>
                    <w:rPr>
                      <w:rFonts w:eastAsiaTheme="minorEastAsia"/>
                    </w:rPr>
                  </w:pPr>
                  <w:r>
                    <w:t>982.59</w:t>
                  </w:r>
                </w:p>
              </w:tc>
              <w:tc>
                <w:tcPr>
                  <w:tcW w:w="410" w:type="pct"/>
                  <w:shd w:val="clear" w:color="auto" w:fill="auto"/>
                  <w:noWrap/>
                </w:tcPr>
                <w:p>
                  <w:pPr>
                    <w:pStyle w:val="30"/>
                    <w:rPr>
                      <w:rFonts w:eastAsiaTheme="minorEastAsia"/>
                    </w:rPr>
                  </w:pPr>
                  <w:r>
                    <w:rPr>
                      <w:rFonts w:hint="eastAsia" w:eastAsiaTheme="minorEastAsia"/>
                    </w:rPr>
                    <w:t>2</w:t>
                  </w:r>
                  <w:r>
                    <w:rPr>
                      <w:rFonts w:eastAsiaTheme="minorEastAsia"/>
                    </w:rPr>
                    <w:t>19.79</w:t>
                  </w:r>
                </w:p>
              </w:tc>
              <w:tc>
                <w:tcPr>
                  <w:tcW w:w="410" w:type="pct"/>
                  <w:shd w:val="clear" w:color="auto" w:fill="auto"/>
                  <w:noWrap/>
                </w:tcPr>
                <w:p>
                  <w:pPr>
                    <w:pStyle w:val="30"/>
                  </w:pPr>
                  <w:r>
                    <w:t>0.5</w:t>
                  </w:r>
                </w:p>
              </w:tc>
              <w:tc>
                <w:tcPr>
                  <w:tcW w:w="748" w:type="pct"/>
                  <w:shd w:val="clear" w:color="auto" w:fill="auto"/>
                  <w:noWrap/>
                </w:tcPr>
                <w:p>
                  <w:pPr>
                    <w:pStyle w:val="30"/>
                    <w:rPr>
                      <w:rFonts w:eastAsiaTheme="minorEastAsia"/>
                    </w:rPr>
                  </w:pPr>
                  <w:r>
                    <w:rPr>
                      <w:rFonts w:hint="eastAsia" w:eastAsiaTheme="minorEastAsia"/>
                    </w:rPr>
                    <w:t>/</w:t>
                  </w:r>
                </w:p>
              </w:tc>
              <w:tc>
                <w:tcPr>
                  <w:tcW w:w="748" w:type="pct"/>
                  <w:shd w:val="clear" w:color="auto" w:fill="auto"/>
                  <w:noWrap/>
                  <w:vAlign w:val="center"/>
                </w:tcPr>
                <w:p>
                  <w:pPr>
                    <w:pStyle w:val="30"/>
                    <w:rPr>
                      <w:rFonts w:eastAsiaTheme="minorEastAsia"/>
                    </w:rPr>
                  </w:pPr>
                  <w:r>
                    <w:rPr>
                      <w:rFonts w:hint="eastAsia" w:eastAsiaTheme="minorEastAsia"/>
                    </w:rPr>
                    <w:t>8</w:t>
                  </w:r>
                  <w:r>
                    <w:rPr>
                      <w:rFonts w:eastAsiaTheme="minorEastAsia"/>
                    </w:rPr>
                    <w:t>5</w:t>
                  </w:r>
                </w:p>
              </w:tc>
              <w:tc>
                <w:tcPr>
                  <w:tcW w:w="698" w:type="pct"/>
                  <w:shd w:val="clear" w:color="auto" w:fill="auto"/>
                  <w:noWrap/>
                  <w:vAlign w:val="center"/>
                </w:tcPr>
                <w:p>
                  <w:pPr>
                    <w:pStyle w:val="30"/>
                    <w:rPr>
                      <w:rFonts w:hint="eastAsia" w:ascii="宋体" w:hAnsi="宋体" w:eastAsia="宋体" w:cs="宋体"/>
                    </w:rPr>
                  </w:pPr>
                  <w:r>
                    <w:rPr>
                      <w:rFonts w:hint="eastAsia" w:ascii="宋体" w:hAnsi="宋体" w:eastAsia="宋体" w:cs="宋体"/>
                    </w:rPr>
                    <w:t>基础减震+隔声罩</w:t>
                  </w:r>
                </w:p>
              </w:tc>
              <w:tc>
                <w:tcPr>
                  <w:tcW w:w="412" w:type="pct"/>
                  <w:vMerge w:val="restart"/>
                  <w:shd w:val="clear" w:color="auto" w:fill="auto"/>
                  <w:noWrap/>
                  <w:vAlign w:val="center"/>
                </w:tcPr>
                <w:p>
                  <w:pPr>
                    <w:pStyle w:val="30"/>
                    <w:rPr>
                      <w:rFonts w:eastAsiaTheme="minorEastAsia"/>
                    </w:rPr>
                  </w:pPr>
                  <w:r>
                    <w:rPr>
                      <w:rFonts w:hint="eastAsia" w:eastAsiaTheme="minor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37" w:type="pct"/>
                  <w:shd w:val="clear" w:color="auto" w:fill="auto"/>
                  <w:noWrap/>
                  <w:vAlign w:val="center"/>
                </w:tcPr>
                <w:p>
                  <w:pPr>
                    <w:pStyle w:val="30"/>
                    <w:rPr>
                      <w:rFonts w:eastAsiaTheme="minorEastAsia"/>
                    </w:rPr>
                  </w:pPr>
                  <w:r>
                    <w:rPr>
                      <w:rFonts w:hint="eastAsia" w:eastAsiaTheme="minorEastAsia"/>
                    </w:rPr>
                    <w:t>2</w:t>
                  </w:r>
                </w:p>
              </w:tc>
              <w:tc>
                <w:tcPr>
                  <w:tcW w:w="587" w:type="pct"/>
                  <w:shd w:val="clear" w:color="auto" w:fill="auto"/>
                  <w:noWrap/>
                </w:tcPr>
                <w:p>
                  <w:pPr>
                    <w:pStyle w:val="30"/>
                    <w:rPr>
                      <w:rFonts w:eastAsiaTheme="minorEastAsia"/>
                    </w:rPr>
                  </w:pPr>
                  <w:r>
                    <w:rPr>
                      <w:rFonts w:hint="eastAsia" w:eastAsiaTheme="minorEastAsia"/>
                    </w:rPr>
                    <w:t>风机</w:t>
                  </w:r>
                  <w:r>
                    <w:rPr>
                      <w:rFonts w:eastAsiaTheme="minorEastAsia"/>
                    </w:rPr>
                    <w:t>2</w:t>
                  </w:r>
                </w:p>
              </w:tc>
              <w:tc>
                <w:tcPr>
                  <w:tcW w:w="340" w:type="pct"/>
                  <w:shd w:val="clear" w:color="auto" w:fill="auto"/>
                  <w:noWrap/>
                  <w:vAlign w:val="center"/>
                </w:tcPr>
                <w:p>
                  <w:pPr>
                    <w:pStyle w:val="30"/>
                    <w:rPr>
                      <w:rFonts w:eastAsiaTheme="minorEastAsia"/>
                    </w:rPr>
                  </w:pPr>
                  <w:r>
                    <w:rPr>
                      <w:rFonts w:hint="eastAsia" w:eastAsiaTheme="minorEastAsia"/>
                    </w:rPr>
                    <w:t>/</w:t>
                  </w:r>
                </w:p>
              </w:tc>
              <w:tc>
                <w:tcPr>
                  <w:tcW w:w="410" w:type="pct"/>
                  <w:shd w:val="clear" w:color="auto" w:fill="auto"/>
                  <w:noWrap/>
                </w:tcPr>
                <w:p>
                  <w:pPr>
                    <w:pStyle w:val="30"/>
                    <w:rPr>
                      <w:rFonts w:eastAsiaTheme="minorEastAsia"/>
                    </w:rPr>
                  </w:pPr>
                  <w:r>
                    <w:t>938.42</w:t>
                  </w:r>
                </w:p>
              </w:tc>
              <w:tc>
                <w:tcPr>
                  <w:tcW w:w="410" w:type="pct"/>
                  <w:shd w:val="clear" w:color="auto" w:fill="auto"/>
                  <w:noWrap/>
                </w:tcPr>
                <w:p>
                  <w:pPr>
                    <w:pStyle w:val="30"/>
                    <w:rPr>
                      <w:rFonts w:eastAsiaTheme="minorEastAsia"/>
                    </w:rPr>
                  </w:pPr>
                  <w:r>
                    <w:rPr>
                      <w:rFonts w:hint="eastAsia" w:eastAsiaTheme="minorEastAsia"/>
                    </w:rPr>
                    <w:t>1</w:t>
                  </w:r>
                  <w:r>
                    <w:rPr>
                      <w:rFonts w:eastAsiaTheme="minorEastAsia"/>
                    </w:rPr>
                    <w:t>1.24</w:t>
                  </w:r>
                </w:p>
              </w:tc>
              <w:tc>
                <w:tcPr>
                  <w:tcW w:w="410" w:type="pct"/>
                  <w:shd w:val="clear" w:color="auto" w:fill="auto"/>
                  <w:noWrap/>
                </w:tcPr>
                <w:p>
                  <w:pPr>
                    <w:pStyle w:val="30"/>
                  </w:pPr>
                  <w:r>
                    <w:t>0.5</w:t>
                  </w:r>
                </w:p>
              </w:tc>
              <w:tc>
                <w:tcPr>
                  <w:tcW w:w="748" w:type="pct"/>
                  <w:shd w:val="clear" w:color="auto" w:fill="auto"/>
                  <w:noWrap/>
                </w:tcPr>
                <w:p>
                  <w:pPr>
                    <w:pStyle w:val="30"/>
                    <w:rPr>
                      <w:rFonts w:eastAsiaTheme="minorEastAsia"/>
                    </w:rPr>
                  </w:pPr>
                  <w:r>
                    <w:rPr>
                      <w:rFonts w:hint="eastAsia" w:eastAsiaTheme="minorEastAsia"/>
                    </w:rPr>
                    <w:t>/</w:t>
                  </w:r>
                </w:p>
              </w:tc>
              <w:tc>
                <w:tcPr>
                  <w:tcW w:w="748" w:type="pct"/>
                  <w:shd w:val="clear" w:color="auto" w:fill="auto"/>
                  <w:noWrap/>
                </w:tcPr>
                <w:p>
                  <w:pPr>
                    <w:pStyle w:val="30"/>
                    <w:rPr>
                      <w:rFonts w:eastAsiaTheme="minorEastAsia"/>
                    </w:rPr>
                  </w:pPr>
                  <w:r>
                    <w:rPr>
                      <w:rFonts w:hint="eastAsia" w:eastAsiaTheme="minorEastAsia"/>
                    </w:rPr>
                    <w:t>8</w:t>
                  </w:r>
                  <w:r>
                    <w:rPr>
                      <w:rFonts w:eastAsiaTheme="minorEastAsia"/>
                    </w:rPr>
                    <w:t>5</w:t>
                  </w:r>
                </w:p>
              </w:tc>
              <w:tc>
                <w:tcPr>
                  <w:tcW w:w="698" w:type="pct"/>
                  <w:shd w:val="clear" w:color="auto" w:fill="auto"/>
                  <w:noWrap/>
                  <w:vAlign w:val="center"/>
                </w:tcPr>
                <w:p>
                  <w:pPr>
                    <w:pStyle w:val="30"/>
                    <w:rPr>
                      <w:rFonts w:hint="eastAsia" w:ascii="宋体" w:hAnsi="宋体" w:eastAsia="宋体" w:cs="宋体"/>
                    </w:rPr>
                  </w:pPr>
                  <w:r>
                    <w:rPr>
                      <w:rFonts w:hint="eastAsia" w:ascii="宋体" w:hAnsi="宋体" w:eastAsia="宋体" w:cs="宋体"/>
                    </w:rPr>
                    <w:t>基础减震+隔声罩</w:t>
                  </w:r>
                </w:p>
              </w:tc>
              <w:tc>
                <w:tcPr>
                  <w:tcW w:w="412" w:type="pct"/>
                  <w:vMerge w:val="continue"/>
                  <w:shd w:val="clear" w:color="auto" w:fill="auto"/>
                  <w:noWrap/>
                  <w:vAlign w:val="center"/>
                </w:tcPr>
                <w:p>
                  <w:pPr>
                    <w:pStyle w:val="3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37" w:type="pct"/>
                  <w:shd w:val="clear" w:color="auto" w:fill="auto"/>
                  <w:noWrap/>
                  <w:vAlign w:val="center"/>
                </w:tcPr>
                <w:p>
                  <w:pPr>
                    <w:pStyle w:val="30"/>
                    <w:rPr>
                      <w:rFonts w:eastAsiaTheme="minorEastAsia"/>
                    </w:rPr>
                  </w:pPr>
                  <w:r>
                    <w:rPr>
                      <w:rFonts w:hint="eastAsia" w:eastAsiaTheme="minorEastAsia"/>
                    </w:rPr>
                    <w:t>3</w:t>
                  </w:r>
                </w:p>
              </w:tc>
              <w:tc>
                <w:tcPr>
                  <w:tcW w:w="587" w:type="pct"/>
                  <w:shd w:val="clear" w:color="auto" w:fill="auto"/>
                  <w:noWrap/>
                </w:tcPr>
                <w:p>
                  <w:pPr>
                    <w:pStyle w:val="30"/>
                    <w:rPr>
                      <w:rFonts w:eastAsiaTheme="minorEastAsia"/>
                    </w:rPr>
                  </w:pPr>
                  <w:r>
                    <w:rPr>
                      <w:rFonts w:hint="eastAsia" w:eastAsiaTheme="minorEastAsia"/>
                    </w:rPr>
                    <w:t>风机</w:t>
                  </w:r>
                  <w:r>
                    <w:rPr>
                      <w:rFonts w:eastAsiaTheme="minorEastAsia"/>
                    </w:rPr>
                    <w:t>3</w:t>
                  </w:r>
                </w:p>
              </w:tc>
              <w:tc>
                <w:tcPr>
                  <w:tcW w:w="340" w:type="pct"/>
                  <w:shd w:val="clear" w:color="auto" w:fill="auto"/>
                  <w:noWrap/>
                  <w:vAlign w:val="center"/>
                </w:tcPr>
                <w:p>
                  <w:pPr>
                    <w:pStyle w:val="30"/>
                    <w:rPr>
                      <w:rFonts w:eastAsiaTheme="minorEastAsia"/>
                    </w:rPr>
                  </w:pPr>
                  <w:r>
                    <w:rPr>
                      <w:rFonts w:hint="eastAsia" w:eastAsiaTheme="minorEastAsia"/>
                    </w:rPr>
                    <w:t>/</w:t>
                  </w:r>
                </w:p>
              </w:tc>
              <w:tc>
                <w:tcPr>
                  <w:tcW w:w="410" w:type="pct"/>
                  <w:shd w:val="clear" w:color="auto" w:fill="auto"/>
                  <w:noWrap/>
                </w:tcPr>
                <w:p>
                  <w:pPr>
                    <w:pStyle w:val="30"/>
                    <w:rPr>
                      <w:rFonts w:eastAsiaTheme="minorEastAsia"/>
                    </w:rPr>
                  </w:pPr>
                  <w:r>
                    <w:t>963.22</w:t>
                  </w:r>
                </w:p>
              </w:tc>
              <w:tc>
                <w:tcPr>
                  <w:tcW w:w="410" w:type="pct"/>
                  <w:shd w:val="clear" w:color="auto" w:fill="auto"/>
                  <w:noWrap/>
                </w:tcPr>
                <w:p>
                  <w:pPr>
                    <w:pStyle w:val="30"/>
                    <w:rPr>
                      <w:rFonts w:eastAsiaTheme="minorEastAsia"/>
                    </w:rPr>
                  </w:pPr>
                  <w:r>
                    <w:rPr>
                      <w:rFonts w:hint="eastAsia" w:eastAsiaTheme="minorEastAsia"/>
                    </w:rPr>
                    <w:t>7</w:t>
                  </w:r>
                  <w:r>
                    <w:rPr>
                      <w:rFonts w:eastAsiaTheme="minorEastAsia"/>
                    </w:rPr>
                    <w:t>.73</w:t>
                  </w:r>
                </w:p>
              </w:tc>
              <w:tc>
                <w:tcPr>
                  <w:tcW w:w="410" w:type="pct"/>
                  <w:shd w:val="clear" w:color="auto" w:fill="auto"/>
                  <w:noWrap/>
                </w:tcPr>
                <w:p>
                  <w:pPr>
                    <w:pStyle w:val="30"/>
                  </w:pPr>
                  <w:r>
                    <w:t>0.5</w:t>
                  </w:r>
                </w:p>
              </w:tc>
              <w:tc>
                <w:tcPr>
                  <w:tcW w:w="748" w:type="pct"/>
                  <w:shd w:val="clear" w:color="auto" w:fill="auto"/>
                  <w:noWrap/>
                </w:tcPr>
                <w:p>
                  <w:pPr>
                    <w:pStyle w:val="30"/>
                    <w:rPr>
                      <w:rFonts w:eastAsiaTheme="minorEastAsia"/>
                    </w:rPr>
                  </w:pPr>
                  <w:r>
                    <w:rPr>
                      <w:rFonts w:hint="eastAsia" w:eastAsiaTheme="minorEastAsia"/>
                    </w:rPr>
                    <w:t>/</w:t>
                  </w:r>
                </w:p>
              </w:tc>
              <w:tc>
                <w:tcPr>
                  <w:tcW w:w="748" w:type="pct"/>
                  <w:shd w:val="clear" w:color="auto" w:fill="auto"/>
                  <w:noWrap/>
                </w:tcPr>
                <w:p>
                  <w:pPr>
                    <w:pStyle w:val="30"/>
                    <w:rPr>
                      <w:rFonts w:eastAsiaTheme="minorEastAsia"/>
                    </w:rPr>
                  </w:pPr>
                  <w:r>
                    <w:rPr>
                      <w:rFonts w:hint="eastAsia" w:eastAsiaTheme="minorEastAsia"/>
                    </w:rPr>
                    <w:t>8</w:t>
                  </w:r>
                  <w:r>
                    <w:rPr>
                      <w:rFonts w:eastAsiaTheme="minorEastAsia"/>
                    </w:rPr>
                    <w:t>5</w:t>
                  </w:r>
                </w:p>
              </w:tc>
              <w:tc>
                <w:tcPr>
                  <w:tcW w:w="698" w:type="pct"/>
                  <w:shd w:val="clear" w:color="auto" w:fill="auto"/>
                  <w:noWrap/>
                  <w:vAlign w:val="center"/>
                </w:tcPr>
                <w:p>
                  <w:pPr>
                    <w:pStyle w:val="30"/>
                    <w:rPr>
                      <w:rFonts w:hint="eastAsia" w:ascii="宋体" w:hAnsi="宋体" w:eastAsia="宋体" w:cs="宋体"/>
                    </w:rPr>
                  </w:pPr>
                  <w:r>
                    <w:rPr>
                      <w:rFonts w:hint="eastAsia" w:ascii="宋体" w:hAnsi="宋体" w:eastAsia="宋体" w:cs="宋体"/>
                    </w:rPr>
                    <w:t>基础减震+隔声罩</w:t>
                  </w:r>
                </w:p>
              </w:tc>
              <w:tc>
                <w:tcPr>
                  <w:tcW w:w="412" w:type="pct"/>
                  <w:vMerge w:val="continue"/>
                  <w:shd w:val="clear" w:color="auto" w:fill="auto"/>
                  <w:noWrap/>
                  <w:vAlign w:val="center"/>
                </w:tcPr>
                <w:p>
                  <w:pPr>
                    <w:pStyle w:val="3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37" w:type="pct"/>
                  <w:shd w:val="clear" w:color="auto" w:fill="auto"/>
                  <w:noWrap/>
                  <w:vAlign w:val="center"/>
                </w:tcPr>
                <w:p>
                  <w:pPr>
                    <w:pStyle w:val="30"/>
                    <w:rPr>
                      <w:rFonts w:eastAsiaTheme="minorEastAsia"/>
                    </w:rPr>
                  </w:pPr>
                  <w:r>
                    <w:rPr>
                      <w:rFonts w:hint="eastAsia" w:eastAsiaTheme="minorEastAsia"/>
                    </w:rPr>
                    <w:t>4</w:t>
                  </w:r>
                </w:p>
              </w:tc>
              <w:tc>
                <w:tcPr>
                  <w:tcW w:w="587" w:type="pct"/>
                  <w:shd w:val="clear" w:color="auto" w:fill="auto"/>
                  <w:noWrap/>
                </w:tcPr>
                <w:p>
                  <w:pPr>
                    <w:pStyle w:val="30"/>
                    <w:rPr>
                      <w:rFonts w:eastAsiaTheme="minorEastAsia"/>
                    </w:rPr>
                  </w:pPr>
                  <w:r>
                    <w:rPr>
                      <w:rFonts w:hint="eastAsia" w:eastAsiaTheme="minorEastAsia"/>
                    </w:rPr>
                    <w:t>风机</w:t>
                  </w:r>
                  <w:r>
                    <w:rPr>
                      <w:rFonts w:eastAsiaTheme="minorEastAsia"/>
                    </w:rPr>
                    <w:t>4</w:t>
                  </w:r>
                </w:p>
              </w:tc>
              <w:tc>
                <w:tcPr>
                  <w:tcW w:w="340" w:type="pct"/>
                  <w:shd w:val="clear" w:color="auto" w:fill="auto"/>
                  <w:noWrap/>
                  <w:vAlign w:val="center"/>
                </w:tcPr>
                <w:p>
                  <w:pPr>
                    <w:pStyle w:val="30"/>
                    <w:rPr>
                      <w:rFonts w:eastAsiaTheme="minorEastAsia"/>
                    </w:rPr>
                  </w:pPr>
                  <w:r>
                    <w:rPr>
                      <w:rFonts w:hint="eastAsia" w:eastAsiaTheme="minorEastAsia"/>
                    </w:rPr>
                    <w:t>/</w:t>
                  </w:r>
                </w:p>
              </w:tc>
              <w:tc>
                <w:tcPr>
                  <w:tcW w:w="410" w:type="pct"/>
                  <w:shd w:val="clear" w:color="auto" w:fill="auto"/>
                  <w:noWrap/>
                </w:tcPr>
                <w:p>
                  <w:pPr>
                    <w:pStyle w:val="30"/>
                    <w:rPr>
                      <w:rFonts w:eastAsiaTheme="minorEastAsia"/>
                    </w:rPr>
                  </w:pPr>
                  <w:r>
                    <w:rPr>
                      <w:rFonts w:hint="eastAsia" w:eastAsiaTheme="minorEastAsia"/>
                    </w:rPr>
                    <w:t>1</w:t>
                  </w:r>
                  <w:r>
                    <w:rPr>
                      <w:rFonts w:eastAsiaTheme="minorEastAsia"/>
                    </w:rPr>
                    <w:t>000.18</w:t>
                  </w:r>
                </w:p>
              </w:tc>
              <w:tc>
                <w:tcPr>
                  <w:tcW w:w="410" w:type="pct"/>
                  <w:shd w:val="clear" w:color="auto" w:fill="auto"/>
                  <w:noWrap/>
                </w:tcPr>
                <w:p>
                  <w:pPr>
                    <w:pStyle w:val="30"/>
                    <w:rPr>
                      <w:rFonts w:eastAsiaTheme="minorEastAsia"/>
                    </w:rPr>
                  </w:pPr>
                  <w:r>
                    <w:rPr>
                      <w:rFonts w:hint="eastAsia" w:eastAsiaTheme="minorEastAsia"/>
                    </w:rPr>
                    <w:t>1</w:t>
                  </w:r>
                  <w:r>
                    <w:rPr>
                      <w:rFonts w:eastAsiaTheme="minorEastAsia"/>
                    </w:rPr>
                    <w:t>99.11</w:t>
                  </w:r>
                </w:p>
              </w:tc>
              <w:tc>
                <w:tcPr>
                  <w:tcW w:w="410" w:type="pct"/>
                  <w:shd w:val="clear" w:color="auto" w:fill="auto"/>
                  <w:noWrap/>
                </w:tcPr>
                <w:p>
                  <w:pPr>
                    <w:pStyle w:val="30"/>
                  </w:pPr>
                  <w:r>
                    <w:t>0.5</w:t>
                  </w:r>
                </w:p>
              </w:tc>
              <w:tc>
                <w:tcPr>
                  <w:tcW w:w="748" w:type="pct"/>
                  <w:shd w:val="clear" w:color="auto" w:fill="auto"/>
                  <w:noWrap/>
                </w:tcPr>
                <w:p>
                  <w:pPr>
                    <w:pStyle w:val="30"/>
                    <w:rPr>
                      <w:rFonts w:eastAsiaTheme="minorEastAsia"/>
                    </w:rPr>
                  </w:pPr>
                  <w:r>
                    <w:rPr>
                      <w:rFonts w:hint="eastAsia" w:eastAsiaTheme="minorEastAsia"/>
                    </w:rPr>
                    <w:t>/</w:t>
                  </w:r>
                </w:p>
              </w:tc>
              <w:tc>
                <w:tcPr>
                  <w:tcW w:w="748" w:type="pct"/>
                  <w:shd w:val="clear" w:color="auto" w:fill="auto"/>
                  <w:noWrap/>
                </w:tcPr>
                <w:p>
                  <w:pPr>
                    <w:pStyle w:val="30"/>
                    <w:rPr>
                      <w:rFonts w:eastAsiaTheme="minorEastAsia"/>
                    </w:rPr>
                  </w:pPr>
                  <w:r>
                    <w:rPr>
                      <w:rFonts w:hint="eastAsia" w:eastAsiaTheme="minorEastAsia"/>
                    </w:rPr>
                    <w:t>8</w:t>
                  </w:r>
                  <w:r>
                    <w:rPr>
                      <w:rFonts w:eastAsiaTheme="minorEastAsia"/>
                    </w:rPr>
                    <w:t>5</w:t>
                  </w:r>
                </w:p>
              </w:tc>
              <w:tc>
                <w:tcPr>
                  <w:tcW w:w="698" w:type="pct"/>
                  <w:shd w:val="clear" w:color="auto" w:fill="auto"/>
                  <w:noWrap/>
                  <w:vAlign w:val="center"/>
                </w:tcPr>
                <w:p>
                  <w:pPr>
                    <w:pStyle w:val="30"/>
                    <w:rPr>
                      <w:rFonts w:hint="eastAsia" w:ascii="宋体" w:hAnsi="宋体" w:eastAsia="宋体" w:cs="宋体"/>
                    </w:rPr>
                  </w:pPr>
                  <w:r>
                    <w:rPr>
                      <w:rFonts w:hint="eastAsia" w:ascii="宋体" w:hAnsi="宋体" w:eastAsia="宋体" w:cs="宋体"/>
                    </w:rPr>
                    <w:t>基础减震+隔声罩</w:t>
                  </w:r>
                </w:p>
              </w:tc>
              <w:tc>
                <w:tcPr>
                  <w:tcW w:w="412" w:type="pct"/>
                  <w:vMerge w:val="continue"/>
                  <w:shd w:val="clear" w:color="auto" w:fill="auto"/>
                  <w:noWrap/>
                  <w:vAlign w:val="center"/>
                </w:tcPr>
                <w:p>
                  <w:pPr>
                    <w:pStyle w:val="3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37" w:type="pct"/>
                  <w:shd w:val="clear" w:color="auto" w:fill="auto"/>
                  <w:noWrap/>
                  <w:vAlign w:val="center"/>
                </w:tcPr>
                <w:p>
                  <w:pPr>
                    <w:pStyle w:val="30"/>
                    <w:rPr>
                      <w:rFonts w:eastAsiaTheme="minorEastAsia"/>
                    </w:rPr>
                  </w:pPr>
                  <w:r>
                    <w:rPr>
                      <w:rFonts w:hint="eastAsia" w:eastAsiaTheme="minorEastAsia"/>
                    </w:rPr>
                    <w:t>5</w:t>
                  </w:r>
                </w:p>
              </w:tc>
              <w:tc>
                <w:tcPr>
                  <w:tcW w:w="587" w:type="pct"/>
                  <w:shd w:val="clear" w:color="auto" w:fill="auto"/>
                  <w:noWrap/>
                </w:tcPr>
                <w:p>
                  <w:pPr>
                    <w:pStyle w:val="30"/>
                    <w:rPr>
                      <w:rFonts w:eastAsiaTheme="minorEastAsia"/>
                    </w:rPr>
                  </w:pPr>
                  <w:r>
                    <w:rPr>
                      <w:rFonts w:hint="eastAsia" w:eastAsiaTheme="minorEastAsia"/>
                    </w:rPr>
                    <w:t>风机</w:t>
                  </w:r>
                  <w:r>
                    <w:rPr>
                      <w:rFonts w:eastAsiaTheme="minorEastAsia"/>
                    </w:rPr>
                    <w:t>5</w:t>
                  </w:r>
                </w:p>
              </w:tc>
              <w:tc>
                <w:tcPr>
                  <w:tcW w:w="340" w:type="pct"/>
                  <w:shd w:val="clear" w:color="auto" w:fill="auto"/>
                  <w:noWrap/>
                  <w:vAlign w:val="center"/>
                </w:tcPr>
                <w:p>
                  <w:pPr>
                    <w:pStyle w:val="30"/>
                    <w:rPr>
                      <w:rFonts w:eastAsiaTheme="minorEastAsia"/>
                    </w:rPr>
                  </w:pPr>
                  <w:r>
                    <w:rPr>
                      <w:rFonts w:hint="eastAsia" w:eastAsiaTheme="minorEastAsia"/>
                    </w:rPr>
                    <w:t>/</w:t>
                  </w:r>
                </w:p>
              </w:tc>
              <w:tc>
                <w:tcPr>
                  <w:tcW w:w="410" w:type="pct"/>
                  <w:shd w:val="clear" w:color="auto" w:fill="auto"/>
                  <w:noWrap/>
                </w:tcPr>
                <w:p>
                  <w:pPr>
                    <w:pStyle w:val="30"/>
                    <w:rPr>
                      <w:rFonts w:eastAsiaTheme="minorEastAsia"/>
                    </w:rPr>
                  </w:pPr>
                  <w:r>
                    <w:rPr>
                      <w:rFonts w:hint="eastAsia" w:eastAsiaTheme="minorEastAsia"/>
                    </w:rPr>
                    <w:t>9</w:t>
                  </w:r>
                  <w:r>
                    <w:rPr>
                      <w:rFonts w:eastAsiaTheme="minorEastAsia"/>
                    </w:rPr>
                    <w:t>65.96</w:t>
                  </w:r>
                </w:p>
              </w:tc>
              <w:tc>
                <w:tcPr>
                  <w:tcW w:w="410" w:type="pct"/>
                  <w:shd w:val="clear" w:color="auto" w:fill="auto"/>
                  <w:noWrap/>
                </w:tcPr>
                <w:p>
                  <w:pPr>
                    <w:pStyle w:val="30"/>
                    <w:rPr>
                      <w:rFonts w:eastAsiaTheme="minorEastAsia"/>
                    </w:rPr>
                  </w:pPr>
                  <w:r>
                    <w:rPr>
                      <w:rFonts w:hint="eastAsia" w:eastAsiaTheme="minorEastAsia"/>
                    </w:rPr>
                    <w:t>2</w:t>
                  </w:r>
                  <w:r>
                    <w:rPr>
                      <w:rFonts w:eastAsiaTheme="minorEastAsia"/>
                    </w:rPr>
                    <w:t>10.26</w:t>
                  </w:r>
                </w:p>
              </w:tc>
              <w:tc>
                <w:tcPr>
                  <w:tcW w:w="410" w:type="pct"/>
                  <w:shd w:val="clear" w:color="auto" w:fill="auto"/>
                  <w:noWrap/>
                </w:tcPr>
                <w:p>
                  <w:pPr>
                    <w:pStyle w:val="30"/>
                  </w:pPr>
                  <w:r>
                    <w:t>0.5</w:t>
                  </w:r>
                </w:p>
              </w:tc>
              <w:tc>
                <w:tcPr>
                  <w:tcW w:w="748" w:type="pct"/>
                  <w:shd w:val="clear" w:color="auto" w:fill="auto"/>
                  <w:noWrap/>
                </w:tcPr>
                <w:p>
                  <w:pPr>
                    <w:pStyle w:val="30"/>
                    <w:rPr>
                      <w:rFonts w:eastAsiaTheme="minorEastAsia"/>
                    </w:rPr>
                  </w:pPr>
                  <w:r>
                    <w:rPr>
                      <w:rFonts w:hint="eastAsia" w:eastAsiaTheme="minorEastAsia"/>
                    </w:rPr>
                    <w:t>/</w:t>
                  </w:r>
                </w:p>
              </w:tc>
              <w:tc>
                <w:tcPr>
                  <w:tcW w:w="748" w:type="pct"/>
                  <w:shd w:val="clear" w:color="auto" w:fill="auto"/>
                  <w:noWrap/>
                </w:tcPr>
                <w:p>
                  <w:pPr>
                    <w:pStyle w:val="30"/>
                    <w:rPr>
                      <w:rFonts w:eastAsiaTheme="minorEastAsia"/>
                    </w:rPr>
                  </w:pPr>
                  <w:r>
                    <w:rPr>
                      <w:rFonts w:hint="eastAsia" w:eastAsiaTheme="minorEastAsia"/>
                    </w:rPr>
                    <w:t>8</w:t>
                  </w:r>
                  <w:r>
                    <w:rPr>
                      <w:rFonts w:eastAsiaTheme="minorEastAsia"/>
                    </w:rPr>
                    <w:t>5</w:t>
                  </w:r>
                </w:p>
              </w:tc>
              <w:tc>
                <w:tcPr>
                  <w:tcW w:w="698" w:type="pct"/>
                  <w:shd w:val="clear" w:color="auto" w:fill="auto"/>
                  <w:noWrap/>
                  <w:vAlign w:val="center"/>
                </w:tcPr>
                <w:p>
                  <w:pPr>
                    <w:pStyle w:val="30"/>
                    <w:rPr>
                      <w:rFonts w:hint="eastAsia" w:ascii="宋体" w:hAnsi="宋体" w:eastAsia="宋体" w:cs="宋体"/>
                    </w:rPr>
                  </w:pPr>
                  <w:r>
                    <w:rPr>
                      <w:rFonts w:hint="eastAsia" w:ascii="宋体" w:hAnsi="宋体" w:eastAsia="宋体" w:cs="宋体"/>
                    </w:rPr>
                    <w:t>基础减震+隔声罩</w:t>
                  </w:r>
                </w:p>
              </w:tc>
              <w:tc>
                <w:tcPr>
                  <w:tcW w:w="412" w:type="pct"/>
                  <w:vMerge w:val="continue"/>
                  <w:shd w:val="clear" w:color="auto" w:fill="auto"/>
                  <w:noWrap/>
                  <w:vAlign w:val="center"/>
                </w:tcPr>
                <w:p>
                  <w:pPr>
                    <w:pStyle w:val="30"/>
                    <w:rPr>
                      <w:rFonts w:eastAsiaTheme="minorEastAsia"/>
                    </w:rPr>
                  </w:pPr>
                </w:p>
              </w:tc>
            </w:tr>
          </w:tbl>
          <w:p>
            <w:pPr>
              <w:spacing w:line="360" w:lineRule="auto"/>
              <w:jc w:val="center"/>
              <w:rPr>
                <w:rFonts w:eastAsia="黑体"/>
                <w:szCs w:val="21"/>
              </w:rPr>
            </w:pPr>
            <w:r>
              <w:rPr>
                <w:rFonts w:eastAsia="黑体"/>
                <w:szCs w:val="21"/>
              </w:rPr>
              <w:t>表4</w:t>
            </w:r>
            <w:r>
              <w:rPr>
                <w:rFonts w:hint="eastAsia" w:eastAsia="黑体"/>
                <w:szCs w:val="21"/>
              </w:rPr>
              <w:t>-</w:t>
            </w:r>
            <w:r>
              <w:rPr>
                <w:rFonts w:eastAsia="黑体"/>
                <w:szCs w:val="21"/>
              </w:rPr>
              <w:t>1</w:t>
            </w:r>
            <w:r>
              <w:rPr>
                <w:rFonts w:hint="eastAsia" w:eastAsia="黑体"/>
                <w:szCs w:val="21"/>
              </w:rPr>
              <w:t>9</w:t>
            </w:r>
            <w:r>
              <w:rPr>
                <w:rFonts w:eastAsia="黑体"/>
                <w:szCs w:val="21"/>
              </w:rPr>
              <w:t xml:space="preserve">  </w:t>
            </w:r>
            <w:r>
              <w:rPr>
                <w:rFonts w:hint="eastAsia" w:eastAsia="黑体"/>
                <w:szCs w:val="21"/>
              </w:rPr>
              <w:t>工业企业噪声源强调查清单（新增室内声源）</w:t>
            </w:r>
          </w:p>
          <w:tbl>
            <w:tblPr>
              <w:tblStyle w:val="15"/>
              <w:tblW w:w="14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851"/>
              <w:gridCol w:w="1276"/>
              <w:gridCol w:w="1135"/>
              <w:gridCol w:w="992"/>
              <w:gridCol w:w="1230"/>
              <w:gridCol w:w="1230"/>
              <w:gridCol w:w="1230"/>
              <w:gridCol w:w="986"/>
              <w:gridCol w:w="995"/>
              <w:gridCol w:w="708"/>
              <w:gridCol w:w="1135"/>
              <w:gridCol w:w="992"/>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restar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序号</w:t>
                  </w:r>
                </w:p>
              </w:tc>
              <w:tc>
                <w:tcPr>
                  <w:tcW w:w="297" w:type="pct"/>
                  <w:vMerge w:val="restar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建筑物</w:t>
                  </w:r>
                </w:p>
                <w:p>
                  <w:pPr>
                    <w:jc w:val="center"/>
                    <w:rPr>
                      <w:rFonts w:hint="eastAsia" w:ascii="宋体" w:hAnsi="宋体" w:cs="宋体"/>
                      <w:kern w:val="0"/>
                      <w:szCs w:val="21"/>
                    </w:rPr>
                  </w:pPr>
                  <w:r>
                    <w:rPr>
                      <w:rFonts w:hint="eastAsia" w:ascii="宋体" w:hAnsi="宋体" w:cs="宋体"/>
                      <w:kern w:val="0"/>
                      <w:szCs w:val="21"/>
                    </w:rPr>
                    <w:t>名称</w:t>
                  </w:r>
                </w:p>
              </w:tc>
              <w:tc>
                <w:tcPr>
                  <w:tcW w:w="445" w:type="pct"/>
                  <w:vMerge w:val="restar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声源名称</w:t>
                  </w:r>
                </w:p>
              </w:tc>
              <w:tc>
                <w:tcPr>
                  <w:tcW w:w="396" w:type="pct"/>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声源源强</w:t>
                  </w:r>
                </w:p>
              </w:tc>
              <w:tc>
                <w:tcPr>
                  <w:tcW w:w="346" w:type="pct"/>
                  <w:vMerge w:val="restar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声源控制措施</w:t>
                  </w:r>
                </w:p>
              </w:tc>
              <w:tc>
                <w:tcPr>
                  <w:tcW w:w="1287" w:type="pct"/>
                  <w:gridSpan w:val="3"/>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空间相对位置</w:t>
                  </w:r>
                  <w:r>
                    <w:rPr>
                      <w:rFonts w:cs="Times New Roman"/>
                      <w:kern w:val="0"/>
                      <w:szCs w:val="21"/>
                    </w:rPr>
                    <w:t>/m</w:t>
                  </w:r>
                </w:p>
              </w:tc>
              <w:tc>
                <w:tcPr>
                  <w:tcW w:w="344" w:type="pct"/>
                  <w:vMerge w:val="restar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距室内边界距离</w:t>
                  </w:r>
                  <w:r>
                    <w:rPr>
                      <w:rFonts w:cs="Times New Roman"/>
                      <w:kern w:val="0"/>
                      <w:szCs w:val="21"/>
                    </w:rPr>
                    <w:t>/m</w:t>
                  </w:r>
                </w:p>
              </w:tc>
              <w:tc>
                <w:tcPr>
                  <w:tcW w:w="347" w:type="pct"/>
                  <w:vMerge w:val="restar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室内边界声级</w:t>
                  </w:r>
                  <w:r>
                    <w:rPr>
                      <w:rFonts w:cs="Times New Roman"/>
                      <w:kern w:val="0"/>
                      <w:szCs w:val="21"/>
                    </w:rPr>
                    <w:t>/dB(A)</w:t>
                  </w:r>
                </w:p>
              </w:tc>
              <w:tc>
                <w:tcPr>
                  <w:tcW w:w="247" w:type="pct"/>
                  <w:vMerge w:val="restar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运行时段</w:t>
                  </w:r>
                </w:p>
              </w:tc>
              <w:tc>
                <w:tcPr>
                  <w:tcW w:w="396" w:type="pct"/>
                  <w:vMerge w:val="restar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建筑物插入损失</w:t>
                  </w:r>
                  <w:r>
                    <w:rPr>
                      <w:rFonts w:cs="Times New Roman"/>
                      <w:kern w:val="0"/>
                      <w:szCs w:val="21"/>
                    </w:rPr>
                    <w:t>/dB(A)</w:t>
                  </w:r>
                </w:p>
              </w:tc>
              <w:tc>
                <w:tcPr>
                  <w:tcW w:w="641" w:type="pct"/>
                  <w:gridSpan w:val="2"/>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pPr>
                    <w:widowControl/>
                    <w:jc w:val="center"/>
                    <w:rPr>
                      <w:rFonts w:hint="eastAsia" w:ascii="宋体" w:hAnsi="宋体" w:cs="宋体"/>
                      <w:kern w:val="0"/>
                      <w:szCs w:val="21"/>
                    </w:rPr>
                  </w:pPr>
                </w:p>
              </w:tc>
              <w:tc>
                <w:tcPr>
                  <w:tcW w:w="297" w:type="pct"/>
                  <w:vMerge w:val="continue"/>
                  <w:shd w:val="clear" w:color="auto" w:fill="auto"/>
                  <w:noWrap/>
                  <w:vAlign w:val="center"/>
                </w:tcPr>
                <w:p>
                  <w:pPr>
                    <w:widowControl/>
                    <w:jc w:val="center"/>
                    <w:rPr>
                      <w:rFonts w:hint="eastAsia" w:ascii="宋体" w:hAnsi="宋体" w:cs="宋体"/>
                      <w:kern w:val="0"/>
                      <w:szCs w:val="21"/>
                    </w:rPr>
                  </w:pPr>
                </w:p>
              </w:tc>
              <w:tc>
                <w:tcPr>
                  <w:tcW w:w="445" w:type="pct"/>
                  <w:vMerge w:val="continue"/>
                  <w:vAlign w:val="center"/>
                </w:tcPr>
                <w:p>
                  <w:pPr>
                    <w:widowControl/>
                    <w:jc w:val="center"/>
                    <w:rPr>
                      <w:rFonts w:hint="eastAsia" w:ascii="宋体" w:hAnsi="宋体" w:cs="宋体"/>
                      <w:kern w:val="0"/>
                      <w:szCs w:val="21"/>
                    </w:rPr>
                  </w:pPr>
                </w:p>
              </w:tc>
              <w:tc>
                <w:tcPr>
                  <w:tcW w:w="396" w:type="pct"/>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声功率级</w:t>
                  </w:r>
                  <w:r>
                    <w:rPr>
                      <w:rFonts w:cs="Times New Roman"/>
                      <w:kern w:val="0"/>
                      <w:szCs w:val="21"/>
                    </w:rPr>
                    <w:t>/dB(A)</w:t>
                  </w:r>
                </w:p>
              </w:tc>
              <w:tc>
                <w:tcPr>
                  <w:tcW w:w="346" w:type="pct"/>
                  <w:vMerge w:val="continue"/>
                  <w:vAlign w:val="center"/>
                </w:tcPr>
                <w:p>
                  <w:pPr>
                    <w:widowControl/>
                    <w:jc w:val="center"/>
                    <w:rPr>
                      <w:rFonts w:hint="eastAsia" w:ascii="宋体" w:hAnsi="宋体" w:cs="宋体"/>
                      <w:kern w:val="0"/>
                      <w:szCs w:val="21"/>
                    </w:rPr>
                  </w:pPr>
                </w:p>
              </w:tc>
              <w:tc>
                <w:tcPr>
                  <w:tcW w:w="429" w:type="pct"/>
                  <w:shd w:val="clear" w:color="auto" w:fill="auto"/>
                  <w:noWrap/>
                  <w:vAlign w:val="center"/>
                </w:tcPr>
                <w:p>
                  <w:pPr>
                    <w:widowControl/>
                    <w:jc w:val="center"/>
                    <w:rPr>
                      <w:rFonts w:eastAsia="等线" w:cs="Times New Roman"/>
                      <w:kern w:val="0"/>
                      <w:szCs w:val="21"/>
                    </w:rPr>
                  </w:pPr>
                  <w:r>
                    <w:rPr>
                      <w:rFonts w:eastAsia="等线" w:cs="Times New Roman"/>
                      <w:kern w:val="0"/>
                      <w:szCs w:val="21"/>
                    </w:rPr>
                    <w:t>X</w:t>
                  </w:r>
                </w:p>
              </w:tc>
              <w:tc>
                <w:tcPr>
                  <w:tcW w:w="429" w:type="pct"/>
                  <w:shd w:val="clear" w:color="auto" w:fill="auto"/>
                  <w:noWrap/>
                  <w:vAlign w:val="center"/>
                </w:tcPr>
                <w:p>
                  <w:pPr>
                    <w:widowControl/>
                    <w:jc w:val="center"/>
                    <w:rPr>
                      <w:rFonts w:eastAsia="等线" w:cs="Times New Roman"/>
                      <w:kern w:val="0"/>
                      <w:szCs w:val="21"/>
                    </w:rPr>
                  </w:pPr>
                  <w:r>
                    <w:rPr>
                      <w:rFonts w:eastAsia="等线" w:cs="Times New Roman"/>
                      <w:kern w:val="0"/>
                      <w:szCs w:val="21"/>
                    </w:rPr>
                    <w:t>Y</w:t>
                  </w:r>
                </w:p>
              </w:tc>
              <w:tc>
                <w:tcPr>
                  <w:tcW w:w="429" w:type="pct"/>
                  <w:shd w:val="clear" w:color="auto" w:fill="auto"/>
                  <w:noWrap/>
                  <w:vAlign w:val="center"/>
                </w:tcPr>
                <w:p>
                  <w:pPr>
                    <w:widowControl/>
                    <w:jc w:val="center"/>
                    <w:rPr>
                      <w:rFonts w:eastAsia="等线" w:cs="Times New Roman"/>
                      <w:kern w:val="0"/>
                      <w:szCs w:val="21"/>
                    </w:rPr>
                  </w:pPr>
                  <w:r>
                    <w:rPr>
                      <w:rFonts w:eastAsia="等线" w:cs="Times New Roman"/>
                      <w:kern w:val="0"/>
                      <w:szCs w:val="21"/>
                    </w:rPr>
                    <w:t>Z</w:t>
                  </w:r>
                </w:p>
              </w:tc>
              <w:tc>
                <w:tcPr>
                  <w:tcW w:w="344" w:type="pct"/>
                  <w:vMerge w:val="continue"/>
                  <w:vAlign w:val="center"/>
                </w:tcPr>
                <w:p>
                  <w:pPr>
                    <w:widowControl/>
                    <w:jc w:val="center"/>
                    <w:rPr>
                      <w:rFonts w:hint="eastAsia" w:ascii="宋体" w:hAnsi="宋体" w:cs="宋体"/>
                      <w:kern w:val="0"/>
                      <w:szCs w:val="21"/>
                    </w:rPr>
                  </w:pPr>
                </w:p>
              </w:tc>
              <w:tc>
                <w:tcPr>
                  <w:tcW w:w="347" w:type="pct"/>
                  <w:vMerge w:val="continue"/>
                  <w:vAlign w:val="center"/>
                </w:tcPr>
                <w:p>
                  <w:pPr>
                    <w:widowControl/>
                    <w:jc w:val="center"/>
                    <w:rPr>
                      <w:rFonts w:hint="eastAsia" w:ascii="宋体" w:hAnsi="宋体" w:cs="宋体"/>
                      <w:kern w:val="0"/>
                      <w:szCs w:val="21"/>
                    </w:rPr>
                  </w:pPr>
                </w:p>
              </w:tc>
              <w:tc>
                <w:tcPr>
                  <w:tcW w:w="247" w:type="pct"/>
                  <w:vMerge w:val="continue"/>
                  <w:vAlign w:val="center"/>
                </w:tcPr>
                <w:p>
                  <w:pPr>
                    <w:widowControl/>
                    <w:jc w:val="center"/>
                    <w:rPr>
                      <w:rFonts w:hint="eastAsia" w:ascii="宋体" w:hAnsi="宋体" w:cs="宋体"/>
                      <w:kern w:val="0"/>
                      <w:szCs w:val="21"/>
                    </w:rPr>
                  </w:pPr>
                </w:p>
              </w:tc>
              <w:tc>
                <w:tcPr>
                  <w:tcW w:w="396" w:type="pct"/>
                  <w:vMerge w:val="continue"/>
                  <w:vAlign w:val="center"/>
                </w:tcPr>
                <w:p>
                  <w:pPr>
                    <w:widowControl/>
                    <w:jc w:val="center"/>
                    <w:rPr>
                      <w:rFonts w:hint="eastAsia" w:ascii="宋体" w:hAnsi="宋体" w:cs="宋体"/>
                      <w:kern w:val="0"/>
                      <w:szCs w:val="21"/>
                    </w:rPr>
                  </w:pPr>
                </w:p>
              </w:tc>
              <w:tc>
                <w:tcPr>
                  <w:tcW w:w="346" w:type="pc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声压级</w:t>
                  </w:r>
                  <w:r>
                    <w:rPr>
                      <w:rFonts w:cs="Times New Roman"/>
                      <w:kern w:val="0"/>
                      <w:szCs w:val="21"/>
                    </w:rPr>
                    <w:t>/dB(A)</w:t>
                  </w:r>
                </w:p>
              </w:tc>
              <w:tc>
                <w:tcPr>
                  <w:tcW w:w="295" w:type="pc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shd w:val="clear" w:color="auto" w:fill="auto"/>
                  <w:noWrap/>
                  <w:vAlign w:val="center"/>
                </w:tcPr>
                <w:p>
                  <w:pPr>
                    <w:widowControl/>
                    <w:jc w:val="center"/>
                    <w:rPr>
                      <w:rFonts w:eastAsia="等线" w:cs="Times New Roman"/>
                      <w:kern w:val="0"/>
                      <w:szCs w:val="21"/>
                    </w:rPr>
                  </w:pPr>
                  <w:r>
                    <w:rPr>
                      <w:rFonts w:eastAsia="等线" w:cs="Times New Roman"/>
                      <w:kern w:val="0"/>
                      <w:szCs w:val="21"/>
                    </w:rPr>
                    <w:t>1</w:t>
                  </w:r>
                </w:p>
              </w:tc>
              <w:tc>
                <w:tcPr>
                  <w:tcW w:w="297" w:type="pct"/>
                  <w:vMerge w:val="restart"/>
                  <w:shd w:val="clear" w:color="auto" w:fill="auto"/>
                  <w:noWrap/>
                  <w:vAlign w:val="center"/>
                </w:tcPr>
                <w:p>
                  <w:pPr>
                    <w:widowControl/>
                    <w:jc w:val="center"/>
                    <w:rPr>
                      <w:rFonts w:cs="Times New Roman" w:eastAsiaTheme="minorEastAsia"/>
                      <w:kern w:val="0"/>
                      <w:szCs w:val="21"/>
                    </w:rPr>
                  </w:pPr>
                  <w:r>
                    <w:rPr>
                      <w:rFonts w:hint="eastAsia" w:cs="Times New Roman" w:eastAsiaTheme="minorEastAsia"/>
                      <w:kern w:val="0"/>
                      <w:szCs w:val="21"/>
                    </w:rPr>
                    <w:t>制砂楼</w:t>
                  </w:r>
                </w:p>
              </w:tc>
              <w:tc>
                <w:tcPr>
                  <w:tcW w:w="445" w:type="pc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制砂机</w:t>
                  </w:r>
                </w:p>
              </w:tc>
              <w:tc>
                <w:tcPr>
                  <w:tcW w:w="396" w:type="pct"/>
                  <w:shd w:val="clear" w:color="auto" w:fill="auto"/>
                  <w:noWrap/>
                  <w:vAlign w:val="center"/>
                </w:tcPr>
                <w:p>
                  <w:pPr>
                    <w:widowControl/>
                    <w:jc w:val="center"/>
                    <w:rPr>
                      <w:rFonts w:eastAsia="等线" w:cs="Times New Roman"/>
                      <w:kern w:val="0"/>
                      <w:szCs w:val="21"/>
                    </w:rPr>
                  </w:pPr>
                  <w:r>
                    <w:rPr>
                      <w:szCs w:val="21"/>
                    </w:rPr>
                    <w:t>95</w:t>
                  </w:r>
                </w:p>
              </w:tc>
              <w:tc>
                <w:tcPr>
                  <w:tcW w:w="346" w:type="pct"/>
                  <w:vMerge w:val="restar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基础减震+隔音棉隔声</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978.57</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208.33</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13</w:t>
                  </w:r>
                </w:p>
              </w:tc>
              <w:tc>
                <w:tcPr>
                  <w:tcW w:w="344" w:type="pct"/>
                  <w:shd w:val="clear" w:color="auto" w:fill="auto"/>
                  <w:noWrap/>
                  <w:vAlign w:val="center"/>
                </w:tcPr>
                <w:p>
                  <w:pPr>
                    <w:widowControl/>
                    <w:jc w:val="center"/>
                    <w:rPr>
                      <w:rFonts w:eastAsia="等线" w:cs="Times New Roman"/>
                      <w:kern w:val="0"/>
                      <w:szCs w:val="21"/>
                    </w:rPr>
                  </w:pPr>
                  <w:r>
                    <w:rPr>
                      <w:rFonts w:hint="eastAsia"/>
                      <w:szCs w:val="21"/>
                    </w:rPr>
                    <w:t>9.77</w:t>
                  </w:r>
                </w:p>
              </w:tc>
              <w:tc>
                <w:tcPr>
                  <w:tcW w:w="347" w:type="pct"/>
                  <w:shd w:val="clear" w:color="auto" w:fill="auto"/>
                  <w:noWrap/>
                  <w:vAlign w:val="center"/>
                </w:tcPr>
                <w:p>
                  <w:pPr>
                    <w:widowControl/>
                    <w:jc w:val="center"/>
                    <w:rPr>
                      <w:rFonts w:eastAsia="等线" w:cs="Times New Roman"/>
                      <w:kern w:val="0"/>
                      <w:szCs w:val="21"/>
                    </w:rPr>
                  </w:pPr>
                  <w:r>
                    <w:rPr>
                      <w:rFonts w:hint="eastAsia"/>
                      <w:szCs w:val="21"/>
                    </w:rPr>
                    <w:t>88.75</w:t>
                  </w:r>
                </w:p>
              </w:tc>
              <w:tc>
                <w:tcPr>
                  <w:tcW w:w="247" w:type="pct"/>
                  <w:shd w:val="clear" w:color="auto" w:fill="auto"/>
                  <w:noWrap/>
                  <w:vAlign w:val="center"/>
                </w:tcPr>
                <w:p>
                  <w:pPr>
                    <w:widowControl/>
                    <w:jc w:val="center"/>
                    <w:rPr>
                      <w:rFonts w:hint="eastAsia" w:ascii="宋体" w:hAnsi="宋体" w:cs="宋体"/>
                      <w:kern w:val="0"/>
                      <w:szCs w:val="21"/>
                    </w:rPr>
                  </w:pPr>
                  <w:r>
                    <w:rPr>
                      <w:rFonts w:hint="eastAsia"/>
                      <w:szCs w:val="21"/>
                    </w:rPr>
                    <w:t>昼间</w:t>
                  </w:r>
                </w:p>
              </w:tc>
              <w:tc>
                <w:tcPr>
                  <w:tcW w:w="396" w:type="pct"/>
                  <w:shd w:val="clear" w:color="auto" w:fill="auto"/>
                  <w:noWrap/>
                  <w:vAlign w:val="center"/>
                </w:tcPr>
                <w:p>
                  <w:pPr>
                    <w:widowControl/>
                    <w:jc w:val="center"/>
                    <w:rPr>
                      <w:rFonts w:eastAsia="等线" w:cs="Times New Roman"/>
                      <w:kern w:val="0"/>
                      <w:szCs w:val="21"/>
                    </w:rPr>
                  </w:pPr>
                  <w:r>
                    <w:rPr>
                      <w:rFonts w:hint="eastAsia" w:eastAsia="等线" w:cs="Times New Roman"/>
                      <w:kern w:val="0"/>
                      <w:szCs w:val="21"/>
                    </w:rPr>
                    <w:t>3</w:t>
                  </w:r>
                  <w:r>
                    <w:rPr>
                      <w:rFonts w:eastAsia="等线" w:cs="Times New Roman"/>
                      <w:kern w:val="0"/>
                      <w:szCs w:val="21"/>
                    </w:rPr>
                    <w:t>6</w:t>
                  </w:r>
                </w:p>
              </w:tc>
              <w:tc>
                <w:tcPr>
                  <w:tcW w:w="346" w:type="pct"/>
                  <w:shd w:val="clear" w:color="auto" w:fill="auto"/>
                  <w:noWrap/>
                  <w:vAlign w:val="center"/>
                </w:tcPr>
                <w:p>
                  <w:pPr>
                    <w:widowControl/>
                    <w:jc w:val="center"/>
                    <w:rPr>
                      <w:rFonts w:eastAsia="等线" w:cs="Times New Roman"/>
                      <w:kern w:val="0"/>
                      <w:szCs w:val="21"/>
                    </w:rPr>
                  </w:pPr>
                  <w:r>
                    <w:rPr>
                      <w:rFonts w:hint="eastAsia"/>
                      <w:szCs w:val="21"/>
                    </w:rPr>
                    <w:t>52.75</w:t>
                  </w:r>
                </w:p>
              </w:tc>
              <w:tc>
                <w:tcPr>
                  <w:tcW w:w="295" w:type="pct"/>
                  <w:shd w:val="clear" w:color="auto" w:fill="auto"/>
                  <w:noWrap/>
                  <w:vAlign w:val="center"/>
                </w:tcPr>
                <w:p>
                  <w:pPr>
                    <w:widowControl/>
                    <w:jc w:val="center"/>
                    <w:rPr>
                      <w:rFonts w:eastAsia="等线" w:cs="Times New Roman"/>
                      <w:kern w:val="0"/>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shd w:val="clear" w:color="auto" w:fill="auto"/>
                  <w:noWrap/>
                  <w:vAlign w:val="center"/>
                </w:tcPr>
                <w:p>
                  <w:pPr>
                    <w:widowControl/>
                    <w:jc w:val="center"/>
                    <w:rPr>
                      <w:rFonts w:eastAsia="等线" w:cs="Times New Roman"/>
                      <w:kern w:val="0"/>
                      <w:szCs w:val="21"/>
                    </w:rPr>
                  </w:pPr>
                  <w:r>
                    <w:rPr>
                      <w:rFonts w:eastAsia="等线" w:cs="Times New Roman"/>
                      <w:kern w:val="0"/>
                      <w:szCs w:val="21"/>
                    </w:rPr>
                    <w:t>2</w:t>
                  </w:r>
                </w:p>
              </w:tc>
              <w:tc>
                <w:tcPr>
                  <w:tcW w:w="297" w:type="pct"/>
                  <w:vMerge w:val="continue"/>
                  <w:shd w:val="clear" w:color="auto" w:fill="auto"/>
                  <w:vAlign w:val="center"/>
                </w:tcPr>
                <w:p>
                  <w:pPr>
                    <w:widowControl/>
                    <w:jc w:val="center"/>
                    <w:rPr>
                      <w:rFonts w:hint="eastAsia" w:ascii="宋体" w:hAnsi="宋体" w:cs="宋体"/>
                      <w:kern w:val="0"/>
                      <w:szCs w:val="21"/>
                    </w:rPr>
                  </w:pPr>
                </w:p>
              </w:tc>
              <w:tc>
                <w:tcPr>
                  <w:tcW w:w="445" w:type="pc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筛分机</w:t>
                  </w:r>
                </w:p>
              </w:tc>
              <w:tc>
                <w:tcPr>
                  <w:tcW w:w="396" w:type="pct"/>
                  <w:shd w:val="clear" w:color="auto" w:fill="auto"/>
                  <w:noWrap/>
                  <w:vAlign w:val="center"/>
                </w:tcPr>
                <w:p>
                  <w:pPr>
                    <w:widowControl/>
                    <w:jc w:val="center"/>
                    <w:rPr>
                      <w:rFonts w:eastAsia="等线" w:cs="Times New Roman"/>
                      <w:kern w:val="0"/>
                      <w:szCs w:val="21"/>
                    </w:rPr>
                  </w:pPr>
                  <w:r>
                    <w:rPr>
                      <w:szCs w:val="21"/>
                    </w:rPr>
                    <w:t>95</w:t>
                  </w:r>
                </w:p>
              </w:tc>
              <w:tc>
                <w:tcPr>
                  <w:tcW w:w="346" w:type="pct"/>
                  <w:vMerge w:val="continue"/>
                  <w:shd w:val="clear" w:color="auto" w:fill="auto"/>
                  <w:vAlign w:val="center"/>
                </w:tcPr>
                <w:p>
                  <w:pPr>
                    <w:widowControl/>
                    <w:jc w:val="center"/>
                    <w:rPr>
                      <w:rFonts w:hint="eastAsia" w:ascii="宋体" w:hAnsi="宋体" w:cs="宋体"/>
                      <w:kern w:val="0"/>
                      <w:szCs w:val="21"/>
                    </w:rPr>
                  </w:pPr>
                </w:p>
              </w:tc>
              <w:tc>
                <w:tcPr>
                  <w:tcW w:w="429" w:type="pct"/>
                  <w:shd w:val="clear" w:color="auto" w:fill="auto"/>
                  <w:noWrap/>
                  <w:vAlign w:val="center"/>
                </w:tcPr>
                <w:p>
                  <w:pPr>
                    <w:widowControl/>
                    <w:jc w:val="center"/>
                    <w:rPr>
                      <w:rFonts w:eastAsia="等线" w:cs="Times New Roman"/>
                      <w:kern w:val="0"/>
                      <w:szCs w:val="21"/>
                    </w:rPr>
                  </w:pPr>
                  <w:r>
                    <w:rPr>
                      <w:rFonts w:hint="eastAsia"/>
                      <w:szCs w:val="21"/>
                    </w:rPr>
                    <w:t>976.36</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212.21</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13</w:t>
                  </w:r>
                </w:p>
              </w:tc>
              <w:tc>
                <w:tcPr>
                  <w:tcW w:w="344" w:type="pct"/>
                  <w:shd w:val="clear" w:color="auto" w:fill="auto"/>
                  <w:noWrap/>
                  <w:vAlign w:val="center"/>
                </w:tcPr>
                <w:p>
                  <w:pPr>
                    <w:widowControl/>
                    <w:jc w:val="center"/>
                    <w:rPr>
                      <w:rFonts w:eastAsia="等线" w:cs="Times New Roman"/>
                      <w:kern w:val="0"/>
                      <w:szCs w:val="21"/>
                    </w:rPr>
                  </w:pPr>
                  <w:r>
                    <w:rPr>
                      <w:rFonts w:hint="eastAsia"/>
                      <w:szCs w:val="21"/>
                    </w:rPr>
                    <w:t>6.68</w:t>
                  </w:r>
                </w:p>
              </w:tc>
              <w:tc>
                <w:tcPr>
                  <w:tcW w:w="347" w:type="pct"/>
                  <w:shd w:val="clear" w:color="auto" w:fill="auto"/>
                  <w:noWrap/>
                  <w:vAlign w:val="center"/>
                </w:tcPr>
                <w:p>
                  <w:pPr>
                    <w:widowControl/>
                    <w:jc w:val="center"/>
                    <w:rPr>
                      <w:rFonts w:eastAsia="等线" w:cs="Times New Roman"/>
                      <w:kern w:val="0"/>
                      <w:szCs w:val="21"/>
                    </w:rPr>
                  </w:pPr>
                  <w:r>
                    <w:rPr>
                      <w:rFonts w:hint="eastAsia"/>
                      <w:szCs w:val="21"/>
                    </w:rPr>
                    <w:t>88.77</w:t>
                  </w:r>
                </w:p>
              </w:tc>
              <w:tc>
                <w:tcPr>
                  <w:tcW w:w="247" w:type="pct"/>
                  <w:shd w:val="clear" w:color="auto" w:fill="auto"/>
                  <w:noWrap/>
                  <w:vAlign w:val="center"/>
                </w:tcPr>
                <w:p>
                  <w:pPr>
                    <w:widowControl/>
                    <w:jc w:val="center"/>
                    <w:rPr>
                      <w:rFonts w:hint="eastAsia" w:ascii="宋体" w:hAnsi="宋体" w:cs="宋体"/>
                      <w:kern w:val="0"/>
                      <w:szCs w:val="21"/>
                    </w:rPr>
                  </w:pPr>
                  <w:r>
                    <w:rPr>
                      <w:rFonts w:hint="eastAsia"/>
                      <w:szCs w:val="21"/>
                    </w:rPr>
                    <w:t>昼间</w:t>
                  </w:r>
                </w:p>
              </w:tc>
              <w:tc>
                <w:tcPr>
                  <w:tcW w:w="396" w:type="pct"/>
                  <w:shd w:val="clear" w:color="auto" w:fill="auto"/>
                  <w:noWrap/>
                  <w:vAlign w:val="center"/>
                </w:tcPr>
                <w:p>
                  <w:pPr>
                    <w:widowControl/>
                    <w:jc w:val="center"/>
                    <w:rPr>
                      <w:rFonts w:eastAsia="等线" w:cs="Times New Roman"/>
                      <w:kern w:val="0"/>
                      <w:szCs w:val="21"/>
                    </w:rPr>
                  </w:pPr>
                  <w:r>
                    <w:rPr>
                      <w:rFonts w:hint="eastAsia" w:eastAsia="等线" w:cs="Times New Roman"/>
                      <w:kern w:val="0"/>
                      <w:szCs w:val="21"/>
                    </w:rPr>
                    <w:t>3</w:t>
                  </w:r>
                  <w:r>
                    <w:rPr>
                      <w:rFonts w:eastAsia="等线" w:cs="Times New Roman"/>
                      <w:kern w:val="0"/>
                      <w:szCs w:val="21"/>
                    </w:rPr>
                    <w:t>6</w:t>
                  </w:r>
                </w:p>
              </w:tc>
              <w:tc>
                <w:tcPr>
                  <w:tcW w:w="346" w:type="pct"/>
                  <w:shd w:val="clear" w:color="auto" w:fill="auto"/>
                  <w:noWrap/>
                  <w:vAlign w:val="center"/>
                </w:tcPr>
                <w:p>
                  <w:pPr>
                    <w:widowControl/>
                    <w:jc w:val="center"/>
                    <w:rPr>
                      <w:rFonts w:eastAsia="等线" w:cs="Times New Roman"/>
                      <w:kern w:val="0"/>
                      <w:szCs w:val="21"/>
                    </w:rPr>
                  </w:pPr>
                  <w:r>
                    <w:rPr>
                      <w:rFonts w:hint="eastAsia"/>
                      <w:szCs w:val="21"/>
                    </w:rPr>
                    <w:t>52.77</w:t>
                  </w:r>
                </w:p>
              </w:tc>
              <w:tc>
                <w:tcPr>
                  <w:tcW w:w="295" w:type="pct"/>
                  <w:shd w:val="clear" w:color="auto" w:fill="auto"/>
                  <w:noWrap/>
                  <w:vAlign w:val="center"/>
                </w:tcPr>
                <w:p>
                  <w:pPr>
                    <w:widowControl/>
                    <w:jc w:val="center"/>
                    <w:rPr>
                      <w:rFonts w:eastAsia="等线" w:cs="Times New Roman"/>
                      <w:kern w:val="0"/>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shd w:val="clear" w:color="auto" w:fill="auto"/>
                  <w:noWrap/>
                  <w:vAlign w:val="center"/>
                </w:tcPr>
                <w:p>
                  <w:pPr>
                    <w:widowControl/>
                    <w:jc w:val="center"/>
                    <w:rPr>
                      <w:rFonts w:eastAsia="等线" w:cs="Times New Roman"/>
                      <w:kern w:val="0"/>
                      <w:szCs w:val="21"/>
                    </w:rPr>
                  </w:pPr>
                  <w:r>
                    <w:rPr>
                      <w:rFonts w:eastAsia="等线" w:cs="Times New Roman"/>
                      <w:kern w:val="0"/>
                      <w:szCs w:val="21"/>
                    </w:rPr>
                    <w:t>3</w:t>
                  </w:r>
                </w:p>
              </w:tc>
              <w:tc>
                <w:tcPr>
                  <w:tcW w:w="297" w:type="pct"/>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空压站</w:t>
                  </w:r>
                </w:p>
              </w:tc>
              <w:tc>
                <w:tcPr>
                  <w:tcW w:w="445" w:type="pct"/>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空压机</w:t>
                  </w:r>
                </w:p>
              </w:tc>
              <w:tc>
                <w:tcPr>
                  <w:tcW w:w="396" w:type="pct"/>
                  <w:shd w:val="clear" w:color="auto" w:fill="auto"/>
                  <w:noWrap/>
                  <w:vAlign w:val="center"/>
                </w:tcPr>
                <w:p>
                  <w:pPr>
                    <w:widowControl/>
                    <w:jc w:val="center"/>
                    <w:rPr>
                      <w:rFonts w:eastAsia="等线" w:cs="Times New Roman"/>
                      <w:kern w:val="0"/>
                      <w:szCs w:val="21"/>
                    </w:rPr>
                  </w:pPr>
                  <w:r>
                    <w:rPr>
                      <w:szCs w:val="21"/>
                    </w:rPr>
                    <w:t>95</w:t>
                  </w:r>
                </w:p>
              </w:tc>
              <w:tc>
                <w:tcPr>
                  <w:tcW w:w="346" w:type="pct"/>
                  <w:vMerge w:val="continue"/>
                  <w:shd w:val="clear" w:color="auto" w:fill="auto"/>
                  <w:vAlign w:val="center"/>
                </w:tcPr>
                <w:p>
                  <w:pPr>
                    <w:widowControl/>
                    <w:jc w:val="center"/>
                    <w:rPr>
                      <w:rFonts w:hint="eastAsia" w:ascii="宋体" w:hAnsi="宋体" w:cs="宋体"/>
                      <w:kern w:val="0"/>
                      <w:szCs w:val="21"/>
                    </w:rPr>
                  </w:pPr>
                </w:p>
              </w:tc>
              <w:tc>
                <w:tcPr>
                  <w:tcW w:w="429" w:type="pct"/>
                  <w:shd w:val="clear" w:color="auto" w:fill="auto"/>
                  <w:noWrap/>
                  <w:vAlign w:val="center"/>
                </w:tcPr>
                <w:p>
                  <w:pPr>
                    <w:widowControl/>
                    <w:jc w:val="center"/>
                    <w:rPr>
                      <w:rFonts w:eastAsia="等线" w:cs="Times New Roman"/>
                      <w:kern w:val="0"/>
                      <w:szCs w:val="21"/>
                    </w:rPr>
                  </w:pPr>
                  <w:r>
                    <w:rPr>
                      <w:rFonts w:hint="eastAsia"/>
                      <w:szCs w:val="21"/>
                    </w:rPr>
                    <w:t>990.7</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109.39</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1</w:t>
                  </w:r>
                </w:p>
              </w:tc>
              <w:tc>
                <w:tcPr>
                  <w:tcW w:w="344" w:type="pct"/>
                  <w:shd w:val="clear" w:color="auto" w:fill="auto"/>
                  <w:noWrap/>
                  <w:vAlign w:val="center"/>
                </w:tcPr>
                <w:p>
                  <w:pPr>
                    <w:widowControl/>
                    <w:jc w:val="center"/>
                    <w:rPr>
                      <w:rFonts w:eastAsia="等线" w:cs="Times New Roman"/>
                      <w:kern w:val="0"/>
                      <w:szCs w:val="21"/>
                    </w:rPr>
                  </w:pPr>
                  <w:r>
                    <w:rPr>
                      <w:rFonts w:hint="eastAsia"/>
                      <w:szCs w:val="21"/>
                    </w:rPr>
                    <w:t>3.31</w:t>
                  </w:r>
                </w:p>
              </w:tc>
              <w:tc>
                <w:tcPr>
                  <w:tcW w:w="347" w:type="pct"/>
                  <w:shd w:val="clear" w:color="auto" w:fill="auto"/>
                  <w:noWrap/>
                  <w:vAlign w:val="center"/>
                </w:tcPr>
                <w:p>
                  <w:pPr>
                    <w:widowControl/>
                    <w:jc w:val="center"/>
                    <w:rPr>
                      <w:rFonts w:eastAsia="等线" w:cs="Times New Roman"/>
                      <w:kern w:val="0"/>
                      <w:szCs w:val="21"/>
                    </w:rPr>
                  </w:pPr>
                  <w:r>
                    <w:rPr>
                      <w:rFonts w:hint="eastAsia"/>
                      <w:szCs w:val="21"/>
                    </w:rPr>
                    <w:t>94.79</w:t>
                  </w:r>
                </w:p>
              </w:tc>
              <w:tc>
                <w:tcPr>
                  <w:tcW w:w="247" w:type="pct"/>
                  <w:shd w:val="clear" w:color="auto" w:fill="auto"/>
                  <w:noWrap/>
                  <w:vAlign w:val="center"/>
                </w:tcPr>
                <w:p>
                  <w:pPr>
                    <w:widowControl/>
                    <w:jc w:val="center"/>
                    <w:rPr>
                      <w:rFonts w:hint="eastAsia" w:ascii="宋体" w:hAnsi="宋体" w:cs="宋体"/>
                      <w:kern w:val="0"/>
                      <w:szCs w:val="21"/>
                    </w:rPr>
                  </w:pPr>
                  <w:r>
                    <w:rPr>
                      <w:rFonts w:hint="eastAsia"/>
                      <w:szCs w:val="21"/>
                    </w:rPr>
                    <w:t>昼间</w:t>
                  </w:r>
                </w:p>
              </w:tc>
              <w:tc>
                <w:tcPr>
                  <w:tcW w:w="396" w:type="pct"/>
                  <w:shd w:val="clear" w:color="auto" w:fill="auto"/>
                  <w:noWrap/>
                  <w:vAlign w:val="center"/>
                </w:tcPr>
                <w:p>
                  <w:pPr>
                    <w:widowControl/>
                    <w:jc w:val="center"/>
                    <w:rPr>
                      <w:rFonts w:eastAsia="等线" w:cs="Times New Roman"/>
                      <w:kern w:val="0"/>
                      <w:szCs w:val="21"/>
                    </w:rPr>
                  </w:pPr>
                  <w:r>
                    <w:rPr>
                      <w:rFonts w:hint="eastAsia" w:eastAsia="等线" w:cs="Times New Roman"/>
                      <w:kern w:val="0"/>
                      <w:szCs w:val="21"/>
                    </w:rPr>
                    <w:t>3</w:t>
                  </w:r>
                  <w:r>
                    <w:rPr>
                      <w:rFonts w:eastAsia="等线" w:cs="Times New Roman"/>
                      <w:kern w:val="0"/>
                      <w:szCs w:val="21"/>
                    </w:rPr>
                    <w:t>6</w:t>
                  </w:r>
                </w:p>
              </w:tc>
              <w:tc>
                <w:tcPr>
                  <w:tcW w:w="346" w:type="pct"/>
                  <w:shd w:val="clear" w:color="auto" w:fill="auto"/>
                  <w:noWrap/>
                  <w:vAlign w:val="center"/>
                </w:tcPr>
                <w:p>
                  <w:pPr>
                    <w:widowControl/>
                    <w:jc w:val="center"/>
                    <w:rPr>
                      <w:rFonts w:cs="宋体"/>
                      <w:kern w:val="0"/>
                      <w:szCs w:val="21"/>
                    </w:rPr>
                  </w:pPr>
                  <w:r>
                    <w:rPr>
                      <w:rFonts w:hint="eastAsia"/>
                      <w:szCs w:val="21"/>
                    </w:rPr>
                    <w:t>58.79</w:t>
                  </w:r>
                </w:p>
              </w:tc>
              <w:tc>
                <w:tcPr>
                  <w:tcW w:w="295" w:type="pct"/>
                  <w:shd w:val="clear" w:color="auto" w:fill="auto"/>
                  <w:noWrap/>
                  <w:vAlign w:val="center"/>
                </w:tcPr>
                <w:p>
                  <w:pPr>
                    <w:widowControl/>
                    <w:jc w:val="center"/>
                    <w:rPr>
                      <w:rFonts w:eastAsia="等线" w:cs="Times New Roman"/>
                      <w:kern w:val="0"/>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shd w:val="clear" w:color="auto" w:fill="auto"/>
                  <w:noWrap/>
                  <w:vAlign w:val="center"/>
                </w:tcPr>
                <w:p>
                  <w:pPr>
                    <w:widowControl/>
                    <w:jc w:val="center"/>
                    <w:rPr>
                      <w:rFonts w:eastAsia="等线" w:cs="Times New Roman"/>
                      <w:kern w:val="0"/>
                      <w:szCs w:val="21"/>
                    </w:rPr>
                  </w:pPr>
                  <w:r>
                    <w:rPr>
                      <w:rFonts w:hint="eastAsia" w:eastAsia="等线" w:cs="Times New Roman"/>
                      <w:kern w:val="0"/>
                      <w:szCs w:val="21"/>
                    </w:rPr>
                    <w:t>4</w:t>
                  </w:r>
                </w:p>
              </w:tc>
              <w:tc>
                <w:tcPr>
                  <w:tcW w:w="297" w:type="pct"/>
                  <w:vMerge w:val="restart"/>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输送廊道</w:t>
                  </w:r>
                </w:p>
              </w:tc>
              <w:tc>
                <w:tcPr>
                  <w:tcW w:w="445" w:type="pct"/>
                  <w:shd w:val="clear" w:color="auto" w:fill="auto"/>
                  <w:noWrap/>
                  <w:vAlign w:val="center"/>
                </w:tcPr>
                <w:p>
                  <w:pPr>
                    <w:widowControl/>
                    <w:jc w:val="center"/>
                    <w:rPr>
                      <w:rFonts w:hint="eastAsia" w:ascii="宋体" w:hAnsi="宋体" w:cs="宋体"/>
                      <w:kern w:val="0"/>
                      <w:szCs w:val="21"/>
                    </w:rPr>
                  </w:pPr>
                  <w:r>
                    <w:rPr>
                      <w:rFonts w:hint="eastAsia"/>
                      <w:szCs w:val="21"/>
                    </w:rPr>
                    <w:t>输送机3</w:t>
                  </w:r>
                </w:p>
              </w:tc>
              <w:tc>
                <w:tcPr>
                  <w:tcW w:w="396" w:type="pct"/>
                  <w:shd w:val="clear" w:color="auto" w:fill="auto"/>
                  <w:noWrap/>
                  <w:vAlign w:val="center"/>
                </w:tcPr>
                <w:p>
                  <w:pPr>
                    <w:widowControl/>
                    <w:jc w:val="center"/>
                    <w:rPr>
                      <w:szCs w:val="21"/>
                    </w:rPr>
                  </w:pPr>
                  <w:r>
                    <w:rPr>
                      <w:rFonts w:hint="eastAsia"/>
                      <w:szCs w:val="21"/>
                    </w:rPr>
                    <w:t>7</w:t>
                  </w:r>
                  <w:r>
                    <w:rPr>
                      <w:szCs w:val="21"/>
                    </w:rPr>
                    <w:t>5</w:t>
                  </w:r>
                </w:p>
              </w:tc>
              <w:tc>
                <w:tcPr>
                  <w:tcW w:w="346" w:type="pct"/>
                  <w:vMerge w:val="restart"/>
                  <w:shd w:val="clear" w:color="auto" w:fill="auto"/>
                  <w:vAlign w:val="center"/>
                </w:tcPr>
                <w:p>
                  <w:pPr>
                    <w:widowControl/>
                    <w:jc w:val="center"/>
                    <w:rPr>
                      <w:rFonts w:hint="eastAsia" w:ascii="宋体" w:hAnsi="宋体" w:cs="宋体"/>
                      <w:kern w:val="0"/>
                      <w:szCs w:val="21"/>
                    </w:rPr>
                  </w:pPr>
                  <w:r>
                    <w:rPr>
                      <w:rFonts w:ascii="宋体" w:hAnsi="宋体" w:cs="宋体"/>
                      <w:kern w:val="0"/>
                      <w:szCs w:val="21"/>
                    </w:rPr>
                    <w:t>基础减震</w:t>
                  </w:r>
                  <w:r>
                    <w:rPr>
                      <w:rFonts w:hint="eastAsia" w:ascii="宋体" w:hAnsi="宋体" w:cs="宋体"/>
                      <w:kern w:val="0"/>
                      <w:szCs w:val="21"/>
                    </w:rPr>
                    <w:t>+</w:t>
                  </w:r>
                  <w:r>
                    <w:rPr>
                      <w:rFonts w:ascii="宋体" w:hAnsi="宋体" w:cs="宋体"/>
                      <w:kern w:val="0"/>
                      <w:szCs w:val="21"/>
                    </w:rPr>
                    <w:t>墙体隔声</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989.51</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205.2</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8.5</w:t>
                  </w:r>
                </w:p>
              </w:tc>
              <w:tc>
                <w:tcPr>
                  <w:tcW w:w="344" w:type="pct"/>
                  <w:shd w:val="clear" w:color="auto" w:fill="auto"/>
                  <w:noWrap/>
                  <w:vAlign w:val="center"/>
                </w:tcPr>
                <w:p>
                  <w:pPr>
                    <w:widowControl/>
                    <w:jc w:val="center"/>
                    <w:rPr>
                      <w:rFonts w:eastAsia="等线" w:cs="Times New Roman"/>
                      <w:kern w:val="0"/>
                      <w:szCs w:val="21"/>
                    </w:rPr>
                  </w:pPr>
                  <w:r>
                    <w:rPr>
                      <w:rFonts w:hint="eastAsia"/>
                      <w:szCs w:val="21"/>
                    </w:rPr>
                    <w:t>1.44</w:t>
                  </w:r>
                </w:p>
              </w:tc>
              <w:tc>
                <w:tcPr>
                  <w:tcW w:w="347" w:type="pct"/>
                  <w:shd w:val="clear" w:color="auto" w:fill="auto"/>
                  <w:noWrap/>
                  <w:vAlign w:val="center"/>
                </w:tcPr>
                <w:p>
                  <w:pPr>
                    <w:widowControl/>
                    <w:jc w:val="center"/>
                    <w:rPr>
                      <w:rFonts w:eastAsia="等线" w:cs="Times New Roman"/>
                      <w:kern w:val="0"/>
                      <w:szCs w:val="21"/>
                    </w:rPr>
                  </w:pPr>
                  <w:r>
                    <w:rPr>
                      <w:rFonts w:hint="eastAsia"/>
                      <w:szCs w:val="21"/>
                    </w:rPr>
                    <w:t>74.11</w:t>
                  </w:r>
                </w:p>
              </w:tc>
              <w:tc>
                <w:tcPr>
                  <w:tcW w:w="247" w:type="pct"/>
                  <w:shd w:val="clear" w:color="auto" w:fill="auto"/>
                  <w:noWrap/>
                  <w:vAlign w:val="center"/>
                </w:tcPr>
                <w:p>
                  <w:pPr>
                    <w:widowControl/>
                    <w:jc w:val="center"/>
                    <w:rPr>
                      <w:szCs w:val="21"/>
                    </w:rPr>
                  </w:pPr>
                  <w:r>
                    <w:rPr>
                      <w:rFonts w:hint="eastAsia"/>
                      <w:szCs w:val="21"/>
                    </w:rPr>
                    <w:t>昼间</w:t>
                  </w:r>
                </w:p>
              </w:tc>
              <w:tc>
                <w:tcPr>
                  <w:tcW w:w="396" w:type="pct"/>
                  <w:shd w:val="clear" w:color="auto" w:fill="auto"/>
                  <w:noWrap/>
                  <w:vAlign w:val="center"/>
                </w:tcPr>
                <w:p>
                  <w:pPr>
                    <w:widowControl/>
                    <w:jc w:val="center"/>
                    <w:rPr>
                      <w:szCs w:val="21"/>
                    </w:rPr>
                  </w:pPr>
                  <w:r>
                    <w:rPr>
                      <w:rFonts w:hint="eastAsia"/>
                      <w:szCs w:val="21"/>
                    </w:rPr>
                    <w:t>26</w:t>
                  </w:r>
                </w:p>
              </w:tc>
              <w:tc>
                <w:tcPr>
                  <w:tcW w:w="346" w:type="pct"/>
                  <w:shd w:val="clear" w:color="auto" w:fill="auto"/>
                  <w:noWrap/>
                  <w:vAlign w:val="center"/>
                </w:tcPr>
                <w:p>
                  <w:pPr>
                    <w:widowControl/>
                    <w:jc w:val="center"/>
                    <w:rPr>
                      <w:rFonts w:eastAsia="等线" w:cs="Times New Roman"/>
                      <w:kern w:val="0"/>
                      <w:szCs w:val="21"/>
                    </w:rPr>
                  </w:pPr>
                  <w:r>
                    <w:rPr>
                      <w:rFonts w:hint="eastAsia"/>
                      <w:szCs w:val="21"/>
                    </w:rPr>
                    <w:t>48.11</w:t>
                  </w:r>
                </w:p>
              </w:tc>
              <w:tc>
                <w:tcPr>
                  <w:tcW w:w="295" w:type="pct"/>
                  <w:shd w:val="clear" w:color="auto" w:fill="auto"/>
                  <w:noWrap/>
                  <w:vAlign w:val="center"/>
                </w:tcPr>
                <w:p>
                  <w:pPr>
                    <w:widowControl/>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shd w:val="clear" w:color="auto" w:fill="auto"/>
                  <w:noWrap/>
                  <w:vAlign w:val="center"/>
                </w:tcPr>
                <w:p>
                  <w:pPr>
                    <w:widowControl/>
                    <w:jc w:val="center"/>
                    <w:rPr>
                      <w:rFonts w:eastAsia="等线" w:cs="Times New Roman"/>
                      <w:kern w:val="0"/>
                      <w:szCs w:val="21"/>
                    </w:rPr>
                  </w:pPr>
                  <w:r>
                    <w:rPr>
                      <w:rFonts w:hint="eastAsia" w:eastAsia="等线" w:cs="Times New Roman"/>
                      <w:kern w:val="0"/>
                      <w:szCs w:val="21"/>
                    </w:rPr>
                    <w:t>5</w:t>
                  </w:r>
                </w:p>
              </w:tc>
              <w:tc>
                <w:tcPr>
                  <w:tcW w:w="297" w:type="pct"/>
                  <w:vMerge w:val="continue"/>
                  <w:shd w:val="clear" w:color="auto" w:fill="auto"/>
                  <w:vAlign w:val="center"/>
                </w:tcPr>
                <w:p>
                  <w:pPr>
                    <w:widowControl/>
                    <w:jc w:val="center"/>
                    <w:rPr>
                      <w:rFonts w:hint="eastAsia" w:ascii="宋体" w:hAnsi="宋体" w:cs="宋体"/>
                      <w:kern w:val="0"/>
                      <w:szCs w:val="21"/>
                    </w:rPr>
                  </w:pPr>
                </w:p>
              </w:tc>
              <w:tc>
                <w:tcPr>
                  <w:tcW w:w="445" w:type="pct"/>
                  <w:shd w:val="clear" w:color="auto" w:fill="auto"/>
                  <w:noWrap/>
                  <w:vAlign w:val="center"/>
                </w:tcPr>
                <w:p>
                  <w:pPr>
                    <w:widowControl/>
                    <w:jc w:val="center"/>
                    <w:rPr>
                      <w:rFonts w:hint="eastAsia" w:ascii="宋体" w:hAnsi="宋体" w:cs="宋体"/>
                      <w:kern w:val="0"/>
                      <w:szCs w:val="21"/>
                    </w:rPr>
                  </w:pPr>
                  <w:r>
                    <w:rPr>
                      <w:rFonts w:hint="eastAsia"/>
                      <w:szCs w:val="21"/>
                    </w:rPr>
                    <w:t>输送机4</w:t>
                  </w:r>
                </w:p>
              </w:tc>
              <w:tc>
                <w:tcPr>
                  <w:tcW w:w="396" w:type="pct"/>
                  <w:shd w:val="clear" w:color="auto" w:fill="auto"/>
                  <w:noWrap/>
                  <w:vAlign w:val="center"/>
                </w:tcPr>
                <w:p>
                  <w:pPr>
                    <w:widowControl/>
                    <w:jc w:val="center"/>
                    <w:rPr>
                      <w:szCs w:val="21"/>
                    </w:rPr>
                  </w:pPr>
                  <w:r>
                    <w:rPr>
                      <w:rFonts w:hint="eastAsia"/>
                      <w:szCs w:val="21"/>
                    </w:rPr>
                    <w:t>7</w:t>
                  </w:r>
                  <w:r>
                    <w:rPr>
                      <w:szCs w:val="21"/>
                    </w:rPr>
                    <w:t>5</w:t>
                  </w:r>
                </w:p>
              </w:tc>
              <w:tc>
                <w:tcPr>
                  <w:tcW w:w="346" w:type="pct"/>
                  <w:vMerge w:val="continue"/>
                  <w:shd w:val="clear" w:color="auto" w:fill="auto"/>
                  <w:vAlign w:val="center"/>
                </w:tcPr>
                <w:p>
                  <w:pPr>
                    <w:widowControl/>
                    <w:jc w:val="center"/>
                    <w:rPr>
                      <w:rFonts w:hint="eastAsia" w:ascii="宋体" w:hAnsi="宋体" w:cs="宋体"/>
                      <w:kern w:val="0"/>
                      <w:szCs w:val="21"/>
                    </w:rPr>
                  </w:pPr>
                </w:p>
              </w:tc>
              <w:tc>
                <w:tcPr>
                  <w:tcW w:w="429" w:type="pct"/>
                  <w:shd w:val="clear" w:color="auto" w:fill="auto"/>
                  <w:noWrap/>
                  <w:vAlign w:val="center"/>
                </w:tcPr>
                <w:p>
                  <w:pPr>
                    <w:widowControl/>
                    <w:jc w:val="center"/>
                    <w:rPr>
                      <w:rFonts w:eastAsia="等线" w:cs="Times New Roman"/>
                      <w:kern w:val="0"/>
                      <w:szCs w:val="21"/>
                    </w:rPr>
                  </w:pPr>
                  <w:r>
                    <w:rPr>
                      <w:rFonts w:hint="eastAsia"/>
                      <w:szCs w:val="21"/>
                    </w:rPr>
                    <w:t>967.49</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214.04</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8.5</w:t>
                  </w:r>
                </w:p>
              </w:tc>
              <w:tc>
                <w:tcPr>
                  <w:tcW w:w="344" w:type="pct"/>
                  <w:shd w:val="clear" w:color="auto" w:fill="auto"/>
                  <w:noWrap/>
                  <w:vAlign w:val="center"/>
                </w:tcPr>
                <w:p>
                  <w:pPr>
                    <w:widowControl/>
                    <w:jc w:val="center"/>
                    <w:rPr>
                      <w:rFonts w:eastAsia="等线" w:cs="Times New Roman"/>
                      <w:kern w:val="0"/>
                      <w:szCs w:val="21"/>
                    </w:rPr>
                  </w:pPr>
                  <w:r>
                    <w:rPr>
                      <w:rFonts w:hint="eastAsia"/>
                      <w:szCs w:val="21"/>
                    </w:rPr>
                    <w:t>1.02</w:t>
                  </w:r>
                </w:p>
              </w:tc>
              <w:tc>
                <w:tcPr>
                  <w:tcW w:w="347" w:type="pct"/>
                  <w:shd w:val="clear" w:color="auto" w:fill="auto"/>
                  <w:noWrap/>
                  <w:vAlign w:val="center"/>
                </w:tcPr>
                <w:p>
                  <w:pPr>
                    <w:widowControl/>
                    <w:jc w:val="center"/>
                    <w:rPr>
                      <w:rFonts w:eastAsia="等线" w:cs="Times New Roman"/>
                      <w:kern w:val="0"/>
                      <w:szCs w:val="21"/>
                    </w:rPr>
                  </w:pPr>
                  <w:r>
                    <w:rPr>
                      <w:rFonts w:hint="eastAsia"/>
                      <w:szCs w:val="21"/>
                    </w:rPr>
                    <w:t>78.74</w:t>
                  </w:r>
                </w:p>
              </w:tc>
              <w:tc>
                <w:tcPr>
                  <w:tcW w:w="247" w:type="pct"/>
                  <w:shd w:val="clear" w:color="auto" w:fill="auto"/>
                  <w:noWrap/>
                  <w:vAlign w:val="center"/>
                </w:tcPr>
                <w:p>
                  <w:pPr>
                    <w:widowControl/>
                    <w:jc w:val="center"/>
                    <w:rPr>
                      <w:szCs w:val="21"/>
                    </w:rPr>
                  </w:pPr>
                  <w:r>
                    <w:rPr>
                      <w:rFonts w:hint="eastAsia"/>
                      <w:szCs w:val="21"/>
                    </w:rPr>
                    <w:t>昼间</w:t>
                  </w:r>
                </w:p>
              </w:tc>
              <w:tc>
                <w:tcPr>
                  <w:tcW w:w="396" w:type="pct"/>
                  <w:shd w:val="clear" w:color="auto" w:fill="auto"/>
                  <w:noWrap/>
                  <w:vAlign w:val="center"/>
                </w:tcPr>
                <w:p>
                  <w:pPr>
                    <w:widowControl/>
                    <w:jc w:val="center"/>
                    <w:rPr>
                      <w:szCs w:val="21"/>
                    </w:rPr>
                  </w:pPr>
                  <w:r>
                    <w:rPr>
                      <w:rFonts w:hint="eastAsia"/>
                      <w:szCs w:val="21"/>
                    </w:rPr>
                    <w:t>26</w:t>
                  </w:r>
                </w:p>
              </w:tc>
              <w:tc>
                <w:tcPr>
                  <w:tcW w:w="346" w:type="pct"/>
                  <w:shd w:val="clear" w:color="auto" w:fill="auto"/>
                  <w:noWrap/>
                  <w:vAlign w:val="center"/>
                </w:tcPr>
                <w:p>
                  <w:pPr>
                    <w:widowControl/>
                    <w:jc w:val="center"/>
                    <w:rPr>
                      <w:rFonts w:eastAsia="等线" w:cs="Times New Roman"/>
                      <w:kern w:val="0"/>
                      <w:szCs w:val="21"/>
                    </w:rPr>
                  </w:pPr>
                  <w:r>
                    <w:rPr>
                      <w:rFonts w:hint="eastAsia"/>
                      <w:szCs w:val="21"/>
                    </w:rPr>
                    <w:t>52.74</w:t>
                  </w:r>
                </w:p>
              </w:tc>
              <w:tc>
                <w:tcPr>
                  <w:tcW w:w="295" w:type="pct"/>
                  <w:shd w:val="clear" w:color="auto" w:fill="auto"/>
                  <w:noWrap/>
                  <w:vAlign w:val="center"/>
                </w:tcPr>
                <w:p>
                  <w:pPr>
                    <w:widowControl/>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shd w:val="clear" w:color="auto" w:fill="auto"/>
                  <w:noWrap/>
                  <w:vAlign w:val="center"/>
                </w:tcPr>
                <w:p>
                  <w:pPr>
                    <w:widowControl/>
                    <w:jc w:val="center"/>
                    <w:rPr>
                      <w:rFonts w:eastAsia="等线" w:cs="Times New Roman"/>
                      <w:kern w:val="0"/>
                      <w:szCs w:val="21"/>
                    </w:rPr>
                  </w:pPr>
                  <w:r>
                    <w:rPr>
                      <w:rFonts w:hint="eastAsia" w:eastAsia="等线" w:cs="Times New Roman"/>
                      <w:kern w:val="0"/>
                      <w:szCs w:val="21"/>
                    </w:rPr>
                    <w:t>6</w:t>
                  </w:r>
                </w:p>
              </w:tc>
              <w:tc>
                <w:tcPr>
                  <w:tcW w:w="297" w:type="pct"/>
                  <w:vMerge w:val="continue"/>
                  <w:shd w:val="clear" w:color="auto" w:fill="auto"/>
                  <w:vAlign w:val="center"/>
                </w:tcPr>
                <w:p>
                  <w:pPr>
                    <w:widowControl/>
                    <w:jc w:val="center"/>
                    <w:rPr>
                      <w:rFonts w:hint="eastAsia" w:ascii="宋体" w:hAnsi="宋体" w:cs="宋体"/>
                      <w:kern w:val="0"/>
                      <w:szCs w:val="21"/>
                    </w:rPr>
                  </w:pPr>
                </w:p>
              </w:tc>
              <w:tc>
                <w:tcPr>
                  <w:tcW w:w="445" w:type="pct"/>
                  <w:shd w:val="clear" w:color="auto" w:fill="auto"/>
                  <w:noWrap/>
                  <w:vAlign w:val="center"/>
                </w:tcPr>
                <w:p>
                  <w:pPr>
                    <w:widowControl/>
                    <w:jc w:val="center"/>
                    <w:rPr>
                      <w:rFonts w:hint="eastAsia" w:ascii="宋体" w:hAnsi="宋体" w:cs="宋体"/>
                      <w:kern w:val="0"/>
                      <w:szCs w:val="21"/>
                    </w:rPr>
                  </w:pPr>
                  <w:r>
                    <w:rPr>
                      <w:rFonts w:hint="eastAsia"/>
                      <w:szCs w:val="21"/>
                    </w:rPr>
                    <w:t>输送机2</w:t>
                  </w:r>
                </w:p>
              </w:tc>
              <w:tc>
                <w:tcPr>
                  <w:tcW w:w="396" w:type="pct"/>
                  <w:shd w:val="clear" w:color="auto" w:fill="auto"/>
                  <w:noWrap/>
                  <w:vAlign w:val="center"/>
                </w:tcPr>
                <w:p>
                  <w:pPr>
                    <w:widowControl/>
                    <w:jc w:val="center"/>
                    <w:rPr>
                      <w:szCs w:val="21"/>
                    </w:rPr>
                  </w:pPr>
                  <w:r>
                    <w:rPr>
                      <w:szCs w:val="21"/>
                    </w:rPr>
                    <w:t>75</w:t>
                  </w:r>
                </w:p>
              </w:tc>
              <w:tc>
                <w:tcPr>
                  <w:tcW w:w="346" w:type="pct"/>
                  <w:vMerge w:val="continue"/>
                  <w:shd w:val="clear" w:color="auto" w:fill="auto"/>
                  <w:vAlign w:val="center"/>
                </w:tcPr>
                <w:p>
                  <w:pPr>
                    <w:widowControl/>
                    <w:jc w:val="center"/>
                    <w:rPr>
                      <w:rFonts w:hint="eastAsia" w:ascii="宋体" w:hAnsi="宋体" w:cs="宋体"/>
                      <w:kern w:val="0"/>
                      <w:szCs w:val="21"/>
                    </w:rPr>
                  </w:pPr>
                </w:p>
              </w:tc>
              <w:tc>
                <w:tcPr>
                  <w:tcW w:w="429" w:type="pct"/>
                  <w:shd w:val="clear" w:color="auto" w:fill="auto"/>
                  <w:noWrap/>
                  <w:vAlign w:val="center"/>
                </w:tcPr>
                <w:p>
                  <w:pPr>
                    <w:widowControl/>
                    <w:jc w:val="center"/>
                    <w:rPr>
                      <w:rFonts w:eastAsia="等线" w:cs="Times New Roman"/>
                      <w:kern w:val="0"/>
                      <w:szCs w:val="21"/>
                    </w:rPr>
                  </w:pPr>
                  <w:r>
                    <w:rPr>
                      <w:rFonts w:hint="eastAsia"/>
                      <w:szCs w:val="21"/>
                    </w:rPr>
                    <w:t>974.93</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181.56</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8.5</w:t>
                  </w:r>
                </w:p>
              </w:tc>
              <w:tc>
                <w:tcPr>
                  <w:tcW w:w="344" w:type="pct"/>
                  <w:shd w:val="clear" w:color="auto" w:fill="auto"/>
                  <w:noWrap/>
                  <w:vAlign w:val="center"/>
                </w:tcPr>
                <w:p>
                  <w:pPr>
                    <w:widowControl/>
                    <w:jc w:val="center"/>
                    <w:rPr>
                      <w:rFonts w:eastAsia="等线" w:cs="Times New Roman"/>
                      <w:kern w:val="0"/>
                      <w:szCs w:val="21"/>
                    </w:rPr>
                  </w:pPr>
                  <w:r>
                    <w:rPr>
                      <w:rFonts w:hint="eastAsia"/>
                      <w:szCs w:val="21"/>
                    </w:rPr>
                    <w:t>1.50</w:t>
                  </w:r>
                </w:p>
              </w:tc>
              <w:tc>
                <w:tcPr>
                  <w:tcW w:w="347" w:type="pct"/>
                  <w:shd w:val="clear" w:color="auto" w:fill="auto"/>
                  <w:noWrap/>
                  <w:vAlign w:val="center"/>
                </w:tcPr>
                <w:p>
                  <w:pPr>
                    <w:widowControl/>
                    <w:jc w:val="center"/>
                    <w:rPr>
                      <w:rFonts w:eastAsia="等线" w:cs="Times New Roman"/>
                      <w:kern w:val="0"/>
                      <w:szCs w:val="21"/>
                    </w:rPr>
                  </w:pPr>
                  <w:r>
                    <w:rPr>
                      <w:rFonts w:hint="eastAsia"/>
                      <w:szCs w:val="21"/>
                    </w:rPr>
                    <w:t>69.06</w:t>
                  </w:r>
                </w:p>
              </w:tc>
              <w:tc>
                <w:tcPr>
                  <w:tcW w:w="247" w:type="pct"/>
                  <w:shd w:val="clear" w:color="auto" w:fill="auto"/>
                  <w:noWrap/>
                  <w:vAlign w:val="center"/>
                </w:tcPr>
                <w:p>
                  <w:pPr>
                    <w:widowControl/>
                    <w:jc w:val="center"/>
                    <w:rPr>
                      <w:szCs w:val="21"/>
                    </w:rPr>
                  </w:pPr>
                  <w:r>
                    <w:rPr>
                      <w:rFonts w:hint="eastAsia"/>
                      <w:szCs w:val="21"/>
                    </w:rPr>
                    <w:t>昼间</w:t>
                  </w:r>
                </w:p>
              </w:tc>
              <w:tc>
                <w:tcPr>
                  <w:tcW w:w="396" w:type="pct"/>
                  <w:shd w:val="clear" w:color="auto" w:fill="auto"/>
                  <w:noWrap/>
                  <w:vAlign w:val="center"/>
                </w:tcPr>
                <w:p>
                  <w:pPr>
                    <w:widowControl/>
                    <w:jc w:val="center"/>
                    <w:rPr>
                      <w:szCs w:val="21"/>
                    </w:rPr>
                  </w:pPr>
                  <w:r>
                    <w:rPr>
                      <w:rFonts w:hint="eastAsia"/>
                      <w:szCs w:val="21"/>
                    </w:rPr>
                    <w:t>26</w:t>
                  </w:r>
                </w:p>
              </w:tc>
              <w:tc>
                <w:tcPr>
                  <w:tcW w:w="346" w:type="pct"/>
                  <w:shd w:val="clear" w:color="auto" w:fill="auto"/>
                  <w:noWrap/>
                  <w:vAlign w:val="center"/>
                </w:tcPr>
                <w:p>
                  <w:pPr>
                    <w:widowControl/>
                    <w:jc w:val="center"/>
                    <w:rPr>
                      <w:rFonts w:eastAsia="等线" w:cs="Times New Roman"/>
                      <w:kern w:val="0"/>
                      <w:szCs w:val="21"/>
                    </w:rPr>
                  </w:pPr>
                  <w:r>
                    <w:rPr>
                      <w:rFonts w:hint="eastAsia"/>
                      <w:szCs w:val="21"/>
                    </w:rPr>
                    <w:t>43.06</w:t>
                  </w:r>
                </w:p>
              </w:tc>
              <w:tc>
                <w:tcPr>
                  <w:tcW w:w="295" w:type="pct"/>
                  <w:shd w:val="clear" w:color="auto" w:fill="auto"/>
                  <w:noWrap/>
                  <w:vAlign w:val="center"/>
                </w:tcPr>
                <w:p>
                  <w:pPr>
                    <w:widowControl/>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shd w:val="clear" w:color="auto" w:fill="auto"/>
                  <w:noWrap/>
                  <w:vAlign w:val="center"/>
                </w:tcPr>
                <w:p>
                  <w:pPr>
                    <w:widowControl/>
                    <w:jc w:val="center"/>
                    <w:rPr>
                      <w:rFonts w:eastAsia="等线" w:cs="Times New Roman"/>
                      <w:kern w:val="0"/>
                      <w:szCs w:val="21"/>
                    </w:rPr>
                  </w:pPr>
                  <w:r>
                    <w:rPr>
                      <w:rFonts w:hint="eastAsia" w:eastAsia="等线" w:cs="Times New Roman"/>
                      <w:kern w:val="0"/>
                      <w:szCs w:val="21"/>
                    </w:rPr>
                    <w:t>7</w:t>
                  </w:r>
                </w:p>
              </w:tc>
              <w:tc>
                <w:tcPr>
                  <w:tcW w:w="297" w:type="pct"/>
                  <w:vMerge w:val="continue"/>
                  <w:shd w:val="clear" w:color="auto" w:fill="auto"/>
                  <w:vAlign w:val="center"/>
                </w:tcPr>
                <w:p>
                  <w:pPr>
                    <w:widowControl/>
                    <w:jc w:val="center"/>
                    <w:rPr>
                      <w:rFonts w:hint="eastAsia" w:ascii="宋体" w:hAnsi="宋体" w:cs="宋体"/>
                      <w:kern w:val="0"/>
                      <w:szCs w:val="21"/>
                    </w:rPr>
                  </w:pPr>
                </w:p>
              </w:tc>
              <w:tc>
                <w:tcPr>
                  <w:tcW w:w="445" w:type="pct"/>
                  <w:shd w:val="clear" w:color="auto" w:fill="auto"/>
                  <w:noWrap/>
                  <w:vAlign w:val="center"/>
                </w:tcPr>
                <w:p>
                  <w:pPr>
                    <w:widowControl/>
                    <w:jc w:val="center"/>
                    <w:rPr>
                      <w:rFonts w:hint="eastAsia" w:ascii="宋体" w:hAnsi="宋体" w:cs="宋体"/>
                      <w:kern w:val="0"/>
                      <w:szCs w:val="21"/>
                    </w:rPr>
                  </w:pPr>
                  <w:r>
                    <w:rPr>
                      <w:rFonts w:hint="eastAsia"/>
                      <w:szCs w:val="21"/>
                    </w:rPr>
                    <w:t>输送机1</w:t>
                  </w:r>
                </w:p>
              </w:tc>
              <w:tc>
                <w:tcPr>
                  <w:tcW w:w="396" w:type="pct"/>
                  <w:shd w:val="clear" w:color="auto" w:fill="auto"/>
                  <w:noWrap/>
                  <w:vAlign w:val="center"/>
                </w:tcPr>
                <w:p>
                  <w:pPr>
                    <w:widowControl/>
                    <w:jc w:val="center"/>
                    <w:rPr>
                      <w:szCs w:val="21"/>
                    </w:rPr>
                  </w:pPr>
                  <w:r>
                    <w:rPr>
                      <w:szCs w:val="21"/>
                    </w:rPr>
                    <w:t>75</w:t>
                  </w:r>
                </w:p>
              </w:tc>
              <w:tc>
                <w:tcPr>
                  <w:tcW w:w="346" w:type="pct"/>
                  <w:vMerge w:val="continue"/>
                  <w:shd w:val="clear" w:color="auto" w:fill="auto"/>
                  <w:vAlign w:val="center"/>
                </w:tcPr>
                <w:p>
                  <w:pPr>
                    <w:widowControl/>
                    <w:jc w:val="center"/>
                    <w:rPr>
                      <w:rFonts w:hint="eastAsia" w:ascii="宋体" w:hAnsi="宋体" w:cs="宋体"/>
                      <w:kern w:val="0"/>
                      <w:szCs w:val="21"/>
                    </w:rPr>
                  </w:pPr>
                </w:p>
              </w:tc>
              <w:tc>
                <w:tcPr>
                  <w:tcW w:w="429" w:type="pct"/>
                  <w:shd w:val="clear" w:color="auto" w:fill="auto"/>
                  <w:noWrap/>
                  <w:vAlign w:val="center"/>
                </w:tcPr>
                <w:p>
                  <w:pPr>
                    <w:widowControl/>
                    <w:jc w:val="center"/>
                    <w:rPr>
                      <w:rFonts w:eastAsia="等线" w:cs="Times New Roman"/>
                      <w:kern w:val="0"/>
                      <w:szCs w:val="21"/>
                    </w:rPr>
                  </w:pPr>
                  <w:r>
                    <w:rPr>
                      <w:rFonts w:hint="eastAsia"/>
                      <w:szCs w:val="21"/>
                    </w:rPr>
                    <w:t>941.53</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10.3</w:t>
                  </w:r>
                </w:p>
              </w:tc>
              <w:tc>
                <w:tcPr>
                  <w:tcW w:w="429" w:type="pct"/>
                  <w:shd w:val="clear" w:color="auto" w:fill="auto"/>
                  <w:noWrap/>
                  <w:vAlign w:val="center"/>
                </w:tcPr>
                <w:p>
                  <w:pPr>
                    <w:widowControl/>
                    <w:jc w:val="center"/>
                    <w:rPr>
                      <w:rFonts w:eastAsia="等线" w:cs="Times New Roman"/>
                      <w:kern w:val="0"/>
                      <w:szCs w:val="21"/>
                    </w:rPr>
                  </w:pPr>
                  <w:r>
                    <w:rPr>
                      <w:rFonts w:hint="eastAsia"/>
                      <w:szCs w:val="21"/>
                    </w:rPr>
                    <w:t>8.5</w:t>
                  </w:r>
                </w:p>
              </w:tc>
              <w:tc>
                <w:tcPr>
                  <w:tcW w:w="344" w:type="pct"/>
                  <w:shd w:val="clear" w:color="auto" w:fill="auto"/>
                  <w:noWrap/>
                  <w:vAlign w:val="center"/>
                </w:tcPr>
                <w:p>
                  <w:pPr>
                    <w:widowControl/>
                    <w:jc w:val="center"/>
                    <w:rPr>
                      <w:rFonts w:eastAsia="等线" w:cs="Times New Roman"/>
                      <w:kern w:val="0"/>
                      <w:szCs w:val="21"/>
                    </w:rPr>
                  </w:pPr>
                  <w:r>
                    <w:rPr>
                      <w:rFonts w:hint="eastAsia"/>
                      <w:szCs w:val="21"/>
                    </w:rPr>
                    <w:t>78.95</w:t>
                  </w:r>
                </w:p>
              </w:tc>
              <w:tc>
                <w:tcPr>
                  <w:tcW w:w="347" w:type="pct"/>
                  <w:shd w:val="clear" w:color="auto" w:fill="auto"/>
                  <w:noWrap/>
                  <w:vAlign w:val="center"/>
                </w:tcPr>
                <w:p>
                  <w:pPr>
                    <w:widowControl/>
                    <w:jc w:val="center"/>
                    <w:rPr>
                      <w:rFonts w:eastAsia="等线" w:cs="Times New Roman"/>
                      <w:kern w:val="0"/>
                      <w:szCs w:val="21"/>
                    </w:rPr>
                  </w:pPr>
                  <w:r>
                    <w:rPr>
                      <w:rFonts w:hint="eastAsia"/>
                      <w:szCs w:val="21"/>
                    </w:rPr>
                    <w:t>67.62</w:t>
                  </w:r>
                </w:p>
              </w:tc>
              <w:tc>
                <w:tcPr>
                  <w:tcW w:w="247" w:type="pct"/>
                  <w:shd w:val="clear" w:color="auto" w:fill="auto"/>
                  <w:noWrap/>
                  <w:vAlign w:val="center"/>
                </w:tcPr>
                <w:p>
                  <w:pPr>
                    <w:widowControl/>
                    <w:jc w:val="center"/>
                    <w:rPr>
                      <w:szCs w:val="21"/>
                    </w:rPr>
                  </w:pPr>
                  <w:r>
                    <w:rPr>
                      <w:rFonts w:hint="eastAsia"/>
                      <w:szCs w:val="21"/>
                    </w:rPr>
                    <w:t>昼间</w:t>
                  </w:r>
                </w:p>
              </w:tc>
              <w:tc>
                <w:tcPr>
                  <w:tcW w:w="396" w:type="pct"/>
                  <w:shd w:val="clear" w:color="auto" w:fill="auto"/>
                  <w:noWrap/>
                  <w:vAlign w:val="center"/>
                </w:tcPr>
                <w:p>
                  <w:pPr>
                    <w:widowControl/>
                    <w:jc w:val="center"/>
                    <w:rPr>
                      <w:szCs w:val="21"/>
                    </w:rPr>
                  </w:pPr>
                  <w:r>
                    <w:rPr>
                      <w:rFonts w:hint="eastAsia"/>
                      <w:szCs w:val="21"/>
                    </w:rPr>
                    <w:t>26</w:t>
                  </w:r>
                </w:p>
              </w:tc>
              <w:tc>
                <w:tcPr>
                  <w:tcW w:w="346" w:type="pct"/>
                  <w:shd w:val="clear" w:color="auto" w:fill="auto"/>
                  <w:noWrap/>
                  <w:vAlign w:val="center"/>
                </w:tcPr>
                <w:p>
                  <w:pPr>
                    <w:widowControl/>
                    <w:jc w:val="center"/>
                    <w:rPr>
                      <w:rFonts w:eastAsia="等线" w:cs="Times New Roman"/>
                      <w:kern w:val="0"/>
                      <w:szCs w:val="21"/>
                    </w:rPr>
                  </w:pPr>
                  <w:r>
                    <w:rPr>
                      <w:rFonts w:hint="eastAsia"/>
                      <w:szCs w:val="21"/>
                    </w:rPr>
                    <w:t>41.62</w:t>
                  </w:r>
                </w:p>
              </w:tc>
              <w:tc>
                <w:tcPr>
                  <w:tcW w:w="295" w:type="pct"/>
                  <w:shd w:val="clear" w:color="auto" w:fill="auto"/>
                  <w:noWrap/>
                  <w:vAlign w:val="center"/>
                </w:tcPr>
                <w:p>
                  <w:pPr>
                    <w:widowControl/>
                    <w:jc w:val="center"/>
                    <w:rPr>
                      <w:szCs w:val="21"/>
                    </w:rPr>
                  </w:pPr>
                  <w:r>
                    <w:rPr>
                      <w:rFonts w:hint="eastAsia"/>
                      <w:szCs w:val="21"/>
                    </w:rPr>
                    <w:t>1</w:t>
                  </w:r>
                </w:p>
              </w:tc>
            </w:tr>
          </w:tbl>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tc>
      </w:tr>
    </w:tbl>
    <w:p>
      <w:pPr>
        <w:rPr>
          <w:rFonts w:hint="eastAsia" w:ascii="宋体" w:hAnsi="宋体"/>
          <w:sz w:val="28"/>
          <w:szCs w:val="28"/>
        </w:rPr>
        <w:sectPr>
          <w:pgSz w:w="16838" w:h="11906" w:orient="landscape"/>
          <w:pgMar w:top="1134" w:right="1134" w:bottom="1134" w:left="1134" w:header="851" w:footer="992" w:gutter="0"/>
          <w:cols w:space="720" w:num="1"/>
          <w:docGrid w:type="lines" w:linePitch="312" w:charSpace="0"/>
        </w:sect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9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pPr>
              <w:spacing w:line="360" w:lineRule="auto"/>
              <w:jc w:val="center"/>
              <w:rPr>
                <w:rFonts w:cs="Times New Roman"/>
                <w:sz w:val="24"/>
                <w:szCs w:val="24"/>
              </w:rPr>
            </w:pPr>
            <w:r>
              <w:rPr>
                <w:rFonts w:hint="eastAsia" w:cs="Times New Roman"/>
                <w:sz w:val="24"/>
                <w:szCs w:val="24"/>
              </w:rPr>
              <w:t>运营期环境影响和保护措施</w:t>
            </w:r>
          </w:p>
        </w:tc>
        <w:tc>
          <w:tcPr>
            <w:tcW w:w="4756" w:type="pct"/>
            <w:vAlign w:val="center"/>
          </w:tcPr>
          <w:p>
            <w:pPr>
              <w:spacing w:line="360" w:lineRule="auto"/>
              <w:ind w:firstLine="482" w:firstLineChars="200"/>
              <w:rPr>
                <w:b/>
                <w:bCs/>
                <w:sz w:val="24"/>
                <w:szCs w:val="24"/>
              </w:rPr>
            </w:pPr>
            <w:r>
              <w:rPr>
                <w:b/>
                <w:bCs/>
                <w:sz w:val="24"/>
                <w:szCs w:val="24"/>
              </w:rPr>
              <w:t>2</w:t>
            </w:r>
            <w:r>
              <w:rPr>
                <w:rFonts w:hint="eastAsia"/>
                <w:b/>
                <w:bCs/>
                <w:sz w:val="24"/>
                <w:szCs w:val="24"/>
              </w:rPr>
              <w:t>）预测方法</w:t>
            </w:r>
          </w:p>
          <w:p>
            <w:pPr>
              <w:spacing w:line="360" w:lineRule="auto"/>
              <w:ind w:firstLine="480" w:firstLineChars="200"/>
              <w:rPr>
                <w:bCs/>
                <w:sz w:val="24"/>
                <w:szCs w:val="24"/>
              </w:rPr>
            </w:pPr>
            <w:r>
              <w:rPr>
                <w:rFonts w:hint="eastAsia"/>
                <w:bCs/>
                <w:sz w:val="24"/>
                <w:szCs w:val="24"/>
              </w:rPr>
              <w:t>本次环评采用《环境影响评价技术导则 声环境》（HJ2.4-2021）中工业噪声预测计算模型，预测方法为：</w:t>
            </w:r>
          </w:p>
          <w:p>
            <w:pPr>
              <w:spacing w:line="360" w:lineRule="auto"/>
              <w:ind w:firstLine="482" w:firstLineChars="200"/>
              <w:rPr>
                <w:b/>
                <w:sz w:val="24"/>
                <w:szCs w:val="24"/>
              </w:rPr>
            </w:pPr>
            <w:r>
              <w:rPr>
                <w:rFonts w:hint="eastAsia"/>
                <w:b/>
                <w:sz w:val="24"/>
                <w:szCs w:val="24"/>
              </w:rPr>
              <w:t>①声源描述</w:t>
            </w:r>
          </w:p>
          <w:p>
            <w:pPr>
              <w:spacing w:line="360" w:lineRule="auto"/>
              <w:ind w:firstLine="480" w:firstLineChars="200"/>
              <w:rPr>
                <w:bCs/>
                <w:sz w:val="24"/>
                <w:szCs w:val="24"/>
              </w:rPr>
            </w:pPr>
            <w:r>
              <w:rPr>
                <w:rFonts w:hint="eastAsia"/>
                <w:bCs/>
                <w:sz w:val="24"/>
                <w:szCs w:val="24"/>
              </w:rPr>
              <w:t>声环境影响预测，一般采用声源的倍频带声功率级、A声功率级或靠近声源某一位置的倍频带声压级、A声级来预测计算距声源不同距离的声级。工业声源有室外和室内两种声源，应分别计算。</w:t>
            </w:r>
          </w:p>
          <w:p>
            <w:pPr>
              <w:pStyle w:val="57"/>
              <w:ind w:firstLine="482"/>
            </w:pPr>
            <w:r>
              <w:rPr>
                <w:rFonts w:hint="eastAsia"/>
              </w:rPr>
              <w:t>②室外声源在预测点产生的声级计算</w:t>
            </w:r>
          </w:p>
          <w:p>
            <w:pPr>
              <w:spacing w:line="360" w:lineRule="auto"/>
              <w:ind w:firstLine="480" w:firstLineChars="200"/>
              <w:rPr>
                <w:rFonts w:cs="Times New Roman"/>
                <w:sz w:val="24"/>
                <w:szCs w:val="24"/>
              </w:rPr>
            </w:pPr>
            <w:r>
              <w:rPr>
                <w:rFonts w:cs="Times New Roman"/>
                <w:sz w:val="24"/>
                <w:szCs w:val="24"/>
              </w:rPr>
              <w:t>按照无指向性点声源几何发散衰减进行计算</w:t>
            </w:r>
            <w:r>
              <w:rPr>
                <w:rFonts w:hint="eastAsia" w:cs="Times New Roman"/>
                <w:sz w:val="24"/>
                <w:szCs w:val="24"/>
              </w:rPr>
              <w:t>：</w:t>
            </w:r>
          </w:p>
          <w:p>
            <w:pPr>
              <w:spacing w:line="360" w:lineRule="auto"/>
              <w:jc w:val="center"/>
              <w:rPr>
                <w:rFonts w:cs="Times New Roman"/>
                <w:sz w:val="24"/>
                <w:szCs w:val="24"/>
              </w:rPr>
            </w:pPr>
            <w:r>
              <w:rPr>
                <w:position w:val="-14"/>
              </w:rPr>
              <w:object>
                <v:shape id="_x0000_i1030" o:spt="75" type="#_x0000_t75" style="height:21.75pt;width:144pt;" o:ole="t" filled="f" o:preferrelative="t" stroked="f" coordsize="21600,21600">
                  <v:path/>
                  <v:fill on="f" focussize="0,0"/>
                  <v:stroke on="f" joinstyle="miter"/>
                  <v:imagedata r:id="rId38" o:title=""/>
                  <o:lock v:ext="edit" aspectratio="t"/>
                  <w10:wrap type="none"/>
                  <w10:anchorlock/>
                </v:shape>
                <o:OLEObject Type="Embed" ProgID="Equation.DSMT4" ShapeID="_x0000_i1030" DrawAspect="Content" ObjectID="_1468075730" r:id="rId37">
                  <o:LockedField>false</o:LockedField>
                </o:OLEObject>
              </w:object>
            </w:r>
          </w:p>
          <w:p>
            <w:pPr>
              <w:spacing w:line="360" w:lineRule="auto"/>
              <w:ind w:firstLine="480" w:firstLineChars="200"/>
              <w:rPr>
                <w:sz w:val="24"/>
                <w:szCs w:val="24"/>
              </w:rPr>
            </w:pPr>
            <w:r>
              <w:rPr>
                <w:rFonts w:hint="eastAsia"/>
                <w:sz w:val="24"/>
                <w:szCs w:val="24"/>
              </w:rPr>
              <w:t>式中</w:t>
            </w:r>
            <w:r>
              <w:rPr>
                <w:sz w:val="24"/>
                <w:szCs w:val="24"/>
              </w:rPr>
              <w:t>，</w:t>
            </w:r>
            <w:r>
              <w:rPr>
                <w:i/>
                <w:sz w:val="24"/>
                <w:szCs w:val="24"/>
              </w:rPr>
              <w:t>L</w:t>
            </w:r>
            <w:r>
              <w:rPr>
                <w:i/>
                <w:sz w:val="24"/>
                <w:szCs w:val="24"/>
                <w:vertAlign w:val="subscript"/>
              </w:rPr>
              <w:t>p</w:t>
            </w:r>
            <w:r>
              <w:rPr>
                <w:sz w:val="24"/>
                <w:szCs w:val="24"/>
              </w:rPr>
              <w:t>（</w:t>
            </w:r>
            <w:r>
              <w:rPr>
                <w:i/>
                <w:sz w:val="24"/>
                <w:szCs w:val="24"/>
              </w:rPr>
              <w:t>r</w:t>
            </w:r>
            <w:r>
              <w:rPr>
                <w:sz w:val="24"/>
                <w:szCs w:val="24"/>
              </w:rPr>
              <w:t>）——</w:t>
            </w:r>
            <w:r>
              <w:rPr>
                <w:rFonts w:hint="eastAsia"/>
                <w:sz w:val="24"/>
                <w:szCs w:val="24"/>
              </w:rPr>
              <w:t>预测点处声压级，dB；</w:t>
            </w:r>
          </w:p>
          <w:p>
            <w:pPr>
              <w:spacing w:line="360" w:lineRule="auto"/>
              <w:ind w:firstLine="1200" w:firstLineChars="500"/>
              <w:rPr>
                <w:sz w:val="24"/>
                <w:szCs w:val="24"/>
              </w:rPr>
            </w:pPr>
            <w:r>
              <w:rPr>
                <w:i/>
                <w:sz w:val="24"/>
                <w:szCs w:val="24"/>
              </w:rPr>
              <w:t>L</w:t>
            </w:r>
            <w:r>
              <w:rPr>
                <w:i/>
                <w:sz w:val="24"/>
                <w:szCs w:val="24"/>
                <w:vertAlign w:val="subscript"/>
              </w:rPr>
              <w:t>p</w:t>
            </w:r>
            <w:r>
              <w:rPr>
                <w:sz w:val="24"/>
                <w:szCs w:val="24"/>
              </w:rPr>
              <w:t>（</w:t>
            </w:r>
            <w:r>
              <w:rPr>
                <w:i/>
                <w:sz w:val="24"/>
                <w:szCs w:val="24"/>
              </w:rPr>
              <w:t>r</w:t>
            </w:r>
            <w:r>
              <w:rPr>
                <w:i/>
                <w:sz w:val="24"/>
                <w:szCs w:val="24"/>
                <w:vertAlign w:val="subscript"/>
              </w:rPr>
              <w:t>0</w:t>
            </w:r>
            <w:r>
              <w:rPr>
                <w:sz w:val="24"/>
                <w:szCs w:val="24"/>
              </w:rPr>
              <w:t>）——</w:t>
            </w:r>
            <w:r>
              <w:rPr>
                <w:rFonts w:hint="eastAsia"/>
                <w:sz w:val="24"/>
                <w:szCs w:val="24"/>
              </w:rPr>
              <w:t>参考位置</w:t>
            </w:r>
            <w:r>
              <w:rPr>
                <w:rFonts w:hint="eastAsia"/>
                <w:i/>
                <w:sz w:val="24"/>
                <w:szCs w:val="24"/>
              </w:rPr>
              <w:t>r</w:t>
            </w:r>
            <w:r>
              <w:rPr>
                <w:sz w:val="24"/>
                <w:szCs w:val="24"/>
                <w:vertAlign w:val="subscript"/>
              </w:rPr>
              <w:t>0</w:t>
            </w:r>
            <w:r>
              <w:rPr>
                <w:sz w:val="24"/>
                <w:szCs w:val="24"/>
              </w:rPr>
              <w:t>处的声压级</w:t>
            </w:r>
            <w:r>
              <w:rPr>
                <w:rFonts w:hint="eastAsia"/>
                <w:sz w:val="24"/>
                <w:szCs w:val="24"/>
              </w:rPr>
              <w:t>，dB；</w:t>
            </w:r>
          </w:p>
          <w:p>
            <w:pPr>
              <w:spacing w:line="360" w:lineRule="auto"/>
              <w:ind w:firstLine="1200" w:firstLineChars="500"/>
              <w:rPr>
                <w:sz w:val="24"/>
                <w:szCs w:val="24"/>
              </w:rPr>
            </w:pPr>
            <w:r>
              <w:rPr>
                <w:rFonts w:hint="eastAsia"/>
                <w:i/>
                <w:sz w:val="24"/>
                <w:szCs w:val="24"/>
              </w:rPr>
              <w:t>r</w:t>
            </w:r>
            <w:r>
              <w:rPr>
                <w:sz w:val="24"/>
                <w:szCs w:val="24"/>
              </w:rPr>
              <w:t>——</w:t>
            </w:r>
            <w:r>
              <w:rPr>
                <w:rFonts w:hint="eastAsia"/>
                <w:sz w:val="24"/>
                <w:szCs w:val="24"/>
              </w:rPr>
              <w:t>预测点距声源的距离，m；</w:t>
            </w:r>
          </w:p>
          <w:p>
            <w:pPr>
              <w:spacing w:line="360" w:lineRule="auto"/>
              <w:ind w:firstLine="1200" w:firstLineChars="500"/>
              <w:rPr>
                <w:sz w:val="24"/>
                <w:szCs w:val="24"/>
              </w:rPr>
            </w:pPr>
            <w:r>
              <w:rPr>
                <w:rFonts w:hint="eastAsia"/>
                <w:i/>
                <w:sz w:val="24"/>
                <w:szCs w:val="24"/>
              </w:rPr>
              <w:t>r</w:t>
            </w:r>
            <w:r>
              <w:rPr>
                <w:sz w:val="24"/>
                <w:szCs w:val="24"/>
                <w:vertAlign w:val="subscript"/>
              </w:rPr>
              <w:t>0</w:t>
            </w:r>
            <w:r>
              <w:rPr>
                <w:sz w:val="24"/>
                <w:szCs w:val="24"/>
              </w:rPr>
              <w:t>——</w:t>
            </w:r>
            <w:r>
              <w:rPr>
                <w:rFonts w:hint="eastAsia"/>
                <w:sz w:val="24"/>
                <w:szCs w:val="24"/>
              </w:rPr>
              <w:t>参考位置距声源的距离，m。</w:t>
            </w:r>
          </w:p>
          <w:p>
            <w:pPr>
              <w:pStyle w:val="57"/>
              <w:ind w:firstLine="482"/>
            </w:pPr>
            <w:r>
              <w:rPr>
                <w:rFonts w:hint="eastAsia"/>
              </w:rPr>
              <w:t>③室内声源等效室外声源声功率级计算</w:t>
            </w:r>
          </w:p>
          <w:p>
            <w:pPr>
              <w:spacing w:line="360" w:lineRule="auto"/>
              <w:ind w:firstLine="480" w:firstLineChars="200"/>
              <w:rPr>
                <w:sz w:val="24"/>
                <w:szCs w:val="24"/>
              </w:rPr>
            </w:pPr>
            <w:r>
              <w:rPr>
                <w:rFonts w:hint="eastAsia"/>
                <w:sz w:val="24"/>
                <w:szCs w:val="24"/>
              </w:rPr>
              <w:t>如下图所示，声源位于室内，</w:t>
            </w:r>
            <w:r>
              <w:rPr>
                <w:sz w:val="24"/>
                <w:szCs w:val="24"/>
              </w:rPr>
              <w:t>室内声源可采用等效室外声源声功率级</w:t>
            </w:r>
            <w:r>
              <w:rPr>
                <w:rFonts w:hint="eastAsia"/>
                <w:sz w:val="24"/>
                <w:szCs w:val="24"/>
              </w:rPr>
              <w:t>法</w:t>
            </w:r>
            <w:r>
              <w:rPr>
                <w:sz w:val="24"/>
                <w:szCs w:val="24"/>
              </w:rPr>
              <w:t>进行计算</w:t>
            </w:r>
            <w:r>
              <w:rPr>
                <w:rFonts w:hint="eastAsia"/>
                <w:sz w:val="24"/>
                <w:szCs w:val="24"/>
              </w:rPr>
              <w:t>。</w:t>
            </w:r>
            <w:r>
              <w:rPr>
                <w:sz w:val="24"/>
                <w:szCs w:val="24"/>
              </w:rPr>
              <w:t>设靠近开口处（</w:t>
            </w:r>
            <w:r>
              <w:rPr>
                <w:rFonts w:hint="eastAsia"/>
                <w:sz w:val="24"/>
                <w:szCs w:val="24"/>
              </w:rPr>
              <w:t>或</w:t>
            </w:r>
            <w:r>
              <w:rPr>
                <w:sz w:val="24"/>
                <w:szCs w:val="24"/>
              </w:rPr>
              <w:t>窗户）</w:t>
            </w:r>
            <w:r>
              <w:rPr>
                <w:rFonts w:hint="eastAsia"/>
                <w:sz w:val="24"/>
                <w:szCs w:val="24"/>
              </w:rPr>
              <w:t>室内</w:t>
            </w:r>
            <w:r>
              <w:rPr>
                <w:sz w:val="24"/>
                <w:szCs w:val="24"/>
              </w:rPr>
              <w:t>、室外某倍频带的声压级分别为</w:t>
            </w:r>
            <w:r>
              <w:rPr>
                <w:i/>
                <w:sz w:val="24"/>
                <w:szCs w:val="24"/>
              </w:rPr>
              <w:t>L</w:t>
            </w:r>
            <w:r>
              <w:rPr>
                <w:i/>
                <w:sz w:val="24"/>
                <w:szCs w:val="24"/>
                <w:vertAlign w:val="subscript"/>
              </w:rPr>
              <w:t>p</w:t>
            </w:r>
            <w:r>
              <w:rPr>
                <w:sz w:val="24"/>
                <w:szCs w:val="24"/>
                <w:vertAlign w:val="subscript"/>
              </w:rPr>
              <w:t>1</w:t>
            </w:r>
            <w:r>
              <w:rPr>
                <w:rFonts w:hint="eastAsia"/>
                <w:sz w:val="24"/>
                <w:szCs w:val="24"/>
              </w:rPr>
              <w:t>和</w:t>
            </w:r>
            <w:r>
              <w:rPr>
                <w:i/>
                <w:sz w:val="24"/>
                <w:szCs w:val="24"/>
              </w:rPr>
              <w:t>L</w:t>
            </w:r>
            <w:r>
              <w:rPr>
                <w:i/>
                <w:sz w:val="24"/>
                <w:szCs w:val="24"/>
                <w:vertAlign w:val="subscript"/>
              </w:rPr>
              <w:t>p</w:t>
            </w:r>
            <w:r>
              <w:rPr>
                <w:sz w:val="24"/>
                <w:szCs w:val="24"/>
                <w:vertAlign w:val="subscript"/>
              </w:rPr>
              <w:t>2</w:t>
            </w:r>
            <w:r>
              <w:rPr>
                <w:rFonts w:hint="eastAsia"/>
                <w:sz w:val="24"/>
                <w:szCs w:val="24"/>
              </w:rPr>
              <w:t>，</w:t>
            </w:r>
            <w:r>
              <w:rPr>
                <w:sz w:val="24"/>
                <w:szCs w:val="24"/>
              </w:rPr>
              <w:t>若</w:t>
            </w:r>
            <w:r>
              <w:rPr>
                <w:rFonts w:hint="eastAsia"/>
                <w:sz w:val="24"/>
                <w:szCs w:val="24"/>
              </w:rPr>
              <w:t>声源</w:t>
            </w:r>
            <w:r>
              <w:rPr>
                <w:sz w:val="24"/>
                <w:szCs w:val="24"/>
              </w:rPr>
              <w:t>所在室内声场为近似扩散声场，则室外倍频带声压级按下式计算：</w:t>
            </w:r>
          </w:p>
          <w:p>
            <w:pPr>
              <w:spacing w:line="360" w:lineRule="auto"/>
              <w:jc w:val="center"/>
              <w:rPr>
                <w:sz w:val="24"/>
                <w:szCs w:val="24"/>
              </w:rPr>
            </w:pPr>
            <w:r>
              <w:rPr>
                <w:position w:val="-14"/>
              </w:rPr>
              <w:object>
                <v:shape id="_x0000_i1031" o:spt="75" type="#_x0000_t75" style="height:14.25pt;width:64.5pt;" o:ole="t" filled="f" o:preferrelative="t" stroked="f" coordsize="21600,21600">
                  <v:path/>
                  <v:fill on="f" focussize="0,0"/>
                  <v:stroke on="f" joinstyle="miter"/>
                  <v:imagedata r:id="rId40" o:title=""/>
                  <o:lock v:ext="edit" aspectratio="t"/>
                  <w10:wrap type="none"/>
                  <w10:anchorlock/>
                </v:shape>
                <o:OLEObject Type="Embed" ProgID="Equation.DSMT4" ShapeID="_x0000_i1031" DrawAspect="Content" ObjectID="_1468075731" r:id="rId39">
                  <o:LockedField>false</o:LockedField>
                </o:OLEObject>
              </w:object>
            </w:r>
          </w:p>
          <w:p>
            <w:pPr>
              <w:spacing w:line="360" w:lineRule="auto"/>
              <w:ind w:firstLine="480" w:firstLineChars="200"/>
              <w:rPr>
                <w:sz w:val="24"/>
                <w:szCs w:val="24"/>
              </w:rPr>
            </w:pPr>
            <w:r>
              <w:rPr>
                <w:rFonts w:hint="eastAsia"/>
                <w:sz w:val="24"/>
                <w:szCs w:val="24"/>
              </w:rPr>
              <w:t>式中</w:t>
            </w:r>
            <w:r>
              <w:rPr>
                <w:sz w:val="24"/>
                <w:szCs w:val="24"/>
              </w:rPr>
              <w:t>，</w:t>
            </w:r>
            <w:r>
              <w:rPr>
                <w:i/>
                <w:sz w:val="24"/>
                <w:szCs w:val="24"/>
              </w:rPr>
              <w:t>L</w:t>
            </w:r>
            <w:r>
              <w:rPr>
                <w:i/>
                <w:sz w:val="24"/>
                <w:szCs w:val="24"/>
                <w:vertAlign w:val="subscript"/>
              </w:rPr>
              <w:t>p</w:t>
            </w:r>
            <w:r>
              <w:rPr>
                <w:sz w:val="24"/>
                <w:szCs w:val="24"/>
                <w:vertAlign w:val="subscript"/>
              </w:rPr>
              <w:t>1</w:t>
            </w:r>
            <w:r>
              <w:rPr>
                <w:sz w:val="24"/>
                <w:szCs w:val="24"/>
              </w:rPr>
              <w:t>——</w:t>
            </w:r>
            <w:r>
              <w:rPr>
                <w:rFonts w:hint="eastAsia"/>
                <w:sz w:val="24"/>
                <w:szCs w:val="24"/>
              </w:rPr>
              <w:t>靠近开口处（或窗户）室内某倍频带的声压级或A声级，dB；</w:t>
            </w:r>
          </w:p>
          <w:p>
            <w:pPr>
              <w:spacing w:line="360" w:lineRule="auto"/>
              <w:ind w:firstLine="1200" w:firstLineChars="500"/>
              <w:rPr>
                <w:sz w:val="24"/>
                <w:szCs w:val="24"/>
              </w:rPr>
            </w:pPr>
            <w:r>
              <w:rPr>
                <w:i/>
                <w:sz w:val="24"/>
                <w:szCs w:val="24"/>
              </w:rPr>
              <w:t>L</w:t>
            </w:r>
            <w:r>
              <w:rPr>
                <w:i/>
                <w:sz w:val="24"/>
                <w:szCs w:val="24"/>
                <w:vertAlign w:val="subscript"/>
              </w:rPr>
              <w:t>p</w:t>
            </w:r>
            <w:r>
              <w:rPr>
                <w:sz w:val="24"/>
                <w:szCs w:val="24"/>
                <w:vertAlign w:val="subscript"/>
              </w:rPr>
              <w:t>2</w:t>
            </w:r>
            <w:r>
              <w:rPr>
                <w:sz w:val="24"/>
                <w:szCs w:val="24"/>
              </w:rPr>
              <w:t>——</w:t>
            </w:r>
            <w:r>
              <w:rPr>
                <w:rFonts w:hint="eastAsia"/>
                <w:sz w:val="24"/>
                <w:szCs w:val="24"/>
              </w:rPr>
              <w:t>靠近开口处（或窗户）室外某倍频带的声压级或A声级，dB；</w:t>
            </w:r>
          </w:p>
          <w:p>
            <w:pPr>
              <w:spacing w:line="360" w:lineRule="auto"/>
              <w:ind w:firstLine="1200" w:firstLineChars="500"/>
              <w:rPr>
                <w:sz w:val="24"/>
                <w:szCs w:val="24"/>
              </w:rPr>
            </w:pPr>
            <w:r>
              <w:rPr>
                <w:rFonts w:hint="eastAsia"/>
                <w:i/>
                <w:sz w:val="24"/>
                <w:szCs w:val="24"/>
              </w:rPr>
              <w:t>TL</w:t>
            </w:r>
            <w:r>
              <w:rPr>
                <w:sz w:val="24"/>
                <w:szCs w:val="24"/>
              </w:rPr>
              <w:t>——</w:t>
            </w:r>
            <w:r>
              <w:rPr>
                <w:rFonts w:hint="eastAsia"/>
                <w:sz w:val="24"/>
                <w:szCs w:val="24"/>
              </w:rPr>
              <w:t>隔墙（或</w:t>
            </w:r>
            <w:r>
              <w:rPr>
                <w:sz w:val="24"/>
                <w:szCs w:val="24"/>
              </w:rPr>
              <w:t>窗户</w:t>
            </w:r>
            <w:r>
              <w:rPr>
                <w:rFonts w:hint="eastAsia"/>
                <w:sz w:val="24"/>
                <w:szCs w:val="24"/>
              </w:rPr>
              <w:t>）倍频带或A声级的隔声量，dB。</w:t>
            </w:r>
          </w:p>
          <w:p>
            <w:pPr>
              <w:spacing w:line="360" w:lineRule="auto"/>
              <w:jc w:val="center"/>
              <w:rPr>
                <w:sz w:val="24"/>
                <w:szCs w:val="24"/>
              </w:rPr>
            </w:pPr>
            <w:r>
              <w:drawing>
                <wp:inline distT="0" distB="0" distL="0" distR="0">
                  <wp:extent cx="2419350" cy="11626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1"/>
                          <a:stretch>
                            <a:fillRect/>
                          </a:stretch>
                        </pic:blipFill>
                        <pic:spPr>
                          <a:xfrm>
                            <a:off x="0" y="0"/>
                            <a:ext cx="2465648" cy="1185169"/>
                          </a:xfrm>
                          <a:prstGeom prst="rect">
                            <a:avLst/>
                          </a:prstGeom>
                        </pic:spPr>
                      </pic:pic>
                    </a:graphicData>
                  </a:graphic>
                </wp:inline>
              </w:drawing>
            </w:r>
          </w:p>
          <w:p>
            <w:pPr>
              <w:spacing w:line="360" w:lineRule="auto"/>
              <w:jc w:val="center"/>
              <w:rPr>
                <w:rFonts w:eastAsia="黑体" w:cs="Times New Roman"/>
                <w:szCs w:val="21"/>
              </w:rPr>
            </w:pPr>
            <w:bookmarkStart w:id="5" w:name="_Ref110549742"/>
            <w:r>
              <w:rPr>
                <w:rFonts w:hint="eastAsia" w:eastAsia="黑体" w:cs="Times New Roman"/>
                <w:szCs w:val="21"/>
              </w:rPr>
              <w:t>图4</w:t>
            </w:r>
            <w:r>
              <w:rPr>
                <w:rFonts w:eastAsia="黑体" w:cs="Times New Roman"/>
                <w:szCs w:val="21"/>
              </w:rPr>
              <w:t xml:space="preserve">-2  </w:t>
            </w:r>
            <w:r>
              <w:rPr>
                <w:rFonts w:hint="eastAsia" w:eastAsia="黑体" w:cs="Times New Roman"/>
                <w:szCs w:val="21"/>
              </w:rPr>
              <w:t>室内声源等效为室外声源图例</w:t>
            </w:r>
            <w:bookmarkEnd w:id="5"/>
          </w:p>
          <w:p>
            <w:pPr>
              <w:spacing w:line="360" w:lineRule="auto"/>
              <w:ind w:firstLine="480" w:firstLineChars="200"/>
              <w:rPr>
                <w:sz w:val="24"/>
                <w:szCs w:val="24"/>
              </w:rPr>
            </w:pPr>
            <w:r>
              <w:rPr>
                <w:rFonts w:hint="eastAsia"/>
                <w:sz w:val="24"/>
                <w:szCs w:val="24"/>
              </w:rPr>
              <w:t>某一室内声源靠近围护结构处产生的倍频带声压级或A声级按下式计算：</w:t>
            </w:r>
          </w:p>
          <w:p>
            <w:pPr>
              <w:spacing w:line="360" w:lineRule="auto"/>
              <w:jc w:val="center"/>
              <w:rPr>
                <w:sz w:val="24"/>
                <w:szCs w:val="24"/>
              </w:rPr>
            </w:pPr>
            <w:r>
              <w:rPr>
                <w:position w:val="-28"/>
              </w:rPr>
              <w:object>
                <v:shape id="_x0000_i1032" o:spt="75" type="#_x0000_t75" style="height:28.5pt;width:115.5pt;" o:ole="t" filled="f" o:preferrelative="t" stroked="f" coordsize="21600,21600">
                  <v:path/>
                  <v:fill on="f" focussize="0,0"/>
                  <v:stroke on="f" joinstyle="miter"/>
                  <v:imagedata r:id="rId43" o:title=""/>
                  <o:lock v:ext="edit" aspectratio="t"/>
                  <w10:wrap type="none"/>
                  <w10:anchorlock/>
                </v:shape>
                <o:OLEObject Type="Embed" ProgID="Equation.DSMT4" ShapeID="_x0000_i1032" DrawAspect="Content" ObjectID="_1468075732" r:id="rId42">
                  <o:LockedField>false</o:LockedField>
                </o:OLEObject>
              </w:object>
            </w:r>
          </w:p>
          <w:p>
            <w:pPr>
              <w:spacing w:line="360" w:lineRule="auto"/>
              <w:ind w:firstLine="480" w:firstLineChars="200"/>
              <w:rPr>
                <w:rFonts w:cs="Times New Roman"/>
                <w:sz w:val="24"/>
                <w:szCs w:val="24"/>
              </w:rPr>
            </w:pPr>
            <w:r>
              <w:rPr>
                <w:rFonts w:cs="Times New Roman"/>
                <w:sz w:val="24"/>
                <w:szCs w:val="24"/>
              </w:rPr>
              <w:t>式中，</w:t>
            </w:r>
            <w:r>
              <w:rPr>
                <w:rFonts w:cs="Times New Roman"/>
                <w:i/>
                <w:iCs/>
                <w:sz w:val="24"/>
                <w:szCs w:val="24"/>
              </w:rPr>
              <w:t>L</w:t>
            </w:r>
            <w:r>
              <w:rPr>
                <w:rFonts w:cs="Times New Roman"/>
                <w:i/>
                <w:iCs/>
                <w:sz w:val="24"/>
                <w:szCs w:val="24"/>
                <w:vertAlign w:val="subscript"/>
              </w:rPr>
              <w:t>w</w:t>
            </w:r>
            <w:r>
              <w:rPr>
                <w:rFonts w:cs="Times New Roman"/>
                <w:sz w:val="24"/>
                <w:szCs w:val="24"/>
              </w:rPr>
              <w:t>——点声源声功率级（A计权或倍频带），dB；</w:t>
            </w:r>
          </w:p>
          <w:p>
            <w:pPr>
              <w:spacing w:line="360" w:lineRule="auto"/>
              <w:ind w:firstLine="1200" w:firstLineChars="500"/>
              <w:rPr>
                <w:sz w:val="24"/>
                <w:szCs w:val="24"/>
              </w:rPr>
            </w:pPr>
            <w:r>
              <w:rPr>
                <w:rFonts w:hint="eastAsia"/>
                <w:i/>
                <w:sz w:val="24"/>
                <w:szCs w:val="24"/>
              </w:rPr>
              <w:t>Q</w:t>
            </w:r>
            <w:r>
              <w:rPr>
                <w:sz w:val="24"/>
                <w:szCs w:val="24"/>
              </w:rPr>
              <w:t>——</w:t>
            </w:r>
            <w:r>
              <w:rPr>
                <w:rFonts w:hint="eastAsia"/>
                <w:sz w:val="24"/>
                <w:szCs w:val="24"/>
              </w:rPr>
              <w:t>指向性因数；通常对无指向性声源，当声源放在房间中心时，</w:t>
            </w:r>
            <w:r>
              <w:rPr>
                <w:rFonts w:hint="eastAsia"/>
                <w:i/>
                <w:iCs/>
                <w:sz w:val="24"/>
                <w:szCs w:val="24"/>
              </w:rPr>
              <w:t>Q</w:t>
            </w:r>
            <w:r>
              <w:rPr>
                <w:rFonts w:hint="eastAsia"/>
                <w:sz w:val="24"/>
                <w:szCs w:val="24"/>
              </w:rPr>
              <w:t>=1；当放在一面墙的中心时，</w:t>
            </w:r>
            <w:r>
              <w:rPr>
                <w:rFonts w:hint="eastAsia"/>
                <w:i/>
                <w:iCs/>
                <w:sz w:val="24"/>
                <w:szCs w:val="24"/>
              </w:rPr>
              <w:t>Q</w:t>
            </w:r>
            <w:r>
              <w:rPr>
                <w:rFonts w:hint="eastAsia"/>
                <w:sz w:val="24"/>
                <w:szCs w:val="24"/>
              </w:rPr>
              <w:t>=2；当放在两面墙夹角处时，</w:t>
            </w:r>
            <w:r>
              <w:rPr>
                <w:rFonts w:hint="eastAsia"/>
                <w:i/>
                <w:iCs/>
                <w:sz w:val="24"/>
                <w:szCs w:val="24"/>
              </w:rPr>
              <w:t>Q</w:t>
            </w:r>
            <w:r>
              <w:rPr>
                <w:rFonts w:hint="eastAsia"/>
                <w:sz w:val="24"/>
                <w:szCs w:val="24"/>
              </w:rPr>
              <w:t>=4；当放在三面墙夹角处时，</w:t>
            </w:r>
            <w:r>
              <w:rPr>
                <w:rFonts w:hint="eastAsia"/>
                <w:i/>
                <w:iCs/>
                <w:sz w:val="24"/>
                <w:szCs w:val="24"/>
              </w:rPr>
              <w:t>Q</w:t>
            </w:r>
            <w:r>
              <w:rPr>
                <w:rFonts w:hint="eastAsia"/>
                <w:sz w:val="24"/>
                <w:szCs w:val="24"/>
              </w:rPr>
              <w:t>=8；</w:t>
            </w:r>
          </w:p>
          <w:p>
            <w:pPr>
              <w:spacing w:line="360" w:lineRule="auto"/>
              <w:ind w:firstLine="1200" w:firstLineChars="500"/>
              <w:rPr>
                <w:rFonts w:cs="Times New Roman"/>
                <w:sz w:val="24"/>
                <w:szCs w:val="24"/>
              </w:rPr>
            </w:pPr>
            <w:r>
              <w:rPr>
                <w:rFonts w:cs="Times New Roman"/>
                <w:i/>
                <w:sz w:val="24"/>
                <w:szCs w:val="24"/>
              </w:rPr>
              <w:t>R</w:t>
            </w:r>
            <w:r>
              <w:rPr>
                <w:rFonts w:cs="Times New Roman"/>
                <w:sz w:val="24"/>
                <w:szCs w:val="24"/>
              </w:rPr>
              <w:t>——房间常数；</w:t>
            </w:r>
            <w:r>
              <w:rPr>
                <w:rFonts w:cs="Times New Roman"/>
                <w:i/>
                <w:iCs/>
                <w:sz w:val="24"/>
                <w:szCs w:val="24"/>
              </w:rPr>
              <w:t>R</w:t>
            </w:r>
            <w:r>
              <w:rPr>
                <w:rFonts w:cs="Times New Roman"/>
                <w:sz w:val="24"/>
                <w:szCs w:val="24"/>
              </w:rPr>
              <w:t>=</w:t>
            </w:r>
            <w:r>
              <w:rPr>
                <w:rFonts w:cs="Times New Roman"/>
                <w:i/>
                <w:iCs/>
                <w:sz w:val="24"/>
                <w:szCs w:val="24"/>
              </w:rPr>
              <w:t>Sα</w:t>
            </w:r>
            <w:r>
              <w:rPr>
                <w:rFonts w:cs="Times New Roman"/>
                <w:sz w:val="24"/>
                <w:szCs w:val="24"/>
              </w:rPr>
              <w:t>/（1-</w:t>
            </w:r>
            <w:r>
              <w:rPr>
                <w:rFonts w:cs="Times New Roman"/>
                <w:i/>
                <w:iCs/>
                <w:sz w:val="24"/>
                <w:szCs w:val="24"/>
              </w:rPr>
              <w:t>α</w:t>
            </w:r>
            <w:r>
              <w:rPr>
                <w:rFonts w:cs="Times New Roman"/>
                <w:sz w:val="24"/>
                <w:szCs w:val="24"/>
              </w:rPr>
              <w:t>），</w:t>
            </w:r>
            <w:r>
              <w:rPr>
                <w:rFonts w:cs="Times New Roman"/>
                <w:i/>
                <w:iCs/>
                <w:sz w:val="24"/>
                <w:szCs w:val="24"/>
              </w:rPr>
              <w:t>S</w:t>
            </w:r>
            <w:r>
              <w:rPr>
                <w:rFonts w:cs="Times New Roman"/>
                <w:sz w:val="24"/>
                <w:szCs w:val="24"/>
              </w:rPr>
              <w:t>为房间内表面面积，m</w:t>
            </w:r>
            <w:r>
              <w:rPr>
                <w:rFonts w:cs="Times New Roman"/>
                <w:sz w:val="24"/>
                <w:szCs w:val="24"/>
                <w:vertAlign w:val="superscript"/>
              </w:rPr>
              <w:t>2</w:t>
            </w:r>
            <w:r>
              <w:rPr>
                <w:rFonts w:cs="Times New Roman"/>
                <w:sz w:val="24"/>
                <w:szCs w:val="24"/>
              </w:rPr>
              <w:t>；</w:t>
            </w:r>
            <w:r>
              <w:rPr>
                <w:rFonts w:cs="Times New Roman"/>
                <w:i/>
                <w:iCs/>
                <w:sz w:val="24"/>
                <w:szCs w:val="24"/>
              </w:rPr>
              <w:t>α</w:t>
            </w:r>
            <w:r>
              <w:rPr>
                <w:rFonts w:cs="Times New Roman"/>
                <w:sz w:val="24"/>
                <w:szCs w:val="24"/>
              </w:rPr>
              <w:t>为平均吸声系数；</w:t>
            </w:r>
          </w:p>
          <w:p>
            <w:pPr>
              <w:spacing w:line="360" w:lineRule="auto"/>
              <w:ind w:firstLine="1200" w:firstLineChars="500"/>
              <w:rPr>
                <w:rFonts w:cs="Times New Roman"/>
                <w:sz w:val="24"/>
                <w:szCs w:val="24"/>
              </w:rPr>
            </w:pPr>
            <w:r>
              <w:rPr>
                <w:rFonts w:hint="eastAsia" w:cs="Times New Roman"/>
                <w:i/>
                <w:sz w:val="24"/>
                <w:szCs w:val="24"/>
              </w:rPr>
              <w:t>r</w:t>
            </w:r>
            <w:r>
              <w:rPr>
                <w:rFonts w:cs="Times New Roman"/>
                <w:sz w:val="24"/>
                <w:szCs w:val="24"/>
              </w:rPr>
              <w:t>——</w:t>
            </w:r>
            <w:r>
              <w:rPr>
                <w:rFonts w:hint="eastAsia" w:cs="Times New Roman"/>
                <w:sz w:val="24"/>
                <w:szCs w:val="24"/>
              </w:rPr>
              <w:t>声源到靠近围护结构某点处的距离，m。</w:t>
            </w:r>
          </w:p>
          <w:p>
            <w:pPr>
              <w:spacing w:line="360" w:lineRule="auto"/>
              <w:ind w:firstLine="480" w:firstLineChars="200"/>
              <w:rPr>
                <w:sz w:val="24"/>
                <w:szCs w:val="24"/>
              </w:rPr>
            </w:pPr>
            <w:r>
              <w:rPr>
                <w:rFonts w:hint="eastAsia"/>
                <w:sz w:val="24"/>
                <w:szCs w:val="24"/>
              </w:rPr>
              <w:t>然后按下式计算出所有室内声源在围护结构处产生的</w:t>
            </w:r>
            <w:r>
              <w:rPr>
                <w:rFonts w:hint="eastAsia"/>
                <w:i/>
                <w:iCs/>
                <w:sz w:val="24"/>
                <w:szCs w:val="24"/>
              </w:rPr>
              <w:t xml:space="preserve">i </w:t>
            </w:r>
            <w:r>
              <w:rPr>
                <w:rFonts w:hint="eastAsia"/>
                <w:sz w:val="24"/>
                <w:szCs w:val="24"/>
              </w:rPr>
              <w:t>倍频带叠加声压级：</w:t>
            </w:r>
          </w:p>
          <w:p>
            <w:pPr>
              <w:spacing w:line="360" w:lineRule="auto"/>
              <w:jc w:val="center"/>
              <w:rPr>
                <w:sz w:val="24"/>
                <w:szCs w:val="24"/>
              </w:rPr>
            </w:pPr>
            <w:r>
              <w:rPr>
                <w:position w:val="-32"/>
              </w:rPr>
              <w:object>
                <v:shape id="_x0000_i1033" o:spt="75" type="#_x0000_t75" style="height:28.5pt;width:108pt;" o:ole="t" filled="f" o:preferrelative="t" stroked="f" coordsize="21600,21600">
                  <v:path/>
                  <v:fill on="f" focussize="0,0"/>
                  <v:stroke on="f" joinstyle="miter"/>
                  <v:imagedata r:id="rId45" o:title=""/>
                  <o:lock v:ext="edit" aspectratio="t"/>
                  <w10:wrap type="none"/>
                  <w10:anchorlock/>
                </v:shape>
                <o:OLEObject Type="Embed" ProgID="Equation.DSMT4" ShapeID="_x0000_i1033" DrawAspect="Content" ObjectID="_1468075733" r:id="rId44">
                  <o:LockedField>false</o:LockedField>
                </o:OLEObject>
              </w:object>
            </w:r>
          </w:p>
          <w:p>
            <w:pPr>
              <w:spacing w:line="360" w:lineRule="auto"/>
              <w:ind w:firstLine="480" w:firstLineChars="200"/>
              <w:rPr>
                <w:rFonts w:cs="Times New Roman"/>
                <w:sz w:val="24"/>
                <w:szCs w:val="24"/>
              </w:rPr>
            </w:pPr>
            <w:r>
              <w:rPr>
                <w:rFonts w:cs="Times New Roman"/>
                <w:sz w:val="24"/>
                <w:szCs w:val="24"/>
              </w:rPr>
              <w:t>式中，</w:t>
            </w:r>
            <w:r>
              <w:rPr>
                <w:rFonts w:cs="Times New Roman"/>
                <w:i/>
                <w:iCs/>
                <w:sz w:val="24"/>
                <w:szCs w:val="24"/>
              </w:rPr>
              <w:t>L</w:t>
            </w:r>
            <w:r>
              <w:rPr>
                <w:rFonts w:cs="Times New Roman"/>
                <w:i/>
                <w:iCs/>
                <w:sz w:val="24"/>
                <w:szCs w:val="24"/>
                <w:vertAlign w:val="subscript"/>
              </w:rPr>
              <w:t>p1i</w:t>
            </w:r>
            <w:r>
              <w:rPr>
                <w:rFonts w:cs="Times New Roman"/>
                <w:sz w:val="24"/>
                <w:szCs w:val="24"/>
              </w:rPr>
              <w:t>(</w:t>
            </w:r>
            <w:r>
              <w:rPr>
                <w:rFonts w:cs="Times New Roman"/>
                <w:i/>
                <w:iCs/>
                <w:sz w:val="24"/>
                <w:szCs w:val="24"/>
              </w:rPr>
              <w:t>T</w:t>
            </w:r>
            <w:r>
              <w:rPr>
                <w:rFonts w:cs="Times New Roman"/>
                <w:sz w:val="24"/>
                <w:szCs w:val="24"/>
              </w:rPr>
              <w:t>)——</w:t>
            </w:r>
            <w:r>
              <w:rPr>
                <w:rFonts w:hint="eastAsia" w:cs="Times New Roman"/>
                <w:sz w:val="24"/>
                <w:szCs w:val="24"/>
              </w:rPr>
              <w:t>靠近围护结构处室内N个声源</w:t>
            </w:r>
            <w:r>
              <w:rPr>
                <w:rFonts w:hint="eastAsia" w:cs="Times New Roman"/>
                <w:i/>
                <w:iCs/>
                <w:sz w:val="24"/>
                <w:szCs w:val="24"/>
              </w:rPr>
              <w:t>i</w:t>
            </w:r>
            <w:r>
              <w:rPr>
                <w:rFonts w:hint="eastAsia" w:cs="Times New Roman"/>
                <w:sz w:val="24"/>
                <w:szCs w:val="24"/>
              </w:rPr>
              <w:t>倍频带的叠加声压级，dB；</w:t>
            </w:r>
          </w:p>
          <w:p>
            <w:pPr>
              <w:spacing w:line="360" w:lineRule="auto"/>
              <w:ind w:firstLine="1200" w:firstLineChars="500"/>
              <w:rPr>
                <w:sz w:val="24"/>
                <w:szCs w:val="24"/>
              </w:rPr>
            </w:pPr>
            <w:r>
              <w:rPr>
                <w:rFonts w:cs="Times New Roman"/>
                <w:i/>
                <w:iCs/>
                <w:sz w:val="24"/>
                <w:szCs w:val="24"/>
              </w:rPr>
              <w:t>L</w:t>
            </w:r>
            <w:r>
              <w:rPr>
                <w:rFonts w:cs="Times New Roman"/>
                <w:i/>
                <w:iCs/>
                <w:sz w:val="24"/>
                <w:szCs w:val="24"/>
                <w:vertAlign w:val="subscript"/>
              </w:rPr>
              <w:t>p1ij</w:t>
            </w:r>
            <w:r>
              <w:rPr>
                <w:rFonts w:cs="Times New Roman"/>
                <w:sz w:val="24"/>
                <w:szCs w:val="24"/>
              </w:rPr>
              <w:t>——</w:t>
            </w:r>
            <w:r>
              <w:rPr>
                <w:rFonts w:hint="eastAsia" w:cs="Times New Roman"/>
                <w:sz w:val="24"/>
                <w:szCs w:val="24"/>
              </w:rPr>
              <w:t>室内</w:t>
            </w:r>
            <w:r>
              <w:rPr>
                <w:rFonts w:hint="eastAsia" w:cs="Times New Roman"/>
                <w:i/>
                <w:iCs/>
                <w:sz w:val="24"/>
                <w:szCs w:val="24"/>
              </w:rPr>
              <w:t>j</w:t>
            </w:r>
            <w:r>
              <w:rPr>
                <w:rFonts w:hint="eastAsia" w:cs="Times New Roman"/>
                <w:sz w:val="24"/>
                <w:szCs w:val="24"/>
              </w:rPr>
              <w:t>声源</w:t>
            </w:r>
            <w:r>
              <w:rPr>
                <w:rFonts w:hint="eastAsia" w:cs="Times New Roman"/>
                <w:i/>
                <w:iCs/>
                <w:sz w:val="24"/>
                <w:szCs w:val="24"/>
              </w:rPr>
              <w:t>i</w:t>
            </w:r>
            <w:r>
              <w:rPr>
                <w:rFonts w:hint="eastAsia" w:cs="Times New Roman"/>
                <w:sz w:val="24"/>
                <w:szCs w:val="24"/>
              </w:rPr>
              <w:t>倍频带的声压级，dB；</w:t>
            </w:r>
          </w:p>
          <w:p>
            <w:pPr>
              <w:spacing w:line="360" w:lineRule="auto"/>
              <w:ind w:firstLine="1200" w:firstLineChars="500"/>
              <w:rPr>
                <w:rFonts w:cs="Times New Roman"/>
                <w:sz w:val="24"/>
                <w:szCs w:val="24"/>
              </w:rPr>
            </w:pPr>
            <w:r>
              <w:rPr>
                <w:rFonts w:hint="eastAsia"/>
                <w:i/>
                <w:iCs/>
                <w:sz w:val="24"/>
                <w:szCs w:val="24"/>
              </w:rPr>
              <w:t>N</w:t>
            </w:r>
            <w:r>
              <w:rPr>
                <w:rFonts w:cs="Times New Roman"/>
                <w:sz w:val="24"/>
                <w:szCs w:val="24"/>
              </w:rPr>
              <w:t>——</w:t>
            </w:r>
            <w:r>
              <w:rPr>
                <w:rFonts w:hint="eastAsia" w:cs="Times New Roman"/>
                <w:sz w:val="24"/>
                <w:szCs w:val="24"/>
              </w:rPr>
              <w:t>室内声源总数。</w:t>
            </w:r>
          </w:p>
          <w:p>
            <w:pPr>
              <w:spacing w:line="360" w:lineRule="auto"/>
              <w:ind w:firstLine="482" w:firstLineChars="200"/>
              <w:rPr>
                <w:b/>
                <w:bCs/>
                <w:sz w:val="24"/>
                <w:szCs w:val="24"/>
              </w:rPr>
            </w:pPr>
            <w:r>
              <w:rPr>
                <w:rFonts w:hint="eastAsia"/>
                <w:b/>
                <w:bCs/>
                <w:sz w:val="24"/>
                <w:szCs w:val="24"/>
              </w:rPr>
              <w:t>④靠近声源处的预测点噪声预测模型</w:t>
            </w:r>
          </w:p>
          <w:p>
            <w:pPr>
              <w:spacing w:line="360" w:lineRule="auto"/>
              <w:ind w:firstLine="480" w:firstLineChars="200"/>
              <w:rPr>
                <w:sz w:val="24"/>
                <w:szCs w:val="24"/>
              </w:rPr>
            </w:pPr>
            <w:r>
              <w:rPr>
                <w:rFonts w:hint="eastAsia"/>
                <w:sz w:val="24"/>
                <w:szCs w:val="24"/>
              </w:rPr>
              <w:t>如预测点在靠近声源处，但不能满足点声源条件时，需按线声源或面声源模型计算。</w:t>
            </w:r>
          </w:p>
          <w:p>
            <w:pPr>
              <w:spacing w:line="360" w:lineRule="auto"/>
              <w:ind w:firstLine="482" w:firstLineChars="200"/>
              <w:rPr>
                <w:b/>
                <w:bCs/>
                <w:sz w:val="24"/>
                <w:szCs w:val="24"/>
              </w:rPr>
            </w:pPr>
            <w:r>
              <w:rPr>
                <w:rFonts w:hint="eastAsia"/>
                <w:b/>
                <w:bCs/>
                <w:sz w:val="24"/>
                <w:szCs w:val="24"/>
              </w:rPr>
              <w:t>⑤工业企业噪声计算</w:t>
            </w:r>
          </w:p>
          <w:p>
            <w:pPr>
              <w:spacing w:line="360" w:lineRule="auto"/>
              <w:ind w:firstLine="480" w:firstLineChars="200"/>
              <w:rPr>
                <w:sz w:val="24"/>
                <w:szCs w:val="24"/>
              </w:rPr>
            </w:pPr>
            <w:r>
              <w:rPr>
                <w:rFonts w:hint="eastAsia"/>
                <w:sz w:val="24"/>
                <w:szCs w:val="24"/>
              </w:rPr>
              <w:t>设</w:t>
            </w:r>
            <w:r>
              <w:rPr>
                <w:sz w:val="24"/>
                <w:szCs w:val="24"/>
              </w:rPr>
              <w:t>第</w:t>
            </w:r>
            <w:r>
              <w:rPr>
                <w:i/>
                <w:sz w:val="24"/>
                <w:szCs w:val="24"/>
              </w:rPr>
              <w:t>i</w:t>
            </w:r>
            <w:r>
              <w:rPr>
                <w:sz w:val="24"/>
                <w:szCs w:val="24"/>
              </w:rPr>
              <w:t>个室外</w:t>
            </w:r>
            <w:r>
              <w:rPr>
                <w:rFonts w:hint="eastAsia"/>
                <w:sz w:val="24"/>
                <w:szCs w:val="24"/>
              </w:rPr>
              <w:t>声源</w:t>
            </w:r>
            <w:r>
              <w:rPr>
                <w:sz w:val="24"/>
                <w:szCs w:val="24"/>
              </w:rPr>
              <w:t>在预测点产生的A声级为</w:t>
            </w:r>
            <w:r>
              <w:rPr>
                <w:i/>
                <w:sz w:val="24"/>
                <w:szCs w:val="24"/>
              </w:rPr>
              <w:t>L</w:t>
            </w:r>
            <w:r>
              <w:rPr>
                <w:sz w:val="24"/>
                <w:szCs w:val="24"/>
                <w:vertAlign w:val="subscript"/>
              </w:rPr>
              <w:t>A</w:t>
            </w:r>
            <w:r>
              <w:rPr>
                <w:i/>
                <w:sz w:val="24"/>
                <w:szCs w:val="24"/>
                <w:vertAlign w:val="subscript"/>
              </w:rPr>
              <w:t>i</w:t>
            </w:r>
            <w:r>
              <w:rPr>
                <w:sz w:val="24"/>
                <w:szCs w:val="24"/>
              </w:rPr>
              <w:t>，在</w:t>
            </w:r>
            <w:r>
              <w:rPr>
                <w:i/>
                <w:sz w:val="24"/>
                <w:szCs w:val="24"/>
              </w:rPr>
              <w:t>T</w:t>
            </w:r>
            <w:r>
              <w:rPr>
                <w:sz w:val="24"/>
                <w:szCs w:val="24"/>
              </w:rPr>
              <w:t>时间内该声源工作时间为</w:t>
            </w:r>
            <w:r>
              <w:rPr>
                <w:rFonts w:hint="eastAsia"/>
                <w:i/>
                <w:sz w:val="24"/>
                <w:szCs w:val="24"/>
              </w:rPr>
              <w:t>t</w:t>
            </w:r>
            <w:r>
              <w:rPr>
                <w:rFonts w:hint="eastAsia"/>
                <w:i/>
                <w:sz w:val="24"/>
                <w:szCs w:val="24"/>
                <w:vertAlign w:val="subscript"/>
              </w:rPr>
              <w:t>i</w:t>
            </w:r>
            <w:r>
              <w:rPr>
                <w:rFonts w:hint="eastAsia"/>
                <w:sz w:val="24"/>
                <w:szCs w:val="24"/>
              </w:rPr>
              <w:t>，第</w:t>
            </w:r>
            <w:r>
              <w:rPr>
                <w:rFonts w:hint="eastAsia"/>
                <w:i/>
                <w:iCs/>
                <w:sz w:val="24"/>
                <w:szCs w:val="24"/>
              </w:rPr>
              <w:t>j</w:t>
            </w:r>
            <w:r>
              <w:rPr>
                <w:rFonts w:hint="eastAsia"/>
                <w:sz w:val="24"/>
                <w:szCs w:val="24"/>
              </w:rPr>
              <w:t>个等效室外声源在预测点产生的A声级为</w:t>
            </w:r>
            <w:r>
              <w:rPr>
                <w:rFonts w:hint="eastAsia"/>
                <w:i/>
                <w:iCs/>
                <w:sz w:val="24"/>
                <w:szCs w:val="24"/>
              </w:rPr>
              <w:t>L</w:t>
            </w:r>
            <w:r>
              <w:rPr>
                <w:rFonts w:hint="eastAsia"/>
                <w:sz w:val="24"/>
                <w:szCs w:val="24"/>
                <w:vertAlign w:val="subscript"/>
              </w:rPr>
              <w:t>A</w:t>
            </w:r>
            <w:r>
              <w:rPr>
                <w:rFonts w:hint="eastAsia"/>
                <w:i/>
                <w:iCs/>
                <w:sz w:val="24"/>
                <w:szCs w:val="24"/>
                <w:vertAlign w:val="subscript"/>
              </w:rPr>
              <w:t>j</w:t>
            </w:r>
            <w:r>
              <w:rPr>
                <w:rFonts w:hint="eastAsia"/>
                <w:sz w:val="24"/>
                <w:szCs w:val="24"/>
              </w:rPr>
              <w:t xml:space="preserve"> ，在</w:t>
            </w:r>
            <w:r>
              <w:rPr>
                <w:rFonts w:hint="eastAsia"/>
                <w:i/>
                <w:iCs/>
                <w:sz w:val="24"/>
                <w:szCs w:val="24"/>
              </w:rPr>
              <w:t>T</w:t>
            </w:r>
            <w:r>
              <w:rPr>
                <w:rFonts w:hint="eastAsia"/>
                <w:sz w:val="24"/>
                <w:szCs w:val="24"/>
              </w:rPr>
              <w:t>时间内该声源工作时间为</w:t>
            </w:r>
            <w:r>
              <w:rPr>
                <w:rFonts w:hint="eastAsia"/>
                <w:i/>
                <w:sz w:val="24"/>
                <w:szCs w:val="24"/>
              </w:rPr>
              <w:t>t</w:t>
            </w:r>
            <w:r>
              <w:rPr>
                <w:rFonts w:hint="eastAsia"/>
                <w:i/>
                <w:sz w:val="24"/>
                <w:szCs w:val="24"/>
                <w:vertAlign w:val="subscript"/>
              </w:rPr>
              <w:t>j</w:t>
            </w:r>
            <w:r>
              <w:rPr>
                <w:rFonts w:hint="eastAsia"/>
                <w:sz w:val="24"/>
                <w:szCs w:val="24"/>
              </w:rPr>
              <w:t>，则拟建工程声源对预测点产生的贡献值（</w:t>
            </w:r>
            <w:r>
              <w:rPr>
                <w:rFonts w:hint="eastAsia"/>
                <w:i/>
                <w:iCs/>
                <w:sz w:val="24"/>
                <w:szCs w:val="24"/>
              </w:rPr>
              <w:t>L</w:t>
            </w:r>
            <w:r>
              <w:rPr>
                <w:rFonts w:hint="eastAsia"/>
                <w:sz w:val="24"/>
                <w:szCs w:val="24"/>
                <w:vertAlign w:val="subscript"/>
              </w:rPr>
              <w:t>eqg</w:t>
            </w:r>
            <w:r>
              <w:rPr>
                <w:rFonts w:hint="eastAsia"/>
                <w:sz w:val="24"/>
                <w:szCs w:val="24"/>
              </w:rPr>
              <w:t>）为</w:t>
            </w:r>
            <w:r>
              <w:rPr>
                <w:sz w:val="24"/>
                <w:szCs w:val="24"/>
              </w:rPr>
              <w:t>：</w:t>
            </w:r>
          </w:p>
          <w:p>
            <w:pPr>
              <w:spacing w:line="360" w:lineRule="auto"/>
              <w:jc w:val="center"/>
              <w:rPr>
                <w:sz w:val="24"/>
                <w:szCs w:val="24"/>
              </w:rPr>
            </w:pPr>
            <w:r>
              <w:rPr>
                <w:position w:val="-34"/>
                <w:sz w:val="24"/>
                <w:szCs w:val="24"/>
              </w:rPr>
              <w:object>
                <v:shape id="_x0000_i1034" o:spt="75" type="#_x0000_t75" style="height:28.5pt;width:180pt;" o:ole="t" filled="f" o:preferrelative="t" stroked="f" coordsize="21600,21600">
                  <v:path/>
                  <v:fill on="f" focussize="0,0"/>
                  <v:stroke on="f" joinstyle="miter"/>
                  <v:imagedata r:id="rId47" o:title=""/>
                  <o:lock v:ext="edit" aspectratio="t"/>
                  <w10:wrap type="none"/>
                  <w10:anchorlock/>
                </v:shape>
                <o:OLEObject Type="Embed" ProgID="Equation.DSMT4" ShapeID="_x0000_i1034" DrawAspect="Content" ObjectID="_1468075734" r:id="rId46">
                  <o:LockedField>false</o:LockedField>
                </o:OLEObject>
              </w:object>
            </w:r>
          </w:p>
          <w:p>
            <w:pPr>
              <w:spacing w:line="360" w:lineRule="auto"/>
              <w:ind w:firstLine="480" w:firstLineChars="200"/>
              <w:rPr>
                <w:sz w:val="24"/>
                <w:szCs w:val="24"/>
              </w:rPr>
            </w:pPr>
            <w:r>
              <w:rPr>
                <w:rFonts w:hint="eastAsia"/>
                <w:sz w:val="24"/>
                <w:szCs w:val="24"/>
              </w:rPr>
              <w:t>式中</w:t>
            </w:r>
            <w:r>
              <w:rPr>
                <w:sz w:val="24"/>
                <w:szCs w:val="24"/>
              </w:rPr>
              <w:t>，</w:t>
            </w:r>
            <w:r>
              <w:rPr>
                <w:rFonts w:hint="eastAsia"/>
                <w:i/>
                <w:iCs/>
                <w:sz w:val="24"/>
                <w:szCs w:val="24"/>
              </w:rPr>
              <w:t>L</w:t>
            </w:r>
            <w:r>
              <w:rPr>
                <w:rFonts w:hint="eastAsia"/>
                <w:sz w:val="24"/>
                <w:szCs w:val="24"/>
                <w:vertAlign w:val="subscript"/>
              </w:rPr>
              <w:t>eqg</w:t>
            </w:r>
            <w:r>
              <w:rPr>
                <w:sz w:val="24"/>
                <w:szCs w:val="24"/>
              </w:rPr>
              <w:t>——</w:t>
            </w:r>
            <w:r>
              <w:rPr>
                <w:rFonts w:hint="eastAsia"/>
                <w:sz w:val="24"/>
                <w:szCs w:val="24"/>
              </w:rPr>
              <w:t>建设项目声源在预测点产生的噪声贡献值，dB；</w:t>
            </w:r>
          </w:p>
          <w:p>
            <w:pPr>
              <w:spacing w:line="360" w:lineRule="auto"/>
              <w:ind w:firstLine="1200" w:firstLineChars="500"/>
              <w:rPr>
                <w:sz w:val="24"/>
                <w:szCs w:val="24"/>
              </w:rPr>
            </w:pPr>
            <w:r>
              <w:rPr>
                <w:i/>
                <w:sz w:val="24"/>
                <w:szCs w:val="24"/>
              </w:rPr>
              <w:t>T</w:t>
            </w:r>
            <w:r>
              <w:rPr>
                <w:sz w:val="24"/>
                <w:szCs w:val="24"/>
              </w:rPr>
              <w:t>——</w:t>
            </w:r>
            <w:r>
              <w:rPr>
                <w:rFonts w:hint="eastAsia"/>
                <w:sz w:val="24"/>
                <w:szCs w:val="24"/>
              </w:rPr>
              <w:t>用于</w:t>
            </w:r>
            <w:r>
              <w:rPr>
                <w:sz w:val="24"/>
                <w:szCs w:val="24"/>
              </w:rPr>
              <w:t>计算等效声级的时间</w:t>
            </w:r>
            <w:r>
              <w:rPr>
                <w:rFonts w:hint="eastAsia"/>
                <w:sz w:val="24"/>
                <w:szCs w:val="24"/>
              </w:rPr>
              <w:t>，</w:t>
            </w:r>
            <w:r>
              <w:rPr>
                <w:sz w:val="24"/>
                <w:szCs w:val="24"/>
              </w:rPr>
              <w:t>s</w:t>
            </w:r>
            <w:r>
              <w:rPr>
                <w:rFonts w:hint="eastAsia"/>
                <w:sz w:val="24"/>
                <w:szCs w:val="24"/>
              </w:rPr>
              <w:t>；</w:t>
            </w:r>
          </w:p>
          <w:p>
            <w:pPr>
              <w:spacing w:line="360" w:lineRule="auto"/>
              <w:ind w:firstLine="1200" w:firstLineChars="500"/>
              <w:rPr>
                <w:sz w:val="24"/>
                <w:szCs w:val="24"/>
              </w:rPr>
            </w:pPr>
            <w:r>
              <w:rPr>
                <w:i/>
                <w:sz w:val="24"/>
                <w:szCs w:val="24"/>
              </w:rPr>
              <w:t>N</w:t>
            </w:r>
            <w:r>
              <w:rPr>
                <w:sz w:val="24"/>
                <w:szCs w:val="24"/>
              </w:rPr>
              <w:t>——</w:t>
            </w:r>
            <w:r>
              <w:rPr>
                <w:rFonts w:hint="eastAsia"/>
                <w:sz w:val="24"/>
                <w:szCs w:val="24"/>
              </w:rPr>
              <w:t>室外</w:t>
            </w:r>
            <w:r>
              <w:rPr>
                <w:sz w:val="24"/>
                <w:szCs w:val="24"/>
              </w:rPr>
              <w:t>声源个数</w:t>
            </w:r>
            <w:r>
              <w:rPr>
                <w:rFonts w:hint="eastAsia"/>
                <w:sz w:val="24"/>
                <w:szCs w:val="24"/>
              </w:rPr>
              <w:t>；</w:t>
            </w:r>
          </w:p>
          <w:p>
            <w:pPr>
              <w:spacing w:line="360" w:lineRule="auto"/>
              <w:ind w:firstLine="1200" w:firstLineChars="500"/>
              <w:rPr>
                <w:rFonts w:cs="Times New Roman"/>
                <w:sz w:val="24"/>
                <w:szCs w:val="24"/>
              </w:rPr>
            </w:pPr>
            <w:r>
              <w:rPr>
                <w:rFonts w:cs="Times New Roman"/>
                <w:i/>
                <w:iCs/>
                <w:sz w:val="24"/>
                <w:szCs w:val="24"/>
              </w:rPr>
              <w:t>t</w:t>
            </w:r>
            <w:r>
              <w:rPr>
                <w:rFonts w:hint="eastAsia" w:cs="Times New Roman"/>
                <w:i/>
                <w:iCs/>
                <w:sz w:val="24"/>
                <w:szCs w:val="24"/>
                <w:vertAlign w:val="subscript"/>
              </w:rPr>
              <w:t>i</w:t>
            </w:r>
            <w:r>
              <w:rPr>
                <w:rFonts w:cs="Times New Roman"/>
                <w:sz w:val="24"/>
                <w:szCs w:val="24"/>
              </w:rPr>
              <w:t>——在</w:t>
            </w:r>
            <w:r>
              <w:rPr>
                <w:rFonts w:cs="Times New Roman"/>
                <w:i/>
                <w:iCs/>
                <w:sz w:val="24"/>
                <w:szCs w:val="24"/>
              </w:rPr>
              <w:t>T</w:t>
            </w:r>
            <w:r>
              <w:rPr>
                <w:rFonts w:cs="Times New Roman"/>
                <w:sz w:val="24"/>
                <w:szCs w:val="24"/>
              </w:rPr>
              <w:t>时间内</w:t>
            </w:r>
            <w:r>
              <w:rPr>
                <w:rFonts w:cs="Times New Roman"/>
                <w:i/>
                <w:iCs/>
                <w:sz w:val="24"/>
                <w:szCs w:val="24"/>
              </w:rPr>
              <w:t>i</w:t>
            </w:r>
            <w:r>
              <w:rPr>
                <w:rFonts w:cs="Times New Roman"/>
                <w:sz w:val="24"/>
                <w:szCs w:val="24"/>
              </w:rPr>
              <w:t>声源工作时间，s；</w:t>
            </w:r>
          </w:p>
          <w:p>
            <w:pPr>
              <w:spacing w:line="360" w:lineRule="auto"/>
              <w:ind w:firstLine="1200" w:firstLineChars="500"/>
              <w:rPr>
                <w:rFonts w:cs="Times New Roman"/>
                <w:sz w:val="24"/>
                <w:szCs w:val="24"/>
              </w:rPr>
            </w:pPr>
            <w:r>
              <w:rPr>
                <w:rFonts w:cs="Times New Roman"/>
                <w:i/>
                <w:iCs/>
                <w:sz w:val="24"/>
                <w:szCs w:val="24"/>
              </w:rPr>
              <w:t>M</w:t>
            </w:r>
            <w:r>
              <w:rPr>
                <w:rFonts w:cs="Times New Roman"/>
                <w:sz w:val="24"/>
                <w:szCs w:val="24"/>
              </w:rPr>
              <w:t>——等效室外声源个数；</w:t>
            </w:r>
          </w:p>
          <w:p>
            <w:pPr>
              <w:spacing w:line="360" w:lineRule="auto"/>
              <w:ind w:firstLine="1200" w:firstLineChars="500"/>
              <w:rPr>
                <w:rFonts w:cs="Times New Roman"/>
                <w:sz w:val="24"/>
                <w:szCs w:val="24"/>
              </w:rPr>
            </w:pPr>
            <w:r>
              <w:rPr>
                <w:rFonts w:hint="eastAsia" w:cs="Times New Roman"/>
                <w:i/>
                <w:iCs/>
                <w:sz w:val="24"/>
                <w:szCs w:val="24"/>
              </w:rPr>
              <w:t>t</w:t>
            </w:r>
            <w:r>
              <w:rPr>
                <w:rFonts w:hint="eastAsia" w:cs="Times New Roman"/>
                <w:i/>
                <w:iCs/>
                <w:sz w:val="24"/>
                <w:szCs w:val="24"/>
                <w:vertAlign w:val="subscript"/>
              </w:rPr>
              <w:t>j</w:t>
            </w:r>
            <w:r>
              <w:rPr>
                <w:rFonts w:cs="Times New Roman"/>
                <w:sz w:val="24"/>
                <w:szCs w:val="24"/>
              </w:rPr>
              <w:t>——在</w:t>
            </w:r>
            <w:r>
              <w:rPr>
                <w:rFonts w:cs="Times New Roman"/>
                <w:i/>
                <w:iCs/>
                <w:sz w:val="24"/>
                <w:szCs w:val="24"/>
              </w:rPr>
              <w:t>T</w:t>
            </w:r>
            <w:r>
              <w:rPr>
                <w:rFonts w:cs="Times New Roman"/>
                <w:sz w:val="24"/>
                <w:szCs w:val="24"/>
              </w:rPr>
              <w:t>时间内</w:t>
            </w:r>
            <w:r>
              <w:rPr>
                <w:rFonts w:cs="Times New Roman"/>
                <w:i/>
                <w:iCs/>
                <w:sz w:val="24"/>
                <w:szCs w:val="24"/>
              </w:rPr>
              <w:t>j</w:t>
            </w:r>
            <w:r>
              <w:rPr>
                <w:rFonts w:cs="Times New Roman"/>
                <w:sz w:val="24"/>
                <w:szCs w:val="24"/>
              </w:rPr>
              <w:t>声源工作时间，s。</w:t>
            </w:r>
          </w:p>
          <w:p>
            <w:pPr>
              <w:spacing w:line="360" w:lineRule="auto"/>
              <w:ind w:firstLine="482" w:firstLineChars="200"/>
              <w:rPr>
                <w:b/>
                <w:bCs/>
                <w:sz w:val="24"/>
                <w:szCs w:val="24"/>
              </w:rPr>
            </w:pPr>
            <w:r>
              <w:rPr>
                <w:rFonts w:hint="eastAsia"/>
                <w:b/>
                <w:bCs/>
                <w:sz w:val="24"/>
                <w:szCs w:val="24"/>
              </w:rPr>
              <w:t>⑥预测值计算</w:t>
            </w:r>
          </w:p>
          <w:p>
            <w:pPr>
              <w:spacing w:line="360" w:lineRule="auto"/>
              <w:jc w:val="center"/>
              <w:rPr>
                <w:sz w:val="24"/>
                <w:szCs w:val="24"/>
              </w:rPr>
            </w:pPr>
            <w:r>
              <w:rPr>
                <w:position w:val="-14"/>
              </w:rPr>
              <w:object>
                <v:shape id="_x0000_i1035" o:spt="75" type="#_x0000_t75" style="height:21.75pt;width:122.25pt;" o:ole="t" filled="f" o:preferrelative="t" stroked="f" coordsize="21600,21600">
                  <v:path/>
                  <v:fill on="f" focussize="0,0"/>
                  <v:stroke on="f" joinstyle="miter"/>
                  <v:imagedata r:id="rId49" o:title=""/>
                  <o:lock v:ext="edit" aspectratio="t"/>
                  <w10:wrap type="none"/>
                  <w10:anchorlock/>
                </v:shape>
                <o:OLEObject Type="Embed" ProgID="Equation.DSMT4" ShapeID="_x0000_i1035" DrawAspect="Content" ObjectID="_1468075735" r:id="rId48">
                  <o:LockedField>false</o:LockedField>
                </o:OLEObject>
              </w:object>
            </w:r>
          </w:p>
          <w:p>
            <w:pPr>
              <w:spacing w:line="360" w:lineRule="auto"/>
              <w:ind w:firstLine="480" w:firstLineChars="200"/>
              <w:rPr>
                <w:sz w:val="24"/>
                <w:szCs w:val="24"/>
              </w:rPr>
            </w:pPr>
            <w:r>
              <w:rPr>
                <w:rFonts w:hint="eastAsia"/>
                <w:sz w:val="24"/>
                <w:szCs w:val="24"/>
              </w:rPr>
              <w:t>式中</w:t>
            </w:r>
            <w:r>
              <w:rPr>
                <w:sz w:val="24"/>
                <w:szCs w:val="24"/>
              </w:rPr>
              <w:t>，</w:t>
            </w:r>
            <w:r>
              <w:rPr>
                <w:i/>
                <w:sz w:val="24"/>
                <w:szCs w:val="24"/>
              </w:rPr>
              <w:t>L</w:t>
            </w:r>
            <w:r>
              <w:rPr>
                <w:sz w:val="24"/>
                <w:szCs w:val="24"/>
                <w:vertAlign w:val="subscript"/>
              </w:rPr>
              <w:t>eq</w:t>
            </w:r>
            <w:r>
              <w:rPr>
                <w:sz w:val="24"/>
                <w:szCs w:val="24"/>
              </w:rPr>
              <w:t>——</w:t>
            </w:r>
            <w:r>
              <w:rPr>
                <w:rFonts w:hint="eastAsia"/>
                <w:sz w:val="24"/>
                <w:szCs w:val="24"/>
              </w:rPr>
              <w:t>预测点的噪声预测值，dB；；</w:t>
            </w:r>
          </w:p>
          <w:p>
            <w:pPr>
              <w:spacing w:line="360" w:lineRule="auto"/>
              <w:ind w:firstLine="1200" w:firstLineChars="500"/>
              <w:rPr>
                <w:sz w:val="24"/>
                <w:szCs w:val="24"/>
              </w:rPr>
            </w:pPr>
            <w:r>
              <w:rPr>
                <w:i/>
                <w:sz w:val="24"/>
                <w:szCs w:val="24"/>
              </w:rPr>
              <w:t>L</w:t>
            </w:r>
            <w:r>
              <w:rPr>
                <w:sz w:val="24"/>
                <w:szCs w:val="24"/>
                <w:vertAlign w:val="subscript"/>
              </w:rPr>
              <w:t>eqb</w:t>
            </w:r>
            <w:r>
              <w:rPr>
                <w:sz w:val="24"/>
                <w:szCs w:val="24"/>
              </w:rPr>
              <w:t>——</w:t>
            </w:r>
            <w:r>
              <w:rPr>
                <w:rFonts w:hint="eastAsia"/>
                <w:sz w:val="24"/>
                <w:szCs w:val="24"/>
              </w:rPr>
              <w:t>预测点</w:t>
            </w:r>
            <w:r>
              <w:rPr>
                <w:sz w:val="24"/>
                <w:szCs w:val="24"/>
              </w:rPr>
              <w:t>的背景值</w:t>
            </w:r>
            <w:r>
              <w:rPr>
                <w:rFonts w:hint="eastAsia"/>
                <w:sz w:val="24"/>
                <w:szCs w:val="24"/>
              </w:rPr>
              <w:t>，</w:t>
            </w:r>
            <w:r>
              <w:rPr>
                <w:sz w:val="24"/>
                <w:szCs w:val="24"/>
              </w:rPr>
              <w:t>dB</w:t>
            </w:r>
            <w:r>
              <w:rPr>
                <w:rFonts w:hint="eastAsia"/>
                <w:sz w:val="24"/>
                <w:szCs w:val="24"/>
              </w:rPr>
              <w:t>。</w:t>
            </w:r>
          </w:p>
          <w:p>
            <w:pPr>
              <w:spacing w:line="360" w:lineRule="auto"/>
              <w:ind w:firstLine="482" w:firstLineChars="200"/>
              <w:rPr>
                <w:b/>
                <w:bCs/>
                <w:sz w:val="24"/>
                <w:szCs w:val="24"/>
              </w:rPr>
            </w:pPr>
            <w:r>
              <w:rPr>
                <w:b/>
                <w:bCs/>
                <w:sz w:val="24"/>
                <w:szCs w:val="24"/>
              </w:rPr>
              <w:t>3</w:t>
            </w:r>
            <w:r>
              <w:rPr>
                <w:rFonts w:hint="eastAsia"/>
                <w:b/>
                <w:bCs/>
                <w:sz w:val="24"/>
                <w:szCs w:val="24"/>
              </w:rPr>
              <w:t>）预测结果</w:t>
            </w:r>
          </w:p>
          <w:p>
            <w:pPr>
              <w:spacing w:line="360" w:lineRule="auto"/>
              <w:ind w:firstLine="480" w:firstLineChars="200"/>
              <w:rPr>
                <w:sz w:val="24"/>
                <w:szCs w:val="24"/>
              </w:rPr>
            </w:pPr>
            <w:r>
              <w:rPr>
                <w:rFonts w:hint="eastAsia"/>
                <w:sz w:val="24"/>
                <w:szCs w:val="24"/>
              </w:rPr>
              <w:t>通过预测模型计算，项目噪声预测结果见下表。</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-20</w:t>
            </w:r>
            <w:r>
              <w:rPr>
                <w:rFonts w:eastAsia="黑体" w:cs="Times New Roman"/>
                <w:szCs w:val="21"/>
              </w:rPr>
              <w:t xml:space="preserve">  </w:t>
            </w:r>
            <w:r>
              <w:rPr>
                <w:rFonts w:hint="eastAsia" w:eastAsia="黑体" w:cs="Times New Roman"/>
                <w:szCs w:val="21"/>
              </w:rPr>
              <w:t>厂界昼间</w:t>
            </w:r>
            <w:r>
              <w:rPr>
                <w:rFonts w:eastAsia="黑体" w:cs="Times New Roman"/>
                <w:szCs w:val="21"/>
              </w:rPr>
              <w:t>噪声预测结果</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1279"/>
              <w:gridCol w:w="854"/>
              <w:gridCol w:w="854"/>
              <w:gridCol w:w="829"/>
              <w:gridCol w:w="829"/>
              <w:gridCol w:w="829"/>
              <w:gridCol w:w="829"/>
              <w:gridCol w:w="829"/>
              <w:gridCol w:w="834"/>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shd w:val="clear" w:color="auto" w:fill="auto"/>
                  <w:vAlign w:val="center"/>
                </w:tcPr>
                <w:p>
                  <w:pPr>
                    <w:pStyle w:val="30"/>
                    <w:rPr>
                      <w:rFonts w:eastAsiaTheme="minorEastAsia"/>
                      <w:sz w:val="18"/>
                      <w:szCs w:val="18"/>
                    </w:rPr>
                  </w:pPr>
                  <w:r>
                    <w:rPr>
                      <w:rFonts w:eastAsiaTheme="minorEastAsia"/>
                      <w:sz w:val="18"/>
                      <w:szCs w:val="18"/>
                    </w:rPr>
                    <w:t>序号</w:t>
                  </w:r>
                </w:p>
              </w:tc>
              <w:tc>
                <w:tcPr>
                  <w:tcW w:w="699" w:type="pct"/>
                  <w:shd w:val="clear" w:color="auto" w:fill="auto"/>
                  <w:vAlign w:val="center"/>
                </w:tcPr>
                <w:p>
                  <w:pPr>
                    <w:pStyle w:val="30"/>
                    <w:rPr>
                      <w:rFonts w:eastAsiaTheme="minorEastAsia"/>
                      <w:sz w:val="18"/>
                      <w:szCs w:val="18"/>
                    </w:rPr>
                  </w:pPr>
                  <w:r>
                    <w:rPr>
                      <w:rFonts w:eastAsiaTheme="minorEastAsia"/>
                      <w:sz w:val="18"/>
                      <w:szCs w:val="18"/>
                    </w:rPr>
                    <w:t>名称</w:t>
                  </w:r>
                </w:p>
              </w:tc>
              <w:tc>
                <w:tcPr>
                  <w:tcW w:w="934" w:type="pct"/>
                  <w:gridSpan w:val="2"/>
                  <w:shd w:val="clear" w:color="auto" w:fill="auto"/>
                  <w:vAlign w:val="center"/>
                </w:tcPr>
                <w:p>
                  <w:pPr>
                    <w:pStyle w:val="30"/>
                    <w:rPr>
                      <w:rFonts w:eastAsiaTheme="minorEastAsia"/>
                      <w:sz w:val="18"/>
                      <w:szCs w:val="18"/>
                    </w:rPr>
                  </w:pPr>
                  <w:r>
                    <w:rPr>
                      <w:rFonts w:eastAsiaTheme="minorEastAsia"/>
                      <w:sz w:val="18"/>
                      <w:szCs w:val="18"/>
                    </w:rPr>
                    <w:t>相对位置</w:t>
                  </w:r>
                </w:p>
              </w:tc>
              <w:tc>
                <w:tcPr>
                  <w:tcW w:w="453" w:type="pct"/>
                  <w:shd w:val="clear" w:color="auto" w:fill="auto"/>
                  <w:vAlign w:val="center"/>
                </w:tcPr>
                <w:p>
                  <w:pPr>
                    <w:pStyle w:val="30"/>
                    <w:rPr>
                      <w:rFonts w:eastAsiaTheme="minorEastAsia"/>
                      <w:sz w:val="18"/>
                      <w:szCs w:val="18"/>
                    </w:rPr>
                  </w:pPr>
                  <w:r>
                    <w:rPr>
                      <w:rFonts w:eastAsiaTheme="minorEastAsia"/>
                      <w:sz w:val="18"/>
                      <w:szCs w:val="18"/>
                    </w:rPr>
                    <w:t>离地高度</w:t>
                  </w:r>
                  <w:r>
                    <w:rPr>
                      <w:rFonts w:hint="eastAsia" w:eastAsiaTheme="minorEastAsia"/>
                      <w:sz w:val="18"/>
                      <w:szCs w:val="18"/>
                    </w:rPr>
                    <w:t>(</w:t>
                  </w:r>
                  <w:r>
                    <w:rPr>
                      <w:rFonts w:eastAsiaTheme="minorEastAsia"/>
                      <w:sz w:val="18"/>
                      <w:szCs w:val="18"/>
                    </w:rPr>
                    <w:t>m</w:t>
                  </w:r>
                  <w:r>
                    <w:rPr>
                      <w:rFonts w:hint="eastAsia" w:eastAsiaTheme="minorEastAsia"/>
                      <w:sz w:val="18"/>
                      <w:szCs w:val="18"/>
                    </w:rPr>
                    <w:t>)</w:t>
                  </w:r>
                </w:p>
              </w:tc>
              <w:tc>
                <w:tcPr>
                  <w:tcW w:w="453" w:type="pct"/>
                  <w:shd w:val="clear" w:color="auto" w:fill="auto"/>
                  <w:vAlign w:val="center"/>
                </w:tcPr>
                <w:p>
                  <w:pPr>
                    <w:pStyle w:val="30"/>
                    <w:rPr>
                      <w:rFonts w:eastAsiaTheme="minorEastAsia"/>
                      <w:sz w:val="18"/>
                      <w:szCs w:val="18"/>
                    </w:rPr>
                  </w:pPr>
                  <w:r>
                    <w:rPr>
                      <w:rFonts w:eastAsiaTheme="minorEastAsia"/>
                      <w:sz w:val="18"/>
                      <w:szCs w:val="18"/>
                    </w:rPr>
                    <w:t>贡献值</w:t>
                  </w:r>
                  <w:r>
                    <w:rPr>
                      <w:rFonts w:hint="eastAsia" w:eastAsiaTheme="minorEastAsia"/>
                      <w:sz w:val="18"/>
                      <w:szCs w:val="18"/>
                    </w:rPr>
                    <w:t>(dB)</w:t>
                  </w:r>
                </w:p>
              </w:tc>
              <w:tc>
                <w:tcPr>
                  <w:tcW w:w="453" w:type="pct"/>
                  <w:vAlign w:val="center"/>
                </w:tcPr>
                <w:p>
                  <w:pPr>
                    <w:pStyle w:val="30"/>
                    <w:rPr>
                      <w:rFonts w:eastAsiaTheme="minorEastAsia"/>
                      <w:sz w:val="18"/>
                      <w:szCs w:val="18"/>
                    </w:rPr>
                  </w:pPr>
                  <w:r>
                    <w:rPr>
                      <w:rFonts w:hint="eastAsia" w:eastAsiaTheme="minorEastAsia"/>
                      <w:sz w:val="18"/>
                      <w:szCs w:val="18"/>
                    </w:rPr>
                    <w:t>背景</w:t>
                  </w:r>
                  <w:r>
                    <w:rPr>
                      <w:rFonts w:eastAsiaTheme="minorEastAsia"/>
                      <w:sz w:val="18"/>
                      <w:szCs w:val="18"/>
                    </w:rPr>
                    <w:t>值</w:t>
                  </w:r>
                  <w:r>
                    <w:rPr>
                      <w:rFonts w:hint="eastAsia" w:eastAsiaTheme="minorEastAsia"/>
                      <w:sz w:val="18"/>
                      <w:szCs w:val="18"/>
                    </w:rPr>
                    <w:t>(dB)</w:t>
                  </w:r>
                </w:p>
              </w:tc>
              <w:tc>
                <w:tcPr>
                  <w:tcW w:w="453" w:type="pct"/>
                  <w:vAlign w:val="center"/>
                </w:tcPr>
                <w:p>
                  <w:pPr>
                    <w:pStyle w:val="30"/>
                    <w:rPr>
                      <w:rFonts w:eastAsiaTheme="minorEastAsia"/>
                      <w:sz w:val="18"/>
                      <w:szCs w:val="18"/>
                    </w:rPr>
                  </w:pPr>
                  <w:r>
                    <w:rPr>
                      <w:rFonts w:hint="eastAsia" w:eastAsiaTheme="minorEastAsia"/>
                      <w:sz w:val="18"/>
                      <w:szCs w:val="18"/>
                    </w:rPr>
                    <w:t>叠加</w:t>
                  </w:r>
                  <w:r>
                    <w:rPr>
                      <w:rFonts w:eastAsiaTheme="minorEastAsia"/>
                      <w:sz w:val="18"/>
                      <w:szCs w:val="18"/>
                    </w:rPr>
                    <w:t>值</w:t>
                  </w:r>
                  <w:r>
                    <w:rPr>
                      <w:rFonts w:hint="eastAsia" w:eastAsiaTheme="minorEastAsia"/>
                      <w:sz w:val="18"/>
                      <w:szCs w:val="18"/>
                    </w:rPr>
                    <w:t>(dB)</w:t>
                  </w:r>
                </w:p>
              </w:tc>
              <w:tc>
                <w:tcPr>
                  <w:tcW w:w="453" w:type="pct"/>
                  <w:shd w:val="clear" w:color="auto" w:fill="auto"/>
                  <w:vAlign w:val="center"/>
                </w:tcPr>
                <w:p>
                  <w:pPr>
                    <w:pStyle w:val="30"/>
                    <w:rPr>
                      <w:rFonts w:eastAsiaTheme="minorEastAsia"/>
                      <w:sz w:val="18"/>
                      <w:szCs w:val="18"/>
                    </w:rPr>
                  </w:pPr>
                  <w:r>
                    <w:rPr>
                      <w:rFonts w:eastAsiaTheme="minorEastAsia"/>
                      <w:sz w:val="18"/>
                      <w:szCs w:val="18"/>
                    </w:rPr>
                    <w:t>功能区类型</w:t>
                  </w:r>
                </w:p>
              </w:tc>
              <w:tc>
                <w:tcPr>
                  <w:tcW w:w="456" w:type="pct"/>
                  <w:shd w:val="clear" w:color="auto" w:fill="auto"/>
                  <w:vAlign w:val="center"/>
                </w:tcPr>
                <w:p>
                  <w:pPr>
                    <w:pStyle w:val="30"/>
                    <w:rPr>
                      <w:rFonts w:eastAsiaTheme="minorEastAsia"/>
                      <w:sz w:val="18"/>
                      <w:szCs w:val="18"/>
                    </w:rPr>
                  </w:pPr>
                  <w:r>
                    <w:rPr>
                      <w:rFonts w:eastAsiaTheme="minorEastAsia"/>
                      <w:sz w:val="18"/>
                      <w:szCs w:val="18"/>
                    </w:rPr>
                    <w:t>标准值</w:t>
                  </w:r>
                  <w:r>
                    <w:rPr>
                      <w:rFonts w:hint="eastAsia" w:eastAsiaTheme="minorEastAsia"/>
                      <w:sz w:val="18"/>
                      <w:szCs w:val="18"/>
                    </w:rPr>
                    <w:t>(dB)</w:t>
                  </w:r>
                </w:p>
              </w:tc>
              <w:tc>
                <w:tcPr>
                  <w:tcW w:w="414" w:type="pct"/>
                  <w:shd w:val="clear" w:color="auto" w:fill="auto"/>
                  <w:vAlign w:val="center"/>
                </w:tcPr>
                <w:p>
                  <w:pPr>
                    <w:pStyle w:val="30"/>
                    <w:rPr>
                      <w:rFonts w:eastAsiaTheme="minorEastAsia"/>
                      <w:sz w:val="18"/>
                      <w:szCs w:val="18"/>
                    </w:rPr>
                  </w:pPr>
                  <w:r>
                    <w:rPr>
                      <w:rFonts w:eastAsiaTheme="minorEastAsia"/>
                      <w:sz w:val="18"/>
                      <w:szCs w:val="18"/>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shd w:val="clear" w:color="auto" w:fill="auto"/>
                  <w:vAlign w:val="center"/>
                </w:tcPr>
                <w:p>
                  <w:pPr>
                    <w:pStyle w:val="30"/>
                    <w:rPr>
                      <w:rFonts w:eastAsiaTheme="minorEastAsia"/>
                      <w:sz w:val="18"/>
                      <w:szCs w:val="18"/>
                    </w:rPr>
                  </w:pPr>
                  <w:r>
                    <w:rPr>
                      <w:rFonts w:eastAsiaTheme="minorEastAsia"/>
                      <w:sz w:val="18"/>
                      <w:szCs w:val="18"/>
                    </w:rPr>
                    <w:t>1</w:t>
                  </w:r>
                </w:p>
              </w:tc>
              <w:tc>
                <w:tcPr>
                  <w:tcW w:w="699" w:type="pct"/>
                  <w:shd w:val="clear" w:color="auto" w:fill="auto"/>
                  <w:vAlign w:val="center"/>
                </w:tcPr>
                <w:p>
                  <w:pPr>
                    <w:pStyle w:val="30"/>
                    <w:rPr>
                      <w:rFonts w:eastAsiaTheme="minorEastAsia"/>
                      <w:sz w:val="18"/>
                      <w:szCs w:val="18"/>
                    </w:rPr>
                  </w:pPr>
                  <w:r>
                    <w:rPr>
                      <w:rFonts w:eastAsia="宋体"/>
                      <w:sz w:val="18"/>
                      <w:szCs w:val="18"/>
                    </w:rPr>
                    <w:t>厂界</w:t>
                  </w:r>
                  <w:r>
                    <w:rPr>
                      <w:rFonts w:hint="eastAsia" w:eastAsia="宋体"/>
                      <w:sz w:val="18"/>
                      <w:szCs w:val="18"/>
                    </w:rPr>
                    <w:t>东侧1</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9</w:t>
                  </w:r>
                  <w:r>
                    <w:rPr>
                      <w:rFonts w:eastAsiaTheme="minorEastAsia"/>
                      <w:sz w:val="18"/>
                      <w:szCs w:val="18"/>
                    </w:rPr>
                    <w:t>94.88</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1</w:t>
                  </w:r>
                  <w:r>
                    <w:rPr>
                      <w:rFonts w:eastAsiaTheme="minorEastAsia"/>
                      <w:sz w:val="18"/>
                      <w:szCs w:val="18"/>
                    </w:rPr>
                    <w:t>08.46</w:t>
                  </w:r>
                </w:p>
              </w:tc>
              <w:tc>
                <w:tcPr>
                  <w:tcW w:w="453" w:type="pct"/>
                  <w:shd w:val="clear" w:color="auto" w:fill="auto"/>
                  <w:vAlign w:val="center"/>
                </w:tcPr>
                <w:p>
                  <w:pPr>
                    <w:pStyle w:val="30"/>
                    <w:rPr>
                      <w:rFonts w:eastAsiaTheme="minorEastAsia"/>
                      <w:sz w:val="18"/>
                      <w:szCs w:val="18"/>
                    </w:rPr>
                  </w:pPr>
                  <w:r>
                    <w:rPr>
                      <w:sz w:val="18"/>
                      <w:szCs w:val="18"/>
                    </w:rPr>
                    <w:t>1.2</w:t>
                  </w:r>
                </w:p>
              </w:tc>
              <w:tc>
                <w:tcPr>
                  <w:tcW w:w="453" w:type="pct"/>
                  <w:shd w:val="clear" w:color="auto" w:fill="auto"/>
                  <w:vAlign w:val="center"/>
                </w:tcPr>
                <w:p>
                  <w:pPr>
                    <w:widowControl/>
                    <w:jc w:val="center"/>
                    <w:rPr>
                      <w:rFonts w:cs="Times New Roman" w:eastAsiaTheme="minorEastAsia"/>
                      <w:sz w:val="18"/>
                      <w:szCs w:val="18"/>
                    </w:rPr>
                  </w:pPr>
                  <w:r>
                    <w:rPr>
                      <w:rFonts w:hint="eastAsia" w:cs="Times New Roman" w:eastAsiaTheme="minorEastAsia"/>
                      <w:sz w:val="18"/>
                      <w:szCs w:val="18"/>
                    </w:rPr>
                    <w:t>5</w:t>
                  </w:r>
                  <w:r>
                    <w:rPr>
                      <w:rFonts w:cs="Times New Roman" w:eastAsiaTheme="minorEastAsia"/>
                      <w:sz w:val="18"/>
                      <w:szCs w:val="18"/>
                    </w:rPr>
                    <w:t>4.27</w:t>
                  </w:r>
                </w:p>
              </w:tc>
              <w:tc>
                <w:tcPr>
                  <w:tcW w:w="453" w:type="pct"/>
                  <w:vAlign w:val="center"/>
                </w:tcPr>
                <w:p>
                  <w:pPr>
                    <w:pStyle w:val="30"/>
                    <w:rPr>
                      <w:rFonts w:eastAsiaTheme="minorEastAsia"/>
                      <w:sz w:val="18"/>
                      <w:szCs w:val="18"/>
                    </w:rPr>
                  </w:pPr>
                  <w:r>
                    <w:rPr>
                      <w:rFonts w:hint="eastAsia" w:eastAsiaTheme="minorEastAsia"/>
                      <w:sz w:val="18"/>
                      <w:szCs w:val="18"/>
                    </w:rPr>
                    <w:t>5</w:t>
                  </w:r>
                  <w:r>
                    <w:rPr>
                      <w:rFonts w:eastAsiaTheme="minorEastAsia"/>
                      <w:sz w:val="18"/>
                      <w:szCs w:val="18"/>
                    </w:rPr>
                    <w:t>2</w:t>
                  </w:r>
                </w:p>
              </w:tc>
              <w:tc>
                <w:tcPr>
                  <w:tcW w:w="453" w:type="pct"/>
                  <w:vAlign w:val="center"/>
                </w:tcPr>
                <w:p>
                  <w:pPr>
                    <w:pStyle w:val="30"/>
                    <w:rPr>
                      <w:rFonts w:eastAsiaTheme="minorEastAsia"/>
                      <w:sz w:val="18"/>
                      <w:szCs w:val="18"/>
                    </w:rPr>
                  </w:pPr>
                  <w:r>
                    <w:rPr>
                      <w:rFonts w:eastAsia="等线"/>
                      <w:sz w:val="18"/>
                      <w:szCs w:val="18"/>
                    </w:rPr>
                    <w:t>56.3</w:t>
                  </w:r>
                </w:p>
              </w:tc>
              <w:tc>
                <w:tcPr>
                  <w:tcW w:w="453" w:type="pct"/>
                  <w:shd w:val="clear" w:color="auto" w:fill="auto"/>
                  <w:vAlign w:val="center"/>
                </w:tcPr>
                <w:p>
                  <w:pPr>
                    <w:pStyle w:val="30"/>
                    <w:rPr>
                      <w:rFonts w:eastAsiaTheme="minorEastAsia"/>
                      <w:sz w:val="18"/>
                      <w:szCs w:val="18"/>
                    </w:rPr>
                  </w:pPr>
                  <w:r>
                    <w:rPr>
                      <w:rFonts w:hint="eastAsia" w:eastAsiaTheme="minorEastAsia"/>
                      <w:sz w:val="18"/>
                      <w:szCs w:val="18"/>
                    </w:rPr>
                    <w:t>2类</w:t>
                  </w:r>
                </w:p>
              </w:tc>
              <w:tc>
                <w:tcPr>
                  <w:tcW w:w="456" w:type="pct"/>
                  <w:shd w:val="clear" w:color="auto" w:fill="auto"/>
                  <w:vAlign w:val="center"/>
                </w:tcPr>
                <w:p>
                  <w:pPr>
                    <w:pStyle w:val="30"/>
                    <w:rPr>
                      <w:rFonts w:eastAsiaTheme="minorEastAsia"/>
                      <w:sz w:val="18"/>
                      <w:szCs w:val="18"/>
                    </w:rPr>
                  </w:pPr>
                  <w:r>
                    <w:rPr>
                      <w:rFonts w:hint="eastAsia" w:eastAsiaTheme="minorEastAsia"/>
                      <w:sz w:val="18"/>
                      <w:szCs w:val="18"/>
                    </w:rPr>
                    <w:t>6</w:t>
                  </w:r>
                  <w:r>
                    <w:rPr>
                      <w:rFonts w:eastAsiaTheme="minorEastAsia"/>
                      <w:sz w:val="18"/>
                      <w:szCs w:val="18"/>
                    </w:rPr>
                    <w:t>0</w:t>
                  </w:r>
                </w:p>
              </w:tc>
              <w:tc>
                <w:tcPr>
                  <w:tcW w:w="414" w:type="pct"/>
                  <w:shd w:val="clear" w:color="auto" w:fill="auto"/>
                  <w:vAlign w:val="center"/>
                </w:tcPr>
                <w:p>
                  <w:pPr>
                    <w:pStyle w:val="30"/>
                    <w:rPr>
                      <w:rFonts w:eastAsiaTheme="minorEastAsia"/>
                      <w:sz w:val="18"/>
                      <w:szCs w:val="18"/>
                    </w:rPr>
                  </w:pPr>
                  <w:r>
                    <w:rPr>
                      <w:rFonts w:eastAsiaTheme="minor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 w:type="pct"/>
                  <w:shd w:val="clear" w:color="auto" w:fill="auto"/>
                  <w:vAlign w:val="center"/>
                </w:tcPr>
                <w:p>
                  <w:pPr>
                    <w:pStyle w:val="30"/>
                    <w:rPr>
                      <w:rFonts w:eastAsiaTheme="minorEastAsia"/>
                      <w:sz w:val="18"/>
                      <w:szCs w:val="18"/>
                    </w:rPr>
                  </w:pPr>
                  <w:r>
                    <w:rPr>
                      <w:rFonts w:eastAsiaTheme="minorEastAsia"/>
                      <w:sz w:val="18"/>
                      <w:szCs w:val="18"/>
                    </w:rPr>
                    <w:t>2</w:t>
                  </w:r>
                </w:p>
              </w:tc>
              <w:tc>
                <w:tcPr>
                  <w:tcW w:w="699" w:type="pct"/>
                  <w:shd w:val="clear" w:color="auto" w:fill="auto"/>
                  <w:vAlign w:val="center"/>
                </w:tcPr>
                <w:p>
                  <w:pPr>
                    <w:pStyle w:val="30"/>
                    <w:rPr>
                      <w:rFonts w:eastAsiaTheme="minorEastAsia"/>
                      <w:sz w:val="18"/>
                      <w:szCs w:val="18"/>
                    </w:rPr>
                  </w:pPr>
                  <w:r>
                    <w:rPr>
                      <w:rFonts w:eastAsia="宋体"/>
                      <w:sz w:val="18"/>
                      <w:szCs w:val="18"/>
                    </w:rPr>
                    <w:t>厂界东侧2</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9</w:t>
                  </w:r>
                  <w:r>
                    <w:rPr>
                      <w:rFonts w:eastAsiaTheme="minorEastAsia"/>
                      <w:sz w:val="18"/>
                      <w:szCs w:val="18"/>
                    </w:rPr>
                    <w:t>66.</w:t>
                  </w:r>
                  <w:r>
                    <w:rPr>
                      <w:rFonts w:hint="eastAsia" w:eastAsiaTheme="minorEastAsia"/>
                      <w:sz w:val="18"/>
                      <w:szCs w:val="18"/>
                    </w:rPr>
                    <w:t>8</w:t>
                  </w:r>
                  <w:r>
                    <w:rPr>
                      <w:rFonts w:eastAsiaTheme="minorEastAsia"/>
                      <w:sz w:val="18"/>
                      <w:szCs w:val="18"/>
                    </w:rPr>
                    <w:t>2</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0</w:t>
                  </w:r>
                  <w:r>
                    <w:rPr>
                      <w:rFonts w:eastAsiaTheme="minorEastAsia"/>
                      <w:sz w:val="18"/>
                      <w:szCs w:val="18"/>
                    </w:rPr>
                    <w:t>.65</w:t>
                  </w:r>
                </w:p>
              </w:tc>
              <w:tc>
                <w:tcPr>
                  <w:tcW w:w="453" w:type="pct"/>
                  <w:shd w:val="clear" w:color="auto" w:fill="auto"/>
                  <w:vAlign w:val="center"/>
                </w:tcPr>
                <w:p>
                  <w:pPr>
                    <w:pStyle w:val="30"/>
                    <w:rPr>
                      <w:rFonts w:eastAsiaTheme="minorEastAsia"/>
                      <w:sz w:val="18"/>
                      <w:szCs w:val="18"/>
                    </w:rPr>
                  </w:pPr>
                  <w:r>
                    <w:rPr>
                      <w:sz w:val="18"/>
                      <w:szCs w:val="18"/>
                    </w:rPr>
                    <w:t>1.2</w:t>
                  </w:r>
                </w:p>
              </w:tc>
              <w:tc>
                <w:tcPr>
                  <w:tcW w:w="453" w:type="pct"/>
                  <w:shd w:val="clear" w:color="auto" w:fill="auto"/>
                  <w:vAlign w:val="center"/>
                </w:tcPr>
                <w:p>
                  <w:pPr>
                    <w:widowControl/>
                    <w:jc w:val="center"/>
                    <w:rPr>
                      <w:rFonts w:cs="Times New Roman" w:eastAsiaTheme="minorEastAsia"/>
                      <w:sz w:val="18"/>
                      <w:szCs w:val="18"/>
                    </w:rPr>
                  </w:pPr>
                  <w:r>
                    <w:rPr>
                      <w:rFonts w:hint="eastAsia" w:cs="Times New Roman" w:eastAsiaTheme="minorEastAsia"/>
                      <w:sz w:val="18"/>
                      <w:szCs w:val="18"/>
                    </w:rPr>
                    <w:t>3</w:t>
                  </w:r>
                  <w:r>
                    <w:rPr>
                      <w:rFonts w:cs="Times New Roman" w:eastAsiaTheme="minorEastAsia"/>
                      <w:sz w:val="18"/>
                      <w:szCs w:val="18"/>
                    </w:rPr>
                    <w:t>9.20</w:t>
                  </w:r>
                </w:p>
              </w:tc>
              <w:tc>
                <w:tcPr>
                  <w:tcW w:w="453" w:type="pct"/>
                  <w:vAlign w:val="center"/>
                </w:tcPr>
                <w:p>
                  <w:pPr>
                    <w:pStyle w:val="30"/>
                    <w:rPr>
                      <w:rFonts w:eastAsiaTheme="minorEastAsia"/>
                      <w:sz w:val="18"/>
                      <w:szCs w:val="18"/>
                    </w:rPr>
                  </w:pPr>
                  <w:r>
                    <w:rPr>
                      <w:rFonts w:hint="eastAsia" w:eastAsiaTheme="minorEastAsia"/>
                      <w:sz w:val="18"/>
                      <w:szCs w:val="18"/>
                    </w:rPr>
                    <w:t>5</w:t>
                  </w:r>
                  <w:r>
                    <w:rPr>
                      <w:rFonts w:eastAsiaTheme="minorEastAsia"/>
                      <w:sz w:val="18"/>
                      <w:szCs w:val="18"/>
                    </w:rPr>
                    <w:t>2</w:t>
                  </w:r>
                </w:p>
              </w:tc>
              <w:tc>
                <w:tcPr>
                  <w:tcW w:w="453" w:type="pct"/>
                  <w:vAlign w:val="center"/>
                </w:tcPr>
                <w:p>
                  <w:pPr>
                    <w:pStyle w:val="30"/>
                    <w:rPr>
                      <w:rFonts w:eastAsiaTheme="minorEastAsia"/>
                      <w:sz w:val="18"/>
                      <w:szCs w:val="18"/>
                    </w:rPr>
                  </w:pPr>
                  <w:r>
                    <w:rPr>
                      <w:rFonts w:eastAsia="等线"/>
                      <w:sz w:val="18"/>
                      <w:szCs w:val="18"/>
                    </w:rPr>
                    <w:t>52.2</w:t>
                  </w:r>
                </w:p>
              </w:tc>
              <w:tc>
                <w:tcPr>
                  <w:tcW w:w="453" w:type="pct"/>
                  <w:shd w:val="clear" w:color="auto" w:fill="auto"/>
                  <w:vAlign w:val="center"/>
                </w:tcPr>
                <w:p>
                  <w:pPr>
                    <w:pStyle w:val="30"/>
                    <w:rPr>
                      <w:rFonts w:eastAsiaTheme="minorEastAsia"/>
                      <w:sz w:val="18"/>
                      <w:szCs w:val="18"/>
                    </w:rPr>
                  </w:pPr>
                  <w:r>
                    <w:rPr>
                      <w:rFonts w:hint="eastAsia" w:eastAsiaTheme="minorEastAsia"/>
                      <w:sz w:val="18"/>
                      <w:szCs w:val="18"/>
                    </w:rPr>
                    <w:t>2类</w:t>
                  </w:r>
                </w:p>
              </w:tc>
              <w:tc>
                <w:tcPr>
                  <w:tcW w:w="456" w:type="pct"/>
                  <w:shd w:val="clear" w:color="auto" w:fill="auto"/>
                  <w:vAlign w:val="center"/>
                </w:tcPr>
                <w:p>
                  <w:pPr>
                    <w:pStyle w:val="30"/>
                    <w:rPr>
                      <w:rFonts w:eastAsiaTheme="minorEastAsia"/>
                      <w:sz w:val="18"/>
                      <w:szCs w:val="18"/>
                    </w:rPr>
                  </w:pPr>
                  <w:r>
                    <w:rPr>
                      <w:rFonts w:hint="eastAsia" w:eastAsiaTheme="minorEastAsia"/>
                      <w:sz w:val="18"/>
                      <w:szCs w:val="18"/>
                    </w:rPr>
                    <w:t>6</w:t>
                  </w:r>
                  <w:r>
                    <w:rPr>
                      <w:rFonts w:eastAsiaTheme="minorEastAsia"/>
                      <w:sz w:val="18"/>
                      <w:szCs w:val="18"/>
                    </w:rPr>
                    <w:t>0</w:t>
                  </w:r>
                </w:p>
              </w:tc>
              <w:tc>
                <w:tcPr>
                  <w:tcW w:w="414" w:type="pct"/>
                  <w:shd w:val="clear" w:color="auto" w:fill="auto"/>
                  <w:vAlign w:val="center"/>
                </w:tcPr>
                <w:p>
                  <w:pPr>
                    <w:pStyle w:val="30"/>
                    <w:rPr>
                      <w:rFonts w:eastAsiaTheme="minorEastAsia"/>
                      <w:sz w:val="18"/>
                      <w:szCs w:val="18"/>
                    </w:rPr>
                  </w:pPr>
                  <w:r>
                    <w:rPr>
                      <w:rFonts w:eastAsiaTheme="minor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shd w:val="clear" w:color="auto" w:fill="auto"/>
                  <w:vAlign w:val="center"/>
                </w:tcPr>
                <w:p>
                  <w:pPr>
                    <w:pStyle w:val="30"/>
                    <w:rPr>
                      <w:rFonts w:eastAsiaTheme="minorEastAsia"/>
                      <w:sz w:val="18"/>
                      <w:szCs w:val="18"/>
                    </w:rPr>
                  </w:pPr>
                  <w:r>
                    <w:rPr>
                      <w:rFonts w:eastAsiaTheme="minorEastAsia"/>
                      <w:sz w:val="18"/>
                      <w:szCs w:val="18"/>
                    </w:rPr>
                    <w:t>3</w:t>
                  </w:r>
                </w:p>
              </w:tc>
              <w:tc>
                <w:tcPr>
                  <w:tcW w:w="699" w:type="pct"/>
                  <w:shd w:val="clear" w:color="auto" w:fill="auto"/>
                  <w:vAlign w:val="center"/>
                </w:tcPr>
                <w:p>
                  <w:pPr>
                    <w:pStyle w:val="30"/>
                    <w:rPr>
                      <w:rFonts w:eastAsiaTheme="minorEastAsia"/>
                      <w:sz w:val="18"/>
                      <w:szCs w:val="18"/>
                    </w:rPr>
                  </w:pPr>
                  <w:r>
                    <w:rPr>
                      <w:rFonts w:eastAsia="宋体"/>
                      <w:sz w:val="18"/>
                      <w:szCs w:val="18"/>
                    </w:rPr>
                    <w:t>厂界东</w:t>
                  </w:r>
                  <w:r>
                    <w:rPr>
                      <w:rFonts w:hint="eastAsia" w:eastAsia="宋体"/>
                      <w:sz w:val="18"/>
                      <w:szCs w:val="18"/>
                    </w:rPr>
                    <w:t>北侧</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1</w:t>
                  </w:r>
                  <w:r>
                    <w:rPr>
                      <w:rFonts w:eastAsiaTheme="minorEastAsia"/>
                      <w:sz w:val="18"/>
                      <w:szCs w:val="18"/>
                    </w:rPr>
                    <w:t>010.91</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2</w:t>
                  </w:r>
                  <w:r>
                    <w:rPr>
                      <w:rFonts w:eastAsiaTheme="minorEastAsia"/>
                      <w:sz w:val="18"/>
                      <w:szCs w:val="18"/>
                    </w:rPr>
                    <w:t>20.19</w:t>
                  </w:r>
                </w:p>
              </w:tc>
              <w:tc>
                <w:tcPr>
                  <w:tcW w:w="453" w:type="pct"/>
                  <w:shd w:val="clear" w:color="auto" w:fill="auto"/>
                  <w:vAlign w:val="center"/>
                </w:tcPr>
                <w:p>
                  <w:pPr>
                    <w:pStyle w:val="30"/>
                    <w:rPr>
                      <w:rFonts w:eastAsiaTheme="minorEastAsia"/>
                      <w:sz w:val="18"/>
                      <w:szCs w:val="18"/>
                    </w:rPr>
                  </w:pPr>
                  <w:r>
                    <w:rPr>
                      <w:sz w:val="18"/>
                      <w:szCs w:val="18"/>
                    </w:rPr>
                    <w:t>1.2</w:t>
                  </w:r>
                </w:p>
              </w:tc>
              <w:tc>
                <w:tcPr>
                  <w:tcW w:w="453" w:type="pct"/>
                  <w:shd w:val="clear" w:color="auto" w:fill="auto"/>
                  <w:vAlign w:val="center"/>
                </w:tcPr>
                <w:p>
                  <w:pPr>
                    <w:pStyle w:val="30"/>
                    <w:rPr>
                      <w:rFonts w:eastAsiaTheme="minorEastAsia"/>
                      <w:sz w:val="18"/>
                      <w:szCs w:val="18"/>
                    </w:rPr>
                  </w:pPr>
                  <w:r>
                    <w:rPr>
                      <w:rFonts w:hint="eastAsia" w:eastAsiaTheme="minorEastAsia"/>
                      <w:sz w:val="18"/>
                      <w:szCs w:val="18"/>
                    </w:rPr>
                    <w:t>4</w:t>
                  </w:r>
                  <w:r>
                    <w:rPr>
                      <w:rFonts w:eastAsiaTheme="minorEastAsia"/>
                      <w:sz w:val="18"/>
                      <w:szCs w:val="18"/>
                    </w:rPr>
                    <w:t>7.70</w:t>
                  </w:r>
                </w:p>
              </w:tc>
              <w:tc>
                <w:tcPr>
                  <w:tcW w:w="453" w:type="pct"/>
                  <w:vAlign w:val="center"/>
                </w:tcPr>
                <w:p>
                  <w:pPr>
                    <w:pStyle w:val="30"/>
                    <w:rPr>
                      <w:rFonts w:eastAsiaTheme="minorEastAsia"/>
                      <w:sz w:val="18"/>
                      <w:szCs w:val="18"/>
                    </w:rPr>
                  </w:pPr>
                  <w:r>
                    <w:rPr>
                      <w:rFonts w:hint="eastAsia" w:eastAsiaTheme="minorEastAsia"/>
                      <w:sz w:val="18"/>
                      <w:szCs w:val="18"/>
                    </w:rPr>
                    <w:t>5</w:t>
                  </w:r>
                  <w:r>
                    <w:rPr>
                      <w:rFonts w:eastAsiaTheme="minorEastAsia"/>
                      <w:sz w:val="18"/>
                      <w:szCs w:val="18"/>
                    </w:rPr>
                    <w:t>2</w:t>
                  </w:r>
                </w:p>
              </w:tc>
              <w:tc>
                <w:tcPr>
                  <w:tcW w:w="453" w:type="pct"/>
                  <w:vAlign w:val="center"/>
                </w:tcPr>
                <w:p>
                  <w:pPr>
                    <w:pStyle w:val="30"/>
                    <w:rPr>
                      <w:rFonts w:eastAsiaTheme="minorEastAsia"/>
                      <w:sz w:val="18"/>
                      <w:szCs w:val="18"/>
                    </w:rPr>
                  </w:pPr>
                  <w:r>
                    <w:rPr>
                      <w:rFonts w:eastAsia="等线"/>
                      <w:sz w:val="18"/>
                      <w:szCs w:val="18"/>
                    </w:rPr>
                    <w:t>53.4</w:t>
                  </w:r>
                </w:p>
              </w:tc>
              <w:tc>
                <w:tcPr>
                  <w:tcW w:w="453" w:type="pct"/>
                  <w:shd w:val="clear" w:color="auto" w:fill="auto"/>
                  <w:vAlign w:val="center"/>
                </w:tcPr>
                <w:p>
                  <w:pPr>
                    <w:pStyle w:val="30"/>
                    <w:rPr>
                      <w:rFonts w:eastAsiaTheme="minorEastAsia"/>
                      <w:sz w:val="18"/>
                      <w:szCs w:val="18"/>
                    </w:rPr>
                  </w:pPr>
                  <w:r>
                    <w:rPr>
                      <w:rFonts w:hint="eastAsia" w:eastAsiaTheme="minorEastAsia"/>
                      <w:sz w:val="18"/>
                      <w:szCs w:val="18"/>
                    </w:rPr>
                    <w:t>2类</w:t>
                  </w:r>
                </w:p>
              </w:tc>
              <w:tc>
                <w:tcPr>
                  <w:tcW w:w="456" w:type="pct"/>
                  <w:shd w:val="clear" w:color="auto" w:fill="auto"/>
                  <w:vAlign w:val="center"/>
                </w:tcPr>
                <w:p>
                  <w:pPr>
                    <w:pStyle w:val="30"/>
                    <w:rPr>
                      <w:rFonts w:eastAsiaTheme="minorEastAsia"/>
                      <w:sz w:val="18"/>
                      <w:szCs w:val="18"/>
                    </w:rPr>
                  </w:pPr>
                  <w:r>
                    <w:rPr>
                      <w:rFonts w:hint="eastAsia" w:eastAsiaTheme="minorEastAsia"/>
                      <w:sz w:val="18"/>
                      <w:szCs w:val="18"/>
                    </w:rPr>
                    <w:t>6</w:t>
                  </w:r>
                  <w:r>
                    <w:rPr>
                      <w:rFonts w:eastAsiaTheme="minorEastAsia"/>
                      <w:sz w:val="18"/>
                      <w:szCs w:val="18"/>
                    </w:rPr>
                    <w:t>0</w:t>
                  </w:r>
                </w:p>
              </w:tc>
              <w:tc>
                <w:tcPr>
                  <w:tcW w:w="414" w:type="pct"/>
                  <w:shd w:val="clear" w:color="auto" w:fill="auto"/>
                  <w:vAlign w:val="center"/>
                </w:tcPr>
                <w:p>
                  <w:pPr>
                    <w:pStyle w:val="30"/>
                    <w:rPr>
                      <w:rFonts w:eastAsiaTheme="minorEastAsia"/>
                      <w:sz w:val="18"/>
                      <w:szCs w:val="18"/>
                    </w:rPr>
                  </w:pPr>
                  <w:r>
                    <w:rPr>
                      <w:rFonts w:eastAsiaTheme="minor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shd w:val="clear" w:color="auto" w:fill="auto"/>
                  <w:vAlign w:val="center"/>
                </w:tcPr>
                <w:p>
                  <w:pPr>
                    <w:pStyle w:val="30"/>
                    <w:rPr>
                      <w:rFonts w:eastAsiaTheme="minorEastAsia"/>
                      <w:sz w:val="18"/>
                      <w:szCs w:val="18"/>
                    </w:rPr>
                  </w:pPr>
                  <w:r>
                    <w:rPr>
                      <w:rFonts w:eastAsiaTheme="minorEastAsia"/>
                      <w:sz w:val="18"/>
                      <w:szCs w:val="18"/>
                    </w:rPr>
                    <w:t>4</w:t>
                  </w:r>
                </w:p>
              </w:tc>
              <w:tc>
                <w:tcPr>
                  <w:tcW w:w="699" w:type="pct"/>
                  <w:shd w:val="clear" w:color="auto" w:fill="auto"/>
                  <w:vAlign w:val="center"/>
                </w:tcPr>
                <w:p>
                  <w:pPr>
                    <w:pStyle w:val="30"/>
                    <w:rPr>
                      <w:rFonts w:eastAsiaTheme="minorEastAsia"/>
                      <w:sz w:val="18"/>
                      <w:szCs w:val="18"/>
                    </w:rPr>
                  </w:pPr>
                  <w:r>
                    <w:rPr>
                      <w:rFonts w:eastAsia="宋体"/>
                      <w:sz w:val="18"/>
                      <w:szCs w:val="18"/>
                    </w:rPr>
                    <w:t>厂界</w:t>
                  </w:r>
                  <w:r>
                    <w:rPr>
                      <w:rFonts w:hint="eastAsia" w:eastAsia="宋体"/>
                      <w:sz w:val="18"/>
                      <w:szCs w:val="18"/>
                    </w:rPr>
                    <w:t>北侧</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5</w:t>
                  </w:r>
                  <w:r>
                    <w:rPr>
                      <w:rFonts w:eastAsiaTheme="minorEastAsia"/>
                      <w:sz w:val="18"/>
                      <w:szCs w:val="18"/>
                    </w:rPr>
                    <w:t>86.38</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4</w:t>
                  </w:r>
                  <w:r>
                    <w:rPr>
                      <w:rFonts w:eastAsiaTheme="minorEastAsia"/>
                      <w:sz w:val="18"/>
                      <w:szCs w:val="18"/>
                    </w:rPr>
                    <w:t>14.63</w:t>
                  </w:r>
                </w:p>
              </w:tc>
              <w:tc>
                <w:tcPr>
                  <w:tcW w:w="453" w:type="pct"/>
                  <w:shd w:val="clear" w:color="auto" w:fill="auto"/>
                  <w:vAlign w:val="center"/>
                </w:tcPr>
                <w:p>
                  <w:pPr>
                    <w:pStyle w:val="30"/>
                    <w:rPr>
                      <w:rFonts w:eastAsiaTheme="minorEastAsia"/>
                      <w:sz w:val="18"/>
                      <w:szCs w:val="18"/>
                    </w:rPr>
                  </w:pPr>
                  <w:r>
                    <w:rPr>
                      <w:sz w:val="18"/>
                      <w:szCs w:val="18"/>
                    </w:rPr>
                    <w:t>1.2</w:t>
                  </w:r>
                </w:p>
              </w:tc>
              <w:tc>
                <w:tcPr>
                  <w:tcW w:w="453" w:type="pct"/>
                  <w:shd w:val="clear" w:color="auto" w:fill="auto"/>
                  <w:vAlign w:val="center"/>
                </w:tcPr>
                <w:p>
                  <w:pPr>
                    <w:pStyle w:val="30"/>
                    <w:rPr>
                      <w:rFonts w:eastAsiaTheme="minorEastAsia"/>
                      <w:sz w:val="18"/>
                      <w:szCs w:val="18"/>
                    </w:rPr>
                  </w:pPr>
                  <w:r>
                    <w:rPr>
                      <w:rFonts w:hint="eastAsia" w:eastAsiaTheme="minorEastAsia"/>
                      <w:sz w:val="18"/>
                      <w:szCs w:val="18"/>
                    </w:rPr>
                    <w:t>2</w:t>
                  </w:r>
                  <w:r>
                    <w:rPr>
                      <w:rFonts w:eastAsiaTheme="minorEastAsia"/>
                      <w:sz w:val="18"/>
                      <w:szCs w:val="18"/>
                    </w:rPr>
                    <w:t>0.03</w:t>
                  </w:r>
                </w:p>
              </w:tc>
              <w:tc>
                <w:tcPr>
                  <w:tcW w:w="453" w:type="pct"/>
                  <w:vAlign w:val="center"/>
                </w:tcPr>
                <w:p>
                  <w:pPr>
                    <w:pStyle w:val="30"/>
                    <w:rPr>
                      <w:rFonts w:eastAsiaTheme="minorEastAsia"/>
                      <w:sz w:val="18"/>
                      <w:szCs w:val="18"/>
                    </w:rPr>
                  </w:pPr>
                  <w:r>
                    <w:rPr>
                      <w:rFonts w:eastAsiaTheme="minorEastAsia"/>
                      <w:sz w:val="18"/>
                      <w:szCs w:val="18"/>
                    </w:rPr>
                    <w:t>57</w:t>
                  </w:r>
                </w:p>
              </w:tc>
              <w:tc>
                <w:tcPr>
                  <w:tcW w:w="453" w:type="pct"/>
                  <w:vAlign w:val="center"/>
                </w:tcPr>
                <w:p>
                  <w:pPr>
                    <w:pStyle w:val="30"/>
                    <w:rPr>
                      <w:rFonts w:eastAsiaTheme="minorEastAsia"/>
                      <w:sz w:val="18"/>
                      <w:szCs w:val="18"/>
                    </w:rPr>
                  </w:pPr>
                  <w:r>
                    <w:rPr>
                      <w:rFonts w:eastAsia="等线"/>
                      <w:sz w:val="18"/>
                      <w:szCs w:val="18"/>
                    </w:rPr>
                    <w:t>57.0</w:t>
                  </w:r>
                </w:p>
              </w:tc>
              <w:tc>
                <w:tcPr>
                  <w:tcW w:w="453" w:type="pct"/>
                  <w:shd w:val="clear" w:color="auto" w:fill="auto"/>
                  <w:vAlign w:val="center"/>
                </w:tcPr>
                <w:p>
                  <w:pPr>
                    <w:pStyle w:val="30"/>
                    <w:rPr>
                      <w:rFonts w:eastAsiaTheme="minorEastAsia"/>
                      <w:sz w:val="18"/>
                      <w:szCs w:val="18"/>
                    </w:rPr>
                  </w:pPr>
                  <w:r>
                    <w:rPr>
                      <w:rFonts w:hint="eastAsia" w:eastAsiaTheme="minorEastAsia"/>
                      <w:sz w:val="18"/>
                      <w:szCs w:val="18"/>
                    </w:rPr>
                    <w:t>2类</w:t>
                  </w:r>
                </w:p>
              </w:tc>
              <w:tc>
                <w:tcPr>
                  <w:tcW w:w="456" w:type="pct"/>
                  <w:shd w:val="clear" w:color="auto" w:fill="auto"/>
                  <w:vAlign w:val="center"/>
                </w:tcPr>
                <w:p>
                  <w:pPr>
                    <w:pStyle w:val="30"/>
                    <w:rPr>
                      <w:rFonts w:eastAsiaTheme="minorEastAsia"/>
                      <w:sz w:val="18"/>
                      <w:szCs w:val="18"/>
                    </w:rPr>
                  </w:pPr>
                  <w:r>
                    <w:rPr>
                      <w:rFonts w:hint="eastAsia" w:eastAsiaTheme="minorEastAsia"/>
                      <w:sz w:val="18"/>
                      <w:szCs w:val="18"/>
                    </w:rPr>
                    <w:t>6</w:t>
                  </w:r>
                  <w:r>
                    <w:rPr>
                      <w:rFonts w:eastAsiaTheme="minorEastAsia"/>
                      <w:sz w:val="18"/>
                      <w:szCs w:val="18"/>
                    </w:rPr>
                    <w:t>0</w:t>
                  </w:r>
                </w:p>
              </w:tc>
              <w:tc>
                <w:tcPr>
                  <w:tcW w:w="414" w:type="pct"/>
                  <w:shd w:val="clear" w:color="auto" w:fill="auto"/>
                  <w:vAlign w:val="center"/>
                </w:tcPr>
                <w:p>
                  <w:pPr>
                    <w:pStyle w:val="30"/>
                    <w:rPr>
                      <w:rFonts w:eastAsiaTheme="minorEastAsia"/>
                      <w:sz w:val="18"/>
                      <w:szCs w:val="18"/>
                    </w:rPr>
                  </w:pPr>
                  <w:r>
                    <w:rPr>
                      <w:rFonts w:eastAsiaTheme="minor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shd w:val="clear" w:color="auto" w:fill="auto"/>
                  <w:vAlign w:val="center"/>
                </w:tcPr>
                <w:p>
                  <w:pPr>
                    <w:pStyle w:val="30"/>
                    <w:rPr>
                      <w:rFonts w:eastAsiaTheme="minorEastAsia"/>
                      <w:sz w:val="18"/>
                      <w:szCs w:val="18"/>
                    </w:rPr>
                  </w:pPr>
                  <w:r>
                    <w:rPr>
                      <w:rFonts w:hint="eastAsia" w:eastAsiaTheme="minorEastAsia"/>
                      <w:sz w:val="18"/>
                      <w:szCs w:val="18"/>
                    </w:rPr>
                    <w:t>5</w:t>
                  </w:r>
                </w:p>
              </w:tc>
              <w:tc>
                <w:tcPr>
                  <w:tcW w:w="699" w:type="pct"/>
                  <w:shd w:val="clear" w:color="auto" w:fill="auto"/>
                  <w:vAlign w:val="center"/>
                </w:tcPr>
                <w:p>
                  <w:pPr>
                    <w:pStyle w:val="30"/>
                    <w:rPr>
                      <w:rFonts w:eastAsia="宋体"/>
                      <w:sz w:val="18"/>
                      <w:szCs w:val="18"/>
                    </w:rPr>
                  </w:pPr>
                  <w:r>
                    <w:rPr>
                      <w:rFonts w:eastAsia="宋体"/>
                      <w:sz w:val="18"/>
                      <w:szCs w:val="18"/>
                    </w:rPr>
                    <w:t>厂界</w:t>
                  </w:r>
                  <w:r>
                    <w:rPr>
                      <w:rFonts w:hint="eastAsia" w:eastAsia="宋体"/>
                      <w:sz w:val="18"/>
                      <w:szCs w:val="18"/>
                    </w:rPr>
                    <w:t>南侧</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4</w:t>
                  </w:r>
                  <w:r>
                    <w:rPr>
                      <w:rFonts w:eastAsiaTheme="minorEastAsia"/>
                      <w:sz w:val="18"/>
                      <w:szCs w:val="18"/>
                    </w:rPr>
                    <w:t>84.71</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w:t>
                  </w:r>
                  <w:r>
                    <w:rPr>
                      <w:rFonts w:eastAsiaTheme="minorEastAsia"/>
                      <w:sz w:val="18"/>
                      <w:szCs w:val="18"/>
                    </w:rPr>
                    <w:t>21.46</w:t>
                  </w:r>
                </w:p>
              </w:tc>
              <w:tc>
                <w:tcPr>
                  <w:tcW w:w="453" w:type="pct"/>
                  <w:shd w:val="clear" w:color="auto" w:fill="auto"/>
                  <w:vAlign w:val="center"/>
                </w:tcPr>
                <w:p>
                  <w:pPr>
                    <w:pStyle w:val="30"/>
                    <w:rPr>
                      <w:rFonts w:eastAsiaTheme="minorEastAsia"/>
                      <w:sz w:val="18"/>
                      <w:szCs w:val="18"/>
                    </w:rPr>
                  </w:pPr>
                  <w:r>
                    <w:rPr>
                      <w:sz w:val="18"/>
                      <w:szCs w:val="18"/>
                    </w:rPr>
                    <w:t>1.2</w:t>
                  </w:r>
                </w:p>
              </w:tc>
              <w:tc>
                <w:tcPr>
                  <w:tcW w:w="453" w:type="pct"/>
                  <w:shd w:val="clear" w:color="auto" w:fill="auto"/>
                  <w:vAlign w:val="center"/>
                </w:tcPr>
                <w:p>
                  <w:pPr>
                    <w:pStyle w:val="30"/>
                    <w:rPr>
                      <w:rFonts w:eastAsiaTheme="minorEastAsia"/>
                      <w:sz w:val="18"/>
                      <w:szCs w:val="18"/>
                    </w:rPr>
                  </w:pPr>
                  <w:r>
                    <w:rPr>
                      <w:rFonts w:hint="eastAsia" w:eastAsiaTheme="minorEastAsia"/>
                      <w:sz w:val="18"/>
                      <w:szCs w:val="18"/>
                    </w:rPr>
                    <w:t>1</w:t>
                  </w:r>
                  <w:r>
                    <w:rPr>
                      <w:rFonts w:eastAsiaTheme="minorEastAsia"/>
                      <w:sz w:val="18"/>
                      <w:szCs w:val="18"/>
                    </w:rPr>
                    <w:t>6.34</w:t>
                  </w:r>
                </w:p>
              </w:tc>
              <w:tc>
                <w:tcPr>
                  <w:tcW w:w="453" w:type="pct"/>
                  <w:vAlign w:val="center"/>
                </w:tcPr>
                <w:p>
                  <w:pPr>
                    <w:pStyle w:val="30"/>
                    <w:rPr>
                      <w:rFonts w:eastAsiaTheme="minorEastAsia"/>
                      <w:sz w:val="18"/>
                      <w:szCs w:val="18"/>
                    </w:rPr>
                  </w:pPr>
                  <w:r>
                    <w:rPr>
                      <w:rFonts w:hint="eastAsia" w:eastAsiaTheme="minorEastAsia"/>
                      <w:sz w:val="18"/>
                      <w:szCs w:val="18"/>
                    </w:rPr>
                    <w:t>5</w:t>
                  </w:r>
                  <w:r>
                    <w:rPr>
                      <w:rFonts w:eastAsiaTheme="minorEastAsia"/>
                      <w:sz w:val="18"/>
                      <w:szCs w:val="18"/>
                    </w:rPr>
                    <w:t>7</w:t>
                  </w:r>
                </w:p>
              </w:tc>
              <w:tc>
                <w:tcPr>
                  <w:tcW w:w="453" w:type="pct"/>
                  <w:vAlign w:val="center"/>
                </w:tcPr>
                <w:p>
                  <w:pPr>
                    <w:pStyle w:val="30"/>
                    <w:rPr>
                      <w:rFonts w:eastAsiaTheme="minorEastAsia"/>
                      <w:sz w:val="18"/>
                      <w:szCs w:val="18"/>
                    </w:rPr>
                  </w:pPr>
                  <w:r>
                    <w:rPr>
                      <w:rFonts w:eastAsia="等线"/>
                      <w:sz w:val="18"/>
                      <w:szCs w:val="18"/>
                    </w:rPr>
                    <w:t>57.0</w:t>
                  </w:r>
                </w:p>
              </w:tc>
              <w:tc>
                <w:tcPr>
                  <w:tcW w:w="453" w:type="pct"/>
                  <w:shd w:val="clear" w:color="auto" w:fill="auto"/>
                  <w:vAlign w:val="center"/>
                </w:tcPr>
                <w:p>
                  <w:pPr>
                    <w:pStyle w:val="30"/>
                    <w:rPr>
                      <w:rFonts w:eastAsiaTheme="minorEastAsia"/>
                      <w:sz w:val="18"/>
                      <w:szCs w:val="18"/>
                    </w:rPr>
                  </w:pPr>
                  <w:r>
                    <w:rPr>
                      <w:rFonts w:hint="eastAsia" w:eastAsiaTheme="minorEastAsia"/>
                      <w:sz w:val="18"/>
                      <w:szCs w:val="18"/>
                    </w:rPr>
                    <w:t>2类</w:t>
                  </w:r>
                </w:p>
              </w:tc>
              <w:tc>
                <w:tcPr>
                  <w:tcW w:w="456" w:type="pct"/>
                  <w:shd w:val="clear" w:color="auto" w:fill="auto"/>
                  <w:vAlign w:val="center"/>
                </w:tcPr>
                <w:p>
                  <w:pPr>
                    <w:pStyle w:val="30"/>
                    <w:rPr>
                      <w:rFonts w:eastAsiaTheme="minorEastAsia"/>
                      <w:sz w:val="18"/>
                      <w:szCs w:val="18"/>
                    </w:rPr>
                  </w:pPr>
                  <w:r>
                    <w:rPr>
                      <w:rFonts w:hint="eastAsia" w:eastAsiaTheme="minorEastAsia"/>
                      <w:sz w:val="18"/>
                      <w:szCs w:val="18"/>
                    </w:rPr>
                    <w:t>6</w:t>
                  </w:r>
                  <w:r>
                    <w:rPr>
                      <w:rFonts w:eastAsiaTheme="minorEastAsia"/>
                      <w:sz w:val="18"/>
                      <w:szCs w:val="18"/>
                    </w:rPr>
                    <w:t>0</w:t>
                  </w:r>
                </w:p>
              </w:tc>
              <w:tc>
                <w:tcPr>
                  <w:tcW w:w="414" w:type="pct"/>
                  <w:shd w:val="clear" w:color="auto" w:fill="auto"/>
                  <w:vAlign w:val="center"/>
                </w:tcPr>
                <w:p>
                  <w:pPr>
                    <w:pStyle w:val="30"/>
                    <w:rPr>
                      <w:rFonts w:eastAsiaTheme="minorEastAsia"/>
                      <w:sz w:val="18"/>
                      <w:szCs w:val="18"/>
                    </w:rPr>
                  </w:pPr>
                  <w:r>
                    <w:rPr>
                      <w:rFonts w:eastAsiaTheme="minor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shd w:val="clear" w:color="auto" w:fill="auto"/>
                  <w:vAlign w:val="center"/>
                </w:tcPr>
                <w:p>
                  <w:pPr>
                    <w:pStyle w:val="30"/>
                    <w:rPr>
                      <w:rFonts w:eastAsiaTheme="minorEastAsia"/>
                      <w:sz w:val="18"/>
                      <w:szCs w:val="18"/>
                    </w:rPr>
                  </w:pPr>
                  <w:r>
                    <w:rPr>
                      <w:rFonts w:hint="eastAsia" w:eastAsiaTheme="minorEastAsia"/>
                      <w:sz w:val="18"/>
                      <w:szCs w:val="18"/>
                    </w:rPr>
                    <w:t>6</w:t>
                  </w:r>
                </w:p>
              </w:tc>
              <w:tc>
                <w:tcPr>
                  <w:tcW w:w="699" w:type="pct"/>
                  <w:shd w:val="clear" w:color="auto" w:fill="auto"/>
                  <w:vAlign w:val="center"/>
                </w:tcPr>
                <w:p>
                  <w:pPr>
                    <w:pStyle w:val="30"/>
                    <w:rPr>
                      <w:rFonts w:eastAsia="宋体"/>
                      <w:sz w:val="18"/>
                      <w:szCs w:val="18"/>
                    </w:rPr>
                  </w:pPr>
                  <w:r>
                    <w:rPr>
                      <w:rFonts w:eastAsia="宋体"/>
                      <w:sz w:val="18"/>
                      <w:szCs w:val="18"/>
                    </w:rPr>
                    <w:t>厂界</w:t>
                  </w:r>
                  <w:r>
                    <w:rPr>
                      <w:rFonts w:hint="eastAsia" w:eastAsia="宋体"/>
                      <w:sz w:val="18"/>
                      <w:szCs w:val="18"/>
                    </w:rPr>
                    <w:t>西侧</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7</w:t>
                  </w:r>
                  <w:r>
                    <w:rPr>
                      <w:rFonts w:eastAsiaTheme="minorEastAsia"/>
                      <w:sz w:val="18"/>
                      <w:szCs w:val="18"/>
                    </w:rPr>
                    <w:t>4.07</w:t>
                  </w:r>
                </w:p>
              </w:tc>
              <w:tc>
                <w:tcPr>
                  <w:tcW w:w="467" w:type="pct"/>
                  <w:shd w:val="clear" w:color="auto" w:fill="auto"/>
                  <w:vAlign w:val="center"/>
                </w:tcPr>
                <w:p>
                  <w:pPr>
                    <w:pStyle w:val="30"/>
                    <w:rPr>
                      <w:rFonts w:eastAsiaTheme="minorEastAsia"/>
                      <w:sz w:val="18"/>
                      <w:szCs w:val="18"/>
                    </w:rPr>
                  </w:pPr>
                  <w:r>
                    <w:rPr>
                      <w:rFonts w:hint="eastAsia" w:eastAsiaTheme="minorEastAsia"/>
                      <w:sz w:val="18"/>
                      <w:szCs w:val="18"/>
                    </w:rPr>
                    <w:t>2</w:t>
                  </w:r>
                  <w:r>
                    <w:rPr>
                      <w:rFonts w:eastAsiaTheme="minorEastAsia"/>
                      <w:sz w:val="18"/>
                      <w:szCs w:val="18"/>
                    </w:rPr>
                    <w:t>96.77</w:t>
                  </w:r>
                </w:p>
              </w:tc>
              <w:tc>
                <w:tcPr>
                  <w:tcW w:w="453" w:type="pct"/>
                  <w:shd w:val="clear" w:color="auto" w:fill="auto"/>
                  <w:vAlign w:val="center"/>
                </w:tcPr>
                <w:p>
                  <w:pPr>
                    <w:pStyle w:val="30"/>
                    <w:rPr>
                      <w:rFonts w:eastAsiaTheme="minorEastAsia"/>
                      <w:sz w:val="18"/>
                      <w:szCs w:val="18"/>
                    </w:rPr>
                  </w:pPr>
                  <w:r>
                    <w:rPr>
                      <w:sz w:val="18"/>
                      <w:szCs w:val="18"/>
                    </w:rPr>
                    <w:t>1.2</w:t>
                  </w:r>
                </w:p>
              </w:tc>
              <w:tc>
                <w:tcPr>
                  <w:tcW w:w="453" w:type="pct"/>
                  <w:shd w:val="clear" w:color="auto" w:fill="auto"/>
                  <w:vAlign w:val="center"/>
                </w:tcPr>
                <w:p>
                  <w:pPr>
                    <w:pStyle w:val="30"/>
                    <w:rPr>
                      <w:rFonts w:eastAsiaTheme="minorEastAsia"/>
                      <w:sz w:val="18"/>
                      <w:szCs w:val="18"/>
                    </w:rPr>
                  </w:pPr>
                  <w:r>
                    <w:rPr>
                      <w:rFonts w:hint="eastAsia" w:eastAsiaTheme="minorEastAsia"/>
                      <w:sz w:val="18"/>
                      <w:szCs w:val="18"/>
                    </w:rPr>
                    <w:t>1</w:t>
                  </w:r>
                  <w:r>
                    <w:rPr>
                      <w:rFonts w:eastAsiaTheme="minorEastAsia"/>
                      <w:sz w:val="18"/>
                      <w:szCs w:val="18"/>
                    </w:rPr>
                    <w:t>3.89</w:t>
                  </w:r>
                </w:p>
              </w:tc>
              <w:tc>
                <w:tcPr>
                  <w:tcW w:w="453" w:type="pct"/>
                  <w:vAlign w:val="center"/>
                </w:tcPr>
                <w:p>
                  <w:pPr>
                    <w:pStyle w:val="30"/>
                    <w:rPr>
                      <w:rFonts w:eastAsiaTheme="minorEastAsia"/>
                      <w:sz w:val="18"/>
                      <w:szCs w:val="18"/>
                    </w:rPr>
                  </w:pPr>
                  <w:r>
                    <w:rPr>
                      <w:rFonts w:hint="eastAsia" w:eastAsiaTheme="minorEastAsia"/>
                      <w:sz w:val="18"/>
                      <w:szCs w:val="18"/>
                    </w:rPr>
                    <w:t>5</w:t>
                  </w:r>
                  <w:r>
                    <w:rPr>
                      <w:rFonts w:eastAsiaTheme="minorEastAsia"/>
                      <w:sz w:val="18"/>
                      <w:szCs w:val="18"/>
                    </w:rPr>
                    <w:t>7</w:t>
                  </w:r>
                </w:p>
              </w:tc>
              <w:tc>
                <w:tcPr>
                  <w:tcW w:w="453" w:type="pct"/>
                  <w:vAlign w:val="center"/>
                </w:tcPr>
                <w:p>
                  <w:pPr>
                    <w:pStyle w:val="30"/>
                    <w:rPr>
                      <w:rFonts w:eastAsiaTheme="minorEastAsia"/>
                      <w:sz w:val="18"/>
                      <w:szCs w:val="18"/>
                    </w:rPr>
                  </w:pPr>
                  <w:r>
                    <w:rPr>
                      <w:rFonts w:eastAsia="等线"/>
                      <w:sz w:val="18"/>
                      <w:szCs w:val="18"/>
                    </w:rPr>
                    <w:t>57.0</w:t>
                  </w:r>
                </w:p>
              </w:tc>
              <w:tc>
                <w:tcPr>
                  <w:tcW w:w="453" w:type="pct"/>
                  <w:shd w:val="clear" w:color="auto" w:fill="auto"/>
                  <w:vAlign w:val="center"/>
                </w:tcPr>
                <w:p>
                  <w:pPr>
                    <w:pStyle w:val="30"/>
                    <w:rPr>
                      <w:rFonts w:eastAsiaTheme="minorEastAsia"/>
                      <w:sz w:val="18"/>
                      <w:szCs w:val="18"/>
                    </w:rPr>
                  </w:pPr>
                  <w:r>
                    <w:rPr>
                      <w:rFonts w:hint="eastAsia" w:eastAsiaTheme="minorEastAsia"/>
                      <w:sz w:val="18"/>
                      <w:szCs w:val="18"/>
                    </w:rPr>
                    <w:t>2类</w:t>
                  </w:r>
                </w:p>
              </w:tc>
              <w:tc>
                <w:tcPr>
                  <w:tcW w:w="456" w:type="pct"/>
                  <w:shd w:val="clear" w:color="auto" w:fill="auto"/>
                  <w:vAlign w:val="center"/>
                </w:tcPr>
                <w:p>
                  <w:pPr>
                    <w:pStyle w:val="30"/>
                    <w:rPr>
                      <w:rFonts w:eastAsiaTheme="minorEastAsia"/>
                      <w:sz w:val="18"/>
                      <w:szCs w:val="18"/>
                    </w:rPr>
                  </w:pPr>
                  <w:r>
                    <w:rPr>
                      <w:rFonts w:hint="eastAsia" w:eastAsiaTheme="minorEastAsia"/>
                      <w:sz w:val="18"/>
                      <w:szCs w:val="18"/>
                    </w:rPr>
                    <w:t>6</w:t>
                  </w:r>
                  <w:r>
                    <w:rPr>
                      <w:rFonts w:eastAsiaTheme="minorEastAsia"/>
                      <w:sz w:val="18"/>
                      <w:szCs w:val="18"/>
                    </w:rPr>
                    <w:t>0</w:t>
                  </w:r>
                </w:p>
              </w:tc>
              <w:tc>
                <w:tcPr>
                  <w:tcW w:w="414" w:type="pct"/>
                  <w:shd w:val="clear" w:color="auto" w:fill="auto"/>
                  <w:vAlign w:val="center"/>
                </w:tcPr>
                <w:p>
                  <w:pPr>
                    <w:pStyle w:val="30"/>
                    <w:rPr>
                      <w:rFonts w:eastAsiaTheme="minorEastAsia"/>
                      <w:sz w:val="18"/>
                      <w:szCs w:val="18"/>
                    </w:rPr>
                  </w:pPr>
                  <w:r>
                    <w:rPr>
                      <w:rFonts w:eastAsiaTheme="minorEastAsia"/>
                      <w:sz w:val="18"/>
                      <w:szCs w:val="18"/>
                    </w:rPr>
                    <w:t>是</w:t>
                  </w:r>
                </w:p>
              </w:tc>
            </w:tr>
          </w:tbl>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-21</w:t>
            </w:r>
            <w:r>
              <w:rPr>
                <w:rFonts w:eastAsia="黑体" w:cs="Times New Roman"/>
                <w:szCs w:val="21"/>
              </w:rPr>
              <w:t xml:space="preserve">  </w:t>
            </w:r>
            <w:r>
              <w:rPr>
                <w:rFonts w:hint="eastAsia" w:eastAsia="黑体" w:cs="Times New Roman"/>
                <w:szCs w:val="21"/>
              </w:rPr>
              <w:t>声环境保护目标昼间</w:t>
            </w:r>
            <w:r>
              <w:rPr>
                <w:rFonts w:eastAsia="黑体" w:cs="Times New Roman"/>
                <w:szCs w:val="21"/>
              </w:rPr>
              <w:t>预测结果</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551"/>
              <w:gridCol w:w="1008"/>
              <w:gridCol w:w="1010"/>
              <w:gridCol w:w="1010"/>
              <w:gridCol w:w="1008"/>
              <w:gridCol w:w="1010"/>
              <w:gridCol w:w="1010"/>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shd w:val="clear" w:color="auto" w:fill="auto"/>
                  <w:vAlign w:val="center"/>
                </w:tcPr>
                <w:p>
                  <w:pPr>
                    <w:pStyle w:val="30"/>
                    <w:rPr>
                      <w:rFonts w:eastAsiaTheme="minorEastAsia"/>
                      <w:sz w:val="18"/>
                      <w:szCs w:val="18"/>
                    </w:rPr>
                  </w:pPr>
                  <w:r>
                    <w:rPr>
                      <w:rFonts w:eastAsiaTheme="minorEastAsia"/>
                      <w:sz w:val="18"/>
                      <w:szCs w:val="18"/>
                    </w:rPr>
                    <w:t>序号</w:t>
                  </w:r>
                </w:p>
              </w:tc>
              <w:tc>
                <w:tcPr>
                  <w:tcW w:w="848" w:type="pct"/>
                  <w:shd w:val="clear" w:color="auto" w:fill="auto"/>
                  <w:vAlign w:val="center"/>
                </w:tcPr>
                <w:p>
                  <w:pPr>
                    <w:pStyle w:val="30"/>
                    <w:rPr>
                      <w:rFonts w:eastAsiaTheme="minorEastAsia"/>
                      <w:sz w:val="18"/>
                      <w:szCs w:val="18"/>
                    </w:rPr>
                  </w:pPr>
                  <w:r>
                    <w:rPr>
                      <w:rFonts w:eastAsiaTheme="minorEastAsia"/>
                      <w:sz w:val="18"/>
                      <w:szCs w:val="18"/>
                    </w:rPr>
                    <w:t>名称</w:t>
                  </w:r>
                </w:p>
              </w:tc>
              <w:tc>
                <w:tcPr>
                  <w:tcW w:w="551" w:type="pct"/>
                  <w:vAlign w:val="center"/>
                </w:tcPr>
                <w:p>
                  <w:pPr>
                    <w:pStyle w:val="30"/>
                    <w:rPr>
                      <w:rFonts w:eastAsiaTheme="minorEastAsia"/>
                      <w:sz w:val="18"/>
                      <w:szCs w:val="18"/>
                    </w:rPr>
                  </w:pPr>
                  <w:r>
                    <w:rPr>
                      <w:rFonts w:hint="eastAsia" w:eastAsiaTheme="minorEastAsia"/>
                      <w:sz w:val="18"/>
                      <w:szCs w:val="18"/>
                    </w:rPr>
                    <w:t>背景</w:t>
                  </w:r>
                  <w:r>
                    <w:rPr>
                      <w:rFonts w:eastAsiaTheme="minorEastAsia"/>
                      <w:sz w:val="18"/>
                      <w:szCs w:val="18"/>
                    </w:rPr>
                    <w:t>值</w:t>
                  </w:r>
                  <w:r>
                    <w:rPr>
                      <w:rFonts w:hint="eastAsia" w:eastAsiaTheme="minorEastAsia"/>
                      <w:sz w:val="18"/>
                      <w:szCs w:val="18"/>
                    </w:rPr>
                    <w:t>(dB)</w:t>
                  </w:r>
                </w:p>
              </w:tc>
              <w:tc>
                <w:tcPr>
                  <w:tcW w:w="552" w:type="pct"/>
                  <w:vAlign w:val="center"/>
                </w:tcPr>
                <w:p>
                  <w:pPr>
                    <w:pStyle w:val="30"/>
                    <w:rPr>
                      <w:rFonts w:eastAsiaTheme="minorEastAsia"/>
                      <w:sz w:val="18"/>
                      <w:szCs w:val="18"/>
                    </w:rPr>
                  </w:pPr>
                  <w:r>
                    <w:rPr>
                      <w:rFonts w:hint="eastAsia" w:eastAsiaTheme="minorEastAsia"/>
                      <w:sz w:val="18"/>
                      <w:szCs w:val="18"/>
                    </w:rPr>
                    <w:t>现状</w:t>
                  </w:r>
                  <w:r>
                    <w:rPr>
                      <w:rFonts w:eastAsiaTheme="minorEastAsia"/>
                      <w:sz w:val="18"/>
                      <w:szCs w:val="18"/>
                    </w:rPr>
                    <w:t>值</w:t>
                  </w:r>
                  <w:r>
                    <w:rPr>
                      <w:rFonts w:hint="eastAsia" w:eastAsiaTheme="minorEastAsia"/>
                      <w:sz w:val="18"/>
                      <w:szCs w:val="18"/>
                    </w:rPr>
                    <w:t>(dB)</w:t>
                  </w:r>
                </w:p>
              </w:tc>
              <w:tc>
                <w:tcPr>
                  <w:tcW w:w="552" w:type="pct"/>
                  <w:shd w:val="clear" w:color="auto" w:fill="auto"/>
                  <w:vAlign w:val="center"/>
                </w:tcPr>
                <w:p>
                  <w:pPr>
                    <w:pStyle w:val="30"/>
                    <w:rPr>
                      <w:rFonts w:eastAsiaTheme="minorEastAsia"/>
                      <w:sz w:val="18"/>
                      <w:szCs w:val="18"/>
                    </w:rPr>
                  </w:pPr>
                  <w:r>
                    <w:rPr>
                      <w:rFonts w:hint="eastAsia" w:eastAsiaTheme="minorEastAsia"/>
                      <w:sz w:val="18"/>
                      <w:szCs w:val="18"/>
                    </w:rPr>
                    <w:t>标准值(dB)</w:t>
                  </w:r>
                </w:p>
              </w:tc>
              <w:tc>
                <w:tcPr>
                  <w:tcW w:w="551" w:type="pct"/>
                  <w:vAlign w:val="center"/>
                </w:tcPr>
                <w:p>
                  <w:pPr>
                    <w:pStyle w:val="30"/>
                    <w:rPr>
                      <w:rFonts w:eastAsiaTheme="minorEastAsia"/>
                      <w:sz w:val="18"/>
                      <w:szCs w:val="18"/>
                    </w:rPr>
                  </w:pPr>
                  <w:r>
                    <w:rPr>
                      <w:rFonts w:hint="eastAsia" w:eastAsiaTheme="minorEastAsia"/>
                      <w:sz w:val="18"/>
                      <w:szCs w:val="18"/>
                    </w:rPr>
                    <w:t>贡献值(dB)</w:t>
                  </w:r>
                </w:p>
              </w:tc>
              <w:tc>
                <w:tcPr>
                  <w:tcW w:w="552" w:type="pct"/>
                  <w:vAlign w:val="center"/>
                </w:tcPr>
                <w:p>
                  <w:pPr>
                    <w:pStyle w:val="30"/>
                    <w:rPr>
                      <w:rFonts w:eastAsiaTheme="minorEastAsia"/>
                      <w:sz w:val="18"/>
                      <w:szCs w:val="18"/>
                    </w:rPr>
                  </w:pPr>
                  <w:r>
                    <w:rPr>
                      <w:rFonts w:hint="eastAsia" w:eastAsiaTheme="minorEastAsia"/>
                      <w:sz w:val="18"/>
                      <w:szCs w:val="18"/>
                    </w:rPr>
                    <w:t>叠加</w:t>
                  </w:r>
                  <w:r>
                    <w:rPr>
                      <w:rFonts w:eastAsiaTheme="minorEastAsia"/>
                      <w:sz w:val="18"/>
                      <w:szCs w:val="18"/>
                    </w:rPr>
                    <w:t>值</w:t>
                  </w:r>
                  <w:r>
                    <w:rPr>
                      <w:rFonts w:hint="eastAsia" w:eastAsiaTheme="minorEastAsia"/>
                      <w:sz w:val="18"/>
                      <w:szCs w:val="18"/>
                    </w:rPr>
                    <w:t>(dB)</w:t>
                  </w:r>
                </w:p>
              </w:tc>
              <w:tc>
                <w:tcPr>
                  <w:tcW w:w="552" w:type="pct"/>
                  <w:shd w:val="clear" w:color="auto" w:fill="auto"/>
                  <w:vAlign w:val="center"/>
                </w:tcPr>
                <w:p>
                  <w:pPr>
                    <w:pStyle w:val="30"/>
                    <w:rPr>
                      <w:rFonts w:eastAsiaTheme="minorEastAsia"/>
                      <w:sz w:val="18"/>
                      <w:szCs w:val="18"/>
                    </w:rPr>
                  </w:pPr>
                  <w:r>
                    <w:rPr>
                      <w:rFonts w:hint="eastAsia" w:eastAsiaTheme="minorEastAsia"/>
                      <w:sz w:val="18"/>
                      <w:szCs w:val="18"/>
                    </w:rPr>
                    <w:t>较现状增量(dB)</w:t>
                  </w:r>
                </w:p>
              </w:tc>
              <w:tc>
                <w:tcPr>
                  <w:tcW w:w="550" w:type="pct"/>
                  <w:shd w:val="clear" w:color="auto" w:fill="auto"/>
                  <w:vAlign w:val="center"/>
                </w:tcPr>
                <w:p>
                  <w:pPr>
                    <w:pStyle w:val="30"/>
                    <w:rPr>
                      <w:rFonts w:eastAsiaTheme="minorEastAsia"/>
                      <w:sz w:val="18"/>
                      <w:szCs w:val="18"/>
                    </w:rPr>
                  </w:pPr>
                  <w:r>
                    <w:rPr>
                      <w:rFonts w:eastAsiaTheme="minorEastAsia"/>
                      <w:sz w:val="18"/>
                      <w:szCs w:val="18"/>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shd w:val="clear" w:color="auto" w:fill="auto"/>
                  <w:vAlign w:val="center"/>
                </w:tcPr>
                <w:p>
                  <w:pPr>
                    <w:pStyle w:val="30"/>
                    <w:rPr>
                      <w:rFonts w:eastAsiaTheme="minorEastAsia"/>
                      <w:sz w:val="18"/>
                      <w:szCs w:val="18"/>
                    </w:rPr>
                  </w:pPr>
                  <w:r>
                    <w:rPr>
                      <w:rFonts w:eastAsiaTheme="minorEastAsia"/>
                      <w:sz w:val="18"/>
                      <w:szCs w:val="18"/>
                    </w:rPr>
                    <w:t>1</w:t>
                  </w:r>
                </w:p>
              </w:tc>
              <w:tc>
                <w:tcPr>
                  <w:tcW w:w="848" w:type="pct"/>
                  <w:shd w:val="clear" w:color="auto" w:fill="auto"/>
                  <w:vAlign w:val="center"/>
                </w:tcPr>
                <w:p>
                  <w:pPr>
                    <w:pStyle w:val="30"/>
                    <w:rPr>
                      <w:rFonts w:eastAsiaTheme="minorEastAsia"/>
                      <w:sz w:val="18"/>
                      <w:szCs w:val="18"/>
                    </w:rPr>
                  </w:pPr>
                  <w:r>
                    <w:rPr>
                      <w:rFonts w:hint="eastAsia" w:eastAsia="宋体"/>
                      <w:sz w:val="18"/>
                      <w:szCs w:val="18"/>
                    </w:rPr>
                    <w:t>花朝门农户</w:t>
                  </w:r>
                </w:p>
              </w:tc>
              <w:tc>
                <w:tcPr>
                  <w:tcW w:w="551" w:type="pct"/>
                </w:tcPr>
                <w:p>
                  <w:pPr>
                    <w:widowControl/>
                    <w:jc w:val="center"/>
                    <w:rPr>
                      <w:rFonts w:cs="Times New Roman" w:eastAsiaTheme="minorEastAsia"/>
                      <w:sz w:val="18"/>
                      <w:szCs w:val="18"/>
                    </w:rPr>
                  </w:pPr>
                  <w:r>
                    <w:rPr>
                      <w:rFonts w:hint="eastAsia" w:cs="Times New Roman" w:eastAsiaTheme="minorEastAsia"/>
                      <w:sz w:val="18"/>
                      <w:szCs w:val="18"/>
                    </w:rPr>
                    <w:t>5</w:t>
                  </w:r>
                  <w:r>
                    <w:rPr>
                      <w:rFonts w:cs="Times New Roman" w:eastAsiaTheme="minorEastAsia"/>
                      <w:sz w:val="18"/>
                      <w:szCs w:val="18"/>
                    </w:rPr>
                    <w:t>7</w:t>
                  </w:r>
                </w:p>
              </w:tc>
              <w:tc>
                <w:tcPr>
                  <w:tcW w:w="552" w:type="pct"/>
                </w:tcPr>
                <w:p>
                  <w:pPr>
                    <w:widowControl/>
                    <w:jc w:val="center"/>
                    <w:rPr>
                      <w:rFonts w:cs="Times New Roman" w:eastAsiaTheme="minorEastAsia"/>
                      <w:sz w:val="18"/>
                      <w:szCs w:val="18"/>
                    </w:rPr>
                  </w:pPr>
                  <w:r>
                    <w:rPr>
                      <w:rFonts w:hint="eastAsia" w:cs="Times New Roman" w:eastAsiaTheme="minorEastAsia"/>
                      <w:sz w:val="18"/>
                      <w:szCs w:val="18"/>
                    </w:rPr>
                    <w:t>5</w:t>
                  </w:r>
                  <w:r>
                    <w:rPr>
                      <w:rFonts w:cs="Times New Roman" w:eastAsiaTheme="minorEastAsia"/>
                      <w:sz w:val="18"/>
                      <w:szCs w:val="18"/>
                    </w:rPr>
                    <w:t>7</w:t>
                  </w:r>
                </w:p>
              </w:tc>
              <w:tc>
                <w:tcPr>
                  <w:tcW w:w="552" w:type="pct"/>
                  <w:shd w:val="clear" w:color="auto" w:fill="auto"/>
                  <w:vAlign w:val="center"/>
                </w:tcPr>
                <w:p>
                  <w:pPr>
                    <w:widowControl/>
                    <w:jc w:val="center"/>
                    <w:rPr>
                      <w:rFonts w:cs="Times New Roman" w:eastAsiaTheme="minorEastAsia"/>
                      <w:sz w:val="18"/>
                      <w:szCs w:val="18"/>
                    </w:rPr>
                  </w:pPr>
                  <w:r>
                    <w:rPr>
                      <w:rFonts w:hint="eastAsia" w:cs="Times New Roman" w:eastAsiaTheme="minorEastAsia"/>
                      <w:sz w:val="18"/>
                      <w:szCs w:val="18"/>
                    </w:rPr>
                    <w:t>6</w:t>
                  </w:r>
                  <w:r>
                    <w:rPr>
                      <w:rFonts w:cs="Times New Roman" w:eastAsiaTheme="minorEastAsia"/>
                      <w:sz w:val="18"/>
                      <w:szCs w:val="18"/>
                    </w:rPr>
                    <w:t>0</w:t>
                  </w:r>
                </w:p>
              </w:tc>
              <w:tc>
                <w:tcPr>
                  <w:tcW w:w="551" w:type="pct"/>
                  <w:vAlign w:val="center"/>
                </w:tcPr>
                <w:p>
                  <w:pPr>
                    <w:pStyle w:val="30"/>
                    <w:rPr>
                      <w:rFonts w:eastAsiaTheme="minorEastAsia"/>
                      <w:sz w:val="18"/>
                      <w:szCs w:val="18"/>
                    </w:rPr>
                  </w:pPr>
                  <w:r>
                    <w:rPr>
                      <w:rFonts w:hint="eastAsia" w:eastAsiaTheme="minorEastAsia"/>
                      <w:sz w:val="18"/>
                      <w:szCs w:val="18"/>
                    </w:rPr>
                    <w:t>1</w:t>
                  </w:r>
                  <w:r>
                    <w:rPr>
                      <w:rFonts w:eastAsiaTheme="minorEastAsia"/>
                      <w:sz w:val="18"/>
                      <w:szCs w:val="18"/>
                    </w:rPr>
                    <w:t>1.14</w:t>
                  </w:r>
                </w:p>
              </w:tc>
              <w:tc>
                <w:tcPr>
                  <w:tcW w:w="552" w:type="pct"/>
                  <w:vAlign w:val="center"/>
                </w:tcPr>
                <w:p>
                  <w:pPr>
                    <w:pStyle w:val="30"/>
                    <w:rPr>
                      <w:rFonts w:eastAsiaTheme="minorEastAsia"/>
                      <w:sz w:val="18"/>
                      <w:szCs w:val="18"/>
                    </w:rPr>
                  </w:pPr>
                  <w:r>
                    <w:rPr>
                      <w:rFonts w:hint="eastAsia" w:eastAsiaTheme="minorEastAsia"/>
                      <w:sz w:val="18"/>
                      <w:szCs w:val="18"/>
                    </w:rPr>
                    <w:t>5</w:t>
                  </w:r>
                  <w:r>
                    <w:rPr>
                      <w:rFonts w:eastAsiaTheme="minorEastAsia"/>
                      <w:sz w:val="18"/>
                      <w:szCs w:val="18"/>
                    </w:rPr>
                    <w:t>7</w:t>
                  </w:r>
                </w:p>
              </w:tc>
              <w:tc>
                <w:tcPr>
                  <w:tcW w:w="552" w:type="pct"/>
                  <w:shd w:val="clear" w:color="auto" w:fill="auto"/>
                  <w:vAlign w:val="center"/>
                </w:tcPr>
                <w:p>
                  <w:pPr>
                    <w:pStyle w:val="30"/>
                    <w:rPr>
                      <w:rFonts w:eastAsiaTheme="minorEastAsia"/>
                      <w:sz w:val="18"/>
                      <w:szCs w:val="18"/>
                    </w:rPr>
                  </w:pPr>
                  <w:r>
                    <w:rPr>
                      <w:rFonts w:hint="eastAsia" w:eastAsiaTheme="minorEastAsia"/>
                      <w:sz w:val="18"/>
                      <w:szCs w:val="18"/>
                    </w:rPr>
                    <w:t>0</w:t>
                  </w:r>
                </w:p>
              </w:tc>
              <w:tc>
                <w:tcPr>
                  <w:tcW w:w="550" w:type="pct"/>
                  <w:shd w:val="clear" w:color="auto" w:fill="auto"/>
                  <w:vAlign w:val="center"/>
                </w:tcPr>
                <w:p>
                  <w:pPr>
                    <w:pStyle w:val="30"/>
                    <w:rPr>
                      <w:rFonts w:eastAsiaTheme="minorEastAsia"/>
                      <w:sz w:val="18"/>
                      <w:szCs w:val="18"/>
                    </w:rPr>
                  </w:pPr>
                  <w:r>
                    <w:rPr>
                      <w:rFonts w:eastAsiaTheme="minor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92" w:type="pct"/>
                  <w:shd w:val="clear" w:color="auto" w:fill="auto"/>
                  <w:vAlign w:val="center"/>
                </w:tcPr>
                <w:p>
                  <w:pPr>
                    <w:pStyle w:val="30"/>
                    <w:rPr>
                      <w:rFonts w:eastAsiaTheme="minorEastAsia"/>
                      <w:sz w:val="18"/>
                      <w:szCs w:val="18"/>
                    </w:rPr>
                  </w:pPr>
                  <w:r>
                    <w:rPr>
                      <w:rFonts w:eastAsiaTheme="minorEastAsia"/>
                      <w:sz w:val="18"/>
                      <w:szCs w:val="18"/>
                    </w:rPr>
                    <w:t>2</w:t>
                  </w:r>
                </w:p>
              </w:tc>
              <w:tc>
                <w:tcPr>
                  <w:tcW w:w="848" w:type="pct"/>
                  <w:shd w:val="clear" w:color="auto" w:fill="auto"/>
                  <w:vAlign w:val="center"/>
                </w:tcPr>
                <w:p>
                  <w:pPr>
                    <w:pStyle w:val="30"/>
                    <w:rPr>
                      <w:rFonts w:eastAsiaTheme="minorEastAsia"/>
                      <w:sz w:val="18"/>
                      <w:szCs w:val="18"/>
                    </w:rPr>
                  </w:pPr>
                  <w:r>
                    <w:rPr>
                      <w:rFonts w:hint="eastAsia" w:eastAsia="宋体"/>
                      <w:sz w:val="18"/>
                      <w:szCs w:val="18"/>
                    </w:rPr>
                    <w:t>刘家场2农户</w:t>
                  </w:r>
                </w:p>
              </w:tc>
              <w:tc>
                <w:tcPr>
                  <w:tcW w:w="551" w:type="pct"/>
                </w:tcPr>
                <w:p>
                  <w:pPr>
                    <w:widowControl/>
                    <w:jc w:val="center"/>
                    <w:rPr>
                      <w:rFonts w:cs="Times New Roman" w:eastAsiaTheme="minorEastAsia"/>
                      <w:sz w:val="18"/>
                      <w:szCs w:val="18"/>
                    </w:rPr>
                  </w:pPr>
                  <w:r>
                    <w:rPr>
                      <w:rFonts w:hint="eastAsia" w:cs="Times New Roman" w:eastAsiaTheme="minorEastAsia"/>
                      <w:sz w:val="18"/>
                      <w:szCs w:val="18"/>
                    </w:rPr>
                    <w:t>5</w:t>
                  </w:r>
                  <w:r>
                    <w:rPr>
                      <w:rFonts w:cs="Times New Roman" w:eastAsiaTheme="minorEastAsia"/>
                      <w:sz w:val="18"/>
                      <w:szCs w:val="18"/>
                    </w:rPr>
                    <w:t>7</w:t>
                  </w:r>
                </w:p>
              </w:tc>
              <w:tc>
                <w:tcPr>
                  <w:tcW w:w="552" w:type="pct"/>
                </w:tcPr>
                <w:p>
                  <w:pPr>
                    <w:widowControl/>
                    <w:jc w:val="center"/>
                    <w:rPr>
                      <w:rFonts w:cs="Times New Roman" w:eastAsiaTheme="minorEastAsia"/>
                      <w:sz w:val="18"/>
                      <w:szCs w:val="18"/>
                    </w:rPr>
                  </w:pPr>
                  <w:r>
                    <w:rPr>
                      <w:rFonts w:hint="eastAsia" w:cs="Times New Roman" w:eastAsiaTheme="minorEastAsia"/>
                      <w:sz w:val="18"/>
                      <w:szCs w:val="18"/>
                    </w:rPr>
                    <w:t>5</w:t>
                  </w:r>
                  <w:r>
                    <w:rPr>
                      <w:rFonts w:cs="Times New Roman" w:eastAsiaTheme="minorEastAsia"/>
                      <w:sz w:val="18"/>
                      <w:szCs w:val="18"/>
                    </w:rPr>
                    <w:t>7</w:t>
                  </w:r>
                </w:p>
              </w:tc>
              <w:tc>
                <w:tcPr>
                  <w:tcW w:w="552" w:type="pct"/>
                  <w:shd w:val="clear" w:color="auto" w:fill="auto"/>
                  <w:vAlign w:val="center"/>
                </w:tcPr>
                <w:p>
                  <w:pPr>
                    <w:widowControl/>
                    <w:jc w:val="center"/>
                    <w:rPr>
                      <w:rFonts w:cs="Times New Roman" w:eastAsiaTheme="minorEastAsia"/>
                      <w:sz w:val="18"/>
                      <w:szCs w:val="18"/>
                    </w:rPr>
                  </w:pPr>
                  <w:r>
                    <w:rPr>
                      <w:rFonts w:hint="eastAsia" w:cs="Times New Roman" w:eastAsiaTheme="minorEastAsia"/>
                      <w:sz w:val="18"/>
                      <w:szCs w:val="18"/>
                    </w:rPr>
                    <w:t>6</w:t>
                  </w:r>
                  <w:r>
                    <w:rPr>
                      <w:rFonts w:cs="Times New Roman" w:eastAsiaTheme="minorEastAsia"/>
                      <w:sz w:val="18"/>
                      <w:szCs w:val="18"/>
                    </w:rPr>
                    <w:t>0</w:t>
                  </w:r>
                </w:p>
              </w:tc>
              <w:tc>
                <w:tcPr>
                  <w:tcW w:w="551" w:type="pct"/>
                  <w:vAlign w:val="center"/>
                </w:tcPr>
                <w:p>
                  <w:pPr>
                    <w:pStyle w:val="30"/>
                    <w:rPr>
                      <w:rFonts w:eastAsiaTheme="minorEastAsia"/>
                      <w:sz w:val="18"/>
                      <w:szCs w:val="18"/>
                    </w:rPr>
                  </w:pPr>
                  <w:r>
                    <w:rPr>
                      <w:rFonts w:hint="eastAsia" w:eastAsiaTheme="minorEastAsia"/>
                      <w:sz w:val="18"/>
                      <w:szCs w:val="18"/>
                    </w:rPr>
                    <w:t>1</w:t>
                  </w:r>
                  <w:r>
                    <w:rPr>
                      <w:rFonts w:eastAsiaTheme="minorEastAsia"/>
                      <w:sz w:val="18"/>
                      <w:szCs w:val="18"/>
                    </w:rPr>
                    <w:t>0.</w:t>
                  </w:r>
                  <w:r>
                    <w:rPr>
                      <w:rFonts w:hint="eastAsia" w:eastAsiaTheme="minorEastAsia"/>
                      <w:sz w:val="18"/>
                      <w:szCs w:val="18"/>
                    </w:rPr>
                    <w:t>7</w:t>
                  </w:r>
                  <w:r>
                    <w:rPr>
                      <w:rFonts w:eastAsiaTheme="minorEastAsia"/>
                      <w:sz w:val="18"/>
                      <w:szCs w:val="18"/>
                    </w:rPr>
                    <w:t>4</w:t>
                  </w:r>
                </w:p>
              </w:tc>
              <w:tc>
                <w:tcPr>
                  <w:tcW w:w="552" w:type="pct"/>
                  <w:vAlign w:val="center"/>
                </w:tcPr>
                <w:p>
                  <w:pPr>
                    <w:pStyle w:val="30"/>
                    <w:rPr>
                      <w:rFonts w:eastAsiaTheme="minorEastAsia"/>
                      <w:sz w:val="18"/>
                      <w:szCs w:val="18"/>
                    </w:rPr>
                  </w:pPr>
                  <w:r>
                    <w:rPr>
                      <w:rFonts w:hint="eastAsia" w:eastAsiaTheme="minorEastAsia"/>
                      <w:sz w:val="18"/>
                      <w:szCs w:val="18"/>
                    </w:rPr>
                    <w:t>5</w:t>
                  </w:r>
                  <w:r>
                    <w:rPr>
                      <w:rFonts w:eastAsiaTheme="minorEastAsia"/>
                      <w:sz w:val="18"/>
                      <w:szCs w:val="18"/>
                    </w:rPr>
                    <w:t>7</w:t>
                  </w:r>
                </w:p>
              </w:tc>
              <w:tc>
                <w:tcPr>
                  <w:tcW w:w="552" w:type="pct"/>
                  <w:shd w:val="clear" w:color="auto" w:fill="auto"/>
                  <w:vAlign w:val="center"/>
                </w:tcPr>
                <w:p>
                  <w:pPr>
                    <w:pStyle w:val="30"/>
                    <w:rPr>
                      <w:rFonts w:eastAsiaTheme="minorEastAsia"/>
                      <w:sz w:val="18"/>
                      <w:szCs w:val="18"/>
                    </w:rPr>
                  </w:pPr>
                  <w:r>
                    <w:rPr>
                      <w:rFonts w:hint="eastAsia" w:eastAsiaTheme="minorEastAsia"/>
                      <w:sz w:val="18"/>
                      <w:szCs w:val="18"/>
                    </w:rPr>
                    <w:t>0</w:t>
                  </w:r>
                </w:p>
              </w:tc>
              <w:tc>
                <w:tcPr>
                  <w:tcW w:w="550" w:type="pct"/>
                  <w:shd w:val="clear" w:color="auto" w:fill="auto"/>
                  <w:vAlign w:val="center"/>
                </w:tcPr>
                <w:p>
                  <w:pPr>
                    <w:pStyle w:val="30"/>
                    <w:rPr>
                      <w:rFonts w:eastAsiaTheme="minorEastAsia"/>
                      <w:sz w:val="18"/>
                      <w:szCs w:val="18"/>
                    </w:rPr>
                  </w:pPr>
                  <w:r>
                    <w:rPr>
                      <w:rFonts w:eastAsiaTheme="minorEastAsia"/>
                      <w:sz w:val="18"/>
                      <w:szCs w:val="18"/>
                    </w:rPr>
                    <w:t>是</w:t>
                  </w:r>
                </w:p>
              </w:tc>
            </w:tr>
          </w:tbl>
          <w:p>
            <w:pPr>
              <w:spacing w:line="360" w:lineRule="auto"/>
              <w:jc w:val="center"/>
              <w:rPr>
                <w:sz w:val="24"/>
                <w:szCs w:val="24"/>
              </w:rPr>
            </w:pPr>
            <w:r>
              <w:drawing>
                <wp:inline distT="0" distB="0" distL="0" distR="0">
                  <wp:extent cx="5149850" cy="4143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0"/>
                          <a:stretch>
                            <a:fillRect/>
                          </a:stretch>
                        </pic:blipFill>
                        <pic:spPr>
                          <a:xfrm>
                            <a:off x="0" y="0"/>
                            <a:ext cx="5187725" cy="4173648"/>
                          </a:xfrm>
                          <a:prstGeom prst="rect">
                            <a:avLst/>
                          </a:prstGeom>
                        </pic:spPr>
                      </pic:pic>
                    </a:graphicData>
                  </a:graphic>
                </wp:inline>
              </w:drawing>
            </w:r>
          </w:p>
          <w:p>
            <w:pPr>
              <w:spacing w:line="360" w:lineRule="auto"/>
              <w:jc w:val="center"/>
              <w:rPr>
                <w:rFonts w:eastAsia="黑体" w:cs="Times New Roman"/>
                <w:szCs w:val="21"/>
              </w:rPr>
            </w:pPr>
            <w:r>
              <w:rPr>
                <w:rFonts w:hint="eastAsia" w:eastAsia="黑体" w:cs="Times New Roman"/>
                <w:szCs w:val="21"/>
              </w:rPr>
              <w:t>图4</w:t>
            </w:r>
            <w:r>
              <w:rPr>
                <w:rFonts w:eastAsia="黑体" w:cs="Times New Roman"/>
                <w:szCs w:val="21"/>
              </w:rPr>
              <w:t xml:space="preserve">-3  </w:t>
            </w:r>
            <w:r>
              <w:rPr>
                <w:rFonts w:hint="eastAsia" w:eastAsia="黑体" w:cs="Times New Roman"/>
                <w:szCs w:val="21"/>
              </w:rPr>
              <w:t>改建项目等值线图</w:t>
            </w:r>
          </w:p>
          <w:p>
            <w:pPr>
              <w:spacing w:line="360" w:lineRule="auto"/>
              <w:ind w:firstLine="480" w:firstLineChars="200"/>
              <w:rPr>
                <w:sz w:val="24"/>
                <w:szCs w:val="24"/>
              </w:rPr>
            </w:pPr>
            <w:r>
              <w:rPr>
                <w:rFonts w:hint="eastAsia"/>
                <w:sz w:val="24"/>
                <w:szCs w:val="24"/>
              </w:rPr>
              <w:t>根据噪声预测结果，项目运营期在采取本环评提出的噪声控制措施后，厂界各预测点噪声均满足《工业企业厂界环境噪声排放标准》（GB12348-2008）2类标准，实现达标排放；各声环境保护目标处噪声预测值均满足相应环境功能区标准。</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）监测要求</w:t>
            </w:r>
          </w:p>
          <w:p>
            <w:pPr>
              <w:spacing w:line="360" w:lineRule="auto"/>
              <w:ind w:firstLine="480" w:firstLineChars="200"/>
              <w:rPr>
                <w:sz w:val="24"/>
                <w:szCs w:val="24"/>
              </w:rPr>
            </w:pPr>
            <w:r>
              <w:rPr>
                <w:rFonts w:hint="eastAsia"/>
                <w:sz w:val="24"/>
                <w:szCs w:val="24"/>
              </w:rPr>
              <w:t>本次环评根据《排污许可证申请与核发技术规范 工业噪声》（HJ1301-2023），结合全厂生产运行情况提出污染源监测计划，详见下表：</w:t>
            </w:r>
          </w:p>
          <w:p>
            <w:pPr>
              <w:spacing w:line="360" w:lineRule="auto"/>
              <w:jc w:val="center"/>
              <w:rPr>
                <w:rFonts w:eastAsia="黑体"/>
                <w:szCs w:val="21"/>
              </w:rPr>
            </w:pPr>
            <w:r>
              <w:rPr>
                <w:rFonts w:eastAsia="黑体"/>
                <w:szCs w:val="21"/>
              </w:rPr>
              <w:t>表4</w:t>
            </w:r>
            <w:r>
              <w:rPr>
                <w:rFonts w:hint="eastAsia" w:eastAsia="黑体"/>
                <w:szCs w:val="21"/>
              </w:rPr>
              <w:t>-22</w:t>
            </w:r>
            <w:r>
              <w:rPr>
                <w:rFonts w:eastAsia="黑体"/>
                <w:szCs w:val="21"/>
              </w:rPr>
              <w:t xml:space="preserve">  噪声</w:t>
            </w:r>
            <w:r>
              <w:rPr>
                <w:rFonts w:hint="eastAsia" w:eastAsia="黑体"/>
                <w:szCs w:val="21"/>
              </w:rPr>
              <w:t>监测方案</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921"/>
              <w:gridCol w:w="1425"/>
              <w:gridCol w:w="3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89" w:type="pct"/>
                  <w:shd w:val="clear" w:color="auto" w:fill="auto"/>
                  <w:vAlign w:val="center"/>
                </w:tcPr>
                <w:p>
                  <w:pPr>
                    <w:jc w:val="center"/>
                    <w:rPr>
                      <w:szCs w:val="21"/>
                    </w:rPr>
                  </w:pPr>
                  <w:r>
                    <w:rPr>
                      <w:szCs w:val="21"/>
                    </w:rPr>
                    <w:t>监测点位</w:t>
                  </w:r>
                </w:p>
              </w:tc>
              <w:tc>
                <w:tcPr>
                  <w:tcW w:w="1050" w:type="pct"/>
                  <w:shd w:val="clear" w:color="auto" w:fill="auto"/>
                  <w:vAlign w:val="center"/>
                </w:tcPr>
                <w:p>
                  <w:pPr>
                    <w:jc w:val="center"/>
                    <w:rPr>
                      <w:szCs w:val="21"/>
                    </w:rPr>
                  </w:pPr>
                  <w:r>
                    <w:rPr>
                      <w:szCs w:val="21"/>
                    </w:rPr>
                    <w:t>监测指标</w:t>
                  </w:r>
                </w:p>
              </w:tc>
              <w:tc>
                <w:tcPr>
                  <w:tcW w:w="779" w:type="pct"/>
                  <w:shd w:val="clear" w:color="auto" w:fill="auto"/>
                  <w:vAlign w:val="center"/>
                </w:tcPr>
                <w:p>
                  <w:pPr>
                    <w:jc w:val="center"/>
                    <w:rPr>
                      <w:szCs w:val="21"/>
                    </w:rPr>
                  </w:pPr>
                  <w:r>
                    <w:rPr>
                      <w:szCs w:val="21"/>
                    </w:rPr>
                    <w:t>监测频次</w:t>
                  </w:r>
                </w:p>
              </w:tc>
              <w:tc>
                <w:tcPr>
                  <w:tcW w:w="2182" w:type="pct"/>
                </w:tcPr>
                <w:p>
                  <w:pPr>
                    <w:jc w:val="center"/>
                    <w:rPr>
                      <w:szCs w:val="21"/>
                    </w:rPr>
                  </w:pPr>
                  <w:r>
                    <w:rPr>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89" w:type="pct"/>
                  <w:shd w:val="clear" w:color="auto" w:fill="auto"/>
                  <w:vAlign w:val="center"/>
                </w:tcPr>
                <w:p>
                  <w:pPr>
                    <w:jc w:val="center"/>
                    <w:rPr>
                      <w:szCs w:val="21"/>
                    </w:rPr>
                  </w:pPr>
                  <w:r>
                    <w:rPr>
                      <w:rFonts w:hint="eastAsia"/>
                      <w:szCs w:val="21"/>
                    </w:rPr>
                    <w:t>厂界</w:t>
                  </w:r>
                </w:p>
              </w:tc>
              <w:tc>
                <w:tcPr>
                  <w:tcW w:w="1050" w:type="pct"/>
                  <w:shd w:val="clear" w:color="auto" w:fill="auto"/>
                  <w:vAlign w:val="center"/>
                </w:tcPr>
                <w:p>
                  <w:pPr>
                    <w:jc w:val="center"/>
                    <w:rPr>
                      <w:szCs w:val="21"/>
                    </w:rPr>
                  </w:pPr>
                  <w:r>
                    <w:rPr>
                      <w:rFonts w:hint="eastAsia"/>
                      <w:szCs w:val="21"/>
                    </w:rPr>
                    <w:t>Leq、L</w:t>
                  </w:r>
                  <w:r>
                    <w:rPr>
                      <w:rFonts w:hint="eastAsia"/>
                      <w:szCs w:val="21"/>
                      <w:vertAlign w:val="subscript"/>
                    </w:rPr>
                    <w:t>max</w:t>
                  </w:r>
                </w:p>
              </w:tc>
              <w:tc>
                <w:tcPr>
                  <w:tcW w:w="779" w:type="pct"/>
                  <w:shd w:val="clear" w:color="auto" w:fill="auto"/>
                  <w:vAlign w:val="center"/>
                </w:tcPr>
                <w:p>
                  <w:pPr>
                    <w:jc w:val="center"/>
                    <w:rPr>
                      <w:szCs w:val="21"/>
                    </w:rPr>
                  </w:pPr>
                  <w:r>
                    <w:rPr>
                      <w:rFonts w:hint="eastAsia"/>
                      <w:szCs w:val="21"/>
                    </w:rPr>
                    <w:t>1季度/</w:t>
                  </w:r>
                  <w:r>
                    <w:rPr>
                      <w:szCs w:val="21"/>
                    </w:rPr>
                    <w:t>次</w:t>
                  </w:r>
                </w:p>
              </w:tc>
              <w:tc>
                <w:tcPr>
                  <w:tcW w:w="2182" w:type="pct"/>
                  <w:vAlign w:val="center"/>
                </w:tcPr>
                <w:p>
                  <w:pPr>
                    <w:jc w:val="center"/>
                    <w:rPr>
                      <w:szCs w:val="21"/>
                    </w:rPr>
                  </w:pPr>
                  <w:r>
                    <w:rPr>
                      <w:rFonts w:hint="eastAsia"/>
                      <w:szCs w:val="21"/>
                    </w:rPr>
                    <w:t>《工业企业厂界环境噪声排放标准》（GB12348-2008）</w:t>
                  </w:r>
                  <w:r>
                    <w:rPr>
                      <w:szCs w:val="21"/>
                    </w:rPr>
                    <w:t>2类</w:t>
                  </w:r>
                  <w:r>
                    <w:rPr>
                      <w:rFonts w:hint="eastAsia"/>
                      <w:szCs w:val="21"/>
                    </w:rPr>
                    <w:t>标准</w:t>
                  </w:r>
                </w:p>
              </w:tc>
            </w:tr>
          </w:tbl>
          <w:p>
            <w:pPr>
              <w:spacing w:line="360" w:lineRule="auto"/>
              <w:ind w:firstLine="482" w:firstLineChars="200"/>
              <w:rPr>
                <w:b/>
                <w:sz w:val="24"/>
                <w:szCs w:val="24"/>
              </w:rPr>
            </w:pPr>
            <w:r>
              <w:rPr>
                <w:b/>
                <w:sz w:val="24"/>
                <w:szCs w:val="24"/>
              </w:rPr>
              <w:t>4</w:t>
            </w:r>
            <w:r>
              <w:rPr>
                <w:rFonts w:hint="eastAsia"/>
                <w:b/>
                <w:sz w:val="24"/>
                <w:szCs w:val="24"/>
              </w:rPr>
              <w:t>、固体废物</w:t>
            </w:r>
          </w:p>
          <w:p>
            <w:pPr>
              <w:spacing w:line="360" w:lineRule="auto"/>
              <w:ind w:firstLine="482" w:firstLineChars="200"/>
              <w:rPr>
                <w:b/>
                <w:sz w:val="24"/>
                <w:szCs w:val="24"/>
              </w:rPr>
            </w:pPr>
            <w:r>
              <w:rPr>
                <w:rFonts w:hint="eastAsia"/>
                <w:b/>
                <w:sz w:val="24"/>
                <w:szCs w:val="24"/>
              </w:rPr>
              <w:t>（</w:t>
            </w:r>
            <w:r>
              <w:rPr>
                <w:b/>
                <w:sz w:val="24"/>
                <w:szCs w:val="24"/>
              </w:rPr>
              <w:t>1</w:t>
            </w:r>
            <w:r>
              <w:rPr>
                <w:rFonts w:hint="eastAsia"/>
                <w:b/>
                <w:sz w:val="24"/>
                <w:szCs w:val="24"/>
              </w:rPr>
              <w:t>）一般废物</w:t>
            </w:r>
          </w:p>
          <w:p>
            <w:pPr>
              <w:spacing w:line="360" w:lineRule="auto"/>
              <w:ind w:firstLine="482" w:firstLineChars="200"/>
              <w:rPr>
                <w:b/>
                <w:sz w:val="24"/>
                <w:szCs w:val="24"/>
              </w:rPr>
            </w:pPr>
            <w:r>
              <w:rPr>
                <w:rFonts w:hint="eastAsia"/>
                <w:b/>
                <w:sz w:val="24"/>
                <w:szCs w:val="24"/>
              </w:rPr>
              <w:t>①产生情况</w:t>
            </w:r>
          </w:p>
          <w:p>
            <w:pPr>
              <w:spacing w:line="360" w:lineRule="auto"/>
              <w:ind w:firstLine="482" w:firstLineChars="200"/>
              <w:rPr>
                <w:sz w:val="24"/>
                <w:szCs w:val="24"/>
              </w:rPr>
            </w:pPr>
            <w:r>
              <w:rPr>
                <w:rFonts w:hint="eastAsia"/>
                <w:b/>
                <w:sz w:val="24"/>
                <w:szCs w:val="24"/>
              </w:rPr>
              <w:t>除尘设施及地面收集的粉尘</w:t>
            </w:r>
            <w:r>
              <w:rPr>
                <w:rFonts w:hint="eastAsia"/>
                <w:sz w:val="24"/>
                <w:szCs w:val="24"/>
              </w:rPr>
              <w:t>：</w:t>
            </w:r>
            <w:r>
              <w:rPr>
                <w:rFonts w:hint="eastAsia"/>
                <w:bCs/>
                <w:sz w:val="24"/>
                <w:szCs w:val="24"/>
              </w:rPr>
              <w:t>主要为除尘器和作业区地面收集的粉尘，产生于生产线各袋式除尘器、制砂楼、装车等区域，产生量约</w:t>
            </w:r>
            <w:r>
              <w:rPr>
                <w:sz w:val="24"/>
                <w:szCs w:val="24"/>
              </w:rPr>
              <w:t>94</w:t>
            </w:r>
            <w:r>
              <w:rPr>
                <w:rFonts w:hint="eastAsia"/>
                <w:sz w:val="24"/>
                <w:szCs w:val="24"/>
              </w:rPr>
              <w:t>1.185t</w:t>
            </w:r>
            <w:r>
              <w:rPr>
                <w:sz w:val="24"/>
                <w:szCs w:val="24"/>
              </w:rPr>
              <w:t>/a</w:t>
            </w:r>
            <w:r>
              <w:rPr>
                <w:rFonts w:hint="eastAsia"/>
                <w:sz w:val="24"/>
                <w:szCs w:val="24"/>
              </w:rPr>
              <w:t>。</w:t>
            </w:r>
          </w:p>
          <w:p>
            <w:pPr>
              <w:spacing w:line="360" w:lineRule="auto"/>
              <w:ind w:firstLine="482" w:firstLineChars="200"/>
              <w:rPr>
                <w:bCs/>
                <w:sz w:val="24"/>
                <w:szCs w:val="24"/>
              </w:rPr>
            </w:pPr>
            <w:r>
              <w:rPr>
                <w:rFonts w:hint="eastAsia"/>
                <w:b/>
                <w:sz w:val="24"/>
                <w:szCs w:val="24"/>
              </w:rPr>
              <w:t>沉淀池泥沙</w:t>
            </w:r>
            <w:r>
              <w:rPr>
                <w:rFonts w:hint="eastAsia"/>
                <w:sz w:val="24"/>
                <w:szCs w:val="24"/>
              </w:rPr>
              <w:t>：主要为车辆冲洗废水沉淀池定期清理的泥沙，新增产生量约0.126t/a。</w:t>
            </w:r>
          </w:p>
          <w:p>
            <w:pPr>
              <w:spacing w:line="360" w:lineRule="auto"/>
              <w:ind w:firstLine="482" w:firstLineChars="200"/>
              <w:rPr>
                <w:b/>
                <w:sz w:val="24"/>
                <w:szCs w:val="24"/>
              </w:rPr>
            </w:pPr>
            <w:r>
              <w:rPr>
                <w:rFonts w:hint="eastAsia"/>
                <w:b/>
                <w:sz w:val="24"/>
                <w:szCs w:val="24"/>
              </w:rPr>
              <w:t>②治理措施</w:t>
            </w:r>
          </w:p>
          <w:p>
            <w:pPr>
              <w:spacing w:line="360" w:lineRule="auto"/>
              <w:ind w:firstLine="480" w:firstLineChars="200"/>
              <w:rPr>
                <w:sz w:val="24"/>
                <w:szCs w:val="24"/>
              </w:rPr>
            </w:pPr>
            <w:r>
              <w:rPr>
                <w:rFonts w:hint="eastAsia"/>
                <w:sz w:val="24"/>
                <w:szCs w:val="24"/>
              </w:rPr>
              <w:t>各袋式除尘器收集的粉尘以及</w:t>
            </w:r>
            <w:r>
              <w:rPr>
                <w:rFonts w:hint="eastAsia"/>
                <w:bCs/>
                <w:sz w:val="24"/>
                <w:szCs w:val="24"/>
              </w:rPr>
              <w:t>制砂楼、装车等区域收集的地面降尘</w:t>
            </w:r>
            <w:r>
              <w:rPr>
                <w:rFonts w:hint="eastAsia"/>
                <w:sz w:val="24"/>
                <w:szCs w:val="24"/>
              </w:rPr>
              <w:t>全部回用于生产线，沉淀池泥沙清理后作为水泥辅材回用于生产线，实现综合利用。</w:t>
            </w:r>
          </w:p>
          <w:p>
            <w:pPr>
              <w:spacing w:line="360" w:lineRule="auto"/>
              <w:ind w:firstLine="480" w:firstLineChars="200"/>
              <w:rPr>
                <w:sz w:val="24"/>
                <w:szCs w:val="24"/>
              </w:rPr>
            </w:pPr>
            <w:r>
              <w:rPr>
                <w:rFonts w:hint="eastAsia"/>
                <w:sz w:val="24"/>
                <w:szCs w:val="24"/>
              </w:rPr>
              <w:t>项目一般固体废物污染源源强核算结果见下表：</w:t>
            </w:r>
          </w:p>
          <w:p>
            <w:pPr>
              <w:spacing w:line="360" w:lineRule="auto"/>
              <w:jc w:val="center"/>
              <w:rPr>
                <w:rFonts w:eastAsia="黑体"/>
                <w:szCs w:val="21"/>
              </w:rPr>
            </w:pPr>
            <w:r>
              <w:rPr>
                <w:rFonts w:eastAsia="黑体"/>
                <w:szCs w:val="21"/>
              </w:rPr>
              <w:t>表4</w:t>
            </w:r>
            <w:r>
              <w:rPr>
                <w:rFonts w:hint="eastAsia" w:eastAsia="黑体"/>
                <w:szCs w:val="21"/>
              </w:rPr>
              <w:t>-23</w:t>
            </w:r>
            <w:r>
              <w:rPr>
                <w:rFonts w:eastAsia="黑体"/>
                <w:szCs w:val="21"/>
              </w:rPr>
              <w:t xml:space="preserve">  </w:t>
            </w:r>
            <w:r>
              <w:rPr>
                <w:rFonts w:hint="eastAsia" w:eastAsia="黑体"/>
                <w:szCs w:val="21"/>
              </w:rPr>
              <w:t>一般固体废物污染源源强核算结果表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586"/>
              <w:gridCol w:w="1178"/>
              <w:gridCol w:w="1451"/>
              <w:gridCol w:w="1453"/>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8" w:type="pct"/>
                  <w:vMerge w:val="restart"/>
                  <w:vAlign w:val="center"/>
                </w:tcPr>
                <w:p>
                  <w:pPr>
                    <w:jc w:val="center"/>
                    <w:rPr>
                      <w:szCs w:val="21"/>
                    </w:rPr>
                  </w:pPr>
                  <w:r>
                    <w:rPr>
                      <w:rFonts w:hint="eastAsia"/>
                      <w:szCs w:val="21"/>
                    </w:rPr>
                    <w:t>产生源</w:t>
                  </w:r>
                </w:p>
              </w:tc>
              <w:tc>
                <w:tcPr>
                  <w:tcW w:w="867" w:type="pct"/>
                  <w:vMerge w:val="restart"/>
                  <w:vAlign w:val="center"/>
                </w:tcPr>
                <w:p>
                  <w:pPr>
                    <w:jc w:val="center"/>
                    <w:rPr>
                      <w:szCs w:val="21"/>
                    </w:rPr>
                  </w:pPr>
                  <w:r>
                    <w:rPr>
                      <w:szCs w:val="21"/>
                    </w:rPr>
                    <w:t>固体废物名称</w:t>
                  </w:r>
                </w:p>
              </w:tc>
              <w:tc>
                <w:tcPr>
                  <w:tcW w:w="644" w:type="pct"/>
                  <w:vMerge w:val="restart"/>
                  <w:vAlign w:val="center"/>
                </w:tcPr>
                <w:p>
                  <w:pPr>
                    <w:jc w:val="center"/>
                    <w:rPr>
                      <w:szCs w:val="21"/>
                    </w:rPr>
                  </w:pPr>
                  <w:r>
                    <w:rPr>
                      <w:rFonts w:hint="eastAsia"/>
                      <w:szCs w:val="21"/>
                    </w:rPr>
                    <w:t>产生量（t）</w:t>
                  </w:r>
                </w:p>
              </w:tc>
              <w:tc>
                <w:tcPr>
                  <w:tcW w:w="1587" w:type="pct"/>
                  <w:gridSpan w:val="2"/>
                  <w:vAlign w:val="center"/>
                </w:tcPr>
                <w:p>
                  <w:pPr>
                    <w:jc w:val="center"/>
                    <w:rPr>
                      <w:szCs w:val="21"/>
                    </w:rPr>
                  </w:pPr>
                  <w:r>
                    <w:rPr>
                      <w:rFonts w:hint="eastAsia"/>
                      <w:szCs w:val="21"/>
                    </w:rPr>
                    <w:t>处置措施</w:t>
                  </w:r>
                </w:p>
              </w:tc>
              <w:tc>
                <w:tcPr>
                  <w:tcW w:w="1044" w:type="pct"/>
                  <w:vMerge w:val="restart"/>
                  <w:vAlign w:val="center"/>
                </w:tcPr>
                <w:p>
                  <w:pPr>
                    <w:jc w:val="center"/>
                    <w:rPr>
                      <w:szCs w:val="21"/>
                    </w:rPr>
                  </w:pPr>
                  <w:r>
                    <w:rPr>
                      <w:rFonts w:hint="eastAsia"/>
                      <w:szCs w:val="21"/>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8" w:type="pct"/>
                  <w:vMerge w:val="continue"/>
                  <w:vAlign w:val="center"/>
                </w:tcPr>
                <w:p>
                  <w:pPr>
                    <w:jc w:val="center"/>
                    <w:rPr>
                      <w:szCs w:val="21"/>
                    </w:rPr>
                  </w:pPr>
                </w:p>
              </w:tc>
              <w:tc>
                <w:tcPr>
                  <w:tcW w:w="867" w:type="pct"/>
                  <w:vMerge w:val="continue"/>
                  <w:vAlign w:val="center"/>
                </w:tcPr>
                <w:p>
                  <w:pPr>
                    <w:jc w:val="center"/>
                    <w:rPr>
                      <w:szCs w:val="21"/>
                    </w:rPr>
                  </w:pPr>
                </w:p>
              </w:tc>
              <w:tc>
                <w:tcPr>
                  <w:tcW w:w="644" w:type="pct"/>
                  <w:vMerge w:val="continue"/>
                  <w:vAlign w:val="center"/>
                </w:tcPr>
                <w:p>
                  <w:pPr>
                    <w:jc w:val="center"/>
                    <w:rPr>
                      <w:szCs w:val="21"/>
                    </w:rPr>
                  </w:pPr>
                </w:p>
              </w:tc>
              <w:tc>
                <w:tcPr>
                  <w:tcW w:w="793" w:type="pct"/>
                  <w:vAlign w:val="center"/>
                </w:tcPr>
                <w:p>
                  <w:pPr>
                    <w:jc w:val="center"/>
                    <w:rPr>
                      <w:szCs w:val="21"/>
                    </w:rPr>
                  </w:pPr>
                  <w:r>
                    <w:rPr>
                      <w:rFonts w:hint="eastAsia"/>
                      <w:szCs w:val="21"/>
                    </w:rPr>
                    <w:t>工艺</w:t>
                  </w:r>
                </w:p>
              </w:tc>
              <w:tc>
                <w:tcPr>
                  <w:tcW w:w="794" w:type="pct"/>
                  <w:vAlign w:val="center"/>
                </w:tcPr>
                <w:p>
                  <w:pPr>
                    <w:jc w:val="center"/>
                    <w:rPr>
                      <w:szCs w:val="21"/>
                    </w:rPr>
                  </w:pPr>
                  <w:r>
                    <w:rPr>
                      <w:rFonts w:hint="eastAsia"/>
                      <w:szCs w:val="21"/>
                    </w:rPr>
                    <w:t>处置量（t）</w:t>
                  </w:r>
                </w:p>
              </w:tc>
              <w:tc>
                <w:tcPr>
                  <w:tcW w:w="104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pct"/>
                </w:tcPr>
                <w:p>
                  <w:pPr>
                    <w:jc w:val="center"/>
                    <w:rPr>
                      <w:szCs w:val="21"/>
                    </w:rPr>
                  </w:pPr>
                  <w:r>
                    <w:rPr>
                      <w:rFonts w:hint="eastAsia"/>
                      <w:szCs w:val="21"/>
                    </w:rPr>
                    <w:t>袋式除尘器、制砂楼、装车区等</w:t>
                  </w:r>
                </w:p>
              </w:tc>
              <w:tc>
                <w:tcPr>
                  <w:tcW w:w="867" w:type="pct"/>
                  <w:vAlign w:val="center"/>
                </w:tcPr>
                <w:p>
                  <w:pPr>
                    <w:jc w:val="center"/>
                    <w:rPr>
                      <w:szCs w:val="21"/>
                    </w:rPr>
                  </w:pPr>
                  <w:r>
                    <w:rPr>
                      <w:rFonts w:hint="eastAsia"/>
                      <w:szCs w:val="21"/>
                    </w:rPr>
                    <w:t>除尘设施及地面收集的粉尘</w:t>
                  </w:r>
                </w:p>
              </w:tc>
              <w:tc>
                <w:tcPr>
                  <w:tcW w:w="644" w:type="pct"/>
                  <w:vAlign w:val="center"/>
                </w:tcPr>
                <w:p>
                  <w:pPr>
                    <w:jc w:val="center"/>
                    <w:rPr>
                      <w:szCs w:val="21"/>
                    </w:rPr>
                  </w:pPr>
                  <w:r>
                    <w:rPr>
                      <w:szCs w:val="21"/>
                    </w:rPr>
                    <w:t>941.185</w:t>
                  </w:r>
                </w:p>
              </w:tc>
              <w:tc>
                <w:tcPr>
                  <w:tcW w:w="793" w:type="pct"/>
                  <w:vAlign w:val="center"/>
                </w:tcPr>
                <w:p>
                  <w:pPr>
                    <w:jc w:val="center"/>
                    <w:rPr>
                      <w:szCs w:val="21"/>
                    </w:rPr>
                  </w:pPr>
                  <w:r>
                    <w:rPr>
                      <w:rFonts w:hint="eastAsia"/>
                      <w:szCs w:val="21"/>
                    </w:rPr>
                    <w:t>自行利用</w:t>
                  </w:r>
                </w:p>
              </w:tc>
              <w:tc>
                <w:tcPr>
                  <w:tcW w:w="794" w:type="pct"/>
                  <w:vAlign w:val="center"/>
                </w:tcPr>
                <w:p>
                  <w:pPr>
                    <w:jc w:val="center"/>
                    <w:rPr>
                      <w:szCs w:val="21"/>
                    </w:rPr>
                  </w:pPr>
                  <w:r>
                    <w:rPr>
                      <w:szCs w:val="21"/>
                    </w:rPr>
                    <w:t>941.185</w:t>
                  </w:r>
                </w:p>
              </w:tc>
              <w:tc>
                <w:tcPr>
                  <w:tcW w:w="1044" w:type="pct"/>
                  <w:vAlign w:val="center"/>
                </w:tcPr>
                <w:p>
                  <w:pPr>
                    <w:jc w:val="center"/>
                    <w:rPr>
                      <w:szCs w:val="21"/>
                    </w:rPr>
                  </w:pPr>
                  <w:r>
                    <w:rPr>
                      <w:rFonts w:hint="eastAsia"/>
                      <w:szCs w:val="21"/>
                    </w:rPr>
                    <w:t>回用于生产线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pct"/>
                </w:tcPr>
                <w:p>
                  <w:pPr>
                    <w:jc w:val="center"/>
                    <w:rPr>
                      <w:szCs w:val="21"/>
                    </w:rPr>
                  </w:pPr>
                  <w:r>
                    <w:rPr>
                      <w:rFonts w:hint="eastAsia"/>
                      <w:szCs w:val="21"/>
                    </w:rPr>
                    <w:t>沉淀池</w:t>
                  </w:r>
                </w:p>
              </w:tc>
              <w:tc>
                <w:tcPr>
                  <w:tcW w:w="867" w:type="pct"/>
                  <w:vAlign w:val="center"/>
                </w:tcPr>
                <w:p>
                  <w:pPr>
                    <w:jc w:val="center"/>
                    <w:rPr>
                      <w:szCs w:val="21"/>
                    </w:rPr>
                  </w:pPr>
                  <w:r>
                    <w:rPr>
                      <w:rFonts w:hint="eastAsia"/>
                      <w:szCs w:val="21"/>
                    </w:rPr>
                    <w:t>沉淀池泥沙</w:t>
                  </w:r>
                </w:p>
              </w:tc>
              <w:tc>
                <w:tcPr>
                  <w:tcW w:w="644" w:type="pct"/>
                  <w:vAlign w:val="center"/>
                </w:tcPr>
                <w:p>
                  <w:pPr>
                    <w:jc w:val="center"/>
                    <w:rPr>
                      <w:szCs w:val="21"/>
                    </w:rPr>
                  </w:pPr>
                  <w:r>
                    <w:rPr>
                      <w:rFonts w:hint="eastAsia"/>
                      <w:szCs w:val="21"/>
                    </w:rPr>
                    <w:t>0.126</w:t>
                  </w:r>
                </w:p>
              </w:tc>
              <w:tc>
                <w:tcPr>
                  <w:tcW w:w="793" w:type="pct"/>
                  <w:vAlign w:val="center"/>
                </w:tcPr>
                <w:p>
                  <w:pPr>
                    <w:jc w:val="center"/>
                    <w:rPr>
                      <w:szCs w:val="21"/>
                    </w:rPr>
                  </w:pPr>
                  <w:r>
                    <w:rPr>
                      <w:rFonts w:hint="eastAsia"/>
                      <w:szCs w:val="21"/>
                    </w:rPr>
                    <w:t>自行利用</w:t>
                  </w:r>
                </w:p>
              </w:tc>
              <w:tc>
                <w:tcPr>
                  <w:tcW w:w="794" w:type="pct"/>
                  <w:vAlign w:val="center"/>
                </w:tcPr>
                <w:p>
                  <w:pPr>
                    <w:jc w:val="center"/>
                    <w:rPr>
                      <w:szCs w:val="21"/>
                    </w:rPr>
                  </w:pPr>
                  <w:r>
                    <w:rPr>
                      <w:rFonts w:hint="eastAsia"/>
                      <w:szCs w:val="21"/>
                    </w:rPr>
                    <w:t>0.126</w:t>
                  </w:r>
                </w:p>
              </w:tc>
              <w:tc>
                <w:tcPr>
                  <w:tcW w:w="1044" w:type="pct"/>
                  <w:vAlign w:val="center"/>
                </w:tcPr>
                <w:p>
                  <w:pPr>
                    <w:jc w:val="center"/>
                    <w:rPr>
                      <w:szCs w:val="21"/>
                    </w:rPr>
                  </w:pPr>
                  <w:r>
                    <w:rPr>
                      <w:rFonts w:hint="eastAsia"/>
                      <w:szCs w:val="21"/>
                    </w:rPr>
                    <w:t>回用于生产线</w:t>
                  </w:r>
                </w:p>
              </w:tc>
            </w:tr>
          </w:tbl>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）危险废物</w:t>
            </w:r>
          </w:p>
          <w:p>
            <w:pPr>
              <w:spacing w:line="360" w:lineRule="auto"/>
              <w:ind w:firstLine="482" w:firstLineChars="200"/>
              <w:rPr>
                <w:b/>
                <w:sz w:val="24"/>
                <w:szCs w:val="24"/>
              </w:rPr>
            </w:pPr>
            <w:r>
              <w:rPr>
                <w:rFonts w:hint="eastAsia"/>
                <w:b/>
                <w:sz w:val="24"/>
                <w:szCs w:val="24"/>
              </w:rPr>
              <w:t>①产生情况</w:t>
            </w:r>
          </w:p>
          <w:p>
            <w:pPr>
              <w:spacing w:line="360" w:lineRule="auto"/>
              <w:ind w:firstLine="482" w:firstLineChars="200"/>
              <w:rPr>
                <w:sz w:val="24"/>
                <w:szCs w:val="24"/>
              </w:rPr>
            </w:pPr>
            <w:r>
              <w:rPr>
                <w:rFonts w:hint="eastAsia"/>
                <w:b/>
                <w:sz w:val="24"/>
                <w:szCs w:val="24"/>
              </w:rPr>
              <w:t>废润滑油及包装桶</w:t>
            </w:r>
            <w:r>
              <w:rPr>
                <w:rFonts w:hint="eastAsia"/>
                <w:sz w:val="24"/>
                <w:szCs w:val="24"/>
              </w:rPr>
              <w:t>：主要为设备保养过程中产生的废润滑油，以及沾染有润滑油的包装桶，产生量约</w:t>
            </w:r>
            <w:r>
              <w:rPr>
                <w:sz w:val="24"/>
                <w:szCs w:val="24"/>
              </w:rPr>
              <w:t>2.4</w:t>
            </w:r>
            <w:r>
              <w:rPr>
                <w:rFonts w:hint="eastAsia"/>
                <w:sz w:val="24"/>
                <w:szCs w:val="24"/>
              </w:rPr>
              <w:t>t/a，其属于《国家危险废物名录（2021年版）》中“</w:t>
            </w:r>
            <w:r>
              <w:rPr>
                <w:rFonts w:hint="eastAsia"/>
                <w:i/>
                <w:sz w:val="24"/>
                <w:szCs w:val="24"/>
              </w:rPr>
              <w:t>HW</w:t>
            </w:r>
            <w:r>
              <w:rPr>
                <w:i/>
                <w:sz w:val="24"/>
                <w:szCs w:val="24"/>
              </w:rPr>
              <w:t xml:space="preserve">08 </w:t>
            </w:r>
            <w:r>
              <w:rPr>
                <w:rFonts w:hint="eastAsia"/>
                <w:i/>
                <w:sz w:val="24"/>
                <w:szCs w:val="24"/>
              </w:rPr>
              <w:t>废矿物油与含矿物油废物</w:t>
            </w:r>
            <w:r>
              <w:rPr>
                <w:i/>
                <w:sz w:val="24"/>
                <w:szCs w:val="24"/>
              </w:rPr>
              <w:t>/</w:t>
            </w:r>
            <w:r>
              <w:rPr>
                <w:rFonts w:hint="eastAsia"/>
                <w:i/>
                <w:sz w:val="24"/>
                <w:szCs w:val="24"/>
              </w:rPr>
              <w:t>非特定行业/</w:t>
            </w:r>
            <w:r>
              <w:rPr>
                <w:i/>
                <w:sz w:val="24"/>
                <w:szCs w:val="24"/>
              </w:rPr>
              <w:t xml:space="preserve">900-249-08 </w:t>
            </w:r>
            <w:r>
              <w:rPr>
                <w:rFonts w:hint="eastAsia"/>
                <w:i/>
                <w:sz w:val="24"/>
                <w:szCs w:val="24"/>
              </w:rPr>
              <w:t>其他生产、销售、使用过程中产生的废矿物油及沾染矿物油的废弃包装物</w:t>
            </w:r>
            <w:r>
              <w:rPr>
                <w:rFonts w:hint="eastAsia"/>
                <w:sz w:val="24"/>
                <w:szCs w:val="24"/>
              </w:rPr>
              <w:t>”。</w:t>
            </w:r>
          </w:p>
          <w:p>
            <w:pPr>
              <w:spacing w:line="360" w:lineRule="auto"/>
              <w:ind w:firstLine="482" w:firstLineChars="200"/>
              <w:rPr>
                <w:sz w:val="24"/>
                <w:szCs w:val="24"/>
              </w:rPr>
            </w:pPr>
            <w:r>
              <w:rPr>
                <w:rFonts w:hint="eastAsia"/>
                <w:b/>
                <w:sz w:val="24"/>
                <w:szCs w:val="24"/>
              </w:rPr>
              <w:t>含油棉纱及手套</w:t>
            </w:r>
            <w:r>
              <w:rPr>
                <w:rFonts w:hint="eastAsia"/>
                <w:sz w:val="24"/>
                <w:szCs w:val="24"/>
              </w:rPr>
              <w:t>：主要为设备保养过程中沾染有机油的手套、棉纱等，产生量约0.</w:t>
            </w:r>
            <w:r>
              <w:rPr>
                <w:sz w:val="24"/>
                <w:szCs w:val="24"/>
              </w:rPr>
              <w:t>01</w:t>
            </w:r>
            <w:r>
              <w:rPr>
                <w:rFonts w:hint="eastAsia"/>
                <w:sz w:val="24"/>
                <w:szCs w:val="24"/>
              </w:rPr>
              <w:t>t/a，其属于《国家危险废物名录（20</w:t>
            </w:r>
            <w:r>
              <w:rPr>
                <w:sz w:val="24"/>
                <w:szCs w:val="24"/>
              </w:rPr>
              <w:t>21年</w:t>
            </w:r>
            <w:r>
              <w:rPr>
                <w:rFonts w:hint="eastAsia"/>
                <w:sz w:val="24"/>
                <w:szCs w:val="24"/>
              </w:rPr>
              <w:t>版）》中“HW</w:t>
            </w:r>
            <w:r>
              <w:rPr>
                <w:sz w:val="24"/>
                <w:szCs w:val="24"/>
              </w:rPr>
              <w:t xml:space="preserve">49 </w:t>
            </w:r>
            <w:r>
              <w:rPr>
                <w:rFonts w:hint="eastAsia"/>
                <w:sz w:val="24"/>
                <w:szCs w:val="24"/>
              </w:rPr>
              <w:t>其他废物/非特定行业/</w:t>
            </w:r>
            <w:r>
              <w:t xml:space="preserve"> </w:t>
            </w:r>
            <w:r>
              <w:rPr>
                <w:sz w:val="24"/>
                <w:szCs w:val="24"/>
              </w:rPr>
              <w:t>900-041-49</w:t>
            </w:r>
            <w:r>
              <w:rPr>
                <w:rFonts w:hint="eastAsia"/>
                <w:sz w:val="24"/>
                <w:szCs w:val="24"/>
              </w:rPr>
              <w:t>含有或沾染毒性、感染性危险废物的废弃包装物、容器、过滤吸附介质”。</w:t>
            </w:r>
          </w:p>
          <w:p>
            <w:pPr>
              <w:spacing w:line="360" w:lineRule="auto"/>
              <w:ind w:firstLine="482" w:firstLineChars="200"/>
              <w:rPr>
                <w:b/>
                <w:sz w:val="24"/>
                <w:szCs w:val="24"/>
              </w:rPr>
            </w:pPr>
            <w:r>
              <w:rPr>
                <w:rFonts w:hint="eastAsia"/>
                <w:b/>
                <w:sz w:val="24"/>
                <w:szCs w:val="24"/>
              </w:rPr>
              <w:t>②治理措施</w:t>
            </w:r>
          </w:p>
          <w:p>
            <w:pPr>
              <w:spacing w:line="360" w:lineRule="auto"/>
              <w:ind w:firstLine="482" w:firstLineChars="200"/>
              <w:rPr>
                <w:rFonts w:cs="Times New Roman"/>
                <w:sz w:val="24"/>
                <w:szCs w:val="24"/>
              </w:rPr>
            </w:pPr>
            <w:r>
              <w:rPr>
                <w:rFonts w:cs="Times New Roman"/>
                <w:b/>
                <w:sz w:val="24"/>
                <w:szCs w:val="24"/>
              </w:rPr>
              <w:t>项目</w:t>
            </w:r>
            <w:r>
              <w:rPr>
                <w:rFonts w:hint="eastAsia" w:cs="Times New Roman"/>
                <w:b/>
                <w:sz w:val="24"/>
                <w:szCs w:val="24"/>
              </w:rPr>
              <w:t>依托海螺水泥厂区已建的危废暂存间（面积约</w:t>
            </w:r>
            <w:r>
              <w:rPr>
                <w:rFonts w:cs="Times New Roman"/>
                <w:b/>
                <w:sz w:val="24"/>
                <w:szCs w:val="24"/>
              </w:rPr>
              <w:t>80</w:t>
            </w:r>
            <w:r>
              <w:rPr>
                <w:rFonts w:hint="eastAsia" w:cs="Times New Roman"/>
                <w:b/>
                <w:sz w:val="24"/>
                <w:szCs w:val="24"/>
              </w:rPr>
              <w:t>m</w:t>
            </w:r>
            <w:r>
              <w:rPr>
                <w:rFonts w:cs="Times New Roman"/>
                <w:b/>
                <w:sz w:val="24"/>
                <w:szCs w:val="24"/>
                <w:vertAlign w:val="superscript"/>
              </w:rPr>
              <w:t>2</w:t>
            </w:r>
            <w:r>
              <w:rPr>
                <w:rFonts w:hint="eastAsia" w:cs="Times New Roman"/>
                <w:b/>
                <w:sz w:val="24"/>
                <w:szCs w:val="24"/>
              </w:rPr>
              <w:t>）</w:t>
            </w:r>
            <w:r>
              <w:rPr>
                <w:rFonts w:hint="eastAsia" w:cs="Times New Roman"/>
                <w:bCs/>
                <w:sz w:val="24"/>
                <w:szCs w:val="24"/>
              </w:rPr>
              <w:t>，</w:t>
            </w:r>
            <w:r>
              <w:rPr>
                <w:rFonts w:hint="eastAsia" w:cs="Times New Roman"/>
                <w:sz w:val="24"/>
                <w:szCs w:val="24"/>
              </w:rPr>
              <w:t>根据现场调查，已按照《危险废物贮存污染控制标准》（GB18597-2023）的要求规范建设和管理，采取防风、防晒、防雨、防漏、防渗、防腐等环境污染防治措施；按照《危险废物识别标志设置技术规范》（HJ1276-2022）的要求，设立了标识标牌。目前，达州海螺水泥有限责任公司已与达州市新创环保科技有限公司、达州市绿环再生资源回收服务有限公司和内江市天捷能源科技有限公司分别签订了处置合同，落实了各类危险废物处置去向</w:t>
            </w:r>
            <w:r>
              <w:rPr>
                <w:rFonts w:hint="eastAsia"/>
                <w:sz w:val="24"/>
                <w:szCs w:val="24"/>
              </w:rPr>
              <w:t>。</w:t>
            </w:r>
          </w:p>
          <w:p>
            <w:pPr>
              <w:spacing w:line="360" w:lineRule="auto"/>
              <w:ind w:firstLine="480" w:firstLineChars="200"/>
              <w:rPr>
                <w:rFonts w:cs="Times New Roman"/>
                <w:sz w:val="24"/>
                <w:szCs w:val="24"/>
              </w:rPr>
            </w:pPr>
            <w:r>
              <w:rPr>
                <w:rFonts w:hint="eastAsia" w:cs="Times New Roman"/>
                <w:sz w:val="24"/>
                <w:szCs w:val="24"/>
              </w:rPr>
              <w:t>项目危废暂存间基本情况、危险废物处置措施见下表。</w:t>
            </w:r>
          </w:p>
          <w:p>
            <w:pPr>
              <w:spacing w:line="360" w:lineRule="auto"/>
              <w:jc w:val="center"/>
              <w:rPr>
                <w:rFonts w:eastAsia="黑体"/>
                <w:szCs w:val="21"/>
              </w:rPr>
            </w:pPr>
            <w:r>
              <w:rPr>
                <w:rFonts w:eastAsia="黑体"/>
                <w:szCs w:val="21"/>
              </w:rPr>
              <w:t>表4</w:t>
            </w:r>
            <w:r>
              <w:rPr>
                <w:rFonts w:hint="eastAsia" w:eastAsia="黑体"/>
                <w:szCs w:val="21"/>
              </w:rPr>
              <w:t>-</w:t>
            </w:r>
            <w:r>
              <w:rPr>
                <w:rFonts w:eastAsia="黑体"/>
                <w:szCs w:val="21"/>
              </w:rPr>
              <w:t>2</w:t>
            </w:r>
            <w:r>
              <w:rPr>
                <w:rFonts w:hint="eastAsia" w:eastAsia="黑体"/>
                <w:szCs w:val="21"/>
              </w:rPr>
              <w:t>4</w:t>
            </w:r>
            <w:r>
              <w:rPr>
                <w:rFonts w:eastAsia="黑体"/>
                <w:szCs w:val="21"/>
              </w:rPr>
              <w:t xml:space="preserve">  危险废物贮存场所基本情况表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1070"/>
              <w:gridCol w:w="1091"/>
              <w:gridCol w:w="1200"/>
              <w:gridCol w:w="858"/>
              <w:gridCol w:w="856"/>
              <w:gridCol w:w="1144"/>
              <w:gridCol w:w="988"/>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Align w:val="center"/>
                </w:tcPr>
                <w:p>
                  <w:pPr>
                    <w:jc w:val="center"/>
                    <w:rPr>
                      <w:szCs w:val="21"/>
                    </w:rPr>
                  </w:pPr>
                  <w:r>
                    <w:rPr>
                      <w:szCs w:val="21"/>
                    </w:rPr>
                    <w:t>贮存场所名称</w:t>
                  </w:r>
                </w:p>
              </w:tc>
              <w:tc>
                <w:tcPr>
                  <w:tcW w:w="585" w:type="pct"/>
                  <w:vAlign w:val="center"/>
                </w:tcPr>
                <w:p>
                  <w:pPr>
                    <w:jc w:val="center"/>
                    <w:rPr>
                      <w:szCs w:val="21"/>
                    </w:rPr>
                  </w:pPr>
                  <w:r>
                    <w:rPr>
                      <w:szCs w:val="21"/>
                    </w:rPr>
                    <w:t>危险废物名称</w:t>
                  </w:r>
                </w:p>
              </w:tc>
              <w:tc>
                <w:tcPr>
                  <w:tcW w:w="596" w:type="pct"/>
                  <w:vAlign w:val="center"/>
                </w:tcPr>
                <w:p>
                  <w:pPr>
                    <w:jc w:val="center"/>
                    <w:rPr>
                      <w:szCs w:val="21"/>
                    </w:rPr>
                  </w:pPr>
                  <w:r>
                    <w:rPr>
                      <w:szCs w:val="21"/>
                    </w:rPr>
                    <w:t>危险废物类别</w:t>
                  </w:r>
                </w:p>
              </w:tc>
              <w:tc>
                <w:tcPr>
                  <w:tcW w:w="656" w:type="pct"/>
                  <w:vAlign w:val="center"/>
                </w:tcPr>
                <w:p>
                  <w:pPr>
                    <w:jc w:val="center"/>
                    <w:rPr>
                      <w:szCs w:val="21"/>
                    </w:rPr>
                  </w:pPr>
                  <w:r>
                    <w:rPr>
                      <w:szCs w:val="21"/>
                    </w:rPr>
                    <w:t>危险废物</w:t>
                  </w:r>
                </w:p>
                <w:p>
                  <w:pPr>
                    <w:jc w:val="center"/>
                    <w:rPr>
                      <w:szCs w:val="21"/>
                    </w:rPr>
                  </w:pPr>
                  <w:r>
                    <w:rPr>
                      <w:szCs w:val="21"/>
                    </w:rPr>
                    <w:t>代码</w:t>
                  </w:r>
                </w:p>
              </w:tc>
              <w:tc>
                <w:tcPr>
                  <w:tcW w:w="469" w:type="pct"/>
                  <w:vAlign w:val="center"/>
                </w:tcPr>
                <w:p>
                  <w:pPr>
                    <w:jc w:val="center"/>
                    <w:rPr>
                      <w:szCs w:val="21"/>
                    </w:rPr>
                  </w:pPr>
                  <w:r>
                    <w:rPr>
                      <w:szCs w:val="21"/>
                    </w:rPr>
                    <w:t>位置</w:t>
                  </w:r>
                </w:p>
              </w:tc>
              <w:tc>
                <w:tcPr>
                  <w:tcW w:w="468" w:type="pct"/>
                  <w:vAlign w:val="center"/>
                </w:tcPr>
                <w:p>
                  <w:pPr>
                    <w:jc w:val="center"/>
                    <w:rPr>
                      <w:szCs w:val="21"/>
                    </w:rPr>
                  </w:pPr>
                  <w:r>
                    <w:rPr>
                      <w:szCs w:val="21"/>
                    </w:rPr>
                    <w:t>占地</w:t>
                  </w:r>
                </w:p>
                <w:p>
                  <w:pPr>
                    <w:jc w:val="center"/>
                    <w:rPr>
                      <w:szCs w:val="21"/>
                    </w:rPr>
                  </w:pPr>
                  <w:r>
                    <w:rPr>
                      <w:szCs w:val="21"/>
                    </w:rPr>
                    <w:t>面积</w:t>
                  </w:r>
                </w:p>
              </w:tc>
              <w:tc>
                <w:tcPr>
                  <w:tcW w:w="625" w:type="pct"/>
                  <w:vAlign w:val="center"/>
                </w:tcPr>
                <w:p>
                  <w:pPr>
                    <w:jc w:val="center"/>
                    <w:rPr>
                      <w:szCs w:val="21"/>
                    </w:rPr>
                  </w:pPr>
                  <w:r>
                    <w:rPr>
                      <w:szCs w:val="21"/>
                    </w:rPr>
                    <w:t>贮存方式</w:t>
                  </w:r>
                </w:p>
              </w:tc>
              <w:tc>
                <w:tcPr>
                  <w:tcW w:w="540" w:type="pct"/>
                  <w:vAlign w:val="center"/>
                </w:tcPr>
                <w:p>
                  <w:pPr>
                    <w:jc w:val="center"/>
                    <w:rPr>
                      <w:szCs w:val="21"/>
                    </w:rPr>
                  </w:pPr>
                  <w:r>
                    <w:rPr>
                      <w:szCs w:val="21"/>
                    </w:rPr>
                    <w:t>贮存</w:t>
                  </w:r>
                </w:p>
                <w:p>
                  <w:pPr>
                    <w:jc w:val="center"/>
                    <w:rPr>
                      <w:szCs w:val="21"/>
                    </w:rPr>
                  </w:pPr>
                  <w:r>
                    <w:rPr>
                      <w:szCs w:val="21"/>
                    </w:rPr>
                    <w:t>能力</w:t>
                  </w:r>
                </w:p>
              </w:tc>
              <w:tc>
                <w:tcPr>
                  <w:tcW w:w="538" w:type="pct"/>
                  <w:vAlign w:val="center"/>
                </w:tcPr>
                <w:p>
                  <w:pPr>
                    <w:jc w:val="center"/>
                    <w:rPr>
                      <w:szCs w:val="21"/>
                    </w:rPr>
                  </w:pPr>
                  <w:r>
                    <w:rPr>
                      <w:szCs w:val="21"/>
                    </w:rPr>
                    <w:t>贮存</w:t>
                  </w:r>
                </w:p>
                <w:p>
                  <w:pPr>
                    <w:jc w:val="center"/>
                    <w:rPr>
                      <w:szCs w:val="21"/>
                    </w:rPr>
                  </w:pPr>
                  <w:r>
                    <w:rPr>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522" w:type="pct"/>
                  <w:vMerge w:val="restart"/>
                  <w:vAlign w:val="center"/>
                </w:tcPr>
                <w:p>
                  <w:pPr>
                    <w:jc w:val="center"/>
                    <w:rPr>
                      <w:szCs w:val="21"/>
                    </w:rPr>
                  </w:pPr>
                  <w:r>
                    <w:rPr>
                      <w:szCs w:val="21"/>
                    </w:rPr>
                    <w:t>危废暂存间</w:t>
                  </w:r>
                </w:p>
              </w:tc>
              <w:tc>
                <w:tcPr>
                  <w:tcW w:w="585" w:type="pct"/>
                  <w:vAlign w:val="center"/>
                </w:tcPr>
                <w:p>
                  <w:pPr>
                    <w:jc w:val="center"/>
                    <w:rPr>
                      <w:szCs w:val="21"/>
                    </w:rPr>
                  </w:pPr>
                  <w:r>
                    <w:rPr>
                      <w:rFonts w:hint="eastAsia"/>
                      <w:szCs w:val="21"/>
                    </w:rPr>
                    <w:t>废润滑油及包装桶</w:t>
                  </w:r>
                </w:p>
              </w:tc>
              <w:tc>
                <w:tcPr>
                  <w:tcW w:w="596" w:type="pct"/>
                  <w:vAlign w:val="center"/>
                </w:tcPr>
                <w:p>
                  <w:pPr>
                    <w:jc w:val="center"/>
                    <w:rPr>
                      <w:rFonts w:cstheme="minorHAnsi"/>
                      <w:szCs w:val="21"/>
                    </w:rPr>
                  </w:pPr>
                  <w:r>
                    <w:rPr>
                      <w:rFonts w:cstheme="minorHAnsi"/>
                      <w:szCs w:val="21"/>
                    </w:rPr>
                    <w:t>HW08</w:t>
                  </w:r>
                </w:p>
              </w:tc>
              <w:tc>
                <w:tcPr>
                  <w:tcW w:w="656" w:type="pct"/>
                  <w:vAlign w:val="center"/>
                </w:tcPr>
                <w:p>
                  <w:pPr>
                    <w:jc w:val="center"/>
                    <w:rPr>
                      <w:szCs w:val="21"/>
                    </w:rPr>
                  </w:pPr>
                  <w:r>
                    <w:rPr>
                      <w:szCs w:val="21"/>
                    </w:rPr>
                    <w:t>900-249-08</w:t>
                  </w:r>
                </w:p>
              </w:tc>
              <w:tc>
                <w:tcPr>
                  <w:tcW w:w="469" w:type="pct"/>
                  <w:vMerge w:val="restart"/>
                  <w:vAlign w:val="center"/>
                </w:tcPr>
                <w:p>
                  <w:pPr>
                    <w:jc w:val="center"/>
                    <w:rPr>
                      <w:szCs w:val="21"/>
                    </w:rPr>
                  </w:pPr>
                  <w:r>
                    <w:rPr>
                      <w:rFonts w:hint="eastAsia"/>
                      <w:szCs w:val="21"/>
                    </w:rPr>
                    <w:t>辅材堆棚北侧</w:t>
                  </w:r>
                </w:p>
              </w:tc>
              <w:tc>
                <w:tcPr>
                  <w:tcW w:w="468" w:type="pct"/>
                  <w:vMerge w:val="restart"/>
                  <w:vAlign w:val="center"/>
                </w:tcPr>
                <w:p>
                  <w:pPr>
                    <w:jc w:val="center"/>
                    <w:rPr>
                      <w:szCs w:val="21"/>
                    </w:rPr>
                  </w:pPr>
                  <w:r>
                    <w:rPr>
                      <w:szCs w:val="21"/>
                    </w:rPr>
                    <w:t>80</w:t>
                  </w:r>
                  <w:r>
                    <w:rPr>
                      <w:rFonts w:hint="eastAsia"/>
                      <w:szCs w:val="21"/>
                    </w:rPr>
                    <w:t>m</w:t>
                  </w:r>
                  <w:r>
                    <w:rPr>
                      <w:szCs w:val="21"/>
                      <w:vertAlign w:val="superscript"/>
                    </w:rPr>
                    <w:t>2</w:t>
                  </w:r>
                </w:p>
              </w:tc>
              <w:tc>
                <w:tcPr>
                  <w:tcW w:w="625" w:type="pct"/>
                  <w:vAlign w:val="center"/>
                </w:tcPr>
                <w:p>
                  <w:pPr>
                    <w:jc w:val="center"/>
                    <w:rPr>
                      <w:szCs w:val="21"/>
                    </w:rPr>
                  </w:pPr>
                  <w:r>
                    <w:rPr>
                      <w:szCs w:val="21"/>
                    </w:rPr>
                    <w:t>专用</w:t>
                  </w:r>
                  <w:r>
                    <w:rPr>
                      <w:rFonts w:hint="eastAsia"/>
                      <w:szCs w:val="21"/>
                    </w:rPr>
                    <w:t>容器</w:t>
                  </w:r>
                </w:p>
              </w:tc>
              <w:tc>
                <w:tcPr>
                  <w:tcW w:w="540" w:type="pct"/>
                  <w:vAlign w:val="center"/>
                </w:tcPr>
                <w:p>
                  <w:pPr>
                    <w:jc w:val="center"/>
                    <w:rPr>
                      <w:szCs w:val="21"/>
                    </w:rPr>
                  </w:pPr>
                  <w:r>
                    <w:rPr>
                      <w:szCs w:val="21"/>
                    </w:rPr>
                    <w:t>40</w:t>
                  </w:r>
                  <w:r>
                    <w:rPr>
                      <w:rFonts w:hint="eastAsia"/>
                      <w:szCs w:val="21"/>
                    </w:rPr>
                    <w:t>t</w:t>
                  </w:r>
                </w:p>
              </w:tc>
              <w:tc>
                <w:tcPr>
                  <w:tcW w:w="538" w:type="pct"/>
                  <w:vAlign w:val="center"/>
                </w:tcPr>
                <w:p>
                  <w:pPr>
                    <w:jc w:val="center"/>
                    <w:rPr>
                      <w:szCs w:val="21"/>
                    </w:rPr>
                  </w:pPr>
                  <w:r>
                    <w:rPr>
                      <w:szCs w:val="21"/>
                    </w:rPr>
                    <w:t>3</w:t>
                  </w:r>
                  <w:r>
                    <w:rPr>
                      <w:rFonts w:hint="eastAsia"/>
                      <w:szCs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vAlign w:val="center"/>
                </w:tcPr>
                <w:p>
                  <w:pPr>
                    <w:jc w:val="center"/>
                    <w:rPr>
                      <w:szCs w:val="21"/>
                    </w:rPr>
                  </w:pPr>
                </w:p>
              </w:tc>
              <w:tc>
                <w:tcPr>
                  <w:tcW w:w="585" w:type="pct"/>
                  <w:vAlign w:val="center"/>
                </w:tcPr>
                <w:p>
                  <w:pPr>
                    <w:jc w:val="center"/>
                    <w:rPr>
                      <w:szCs w:val="21"/>
                    </w:rPr>
                  </w:pPr>
                  <w:r>
                    <w:rPr>
                      <w:rFonts w:hint="eastAsia"/>
                      <w:szCs w:val="21"/>
                    </w:rPr>
                    <w:t>含油棉纱及手套</w:t>
                  </w:r>
                </w:p>
              </w:tc>
              <w:tc>
                <w:tcPr>
                  <w:tcW w:w="596" w:type="pct"/>
                  <w:vAlign w:val="center"/>
                </w:tcPr>
                <w:p>
                  <w:pPr>
                    <w:jc w:val="center"/>
                    <w:rPr>
                      <w:szCs w:val="21"/>
                    </w:rPr>
                  </w:pPr>
                  <w:r>
                    <w:rPr>
                      <w:szCs w:val="21"/>
                    </w:rPr>
                    <w:t>HW49</w:t>
                  </w:r>
                </w:p>
              </w:tc>
              <w:tc>
                <w:tcPr>
                  <w:tcW w:w="656" w:type="pct"/>
                  <w:vAlign w:val="center"/>
                </w:tcPr>
                <w:p>
                  <w:pPr>
                    <w:jc w:val="center"/>
                    <w:rPr>
                      <w:szCs w:val="21"/>
                    </w:rPr>
                  </w:pPr>
                  <w:r>
                    <w:rPr>
                      <w:szCs w:val="21"/>
                    </w:rPr>
                    <w:t>900-041-49</w:t>
                  </w:r>
                </w:p>
              </w:tc>
              <w:tc>
                <w:tcPr>
                  <w:tcW w:w="469" w:type="pct"/>
                  <w:vMerge w:val="continue"/>
                  <w:vAlign w:val="center"/>
                </w:tcPr>
                <w:p>
                  <w:pPr>
                    <w:jc w:val="center"/>
                    <w:rPr>
                      <w:szCs w:val="21"/>
                    </w:rPr>
                  </w:pPr>
                </w:p>
              </w:tc>
              <w:tc>
                <w:tcPr>
                  <w:tcW w:w="468" w:type="pct"/>
                  <w:vMerge w:val="continue"/>
                  <w:vAlign w:val="center"/>
                </w:tcPr>
                <w:p>
                  <w:pPr>
                    <w:jc w:val="center"/>
                    <w:rPr>
                      <w:szCs w:val="21"/>
                    </w:rPr>
                  </w:pPr>
                </w:p>
              </w:tc>
              <w:tc>
                <w:tcPr>
                  <w:tcW w:w="625" w:type="pct"/>
                  <w:vAlign w:val="center"/>
                </w:tcPr>
                <w:p>
                  <w:pPr>
                    <w:jc w:val="center"/>
                    <w:rPr>
                      <w:szCs w:val="21"/>
                    </w:rPr>
                  </w:pPr>
                  <w:r>
                    <w:rPr>
                      <w:szCs w:val="21"/>
                    </w:rPr>
                    <w:t>专用</w:t>
                  </w:r>
                  <w:r>
                    <w:rPr>
                      <w:rFonts w:hint="eastAsia"/>
                      <w:szCs w:val="21"/>
                    </w:rPr>
                    <w:t>包装</w:t>
                  </w:r>
                </w:p>
              </w:tc>
              <w:tc>
                <w:tcPr>
                  <w:tcW w:w="540" w:type="pct"/>
                  <w:vAlign w:val="center"/>
                </w:tcPr>
                <w:p>
                  <w:pPr>
                    <w:jc w:val="center"/>
                    <w:rPr>
                      <w:szCs w:val="21"/>
                    </w:rPr>
                  </w:pPr>
                  <w:r>
                    <w:rPr>
                      <w:szCs w:val="21"/>
                    </w:rPr>
                    <w:t>0.1t</w:t>
                  </w:r>
                </w:p>
              </w:tc>
              <w:tc>
                <w:tcPr>
                  <w:tcW w:w="538" w:type="pct"/>
                  <w:vAlign w:val="center"/>
                </w:tcPr>
                <w:p>
                  <w:pPr>
                    <w:jc w:val="center"/>
                    <w:rPr>
                      <w:szCs w:val="21"/>
                    </w:rPr>
                  </w:pPr>
                  <w:r>
                    <w:rPr>
                      <w:szCs w:val="21"/>
                    </w:rPr>
                    <w:t>3</w:t>
                  </w:r>
                  <w:r>
                    <w:rPr>
                      <w:rFonts w:hint="eastAsia"/>
                      <w:szCs w:val="21"/>
                    </w:rPr>
                    <w:t>个月</w:t>
                  </w:r>
                </w:p>
              </w:tc>
            </w:tr>
          </w:tbl>
          <w:p>
            <w:pPr>
              <w:spacing w:line="360" w:lineRule="auto"/>
              <w:jc w:val="center"/>
              <w:rPr>
                <w:rFonts w:eastAsia="黑体"/>
                <w:szCs w:val="21"/>
              </w:rPr>
            </w:pPr>
            <w:r>
              <w:rPr>
                <w:rFonts w:eastAsia="黑体"/>
                <w:szCs w:val="21"/>
              </w:rPr>
              <w:t>表4</w:t>
            </w:r>
            <w:r>
              <w:rPr>
                <w:rFonts w:hint="eastAsia" w:eastAsia="黑体"/>
                <w:szCs w:val="21"/>
              </w:rPr>
              <w:t>-</w:t>
            </w:r>
            <w:r>
              <w:rPr>
                <w:rFonts w:eastAsia="黑体"/>
                <w:szCs w:val="21"/>
              </w:rPr>
              <w:t>2</w:t>
            </w:r>
            <w:r>
              <w:rPr>
                <w:rFonts w:hint="eastAsia" w:eastAsia="黑体"/>
                <w:szCs w:val="21"/>
              </w:rPr>
              <w:t>5</w:t>
            </w:r>
            <w:r>
              <w:rPr>
                <w:rFonts w:eastAsia="黑体"/>
                <w:szCs w:val="21"/>
              </w:rPr>
              <w:t xml:space="preserve">  危险废物</w:t>
            </w:r>
            <w:r>
              <w:rPr>
                <w:rFonts w:hint="eastAsia" w:eastAsia="黑体"/>
                <w:szCs w:val="21"/>
              </w:rPr>
              <w:t>治理措施</w:t>
            </w:r>
            <w:r>
              <w:rPr>
                <w:rFonts w:eastAsia="黑体"/>
                <w:szCs w:val="21"/>
              </w:rPr>
              <w:t>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698"/>
              <w:gridCol w:w="826"/>
              <w:gridCol w:w="1056"/>
              <w:gridCol w:w="903"/>
              <w:gridCol w:w="1029"/>
              <w:gridCol w:w="621"/>
              <w:gridCol w:w="622"/>
              <w:gridCol w:w="626"/>
              <w:gridCol w:w="622"/>
              <w:gridCol w:w="626"/>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3" w:type="pct"/>
                  <w:vAlign w:val="center"/>
                </w:tcPr>
                <w:p>
                  <w:pPr>
                    <w:jc w:val="center"/>
                    <w:rPr>
                      <w:rFonts w:cstheme="minorHAnsi"/>
                      <w:sz w:val="18"/>
                      <w:szCs w:val="18"/>
                    </w:rPr>
                  </w:pPr>
                  <w:r>
                    <w:rPr>
                      <w:rFonts w:cstheme="minorHAnsi"/>
                      <w:sz w:val="18"/>
                      <w:szCs w:val="18"/>
                    </w:rPr>
                    <w:t>序号</w:t>
                  </w:r>
                </w:p>
              </w:tc>
              <w:tc>
                <w:tcPr>
                  <w:tcW w:w="391" w:type="pct"/>
                  <w:shd w:val="clear" w:color="auto" w:fill="auto"/>
                  <w:vAlign w:val="center"/>
                </w:tcPr>
                <w:p>
                  <w:pPr>
                    <w:jc w:val="center"/>
                    <w:rPr>
                      <w:rFonts w:cstheme="minorHAnsi"/>
                      <w:sz w:val="18"/>
                      <w:szCs w:val="18"/>
                    </w:rPr>
                  </w:pPr>
                  <w:r>
                    <w:rPr>
                      <w:rFonts w:cstheme="minorHAnsi"/>
                      <w:sz w:val="18"/>
                      <w:szCs w:val="18"/>
                    </w:rPr>
                    <w:t>危险废物名称</w:t>
                  </w:r>
                </w:p>
              </w:tc>
              <w:tc>
                <w:tcPr>
                  <w:tcW w:w="461" w:type="pct"/>
                  <w:shd w:val="clear" w:color="auto" w:fill="auto"/>
                  <w:vAlign w:val="center"/>
                </w:tcPr>
                <w:p>
                  <w:pPr>
                    <w:jc w:val="center"/>
                    <w:rPr>
                      <w:rFonts w:cstheme="minorHAnsi"/>
                      <w:sz w:val="18"/>
                      <w:szCs w:val="18"/>
                    </w:rPr>
                  </w:pPr>
                  <w:r>
                    <w:rPr>
                      <w:rFonts w:cstheme="minorHAnsi"/>
                      <w:sz w:val="18"/>
                      <w:szCs w:val="18"/>
                    </w:rPr>
                    <w:t>危险废物类别</w:t>
                  </w:r>
                </w:p>
              </w:tc>
              <w:tc>
                <w:tcPr>
                  <w:tcW w:w="476" w:type="pct"/>
                  <w:shd w:val="clear" w:color="auto" w:fill="auto"/>
                  <w:vAlign w:val="center"/>
                </w:tcPr>
                <w:p>
                  <w:pPr>
                    <w:jc w:val="center"/>
                    <w:rPr>
                      <w:rFonts w:cstheme="minorHAnsi"/>
                      <w:sz w:val="18"/>
                      <w:szCs w:val="18"/>
                    </w:rPr>
                  </w:pPr>
                  <w:r>
                    <w:rPr>
                      <w:rFonts w:cstheme="minorHAnsi"/>
                      <w:sz w:val="18"/>
                      <w:szCs w:val="18"/>
                    </w:rPr>
                    <w:t>危险废物代码</w:t>
                  </w:r>
                </w:p>
              </w:tc>
              <w:tc>
                <w:tcPr>
                  <w:tcW w:w="503" w:type="pct"/>
                  <w:shd w:val="clear" w:color="auto" w:fill="auto"/>
                  <w:vAlign w:val="center"/>
                </w:tcPr>
                <w:p>
                  <w:pPr>
                    <w:jc w:val="center"/>
                    <w:rPr>
                      <w:rFonts w:cstheme="minorHAnsi"/>
                      <w:sz w:val="18"/>
                      <w:szCs w:val="18"/>
                    </w:rPr>
                  </w:pPr>
                  <w:r>
                    <w:rPr>
                      <w:rFonts w:cstheme="minorHAnsi"/>
                      <w:sz w:val="18"/>
                      <w:szCs w:val="18"/>
                    </w:rPr>
                    <w:t>产生量</w:t>
                  </w:r>
                </w:p>
                <w:p>
                  <w:pPr>
                    <w:jc w:val="center"/>
                    <w:rPr>
                      <w:rFonts w:cstheme="minorHAnsi"/>
                      <w:sz w:val="18"/>
                      <w:szCs w:val="18"/>
                    </w:rPr>
                  </w:pPr>
                  <w:r>
                    <w:rPr>
                      <w:rFonts w:hint="eastAsia" w:cstheme="minorHAnsi"/>
                      <w:sz w:val="18"/>
                      <w:szCs w:val="18"/>
                    </w:rPr>
                    <w:t>（t</w:t>
                  </w:r>
                  <w:r>
                    <w:rPr>
                      <w:rFonts w:cstheme="minorHAnsi"/>
                      <w:sz w:val="18"/>
                      <w:szCs w:val="18"/>
                    </w:rPr>
                    <w:t>/a</w:t>
                  </w:r>
                  <w:r>
                    <w:rPr>
                      <w:rFonts w:hint="eastAsia" w:cstheme="minorHAnsi"/>
                      <w:sz w:val="18"/>
                      <w:szCs w:val="18"/>
                    </w:rPr>
                    <w:t>）</w:t>
                  </w:r>
                </w:p>
              </w:tc>
              <w:tc>
                <w:tcPr>
                  <w:tcW w:w="572" w:type="pct"/>
                  <w:vAlign w:val="center"/>
                </w:tcPr>
                <w:p>
                  <w:pPr>
                    <w:jc w:val="center"/>
                    <w:rPr>
                      <w:rFonts w:cstheme="minorHAnsi"/>
                      <w:sz w:val="18"/>
                      <w:szCs w:val="18"/>
                    </w:rPr>
                  </w:pPr>
                  <w:r>
                    <w:rPr>
                      <w:rFonts w:cstheme="minorHAnsi"/>
                      <w:sz w:val="18"/>
                      <w:szCs w:val="18"/>
                    </w:rPr>
                    <w:t>产生工序及装置</w:t>
                  </w:r>
                </w:p>
              </w:tc>
              <w:tc>
                <w:tcPr>
                  <w:tcW w:w="349" w:type="pct"/>
                  <w:vAlign w:val="center"/>
                </w:tcPr>
                <w:p>
                  <w:pPr>
                    <w:jc w:val="center"/>
                    <w:rPr>
                      <w:rFonts w:cstheme="minorHAnsi"/>
                      <w:sz w:val="18"/>
                      <w:szCs w:val="18"/>
                    </w:rPr>
                  </w:pPr>
                  <w:r>
                    <w:rPr>
                      <w:rFonts w:cstheme="minorHAnsi"/>
                      <w:sz w:val="18"/>
                      <w:szCs w:val="18"/>
                    </w:rPr>
                    <w:t>形态</w:t>
                  </w:r>
                </w:p>
              </w:tc>
              <w:tc>
                <w:tcPr>
                  <w:tcW w:w="349" w:type="pct"/>
                  <w:vAlign w:val="center"/>
                </w:tcPr>
                <w:p>
                  <w:pPr>
                    <w:jc w:val="center"/>
                    <w:rPr>
                      <w:rFonts w:cstheme="minorHAnsi"/>
                      <w:sz w:val="18"/>
                      <w:szCs w:val="18"/>
                    </w:rPr>
                  </w:pPr>
                  <w:r>
                    <w:rPr>
                      <w:rFonts w:cstheme="minorHAnsi"/>
                      <w:sz w:val="18"/>
                      <w:szCs w:val="18"/>
                    </w:rPr>
                    <w:t>主要成分</w:t>
                  </w:r>
                </w:p>
              </w:tc>
              <w:tc>
                <w:tcPr>
                  <w:tcW w:w="351" w:type="pct"/>
                  <w:vAlign w:val="center"/>
                </w:tcPr>
                <w:p>
                  <w:pPr>
                    <w:jc w:val="center"/>
                    <w:rPr>
                      <w:rFonts w:cstheme="minorHAnsi"/>
                      <w:sz w:val="18"/>
                      <w:szCs w:val="18"/>
                    </w:rPr>
                  </w:pPr>
                  <w:r>
                    <w:rPr>
                      <w:rFonts w:cstheme="minorHAnsi"/>
                      <w:sz w:val="18"/>
                      <w:szCs w:val="18"/>
                    </w:rPr>
                    <w:t>有害成分</w:t>
                  </w:r>
                </w:p>
              </w:tc>
              <w:tc>
                <w:tcPr>
                  <w:tcW w:w="349" w:type="pct"/>
                  <w:vAlign w:val="center"/>
                </w:tcPr>
                <w:p>
                  <w:pPr>
                    <w:jc w:val="center"/>
                    <w:rPr>
                      <w:rFonts w:cstheme="minorHAnsi"/>
                      <w:sz w:val="18"/>
                      <w:szCs w:val="18"/>
                    </w:rPr>
                  </w:pPr>
                  <w:r>
                    <w:rPr>
                      <w:rFonts w:cstheme="minorHAnsi"/>
                      <w:sz w:val="18"/>
                      <w:szCs w:val="18"/>
                    </w:rPr>
                    <w:t>产废周期</w:t>
                  </w:r>
                </w:p>
              </w:tc>
              <w:tc>
                <w:tcPr>
                  <w:tcW w:w="351" w:type="pct"/>
                  <w:vAlign w:val="center"/>
                </w:tcPr>
                <w:p>
                  <w:pPr>
                    <w:jc w:val="center"/>
                    <w:rPr>
                      <w:rFonts w:cstheme="minorHAnsi"/>
                      <w:sz w:val="18"/>
                      <w:szCs w:val="18"/>
                    </w:rPr>
                  </w:pPr>
                  <w:r>
                    <w:rPr>
                      <w:rFonts w:cstheme="minorHAnsi"/>
                      <w:sz w:val="18"/>
                      <w:szCs w:val="18"/>
                    </w:rPr>
                    <w:t>危险特性</w:t>
                  </w:r>
                </w:p>
              </w:tc>
              <w:tc>
                <w:tcPr>
                  <w:tcW w:w="595" w:type="pct"/>
                  <w:shd w:val="clear" w:color="auto" w:fill="auto"/>
                  <w:vAlign w:val="center"/>
                </w:tcPr>
                <w:p>
                  <w:pPr>
                    <w:jc w:val="center"/>
                    <w:rPr>
                      <w:rFonts w:cstheme="minorHAnsi"/>
                      <w:sz w:val="18"/>
                      <w:szCs w:val="18"/>
                    </w:rPr>
                  </w:pPr>
                  <w:r>
                    <w:rPr>
                      <w:rFonts w:cstheme="minorHAnsi"/>
                      <w:sz w:val="18"/>
                      <w:szCs w:val="18"/>
                    </w:rPr>
                    <w:t>污染物防治措施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pPr>
                    <w:jc w:val="center"/>
                    <w:rPr>
                      <w:rFonts w:cs="Times New Roman"/>
                      <w:sz w:val="18"/>
                      <w:szCs w:val="18"/>
                    </w:rPr>
                  </w:pPr>
                  <w:r>
                    <w:rPr>
                      <w:rFonts w:hint="eastAsia" w:cs="Times New Roman"/>
                      <w:sz w:val="18"/>
                      <w:szCs w:val="18"/>
                    </w:rPr>
                    <w:t>1</w:t>
                  </w:r>
                </w:p>
              </w:tc>
              <w:tc>
                <w:tcPr>
                  <w:tcW w:w="391" w:type="pct"/>
                  <w:shd w:val="clear" w:color="auto" w:fill="auto"/>
                  <w:vAlign w:val="center"/>
                </w:tcPr>
                <w:p>
                  <w:pPr>
                    <w:jc w:val="center"/>
                    <w:rPr>
                      <w:sz w:val="18"/>
                      <w:szCs w:val="18"/>
                    </w:rPr>
                  </w:pPr>
                  <w:r>
                    <w:rPr>
                      <w:rFonts w:hint="eastAsia"/>
                      <w:sz w:val="18"/>
                      <w:szCs w:val="18"/>
                    </w:rPr>
                    <w:t>废润滑油及包装桶</w:t>
                  </w:r>
                </w:p>
              </w:tc>
              <w:tc>
                <w:tcPr>
                  <w:tcW w:w="461" w:type="pct"/>
                  <w:shd w:val="clear" w:color="auto" w:fill="auto"/>
                  <w:vAlign w:val="center"/>
                </w:tcPr>
                <w:p>
                  <w:pPr>
                    <w:jc w:val="center"/>
                    <w:rPr>
                      <w:rFonts w:cstheme="minorHAnsi"/>
                      <w:sz w:val="18"/>
                      <w:szCs w:val="18"/>
                    </w:rPr>
                  </w:pPr>
                  <w:r>
                    <w:rPr>
                      <w:rFonts w:cstheme="minorHAnsi"/>
                      <w:sz w:val="18"/>
                      <w:szCs w:val="18"/>
                    </w:rPr>
                    <w:t>HW08</w:t>
                  </w:r>
                </w:p>
              </w:tc>
              <w:tc>
                <w:tcPr>
                  <w:tcW w:w="476" w:type="pct"/>
                  <w:shd w:val="clear" w:color="auto" w:fill="auto"/>
                  <w:vAlign w:val="center"/>
                </w:tcPr>
                <w:p>
                  <w:pPr>
                    <w:jc w:val="center"/>
                    <w:rPr>
                      <w:sz w:val="18"/>
                      <w:szCs w:val="18"/>
                    </w:rPr>
                  </w:pPr>
                  <w:r>
                    <w:rPr>
                      <w:sz w:val="18"/>
                      <w:szCs w:val="18"/>
                    </w:rPr>
                    <w:t>900-249-08</w:t>
                  </w:r>
                </w:p>
              </w:tc>
              <w:tc>
                <w:tcPr>
                  <w:tcW w:w="503" w:type="pct"/>
                  <w:shd w:val="clear" w:color="auto" w:fill="auto"/>
                  <w:vAlign w:val="center"/>
                </w:tcPr>
                <w:p>
                  <w:pPr>
                    <w:jc w:val="center"/>
                    <w:rPr>
                      <w:rFonts w:cstheme="minorHAnsi"/>
                      <w:sz w:val="18"/>
                      <w:szCs w:val="18"/>
                    </w:rPr>
                  </w:pPr>
                  <w:r>
                    <w:rPr>
                      <w:rFonts w:cstheme="minorHAnsi"/>
                      <w:sz w:val="18"/>
                      <w:szCs w:val="18"/>
                    </w:rPr>
                    <w:t>2.4</w:t>
                  </w:r>
                </w:p>
              </w:tc>
              <w:tc>
                <w:tcPr>
                  <w:tcW w:w="572" w:type="pct"/>
                  <w:vAlign w:val="center"/>
                </w:tcPr>
                <w:p>
                  <w:pPr>
                    <w:jc w:val="center"/>
                    <w:rPr>
                      <w:sz w:val="18"/>
                      <w:szCs w:val="18"/>
                    </w:rPr>
                  </w:pPr>
                  <w:r>
                    <w:rPr>
                      <w:sz w:val="18"/>
                      <w:szCs w:val="18"/>
                    </w:rPr>
                    <w:t>设备保养</w:t>
                  </w:r>
                </w:p>
              </w:tc>
              <w:tc>
                <w:tcPr>
                  <w:tcW w:w="349" w:type="pct"/>
                  <w:vAlign w:val="center"/>
                </w:tcPr>
                <w:p>
                  <w:pPr>
                    <w:jc w:val="center"/>
                    <w:rPr>
                      <w:sz w:val="18"/>
                      <w:szCs w:val="18"/>
                    </w:rPr>
                  </w:pPr>
                  <w:r>
                    <w:rPr>
                      <w:rFonts w:hint="eastAsia" w:cstheme="minorHAnsi"/>
                      <w:sz w:val="18"/>
                      <w:szCs w:val="18"/>
                    </w:rPr>
                    <w:t>液体</w:t>
                  </w:r>
                </w:p>
              </w:tc>
              <w:tc>
                <w:tcPr>
                  <w:tcW w:w="349" w:type="pct"/>
                  <w:vAlign w:val="center"/>
                </w:tcPr>
                <w:p>
                  <w:pPr>
                    <w:jc w:val="center"/>
                    <w:rPr>
                      <w:rFonts w:cstheme="minorHAnsi"/>
                      <w:sz w:val="18"/>
                      <w:szCs w:val="18"/>
                    </w:rPr>
                  </w:pPr>
                  <w:r>
                    <w:rPr>
                      <w:rFonts w:hint="eastAsia" w:cstheme="minorHAnsi"/>
                      <w:sz w:val="18"/>
                      <w:szCs w:val="18"/>
                    </w:rPr>
                    <w:t>矿物油</w:t>
                  </w:r>
                </w:p>
              </w:tc>
              <w:tc>
                <w:tcPr>
                  <w:tcW w:w="351" w:type="pct"/>
                  <w:vAlign w:val="center"/>
                </w:tcPr>
                <w:p>
                  <w:pPr>
                    <w:jc w:val="center"/>
                    <w:rPr>
                      <w:rFonts w:cstheme="minorHAnsi"/>
                      <w:sz w:val="18"/>
                      <w:szCs w:val="18"/>
                    </w:rPr>
                  </w:pPr>
                  <w:r>
                    <w:rPr>
                      <w:rFonts w:hint="eastAsia" w:cstheme="minorHAnsi"/>
                      <w:sz w:val="18"/>
                      <w:szCs w:val="18"/>
                    </w:rPr>
                    <w:t>矿物油</w:t>
                  </w:r>
                </w:p>
              </w:tc>
              <w:tc>
                <w:tcPr>
                  <w:tcW w:w="349" w:type="pct"/>
                  <w:vAlign w:val="center"/>
                </w:tcPr>
                <w:p>
                  <w:pPr>
                    <w:jc w:val="center"/>
                    <w:rPr>
                      <w:rFonts w:cstheme="minorHAnsi"/>
                      <w:sz w:val="18"/>
                      <w:szCs w:val="18"/>
                    </w:rPr>
                  </w:pPr>
                  <w:r>
                    <w:rPr>
                      <w:rFonts w:hint="eastAsia" w:cstheme="minorHAnsi"/>
                      <w:sz w:val="18"/>
                      <w:szCs w:val="18"/>
                    </w:rPr>
                    <w:t>每月</w:t>
                  </w:r>
                </w:p>
              </w:tc>
              <w:tc>
                <w:tcPr>
                  <w:tcW w:w="351" w:type="pct"/>
                  <w:vAlign w:val="center"/>
                </w:tcPr>
                <w:p>
                  <w:pPr>
                    <w:jc w:val="center"/>
                    <w:rPr>
                      <w:rFonts w:cstheme="minorHAnsi"/>
                      <w:sz w:val="18"/>
                      <w:szCs w:val="18"/>
                    </w:rPr>
                  </w:pPr>
                  <w:r>
                    <w:rPr>
                      <w:rFonts w:cstheme="minorHAnsi"/>
                      <w:sz w:val="18"/>
                      <w:szCs w:val="18"/>
                    </w:rPr>
                    <w:t>T</w:t>
                  </w:r>
                  <w:r>
                    <w:rPr>
                      <w:rFonts w:hint="eastAsia" w:cstheme="minorHAnsi"/>
                      <w:sz w:val="18"/>
                      <w:szCs w:val="18"/>
                    </w:rPr>
                    <w:t>,</w:t>
                  </w:r>
                  <w:r>
                    <w:rPr>
                      <w:rFonts w:cstheme="minorHAnsi"/>
                      <w:sz w:val="18"/>
                      <w:szCs w:val="18"/>
                    </w:rPr>
                    <w:t>I</w:t>
                  </w:r>
                </w:p>
              </w:tc>
              <w:tc>
                <w:tcPr>
                  <w:tcW w:w="595" w:type="pct"/>
                  <w:vMerge w:val="restart"/>
                  <w:shd w:val="clear" w:color="auto" w:fill="auto"/>
                  <w:vAlign w:val="center"/>
                </w:tcPr>
                <w:p>
                  <w:pPr>
                    <w:jc w:val="center"/>
                    <w:rPr>
                      <w:rFonts w:cstheme="minorHAnsi"/>
                      <w:sz w:val="18"/>
                      <w:szCs w:val="18"/>
                    </w:rPr>
                  </w:pPr>
                  <w:r>
                    <w:rPr>
                      <w:rFonts w:cstheme="minorHAnsi"/>
                      <w:sz w:val="18"/>
                      <w:szCs w:val="18"/>
                    </w:rPr>
                    <w:t>分类收集后暂存于危废暂存间</w:t>
                  </w:r>
                  <w:r>
                    <w:rPr>
                      <w:rFonts w:hint="eastAsia" w:cstheme="minorHAnsi"/>
                      <w:sz w:val="18"/>
                      <w:szCs w:val="18"/>
                    </w:rPr>
                    <w:t>，</w:t>
                  </w:r>
                  <w:r>
                    <w:rPr>
                      <w:rFonts w:cstheme="minorHAnsi"/>
                      <w:sz w:val="18"/>
                      <w:szCs w:val="18"/>
                    </w:rPr>
                    <w:t>定期交</w:t>
                  </w:r>
                  <w:r>
                    <w:rPr>
                      <w:rFonts w:hint="eastAsia" w:cstheme="minorHAnsi"/>
                      <w:sz w:val="18"/>
                      <w:szCs w:val="18"/>
                    </w:rPr>
                    <w:t>有资质</w:t>
                  </w:r>
                  <w:r>
                    <w:rPr>
                      <w:rFonts w:cstheme="minorHAnsi"/>
                      <w:sz w:val="18"/>
                      <w:szCs w:val="18"/>
                    </w:rPr>
                    <w:t>单位</w:t>
                  </w:r>
                  <w:r>
                    <w:rPr>
                      <w:rFonts w:hint="eastAsia" w:cstheme="minorHAnsi"/>
                      <w:sz w:val="18"/>
                      <w:szCs w:val="18"/>
                    </w:rPr>
                    <w:t>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pPr>
                    <w:jc w:val="center"/>
                    <w:rPr>
                      <w:rFonts w:cs="Times New Roman"/>
                      <w:sz w:val="18"/>
                      <w:szCs w:val="18"/>
                    </w:rPr>
                  </w:pPr>
                  <w:r>
                    <w:rPr>
                      <w:rFonts w:cs="Times New Roman"/>
                      <w:sz w:val="18"/>
                      <w:szCs w:val="18"/>
                    </w:rPr>
                    <w:t>2</w:t>
                  </w:r>
                </w:p>
              </w:tc>
              <w:tc>
                <w:tcPr>
                  <w:tcW w:w="391" w:type="pct"/>
                  <w:shd w:val="clear" w:color="auto" w:fill="auto"/>
                  <w:vAlign w:val="center"/>
                </w:tcPr>
                <w:p>
                  <w:pPr>
                    <w:jc w:val="center"/>
                    <w:rPr>
                      <w:sz w:val="18"/>
                      <w:szCs w:val="18"/>
                    </w:rPr>
                  </w:pPr>
                  <w:r>
                    <w:rPr>
                      <w:rFonts w:hint="eastAsia"/>
                      <w:sz w:val="18"/>
                      <w:szCs w:val="18"/>
                    </w:rPr>
                    <w:t>含油棉纱及手套</w:t>
                  </w:r>
                </w:p>
              </w:tc>
              <w:tc>
                <w:tcPr>
                  <w:tcW w:w="461" w:type="pct"/>
                  <w:shd w:val="clear" w:color="auto" w:fill="auto"/>
                  <w:vAlign w:val="center"/>
                </w:tcPr>
                <w:p>
                  <w:pPr>
                    <w:jc w:val="center"/>
                    <w:rPr>
                      <w:sz w:val="18"/>
                      <w:szCs w:val="18"/>
                    </w:rPr>
                  </w:pPr>
                  <w:r>
                    <w:rPr>
                      <w:sz w:val="18"/>
                      <w:szCs w:val="18"/>
                    </w:rPr>
                    <w:t>HW49</w:t>
                  </w:r>
                </w:p>
              </w:tc>
              <w:tc>
                <w:tcPr>
                  <w:tcW w:w="476" w:type="pct"/>
                  <w:shd w:val="clear" w:color="auto" w:fill="auto"/>
                  <w:vAlign w:val="center"/>
                </w:tcPr>
                <w:p>
                  <w:pPr>
                    <w:jc w:val="center"/>
                    <w:rPr>
                      <w:sz w:val="18"/>
                      <w:szCs w:val="18"/>
                    </w:rPr>
                  </w:pPr>
                  <w:r>
                    <w:rPr>
                      <w:sz w:val="18"/>
                      <w:szCs w:val="18"/>
                    </w:rPr>
                    <w:t>900-041-49</w:t>
                  </w:r>
                </w:p>
              </w:tc>
              <w:tc>
                <w:tcPr>
                  <w:tcW w:w="503" w:type="pct"/>
                  <w:shd w:val="clear" w:color="auto" w:fill="auto"/>
                  <w:vAlign w:val="center"/>
                </w:tcPr>
                <w:p>
                  <w:pPr>
                    <w:jc w:val="center"/>
                    <w:rPr>
                      <w:rFonts w:cstheme="minorHAnsi"/>
                      <w:sz w:val="18"/>
                      <w:szCs w:val="18"/>
                    </w:rPr>
                  </w:pPr>
                  <w:r>
                    <w:rPr>
                      <w:rFonts w:hint="eastAsia" w:cstheme="minorHAnsi"/>
                      <w:sz w:val="18"/>
                      <w:szCs w:val="18"/>
                    </w:rPr>
                    <w:t>0.0</w:t>
                  </w:r>
                  <w:r>
                    <w:rPr>
                      <w:rFonts w:cstheme="minorHAnsi"/>
                      <w:sz w:val="18"/>
                      <w:szCs w:val="18"/>
                    </w:rPr>
                    <w:t>1</w:t>
                  </w:r>
                </w:p>
              </w:tc>
              <w:tc>
                <w:tcPr>
                  <w:tcW w:w="572" w:type="pct"/>
                  <w:vAlign w:val="center"/>
                </w:tcPr>
                <w:p>
                  <w:pPr>
                    <w:jc w:val="center"/>
                    <w:rPr>
                      <w:sz w:val="18"/>
                      <w:szCs w:val="18"/>
                    </w:rPr>
                  </w:pPr>
                  <w:r>
                    <w:rPr>
                      <w:sz w:val="18"/>
                      <w:szCs w:val="18"/>
                    </w:rPr>
                    <w:t>设备保养</w:t>
                  </w:r>
                </w:p>
              </w:tc>
              <w:tc>
                <w:tcPr>
                  <w:tcW w:w="349" w:type="pct"/>
                  <w:vAlign w:val="center"/>
                </w:tcPr>
                <w:p>
                  <w:pPr>
                    <w:jc w:val="center"/>
                    <w:rPr>
                      <w:rFonts w:cstheme="minorHAnsi"/>
                      <w:sz w:val="18"/>
                      <w:szCs w:val="18"/>
                    </w:rPr>
                  </w:pPr>
                  <w:r>
                    <w:rPr>
                      <w:rFonts w:hint="eastAsia" w:cstheme="minorHAnsi"/>
                      <w:sz w:val="18"/>
                      <w:szCs w:val="18"/>
                    </w:rPr>
                    <w:t>固态</w:t>
                  </w:r>
                </w:p>
              </w:tc>
              <w:tc>
                <w:tcPr>
                  <w:tcW w:w="349" w:type="pct"/>
                  <w:vAlign w:val="center"/>
                </w:tcPr>
                <w:p>
                  <w:pPr>
                    <w:jc w:val="center"/>
                    <w:rPr>
                      <w:rFonts w:cstheme="minorHAnsi"/>
                      <w:sz w:val="18"/>
                      <w:szCs w:val="18"/>
                    </w:rPr>
                  </w:pPr>
                  <w:r>
                    <w:rPr>
                      <w:rFonts w:hint="eastAsia" w:cstheme="minorHAnsi"/>
                      <w:sz w:val="18"/>
                      <w:szCs w:val="18"/>
                    </w:rPr>
                    <w:t>矿物油</w:t>
                  </w:r>
                </w:p>
              </w:tc>
              <w:tc>
                <w:tcPr>
                  <w:tcW w:w="351" w:type="pct"/>
                  <w:vAlign w:val="center"/>
                </w:tcPr>
                <w:p>
                  <w:pPr>
                    <w:jc w:val="center"/>
                    <w:rPr>
                      <w:rFonts w:cstheme="minorHAnsi"/>
                      <w:sz w:val="18"/>
                      <w:szCs w:val="18"/>
                    </w:rPr>
                  </w:pPr>
                  <w:r>
                    <w:rPr>
                      <w:rFonts w:hint="eastAsia" w:cstheme="minorHAnsi"/>
                      <w:sz w:val="18"/>
                      <w:szCs w:val="18"/>
                    </w:rPr>
                    <w:t>矿物油</w:t>
                  </w:r>
                </w:p>
              </w:tc>
              <w:tc>
                <w:tcPr>
                  <w:tcW w:w="349" w:type="pct"/>
                  <w:vAlign w:val="center"/>
                </w:tcPr>
                <w:p>
                  <w:pPr>
                    <w:jc w:val="center"/>
                    <w:rPr>
                      <w:rFonts w:cstheme="minorHAnsi"/>
                      <w:sz w:val="18"/>
                      <w:szCs w:val="18"/>
                    </w:rPr>
                  </w:pPr>
                  <w:r>
                    <w:rPr>
                      <w:rFonts w:hint="eastAsia" w:cstheme="minorHAnsi"/>
                      <w:sz w:val="18"/>
                      <w:szCs w:val="18"/>
                    </w:rPr>
                    <w:t>每月</w:t>
                  </w:r>
                </w:p>
              </w:tc>
              <w:tc>
                <w:tcPr>
                  <w:tcW w:w="351" w:type="pct"/>
                  <w:vAlign w:val="center"/>
                </w:tcPr>
                <w:p>
                  <w:pPr>
                    <w:jc w:val="center"/>
                    <w:rPr>
                      <w:rFonts w:cstheme="minorHAnsi"/>
                      <w:sz w:val="18"/>
                      <w:szCs w:val="18"/>
                    </w:rPr>
                  </w:pPr>
                  <w:r>
                    <w:rPr>
                      <w:rFonts w:cstheme="minorHAnsi"/>
                      <w:sz w:val="18"/>
                      <w:szCs w:val="18"/>
                    </w:rPr>
                    <w:t>T</w:t>
                  </w:r>
                </w:p>
              </w:tc>
              <w:tc>
                <w:tcPr>
                  <w:tcW w:w="595" w:type="pct"/>
                  <w:vMerge w:val="continue"/>
                  <w:shd w:val="clear" w:color="auto" w:fill="auto"/>
                  <w:vAlign w:val="center"/>
                </w:tcPr>
                <w:p>
                  <w:pPr>
                    <w:jc w:val="center"/>
                    <w:rPr>
                      <w:rFonts w:cstheme="minorHAnsi"/>
                      <w:sz w:val="18"/>
                      <w:szCs w:val="18"/>
                    </w:rPr>
                  </w:pPr>
                </w:p>
              </w:tc>
            </w:tr>
          </w:tbl>
          <w:p>
            <w:pPr>
              <w:spacing w:line="360" w:lineRule="auto"/>
              <w:ind w:firstLine="361" w:firstLineChars="150"/>
              <w:rPr>
                <w:b/>
                <w:sz w:val="24"/>
                <w:szCs w:val="24"/>
              </w:rPr>
            </w:pPr>
            <w:r>
              <w:rPr>
                <w:rFonts w:hint="eastAsia"/>
                <w:b/>
                <w:sz w:val="24"/>
                <w:szCs w:val="24"/>
              </w:rPr>
              <w:t>（</w:t>
            </w:r>
            <w:r>
              <w:rPr>
                <w:b/>
                <w:sz w:val="24"/>
                <w:szCs w:val="24"/>
              </w:rPr>
              <w:t>3</w:t>
            </w:r>
            <w:r>
              <w:rPr>
                <w:rFonts w:hint="eastAsia"/>
                <w:b/>
                <w:sz w:val="24"/>
                <w:szCs w:val="24"/>
              </w:rPr>
              <w:t>）环境管理要求</w:t>
            </w:r>
          </w:p>
          <w:p>
            <w:pPr>
              <w:spacing w:line="360" w:lineRule="auto"/>
              <w:ind w:firstLine="482" w:firstLineChars="200"/>
              <w:rPr>
                <w:sz w:val="24"/>
                <w:szCs w:val="24"/>
              </w:rPr>
            </w:pPr>
            <w:r>
              <w:rPr>
                <w:rFonts w:hint="eastAsia"/>
                <w:b/>
                <w:sz w:val="24"/>
                <w:szCs w:val="24"/>
              </w:rPr>
              <w:t>储存要求</w:t>
            </w:r>
            <w:r>
              <w:rPr>
                <w:rFonts w:hint="eastAsia"/>
                <w:sz w:val="24"/>
                <w:szCs w:val="24"/>
              </w:rPr>
              <w:t>：</w:t>
            </w:r>
            <w:r>
              <w:rPr>
                <w:rFonts w:cs="Times New Roman"/>
                <w:sz w:val="24"/>
                <w:szCs w:val="24"/>
              </w:rPr>
              <w:t>危险废物应分类收集储存在危废暂存间，危废暂存间应采取</w:t>
            </w:r>
            <w:r>
              <w:rPr>
                <w:rFonts w:hint="eastAsia" w:cs="Times New Roman"/>
                <w:sz w:val="24"/>
                <w:szCs w:val="24"/>
              </w:rPr>
              <w:t>防风、防晒、防雨、防漏、防渗、防腐等环境污染防治措施</w:t>
            </w:r>
            <w:r>
              <w:rPr>
                <w:rFonts w:cs="Times New Roman"/>
                <w:sz w:val="24"/>
                <w:szCs w:val="24"/>
              </w:rPr>
              <w:t>，按照《危险废物识别标志设置技术规范》（HJ 1276-2022）和《环境保护图形标志——固体废物贮存（处置）场》（GB15562.2-1995）及其修改单设置警示标识，由专人负责管理。危险废物贮存必须严格按照《危险废物贮存污染控制标准》（GB18597-2023）的要求执行</w:t>
            </w:r>
            <w:r>
              <w:rPr>
                <w:rFonts w:hint="eastAsia"/>
                <w:sz w:val="24"/>
                <w:szCs w:val="24"/>
              </w:rPr>
              <w:t>：</w:t>
            </w:r>
          </w:p>
          <w:p>
            <w:pPr>
              <w:spacing w:line="360" w:lineRule="auto"/>
              <w:ind w:firstLine="482" w:firstLineChars="200"/>
              <w:rPr>
                <w:rFonts w:cs="Times New Roman"/>
                <w:b/>
                <w:bCs/>
                <w:sz w:val="24"/>
                <w:szCs w:val="24"/>
              </w:rPr>
            </w:pPr>
            <w:r>
              <w:rPr>
                <w:rFonts w:cs="Times New Roman"/>
                <w:b/>
                <w:bCs/>
                <w:sz w:val="24"/>
                <w:szCs w:val="24"/>
              </w:rPr>
              <w:t>1）贮存设施污染控制要求</w:t>
            </w:r>
          </w:p>
          <w:p>
            <w:pPr>
              <w:spacing w:line="360" w:lineRule="auto"/>
              <w:ind w:firstLine="480" w:firstLineChars="200"/>
              <w:rPr>
                <w:rFonts w:cs="Times New Roman"/>
                <w:sz w:val="24"/>
                <w:szCs w:val="24"/>
              </w:rPr>
            </w:pPr>
            <w:r>
              <w:rPr>
                <w:rFonts w:hint="eastAsia" w:ascii="宋体" w:hAnsi="宋体" w:cs="宋体"/>
                <w:sz w:val="24"/>
                <w:szCs w:val="24"/>
              </w:rPr>
              <w:t>①</w:t>
            </w:r>
            <w:r>
              <w:rPr>
                <w:rFonts w:cs="Times New Roman"/>
                <w:sz w:val="24"/>
                <w:szCs w:val="24"/>
              </w:rPr>
              <w:t>贮存设施应根据危险废物的形态、物理化学性质、包装形式和污染物迁移途径，采取必要的防风、防晒、防雨、防漏、防渗、防腐以及其他环境污染防治措施，不应露天堆放危险废物。</w:t>
            </w:r>
          </w:p>
          <w:p>
            <w:pPr>
              <w:spacing w:line="360" w:lineRule="auto"/>
              <w:ind w:firstLine="480" w:firstLineChars="200"/>
              <w:rPr>
                <w:rFonts w:cs="Times New Roman"/>
                <w:sz w:val="24"/>
                <w:szCs w:val="24"/>
              </w:rPr>
            </w:pPr>
            <w:r>
              <w:rPr>
                <w:rFonts w:hint="eastAsia" w:ascii="宋体" w:hAnsi="宋体" w:cs="宋体"/>
                <w:sz w:val="24"/>
                <w:szCs w:val="24"/>
              </w:rPr>
              <w:t>②</w:t>
            </w:r>
            <w:r>
              <w:rPr>
                <w:rFonts w:cs="Times New Roman"/>
                <w:sz w:val="24"/>
                <w:szCs w:val="24"/>
              </w:rPr>
              <w:t>贮存设施应根据危险废物的类别、数量、形态、物理化学性质和污染防治等要求设置必要的贮存分区，避免不相容的危险废物接触、混合。</w:t>
            </w:r>
          </w:p>
          <w:p>
            <w:pPr>
              <w:spacing w:line="360" w:lineRule="auto"/>
              <w:ind w:firstLine="480" w:firstLineChars="200"/>
              <w:rPr>
                <w:rFonts w:cs="Times New Roman"/>
                <w:sz w:val="24"/>
                <w:szCs w:val="24"/>
              </w:rPr>
            </w:pPr>
            <w:r>
              <w:rPr>
                <w:rFonts w:hint="eastAsia" w:ascii="宋体" w:hAnsi="宋体" w:cs="宋体"/>
                <w:sz w:val="24"/>
                <w:szCs w:val="24"/>
              </w:rPr>
              <w:t>③</w:t>
            </w:r>
            <w:r>
              <w:rPr>
                <w:rFonts w:cs="Times New Roman"/>
                <w:sz w:val="24"/>
                <w:szCs w:val="24"/>
              </w:rPr>
              <w:t>贮存设施或贮存分区内地面、墙面裙脚、堵截泄漏的围堰、接触危险废物的隔板和墙体等应采用坚固的材料建造，表面无裂缝。</w:t>
            </w:r>
          </w:p>
          <w:p>
            <w:pPr>
              <w:spacing w:line="360" w:lineRule="auto"/>
              <w:ind w:firstLine="480" w:firstLineChars="200"/>
              <w:rPr>
                <w:rFonts w:cs="Times New Roman"/>
                <w:sz w:val="24"/>
                <w:szCs w:val="24"/>
              </w:rPr>
            </w:pPr>
            <w:r>
              <w:rPr>
                <w:rFonts w:hint="eastAsia" w:ascii="宋体" w:hAnsi="宋体" w:cs="宋体"/>
                <w:sz w:val="24"/>
                <w:szCs w:val="24"/>
              </w:rPr>
              <w:t>④</w:t>
            </w:r>
            <w:r>
              <w:rPr>
                <w:rFonts w:cs="Times New Roman"/>
                <w:sz w:val="24"/>
                <w:szCs w:val="24"/>
              </w:rPr>
              <w:t>贮存设施地面与裙脚应采取表面防渗措施；表面防渗材料应与所接触的物料或污染物相容，可采用抗渗混凝土、高密度聚乙烯膜、钠基膨润土防水毯或其他防渗性能等效的材料。</w:t>
            </w:r>
          </w:p>
          <w:p>
            <w:pPr>
              <w:spacing w:line="360" w:lineRule="auto"/>
              <w:ind w:firstLine="480" w:firstLineChars="200"/>
              <w:rPr>
                <w:rFonts w:cs="Times New Roman"/>
                <w:sz w:val="24"/>
                <w:szCs w:val="24"/>
              </w:rPr>
            </w:pPr>
            <w:r>
              <w:rPr>
                <w:rFonts w:hint="eastAsia" w:ascii="宋体" w:hAnsi="宋体" w:cs="宋体"/>
                <w:sz w:val="24"/>
                <w:szCs w:val="24"/>
              </w:rPr>
              <w:t>⑤</w:t>
            </w:r>
            <w:r>
              <w:rPr>
                <w:rFonts w:cs="Times New Roman"/>
                <w:sz w:val="24"/>
                <w:szCs w:val="24"/>
              </w:rPr>
              <w:t>同一贮存设施宜采用相同的防渗、防腐工艺（包括防渗、防腐结构或材料），防渗、防腐材料应覆盖所有可能与废物及其渗滤液、渗漏液等接触的构筑物表面；采用不同防渗、防腐工艺应分别建设贮存分区。</w:t>
            </w:r>
          </w:p>
          <w:p>
            <w:pPr>
              <w:spacing w:line="360" w:lineRule="auto"/>
              <w:ind w:firstLine="480" w:firstLineChars="200"/>
              <w:rPr>
                <w:rFonts w:cs="Times New Roman"/>
                <w:sz w:val="24"/>
                <w:szCs w:val="24"/>
              </w:rPr>
            </w:pPr>
            <w:r>
              <w:rPr>
                <w:rFonts w:hint="eastAsia" w:ascii="宋体" w:hAnsi="宋体" w:cs="宋体"/>
                <w:sz w:val="24"/>
                <w:szCs w:val="24"/>
              </w:rPr>
              <w:t>⑥</w:t>
            </w:r>
            <w:r>
              <w:rPr>
                <w:rFonts w:cs="Times New Roman"/>
                <w:sz w:val="24"/>
                <w:szCs w:val="24"/>
              </w:rPr>
              <w:t>贮存设施应采取技术和管理措施防止无关人员进入。</w:t>
            </w:r>
          </w:p>
          <w:p>
            <w:pPr>
              <w:spacing w:line="360" w:lineRule="auto"/>
              <w:ind w:firstLine="482" w:firstLineChars="200"/>
              <w:rPr>
                <w:rFonts w:cs="Times New Roman"/>
                <w:b/>
                <w:bCs/>
                <w:sz w:val="24"/>
                <w:szCs w:val="24"/>
              </w:rPr>
            </w:pPr>
            <w:r>
              <w:rPr>
                <w:rFonts w:cs="Times New Roman"/>
                <w:b/>
                <w:bCs/>
                <w:sz w:val="24"/>
                <w:szCs w:val="24"/>
              </w:rPr>
              <w:t>2）容器和包装物污染控制要求</w:t>
            </w:r>
          </w:p>
          <w:p>
            <w:pPr>
              <w:spacing w:line="360" w:lineRule="auto"/>
              <w:ind w:firstLine="480" w:firstLineChars="200"/>
              <w:rPr>
                <w:rFonts w:cs="Times New Roman"/>
                <w:sz w:val="24"/>
                <w:szCs w:val="24"/>
              </w:rPr>
            </w:pPr>
            <w:r>
              <w:rPr>
                <w:rFonts w:hint="eastAsia" w:ascii="宋体" w:hAnsi="宋体" w:cs="宋体"/>
                <w:sz w:val="24"/>
                <w:szCs w:val="24"/>
              </w:rPr>
              <w:t>①</w:t>
            </w:r>
            <w:r>
              <w:rPr>
                <w:rFonts w:cs="Times New Roman"/>
                <w:sz w:val="24"/>
                <w:szCs w:val="24"/>
              </w:rPr>
              <w:t>容器和包装物材质、内衬应与盛装的危险废物相容。</w:t>
            </w:r>
          </w:p>
          <w:p>
            <w:pPr>
              <w:spacing w:line="360" w:lineRule="auto"/>
              <w:ind w:firstLine="480" w:firstLineChars="200"/>
              <w:rPr>
                <w:rFonts w:cs="Times New Roman"/>
                <w:sz w:val="24"/>
                <w:szCs w:val="24"/>
              </w:rPr>
            </w:pPr>
            <w:r>
              <w:rPr>
                <w:rFonts w:hint="eastAsia" w:ascii="宋体" w:hAnsi="宋体" w:cs="宋体"/>
                <w:sz w:val="24"/>
                <w:szCs w:val="24"/>
              </w:rPr>
              <w:t>②</w:t>
            </w:r>
            <w:r>
              <w:rPr>
                <w:rFonts w:cs="Times New Roman"/>
                <w:sz w:val="24"/>
                <w:szCs w:val="24"/>
              </w:rPr>
              <w:t>针对不同类别、形态、物理化学性质的危险废物，其容器和包装物应满足相应的防渗、防漏、防腐和强度等要求。</w:t>
            </w:r>
          </w:p>
          <w:p>
            <w:pPr>
              <w:spacing w:line="360" w:lineRule="auto"/>
              <w:ind w:firstLine="480" w:firstLineChars="200"/>
              <w:rPr>
                <w:rFonts w:cs="Times New Roman"/>
                <w:sz w:val="24"/>
                <w:szCs w:val="24"/>
              </w:rPr>
            </w:pPr>
            <w:r>
              <w:rPr>
                <w:rFonts w:hint="eastAsia" w:ascii="宋体" w:hAnsi="宋体" w:cs="宋体"/>
                <w:sz w:val="24"/>
                <w:szCs w:val="24"/>
              </w:rPr>
              <w:t>③</w:t>
            </w:r>
            <w:r>
              <w:rPr>
                <w:rFonts w:cs="Times New Roman"/>
                <w:sz w:val="24"/>
                <w:szCs w:val="24"/>
              </w:rPr>
              <w:t>硬质容器和包装物及其支护结构堆叠码放时不应有明显变形，无破损泄漏。</w:t>
            </w:r>
          </w:p>
          <w:p>
            <w:pPr>
              <w:spacing w:line="360" w:lineRule="auto"/>
              <w:ind w:firstLine="480" w:firstLineChars="200"/>
              <w:rPr>
                <w:rFonts w:cs="Times New Roman"/>
                <w:sz w:val="24"/>
                <w:szCs w:val="24"/>
              </w:rPr>
            </w:pPr>
            <w:r>
              <w:rPr>
                <w:rFonts w:hint="eastAsia" w:ascii="宋体" w:hAnsi="宋体" w:cs="宋体"/>
                <w:sz w:val="24"/>
                <w:szCs w:val="24"/>
              </w:rPr>
              <w:t>④</w:t>
            </w:r>
            <w:r>
              <w:rPr>
                <w:rFonts w:cs="Times New Roman"/>
                <w:sz w:val="24"/>
                <w:szCs w:val="24"/>
              </w:rPr>
              <w:t>柔性容器和包装物堆叠码放时应封口严密，无破损泄漏。</w:t>
            </w:r>
          </w:p>
          <w:p>
            <w:pPr>
              <w:spacing w:line="360" w:lineRule="auto"/>
              <w:ind w:firstLine="480" w:firstLineChars="200"/>
              <w:rPr>
                <w:rFonts w:cs="Times New Roman"/>
                <w:sz w:val="24"/>
                <w:szCs w:val="24"/>
              </w:rPr>
            </w:pPr>
            <w:r>
              <w:rPr>
                <w:rFonts w:hint="eastAsia" w:ascii="宋体" w:hAnsi="宋体" w:cs="宋体"/>
                <w:sz w:val="24"/>
                <w:szCs w:val="24"/>
              </w:rPr>
              <w:t>⑤</w:t>
            </w:r>
            <w:r>
              <w:rPr>
                <w:rFonts w:cs="Times New Roman"/>
                <w:sz w:val="24"/>
                <w:szCs w:val="24"/>
              </w:rPr>
              <w:t>使用容器盛装液态、半固态危险废物时，容器内部应留有适当的空间，以适应因温度变化等可能引发的收缩和膨胀，防止其导致容器渗漏或永久变形。</w:t>
            </w:r>
          </w:p>
          <w:p>
            <w:pPr>
              <w:spacing w:line="360" w:lineRule="auto"/>
              <w:ind w:firstLine="480" w:firstLineChars="200"/>
              <w:rPr>
                <w:rFonts w:cs="Times New Roman"/>
                <w:sz w:val="24"/>
                <w:szCs w:val="24"/>
              </w:rPr>
            </w:pPr>
            <w:r>
              <w:rPr>
                <w:rFonts w:hint="eastAsia" w:ascii="宋体" w:hAnsi="宋体" w:cs="宋体"/>
                <w:sz w:val="24"/>
                <w:szCs w:val="24"/>
              </w:rPr>
              <w:t>⑥</w:t>
            </w:r>
            <w:r>
              <w:rPr>
                <w:rFonts w:cs="Times New Roman"/>
                <w:sz w:val="24"/>
                <w:szCs w:val="24"/>
              </w:rPr>
              <w:t>容器和包装物外表面应保持清洁。</w:t>
            </w:r>
          </w:p>
          <w:p>
            <w:pPr>
              <w:spacing w:line="360" w:lineRule="auto"/>
              <w:ind w:firstLine="482" w:firstLineChars="200"/>
              <w:rPr>
                <w:rFonts w:cs="Times New Roman"/>
                <w:b/>
                <w:bCs/>
                <w:sz w:val="24"/>
                <w:szCs w:val="24"/>
              </w:rPr>
            </w:pPr>
            <w:r>
              <w:rPr>
                <w:rFonts w:cs="Times New Roman"/>
                <w:b/>
                <w:bCs/>
                <w:sz w:val="24"/>
                <w:szCs w:val="24"/>
              </w:rPr>
              <w:t>3）贮存设施运行环境管理要求</w:t>
            </w:r>
          </w:p>
          <w:p>
            <w:pPr>
              <w:spacing w:line="360" w:lineRule="auto"/>
              <w:ind w:firstLine="480" w:firstLineChars="200"/>
              <w:rPr>
                <w:rFonts w:cs="Times New Roman"/>
                <w:sz w:val="24"/>
                <w:szCs w:val="24"/>
              </w:rPr>
            </w:pPr>
            <w:r>
              <w:rPr>
                <w:rFonts w:hint="eastAsia" w:ascii="宋体" w:hAnsi="宋体" w:cs="宋体"/>
                <w:sz w:val="24"/>
                <w:szCs w:val="24"/>
              </w:rPr>
              <w:t>①</w:t>
            </w:r>
            <w:r>
              <w:rPr>
                <w:rFonts w:cs="Times New Roman"/>
                <w:sz w:val="24"/>
                <w:szCs w:val="24"/>
              </w:rPr>
              <w:t>危险废物存入贮存设施前应对危险废物类别和特性与危险废物标签等危险废物识别标志的一致性进行核验，不一致的或类别、特性不明的不应存入。</w:t>
            </w:r>
          </w:p>
          <w:p>
            <w:pPr>
              <w:spacing w:line="360" w:lineRule="auto"/>
              <w:ind w:firstLine="480" w:firstLineChars="200"/>
              <w:rPr>
                <w:rFonts w:cs="Times New Roman"/>
                <w:sz w:val="24"/>
                <w:szCs w:val="24"/>
              </w:rPr>
            </w:pPr>
            <w:r>
              <w:rPr>
                <w:rFonts w:hint="eastAsia" w:ascii="宋体" w:hAnsi="宋体" w:cs="宋体"/>
                <w:sz w:val="24"/>
                <w:szCs w:val="24"/>
              </w:rPr>
              <w:t>②</w:t>
            </w:r>
            <w:r>
              <w:rPr>
                <w:rFonts w:cs="Times New Roman"/>
                <w:sz w:val="24"/>
                <w:szCs w:val="24"/>
              </w:rPr>
              <w:t>应定期检查危险废物的贮存状况，及时清理贮存设施地面，更换破损泄漏的危险废物贮存容器和包装物，保证堆存危险废物的防雨、防风、防扬尘等设施功能完好。</w:t>
            </w:r>
          </w:p>
          <w:p>
            <w:pPr>
              <w:spacing w:line="360" w:lineRule="auto"/>
              <w:ind w:firstLine="480" w:firstLineChars="200"/>
              <w:rPr>
                <w:rFonts w:cs="Times New Roman"/>
                <w:sz w:val="24"/>
                <w:szCs w:val="24"/>
              </w:rPr>
            </w:pPr>
            <w:r>
              <w:rPr>
                <w:rFonts w:hint="eastAsia" w:ascii="宋体" w:hAnsi="宋体" w:cs="宋体"/>
                <w:sz w:val="24"/>
                <w:szCs w:val="24"/>
              </w:rPr>
              <w:t>③</w:t>
            </w:r>
            <w:r>
              <w:rPr>
                <w:rFonts w:cs="Times New Roman"/>
                <w:sz w:val="24"/>
                <w:szCs w:val="24"/>
              </w:rPr>
              <w:t>作业设备及车辆等结束作业离开贮存设施时，应对其残留的危险废物进行清理，清理的废物或清洗废水应收集处理。</w:t>
            </w:r>
          </w:p>
          <w:p>
            <w:pPr>
              <w:spacing w:line="360" w:lineRule="auto"/>
              <w:ind w:firstLine="480" w:firstLineChars="200"/>
              <w:rPr>
                <w:rFonts w:cs="Times New Roman"/>
                <w:sz w:val="24"/>
                <w:szCs w:val="24"/>
              </w:rPr>
            </w:pPr>
            <w:r>
              <w:rPr>
                <w:rFonts w:hint="eastAsia" w:ascii="宋体" w:hAnsi="宋体" w:cs="宋体"/>
                <w:sz w:val="24"/>
                <w:szCs w:val="24"/>
              </w:rPr>
              <w:t>④</w:t>
            </w:r>
            <w:r>
              <w:rPr>
                <w:rFonts w:cs="Times New Roman"/>
                <w:sz w:val="24"/>
                <w:szCs w:val="24"/>
              </w:rPr>
              <w:t>贮存设施运行期间，应按国家有关标准和规定建立危险废物管理台账并保存。</w:t>
            </w:r>
          </w:p>
          <w:p>
            <w:pPr>
              <w:spacing w:line="360" w:lineRule="auto"/>
              <w:ind w:firstLine="480" w:firstLineChars="200"/>
              <w:rPr>
                <w:rFonts w:cs="Times New Roman"/>
                <w:sz w:val="24"/>
                <w:szCs w:val="24"/>
              </w:rPr>
            </w:pPr>
            <w:r>
              <w:rPr>
                <w:rFonts w:hint="eastAsia" w:ascii="宋体" w:hAnsi="宋体" w:cs="宋体"/>
                <w:sz w:val="24"/>
                <w:szCs w:val="24"/>
              </w:rPr>
              <w:t>⑤</w:t>
            </w:r>
            <w:r>
              <w:rPr>
                <w:rFonts w:cs="Times New Roman"/>
                <w:sz w:val="24"/>
                <w:szCs w:val="24"/>
              </w:rPr>
              <w:t>贮存设施所有者或运营者应建立贮存设施环境管理制度、管理人员岗位职责制度、设施运行操作制度、人员岗位培训制度等。</w:t>
            </w:r>
          </w:p>
          <w:p>
            <w:pPr>
              <w:spacing w:line="360" w:lineRule="auto"/>
              <w:ind w:firstLine="480" w:firstLineChars="200"/>
              <w:rPr>
                <w:rFonts w:cs="Times New Roman"/>
                <w:sz w:val="24"/>
                <w:szCs w:val="24"/>
              </w:rPr>
            </w:pPr>
            <w:r>
              <w:rPr>
                <w:rFonts w:hint="eastAsia" w:ascii="宋体" w:hAnsi="宋体" w:cs="宋体"/>
                <w:sz w:val="24"/>
                <w:szCs w:val="24"/>
              </w:rPr>
              <w:t>⑥</w:t>
            </w:r>
            <w:r>
              <w:rPr>
                <w:rFonts w:cs="Times New Roman"/>
                <w:sz w:val="24"/>
                <w:szCs w:val="24"/>
              </w:rPr>
              <w:t>贮存设施所有者或运营者应依据国家土壤和地下水污染防治的有关规定，结合贮存设施特点建立土壤和地下水污染隐患排查制度，并定期开展隐患排查；发现隐患应及时采取措施消除隐患，并建立档案。</w:t>
            </w:r>
          </w:p>
          <w:p>
            <w:pPr>
              <w:spacing w:line="360" w:lineRule="auto"/>
              <w:ind w:firstLine="480" w:firstLineChars="200"/>
              <w:rPr>
                <w:rFonts w:cs="Times New Roman"/>
                <w:sz w:val="24"/>
                <w:szCs w:val="24"/>
              </w:rPr>
            </w:pPr>
            <w:r>
              <w:rPr>
                <w:rFonts w:hint="eastAsia" w:ascii="宋体" w:hAnsi="宋体" w:cs="宋体"/>
                <w:sz w:val="24"/>
                <w:szCs w:val="24"/>
              </w:rPr>
              <w:t>⑦</w:t>
            </w:r>
            <w:r>
              <w:rPr>
                <w:rFonts w:cs="Times New Roman"/>
                <w:sz w:val="24"/>
                <w:szCs w:val="24"/>
              </w:rPr>
              <w:t>贮存设施所有者或运营者应建立贮存设施全部档案，包括设计、施工、验收、运行、监测和环境应急等，应按国家有关档案管理的法律法规进行整理和归档。</w:t>
            </w:r>
          </w:p>
          <w:p>
            <w:pPr>
              <w:spacing w:line="360" w:lineRule="auto"/>
              <w:ind w:firstLine="482" w:firstLineChars="200"/>
              <w:rPr>
                <w:rFonts w:cs="Times New Roman"/>
                <w:b/>
                <w:bCs/>
                <w:sz w:val="24"/>
                <w:szCs w:val="24"/>
              </w:rPr>
            </w:pPr>
            <w:r>
              <w:rPr>
                <w:rFonts w:cs="Times New Roman"/>
                <w:b/>
                <w:bCs/>
                <w:sz w:val="24"/>
                <w:szCs w:val="24"/>
              </w:rPr>
              <w:t>4）环境应急要求</w:t>
            </w:r>
          </w:p>
          <w:p>
            <w:pPr>
              <w:spacing w:line="360" w:lineRule="auto"/>
              <w:ind w:firstLine="480" w:firstLineChars="200"/>
              <w:rPr>
                <w:rFonts w:cs="Times New Roman"/>
                <w:sz w:val="24"/>
                <w:szCs w:val="24"/>
              </w:rPr>
            </w:pPr>
            <w:r>
              <w:rPr>
                <w:rFonts w:hint="eastAsia" w:ascii="宋体" w:hAnsi="宋体" w:cs="宋体"/>
                <w:sz w:val="24"/>
                <w:szCs w:val="24"/>
              </w:rPr>
              <w:t>①</w:t>
            </w:r>
            <w:r>
              <w:rPr>
                <w:rFonts w:cs="Times New Roman"/>
                <w:sz w:val="24"/>
                <w:szCs w:val="24"/>
              </w:rPr>
              <w:t>贮存设施所有者或运营者应按照国家有关规定编制突发环境事件应急预案，定期开展必要的培训和环境应急演练，并做好培训、演练记录。</w:t>
            </w:r>
          </w:p>
          <w:p>
            <w:pPr>
              <w:spacing w:line="360" w:lineRule="auto"/>
              <w:ind w:firstLine="480" w:firstLineChars="200"/>
              <w:rPr>
                <w:rFonts w:cs="Times New Roman"/>
                <w:sz w:val="24"/>
                <w:szCs w:val="24"/>
              </w:rPr>
            </w:pPr>
            <w:r>
              <w:rPr>
                <w:rFonts w:hint="eastAsia" w:ascii="宋体" w:hAnsi="宋体" w:cs="宋体"/>
                <w:sz w:val="24"/>
                <w:szCs w:val="24"/>
              </w:rPr>
              <w:t>②</w:t>
            </w:r>
            <w:r>
              <w:rPr>
                <w:rFonts w:cs="Times New Roman"/>
                <w:sz w:val="24"/>
                <w:szCs w:val="24"/>
              </w:rPr>
              <w:t>贮存设施所有者或运营者应配备满足其突发环境事件应急要求的应急人员、装备和物资，并应设置应急照明系统。</w:t>
            </w:r>
          </w:p>
          <w:p>
            <w:pPr>
              <w:spacing w:line="360" w:lineRule="auto"/>
              <w:ind w:firstLine="480" w:firstLineChars="200"/>
              <w:rPr>
                <w:sz w:val="24"/>
                <w:szCs w:val="24"/>
              </w:rPr>
            </w:pPr>
            <w:r>
              <w:rPr>
                <w:rFonts w:hint="eastAsia" w:ascii="宋体" w:hAnsi="宋体" w:cs="宋体"/>
                <w:sz w:val="24"/>
                <w:szCs w:val="24"/>
              </w:rPr>
              <w:t>③</w:t>
            </w:r>
            <w:r>
              <w:rPr>
                <w:rFonts w:cs="Times New Roman"/>
                <w:sz w:val="24"/>
                <w:szCs w:val="24"/>
              </w:rPr>
              <w:t>相关部门发布自然灾害或恶劣天气预警后，贮存设施所有者或运营者应启动相应防控措施，若有必要可将危险废物转移至其他具有防护条件的地点贮存</w:t>
            </w:r>
            <w:r>
              <w:rPr>
                <w:rFonts w:hint="eastAsia"/>
                <w:sz w:val="24"/>
                <w:szCs w:val="24"/>
              </w:rPr>
              <w:t>。</w:t>
            </w:r>
          </w:p>
          <w:p>
            <w:pPr>
              <w:spacing w:line="360" w:lineRule="auto"/>
              <w:ind w:firstLine="482" w:firstLineChars="200"/>
              <w:rPr>
                <w:sz w:val="24"/>
                <w:szCs w:val="24"/>
              </w:rPr>
            </w:pPr>
            <w:r>
              <w:rPr>
                <w:rFonts w:hint="eastAsia"/>
                <w:b/>
                <w:sz w:val="24"/>
                <w:szCs w:val="24"/>
              </w:rPr>
              <w:t>转运要求</w:t>
            </w:r>
            <w:r>
              <w:rPr>
                <w:rFonts w:hint="eastAsia"/>
                <w:sz w:val="24"/>
                <w:szCs w:val="24"/>
              </w:rPr>
              <w:t>：危险废物转运必须严格落实《危险废物转移管理办法》的规定，按要求填写危险废物转移联单，并严格落实以下要求：</w:t>
            </w:r>
          </w:p>
          <w:p>
            <w:pPr>
              <w:spacing w:line="360" w:lineRule="auto"/>
              <w:ind w:firstLine="480" w:firstLineChars="200"/>
              <w:rPr>
                <w:sz w:val="24"/>
                <w:szCs w:val="24"/>
              </w:rPr>
            </w:pPr>
            <w:r>
              <w:rPr>
                <w:rFonts w:hint="eastAsia"/>
                <w:sz w:val="24"/>
                <w:szCs w:val="24"/>
              </w:rPr>
              <w:t>①危险废物运输应由持有危险废物经营许可证的单位按照其许可证的经营范围组织实施，并取得交通运输部门颁发的危险货物运输资质。</w:t>
            </w:r>
          </w:p>
          <w:p>
            <w:pPr>
              <w:spacing w:line="360" w:lineRule="auto"/>
              <w:ind w:firstLine="480" w:firstLineChars="200"/>
              <w:rPr>
                <w:sz w:val="24"/>
                <w:szCs w:val="24"/>
              </w:rPr>
            </w:pPr>
            <w:r>
              <w:rPr>
                <w:rFonts w:hint="eastAsia"/>
                <w:sz w:val="24"/>
                <w:szCs w:val="24"/>
              </w:rPr>
              <w:t>②危险废物运输单位必须采取防扬散、防流失、防渗漏或其他防止污染环境的措施，并遵守国家有关危险货物运输管理的规定。</w:t>
            </w:r>
          </w:p>
          <w:p>
            <w:pPr>
              <w:spacing w:line="360" w:lineRule="auto"/>
              <w:ind w:firstLine="480" w:firstLineChars="200"/>
              <w:rPr>
                <w:sz w:val="24"/>
                <w:szCs w:val="24"/>
              </w:rPr>
            </w:pPr>
            <w:r>
              <w:rPr>
                <w:rFonts w:hint="eastAsia"/>
                <w:sz w:val="24"/>
                <w:szCs w:val="24"/>
              </w:rPr>
              <w:t>③运输危险废物的车辆必须是危险货物运输车辆，并按《道路运输危险货物车辆标志》（GB13392-2005）设置车辆标志，不得将危险废物与旅客在同一运输工具载运。</w:t>
            </w:r>
          </w:p>
          <w:p>
            <w:pPr>
              <w:spacing w:line="360" w:lineRule="auto"/>
              <w:ind w:firstLine="480" w:firstLineChars="200"/>
              <w:rPr>
                <w:sz w:val="24"/>
                <w:szCs w:val="24"/>
              </w:rPr>
            </w:pPr>
            <w:r>
              <w:rPr>
                <w:rFonts w:hint="eastAsia"/>
                <w:sz w:val="24"/>
                <w:szCs w:val="24"/>
              </w:rPr>
              <w:t>④危险废物公路运输应按照《道路危险货物运输管理规定》（交通运输部令2013年第2号）、《危险货物道路运输规则》（JT/T617-2018）以及《汽车运输、装卸危险货物作业规程》（JT 618-2004）的有关要求执行。</w:t>
            </w:r>
          </w:p>
          <w:p>
            <w:pPr>
              <w:spacing w:line="360" w:lineRule="auto"/>
              <w:ind w:firstLine="480" w:firstLineChars="200"/>
              <w:rPr>
                <w:sz w:val="24"/>
                <w:szCs w:val="24"/>
              </w:rPr>
            </w:pPr>
            <w:r>
              <w:rPr>
                <w:rFonts w:hint="eastAsia"/>
                <w:sz w:val="24"/>
                <w:szCs w:val="24"/>
              </w:rPr>
              <w:t>⑤危险废物装卸人员应熟悉废物的危险特性，并配备适当的个人防护装备；卸载区应配备必要的消防设备和设施，并设置明显的指示标志；装卸区应设置隔离设施，液态废物卸载区应设置收集槽和缓冲罐。</w:t>
            </w:r>
          </w:p>
          <w:p>
            <w:pPr>
              <w:spacing w:line="360" w:lineRule="auto"/>
              <w:ind w:firstLine="480" w:firstLineChars="200"/>
              <w:rPr>
                <w:sz w:val="24"/>
                <w:szCs w:val="24"/>
              </w:rPr>
            </w:pPr>
            <w:r>
              <w:rPr>
                <w:rFonts w:hint="eastAsia"/>
                <w:sz w:val="24"/>
                <w:szCs w:val="24"/>
              </w:rPr>
              <w:t>综上所述，本项目严格落实本环评中提出的各类废物处置措施，落实危险废物储存和转运要求，可防止因处置不当出现的环境二次污染。</w:t>
            </w:r>
          </w:p>
          <w:p>
            <w:pPr>
              <w:spacing w:line="360" w:lineRule="auto"/>
              <w:ind w:firstLine="482" w:firstLineChars="200"/>
              <w:rPr>
                <w:b/>
                <w:sz w:val="24"/>
                <w:szCs w:val="24"/>
              </w:rPr>
            </w:pPr>
            <w:r>
              <w:rPr>
                <w:b/>
                <w:sz w:val="24"/>
                <w:szCs w:val="24"/>
              </w:rPr>
              <w:t>5</w:t>
            </w:r>
            <w:r>
              <w:rPr>
                <w:rFonts w:hint="eastAsia"/>
                <w:b/>
                <w:sz w:val="24"/>
                <w:szCs w:val="24"/>
              </w:rPr>
              <w:t>、地下水、土壤</w:t>
            </w:r>
          </w:p>
          <w:p>
            <w:pPr>
              <w:spacing w:line="360" w:lineRule="auto"/>
              <w:ind w:firstLine="482" w:firstLineChars="200"/>
              <w:rPr>
                <w:b/>
                <w:sz w:val="24"/>
                <w:szCs w:val="24"/>
              </w:rPr>
            </w:pPr>
            <w:r>
              <w:rPr>
                <w:rFonts w:hint="eastAsia"/>
                <w:b/>
                <w:sz w:val="24"/>
                <w:szCs w:val="24"/>
              </w:rPr>
              <w:t>（</w:t>
            </w:r>
            <w:r>
              <w:rPr>
                <w:b/>
                <w:sz w:val="24"/>
                <w:szCs w:val="24"/>
              </w:rPr>
              <w:t>1</w:t>
            </w:r>
            <w:r>
              <w:rPr>
                <w:rFonts w:hint="eastAsia"/>
                <w:b/>
                <w:sz w:val="24"/>
                <w:szCs w:val="24"/>
              </w:rPr>
              <w:t>）防渗分区</w:t>
            </w:r>
          </w:p>
          <w:p>
            <w:pPr>
              <w:spacing w:line="360" w:lineRule="auto"/>
              <w:ind w:firstLine="480" w:firstLineChars="200"/>
              <w:rPr>
                <w:sz w:val="24"/>
                <w:szCs w:val="24"/>
              </w:rPr>
            </w:pPr>
            <w:r>
              <w:rPr>
                <w:rFonts w:hint="eastAsia"/>
                <w:sz w:val="24"/>
                <w:szCs w:val="24"/>
              </w:rPr>
              <w:t>项目新增设施不涉及地下水污染途径，根据《环境影响评价技术导则 地下水环境》（HJ610-2016）防渗分区原则，将本次改建新增设施划分为一般防渗区和简单防渗区，详见下表：</w:t>
            </w:r>
          </w:p>
          <w:p>
            <w:pPr>
              <w:spacing w:line="360" w:lineRule="auto"/>
              <w:jc w:val="center"/>
              <w:rPr>
                <w:rFonts w:eastAsia="黑体"/>
                <w:szCs w:val="21"/>
              </w:rPr>
            </w:pPr>
            <w:r>
              <w:rPr>
                <w:rFonts w:eastAsia="黑体"/>
                <w:szCs w:val="21"/>
              </w:rPr>
              <w:t>表4</w:t>
            </w:r>
            <w:r>
              <w:rPr>
                <w:rFonts w:hint="eastAsia" w:eastAsia="黑体"/>
                <w:szCs w:val="21"/>
              </w:rPr>
              <w:t>-</w:t>
            </w:r>
            <w:r>
              <w:rPr>
                <w:rFonts w:eastAsia="黑体"/>
                <w:szCs w:val="21"/>
              </w:rPr>
              <w:t>2</w:t>
            </w:r>
            <w:r>
              <w:rPr>
                <w:rFonts w:hint="eastAsia" w:eastAsia="黑体"/>
                <w:szCs w:val="21"/>
              </w:rPr>
              <w:t>6</w:t>
            </w:r>
            <w:r>
              <w:rPr>
                <w:rFonts w:eastAsia="黑体"/>
                <w:szCs w:val="21"/>
              </w:rPr>
              <w:t xml:space="preserve">  改建项目新增设施防渗分区表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3642"/>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jc w:val="center"/>
              </w:trPr>
              <w:tc>
                <w:tcPr>
                  <w:tcW w:w="785" w:type="pct"/>
                  <w:vAlign w:val="center"/>
                </w:tcPr>
                <w:p>
                  <w:pPr>
                    <w:jc w:val="center"/>
                    <w:rPr>
                      <w:szCs w:val="21"/>
                    </w:rPr>
                  </w:pPr>
                  <w:r>
                    <w:rPr>
                      <w:rFonts w:hint="eastAsia"/>
                      <w:szCs w:val="21"/>
                    </w:rPr>
                    <w:t>防渗</w:t>
                  </w:r>
                  <w:r>
                    <w:rPr>
                      <w:szCs w:val="21"/>
                    </w:rPr>
                    <w:t>分区</w:t>
                  </w:r>
                </w:p>
              </w:tc>
              <w:tc>
                <w:tcPr>
                  <w:tcW w:w="1991" w:type="pct"/>
                  <w:vAlign w:val="center"/>
                </w:tcPr>
                <w:p>
                  <w:pPr>
                    <w:jc w:val="center"/>
                    <w:rPr>
                      <w:szCs w:val="21"/>
                    </w:rPr>
                  </w:pPr>
                  <w:r>
                    <w:rPr>
                      <w:szCs w:val="21"/>
                    </w:rPr>
                    <w:t>工程区域</w:t>
                  </w:r>
                </w:p>
              </w:tc>
              <w:tc>
                <w:tcPr>
                  <w:tcW w:w="2224" w:type="pct"/>
                  <w:vAlign w:val="center"/>
                </w:tcPr>
                <w:p>
                  <w:pPr>
                    <w:jc w:val="center"/>
                    <w:rPr>
                      <w:szCs w:val="21"/>
                    </w:rPr>
                  </w:pPr>
                  <w:r>
                    <w:rPr>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85" w:type="pct"/>
                  <w:vAlign w:val="center"/>
                </w:tcPr>
                <w:p>
                  <w:pPr>
                    <w:jc w:val="center"/>
                    <w:rPr>
                      <w:szCs w:val="21"/>
                    </w:rPr>
                  </w:pPr>
                  <w:r>
                    <w:rPr>
                      <w:rFonts w:hint="eastAsia"/>
                      <w:szCs w:val="21"/>
                    </w:rPr>
                    <w:t>一般防渗区</w:t>
                  </w:r>
                </w:p>
              </w:tc>
              <w:tc>
                <w:tcPr>
                  <w:tcW w:w="1991" w:type="pct"/>
                  <w:vAlign w:val="center"/>
                </w:tcPr>
                <w:p>
                  <w:pPr>
                    <w:jc w:val="center"/>
                    <w:rPr>
                      <w:rFonts w:cstheme="minorHAnsi"/>
                      <w:szCs w:val="21"/>
                    </w:rPr>
                  </w:pPr>
                  <w:r>
                    <w:rPr>
                      <w:rFonts w:hint="eastAsia" w:cstheme="minorHAnsi"/>
                      <w:szCs w:val="21"/>
                    </w:rPr>
                    <w:t>空压机站</w:t>
                  </w:r>
                </w:p>
              </w:tc>
              <w:tc>
                <w:tcPr>
                  <w:tcW w:w="2224" w:type="pct"/>
                  <w:vAlign w:val="center"/>
                </w:tcPr>
                <w:p>
                  <w:pPr>
                    <w:rPr>
                      <w:rFonts w:cs="Times New Roman"/>
                      <w:szCs w:val="21"/>
                    </w:rPr>
                  </w:pPr>
                  <w:r>
                    <w:rPr>
                      <w:rFonts w:cs="Times New Roman"/>
                      <w:szCs w:val="21"/>
                    </w:rPr>
                    <w:t>等效黏土防渗层Mb≥1.5m，防渗系数K≤10</w:t>
                  </w:r>
                  <w:r>
                    <w:rPr>
                      <w:rFonts w:cs="Times New Roman"/>
                      <w:szCs w:val="21"/>
                      <w:vertAlign w:val="superscript"/>
                    </w:rPr>
                    <w:t>-7</w:t>
                  </w:r>
                  <w:r>
                    <w:rPr>
                      <w:rFonts w:cs="Times New Roman"/>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5" w:type="pct"/>
                  <w:vAlign w:val="center"/>
                </w:tcPr>
                <w:p>
                  <w:pPr>
                    <w:jc w:val="center"/>
                    <w:rPr>
                      <w:szCs w:val="21"/>
                    </w:rPr>
                  </w:pPr>
                  <w:r>
                    <w:rPr>
                      <w:rFonts w:hint="eastAsia"/>
                      <w:szCs w:val="21"/>
                    </w:rPr>
                    <w:t>简单防渗区</w:t>
                  </w:r>
                </w:p>
              </w:tc>
              <w:tc>
                <w:tcPr>
                  <w:tcW w:w="1991" w:type="pct"/>
                  <w:vAlign w:val="center"/>
                </w:tcPr>
                <w:p>
                  <w:pPr>
                    <w:jc w:val="center"/>
                    <w:rPr>
                      <w:rFonts w:cstheme="minorHAnsi"/>
                      <w:szCs w:val="21"/>
                    </w:rPr>
                  </w:pPr>
                  <w:r>
                    <w:rPr>
                      <w:rFonts w:hint="eastAsia" w:cstheme="minorHAnsi"/>
                      <w:szCs w:val="21"/>
                    </w:rPr>
                    <w:t>除空压机站外的其他新增设施</w:t>
                  </w:r>
                </w:p>
              </w:tc>
              <w:tc>
                <w:tcPr>
                  <w:tcW w:w="2224" w:type="pct"/>
                  <w:vAlign w:val="center"/>
                </w:tcPr>
                <w:p>
                  <w:pPr>
                    <w:rPr>
                      <w:rFonts w:cstheme="minorHAnsi"/>
                      <w:szCs w:val="21"/>
                    </w:rPr>
                  </w:pPr>
                  <w:r>
                    <w:rPr>
                      <w:rFonts w:cstheme="minorHAnsi"/>
                      <w:szCs w:val="21"/>
                    </w:rPr>
                    <w:t>一般地面硬化</w:t>
                  </w:r>
                </w:p>
              </w:tc>
            </w:tr>
          </w:tbl>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）防控措施</w:t>
            </w:r>
          </w:p>
          <w:p>
            <w:pPr>
              <w:spacing w:line="360" w:lineRule="auto"/>
              <w:ind w:firstLine="480" w:firstLineChars="200"/>
              <w:rPr>
                <w:sz w:val="24"/>
                <w:szCs w:val="24"/>
              </w:rPr>
            </w:pPr>
            <w:r>
              <w:rPr>
                <w:sz w:val="24"/>
                <w:szCs w:val="24"/>
              </w:rPr>
              <w:t>新增空压机站采用</w:t>
            </w:r>
            <w:r>
              <w:rPr>
                <w:rFonts w:cs="Times New Roman"/>
                <w:sz w:val="24"/>
                <w:szCs w:val="24"/>
              </w:rPr>
              <w:t>采用原土夯实+30cm抗渗混凝土进行防渗处理，确保防渗性能与1.5m厚黏土防渗层等效，防渗系数K≤1×10</w:t>
            </w:r>
            <w:r>
              <w:rPr>
                <w:rFonts w:cs="Times New Roman"/>
                <w:sz w:val="24"/>
                <w:szCs w:val="24"/>
                <w:vertAlign w:val="superscript"/>
              </w:rPr>
              <w:t>-7</w:t>
            </w:r>
            <w:r>
              <w:rPr>
                <w:rFonts w:cs="Times New Roman"/>
                <w:sz w:val="24"/>
                <w:szCs w:val="24"/>
              </w:rPr>
              <w:t>cm/s；其余区域采用一般地面硬化。</w:t>
            </w:r>
            <w:r>
              <w:rPr>
                <w:rFonts w:hint="eastAsia"/>
                <w:sz w:val="24"/>
                <w:szCs w:val="24"/>
              </w:rPr>
              <w:t>同时，严格落实环评提出的粉尘控制措施，保证环保治理设施正常稳定运行，减少污染物排放；厂界应种植吸附能力强的植物，减轻对周围土壤环境的影响。</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）监测要求</w:t>
            </w:r>
          </w:p>
          <w:p>
            <w:pPr>
              <w:spacing w:line="360" w:lineRule="auto"/>
              <w:ind w:firstLine="480" w:firstLineChars="200"/>
              <w:rPr>
                <w:sz w:val="24"/>
                <w:szCs w:val="24"/>
              </w:rPr>
            </w:pPr>
            <w:r>
              <w:rPr>
                <w:rFonts w:hint="eastAsia"/>
                <w:sz w:val="24"/>
                <w:szCs w:val="24"/>
              </w:rPr>
              <w:t>根据《环境影响评价技术导则 地下水环境》（HJ610-2016）和</w:t>
            </w:r>
            <w:r>
              <w:rPr>
                <w:rFonts w:hint="eastAsia" w:cs="宋体"/>
                <w:sz w:val="24"/>
                <w:szCs w:val="24"/>
              </w:rPr>
              <w:t>《环境影响评价技术导则 土壤环境（试行）》（HJ964-2018）中跟踪监测要求，本项目</w:t>
            </w:r>
            <w:r>
              <w:rPr>
                <w:rFonts w:hint="eastAsia"/>
                <w:sz w:val="24"/>
                <w:szCs w:val="24"/>
              </w:rPr>
              <w:t>可不开展地下水、土壤的跟踪监测。</w:t>
            </w:r>
          </w:p>
          <w:p>
            <w:pPr>
              <w:spacing w:line="360" w:lineRule="auto"/>
              <w:ind w:firstLine="482" w:firstLineChars="200"/>
              <w:rPr>
                <w:b/>
                <w:sz w:val="24"/>
                <w:szCs w:val="24"/>
              </w:rPr>
            </w:pPr>
            <w:r>
              <w:rPr>
                <w:b/>
                <w:sz w:val="24"/>
                <w:szCs w:val="24"/>
              </w:rPr>
              <w:t>6</w:t>
            </w:r>
            <w:r>
              <w:rPr>
                <w:rFonts w:hint="eastAsia"/>
                <w:b/>
                <w:sz w:val="24"/>
                <w:szCs w:val="24"/>
              </w:rPr>
              <w:t>、环境风险</w:t>
            </w:r>
          </w:p>
          <w:p>
            <w:pPr>
              <w:spacing w:line="360" w:lineRule="auto"/>
              <w:ind w:firstLine="482" w:firstLineChars="200"/>
              <w:rPr>
                <w:b/>
                <w:sz w:val="24"/>
                <w:szCs w:val="24"/>
              </w:rPr>
            </w:pPr>
            <w:r>
              <w:rPr>
                <w:rFonts w:hint="eastAsia"/>
                <w:b/>
                <w:sz w:val="24"/>
                <w:szCs w:val="24"/>
              </w:rPr>
              <w:t>（1）风险调查</w:t>
            </w:r>
          </w:p>
          <w:p>
            <w:pPr>
              <w:spacing w:line="360" w:lineRule="auto"/>
              <w:ind w:firstLine="480"/>
              <w:rPr>
                <w:sz w:val="24"/>
                <w:szCs w:val="24"/>
              </w:rPr>
            </w:pPr>
            <w:r>
              <w:rPr>
                <w:rFonts w:hint="eastAsia"/>
                <w:sz w:val="24"/>
                <w:szCs w:val="24"/>
              </w:rPr>
              <w:t>通过对运营期主要原辅材料及其分布情况、生产工艺特点进行分析，项目不设矿物油贮存库，仅使用的润滑油属于《建设项目环境风险评价技术导则》（HJ 169-2018）附录B中危险物质。</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）风险潜势初判</w:t>
            </w:r>
          </w:p>
          <w:p>
            <w:pPr>
              <w:spacing w:line="360" w:lineRule="auto"/>
              <w:ind w:firstLine="480"/>
              <w:rPr>
                <w:sz w:val="24"/>
                <w:szCs w:val="24"/>
              </w:rPr>
            </w:pPr>
            <w:r>
              <w:rPr>
                <w:rFonts w:hint="eastAsia"/>
                <w:sz w:val="24"/>
                <w:szCs w:val="24"/>
              </w:rPr>
              <w:t>建设项目环境风险潜势划分为I、II、III、IV</w:t>
            </w:r>
            <w:r>
              <w:rPr>
                <w:sz w:val="24"/>
                <w:szCs w:val="24"/>
              </w:rPr>
              <w:t>/IV</w:t>
            </w:r>
            <w:r>
              <w:rPr>
                <w:rFonts w:hint="eastAsia"/>
                <w:sz w:val="24"/>
                <w:szCs w:val="24"/>
                <w:vertAlign w:val="superscript"/>
              </w:rPr>
              <w:t>+</w:t>
            </w:r>
            <w:r>
              <w:rPr>
                <w:sz w:val="24"/>
                <w:szCs w:val="24"/>
              </w:rPr>
              <w:t>级</w:t>
            </w:r>
            <w:r>
              <w:rPr>
                <w:rFonts w:hint="eastAsia"/>
                <w:sz w:val="24"/>
                <w:szCs w:val="24"/>
              </w:rPr>
              <w:t>，</w:t>
            </w:r>
            <w:r>
              <w:rPr>
                <w:sz w:val="24"/>
                <w:szCs w:val="24"/>
              </w:rPr>
              <w:t>主要根据建设项目涉及的物质和工艺系统的危险性及其所在地的环境敏感</w:t>
            </w:r>
            <w:r>
              <w:rPr>
                <w:rFonts w:hint="eastAsia"/>
                <w:sz w:val="24"/>
                <w:szCs w:val="24"/>
              </w:rPr>
              <w:t>程度，</w:t>
            </w:r>
            <w:r>
              <w:rPr>
                <w:sz w:val="24"/>
                <w:szCs w:val="24"/>
              </w:rPr>
              <w:t>结合事故情形下环境影响途径</w:t>
            </w:r>
            <w:r>
              <w:rPr>
                <w:rFonts w:hint="eastAsia"/>
                <w:sz w:val="24"/>
                <w:szCs w:val="24"/>
              </w:rPr>
              <w:t>，</w:t>
            </w:r>
            <w:r>
              <w:rPr>
                <w:sz w:val="24"/>
                <w:szCs w:val="24"/>
              </w:rPr>
              <w:t>按照</w:t>
            </w:r>
            <w:r>
              <w:rPr>
                <w:rFonts w:hint="eastAsia"/>
                <w:sz w:val="24"/>
                <w:szCs w:val="24"/>
              </w:rPr>
              <w:t>《建设项目环境风险评价技术导则》（HJ169-2018）表2进行确定，其中：危险物质数量与临界量比值（</w:t>
            </w:r>
            <w:r>
              <w:rPr>
                <w:rFonts w:hint="eastAsia"/>
                <w:i/>
                <w:sz w:val="24"/>
                <w:szCs w:val="24"/>
              </w:rPr>
              <w:t>Q</w:t>
            </w:r>
            <w:r>
              <w:rPr>
                <w:rFonts w:hint="eastAsia"/>
                <w:sz w:val="24"/>
                <w:szCs w:val="24"/>
              </w:rPr>
              <w:t>）为每种</w:t>
            </w:r>
            <w:r>
              <w:rPr>
                <w:sz w:val="24"/>
                <w:szCs w:val="24"/>
              </w:rPr>
              <w:t>危险物质在厂界内的最大存在总量与其在</w:t>
            </w:r>
            <w:r>
              <w:rPr>
                <w:rFonts w:hint="eastAsia"/>
                <w:sz w:val="24"/>
                <w:szCs w:val="24"/>
              </w:rPr>
              <w:t>HJ169-2018附录B中对应临界量的比值，即：</w:t>
            </w:r>
          </w:p>
          <w:p>
            <w:pPr>
              <w:spacing w:line="360" w:lineRule="auto"/>
              <w:jc w:val="center"/>
              <w:rPr>
                <w:sz w:val="24"/>
                <w:szCs w:val="24"/>
              </w:rPr>
            </w:pPr>
            <w:r>
              <w:rPr>
                <w:position w:val="-30"/>
              </w:rPr>
              <w:object>
                <v:shape id="_x0000_i1036" o:spt="75" type="#_x0000_t75" style="height:38.25pt;width:102pt;" o:ole="t" filled="f" o:preferrelative="t" stroked="f" coordsize="21600,21600">
                  <v:path/>
                  <v:fill on="f" focussize="0,0"/>
                  <v:stroke on="f" joinstyle="miter"/>
                  <v:imagedata r:id="rId52" o:title=""/>
                  <o:lock v:ext="edit" aspectratio="t"/>
                  <w10:wrap type="none"/>
                  <w10:anchorlock/>
                </v:shape>
                <o:OLEObject Type="Embed" ProgID="Equation.DSMT4" ShapeID="_x0000_i1036" DrawAspect="Content" ObjectID="_1468075736" r:id="rId51">
                  <o:LockedField>false</o:LockedField>
                </o:OLEObject>
              </w:object>
            </w:r>
          </w:p>
          <w:p>
            <w:pPr>
              <w:spacing w:line="360" w:lineRule="auto"/>
              <w:ind w:firstLine="480" w:firstLineChars="200"/>
              <w:rPr>
                <w:i/>
                <w:sz w:val="24"/>
              </w:rPr>
            </w:pPr>
            <w:r>
              <w:rPr>
                <w:rFonts w:hint="eastAsia"/>
                <w:sz w:val="24"/>
              </w:rPr>
              <w:t>式中：</w:t>
            </w:r>
            <w:r>
              <w:rPr>
                <w:i/>
                <w:sz w:val="24"/>
              </w:rPr>
              <w:t>q</w:t>
            </w:r>
            <w:r>
              <w:rPr>
                <w:sz w:val="24"/>
                <w:vertAlign w:val="subscript"/>
              </w:rPr>
              <w:t>1</w:t>
            </w:r>
            <w:r>
              <w:rPr>
                <w:rFonts w:hint="eastAsia"/>
                <w:sz w:val="24"/>
              </w:rPr>
              <w:t>，</w:t>
            </w:r>
            <w:r>
              <w:rPr>
                <w:i/>
                <w:sz w:val="24"/>
              </w:rPr>
              <w:t>q</w:t>
            </w:r>
            <w:r>
              <w:rPr>
                <w:sz w:val="24"/>
                <w:vertAlign w:val="subscript"/>
              </w:rPr>
              <w:t>2</w:t>
            </w:r>
            <w:r>
              <w:rPr>
                <w:rFonts w:hint="eastAsia"/>
                <w:sz w:val="24"/>
              </w:rPr>
              <w:t>，</w:t>
            </w:r>
            <w:r>
              <w:rPr>
                <w:rFonts w:cstheme="minorHAnsi"/>
                <w:sz w:val="24"/>
              </w:rPr>
              <w:t>···，</w:t>
            </w:r>
            <w:r>
              <w:rPr>
                <w:i/>
                <w:sz w:val="24"/>
              </w:rPr>
              <w:t>q</w:t>
            </w:r>
            <w:r>
              <w:rPr>
                <w:i/>
                <w:sz w:val="24"/>
                <w:vertAlign w:val="subscript"/>
              </w:rPr>
              <w:t>n</w:t>
            </w:r>
            <w:r>
              <w:rPr>
                <w:sz w:val="24"/>
              </w:rPr>
              <w:t>——</w:t>
            </w:r>
            <w:r>
              <w:rPr>
                <w:rFonts w:hint="eastAsia"/>
                <w:sz w:val="24"/>
              </w:rPr>
              <w:t>每种危险物质的最大存在总量，t；</w:t>
            </w:r>
          </w:p>
          <w:p>
            <w:pPr>
              <w:spacing w:line="360" w:lineRule="auto"/>
              <w:ind w:firstLine="1200" w:firstLineChars="500"/>
              <w:rPr>
                <w:sz w:val="24"/>
              </w:rPr>
            </w:pPr>
            <w:r>
              <w:rPr>
                <w:i/>
                <w:sz w:val="24"/>
              </w:rPr>
              <w:t>Q</w:t>
            </w:r>
            <w:r>
              <w:rPr>
                <w:sz w:val="24"/>
                <w:vertAlign w:val="subscript"/>
              </w:rPr>
              <w:t>1</w:t>
            </w:r>
            <w:r>
              <w:rPr>
                <w:rFonts w:hint="eastAsia"/>
                <w:sz w:val="24"/>
              </w:rPr>
              <w:t>，</w:t>
            </w:r>
            <w:r>
              <w:rPr>
                <w:i/>
                <w:sz w:val="24"/>
              </w:rPr>
              <w:t>Q</w:t>
            </w:r>
            <w:r>
              <w:rPr>
                <w:sz w:val="24"/>
                <w:vertAlign w:val="subscript"/>
              </w:rPr>
              <w:t>2</w:t>
            </w:r>
            <w:r>
              <w:rPr>
                <w:rFonts w:hint="eastAsia"/>
                <w:sz w:val="24"/>
              </w:rPr>
              <w:t>，</w:t>
            </w:r>
            <w:r>
              <w:rPr>
                <w:rFonts w:cstheme="minorHAnsi"/>
                <w:sz w:val="24"/>
              </w:rPr>
              <w:t>···，</w:t>
            </w:r>
            <w:r>
              <w:rPr>
                <w:i/>
                <w:sz w:val="24"/>
              </w:rPr>
              <w:t>Q</w:t>
            </w:r>
            <w:r>
              <w:rPr>
                <w:i/>
                <w:sz w:val="24"/>
                <w:vertAlign w:val="subscript"/>
              </w:rPr>
              <w:t>n</w:t>
            </w:r>
            <w:r>
              <w:rPr>
                <w:sz w:val="24"/>
              </w:rPr>
              <w:t>——</w:t>
            </w:r>
            <w:r>
              <w:rPr>
                <w:rFonts w:hint="eastAsia"/>
                <w:sz w:val="24"/>
              </w:rPr>
              <w:t>每种危险物质的临界量，t。</w:t>
            </w:r>
          </w:p>
          <w:p>
            <w:pPr>
              <w:spacing w:line="360" w:lineRule="auto"/>
              <w:ind w:firstLine="480" w:firstLineChars="200"/>
              <w:rPr>
                <w:rFonts w:cstheme="minorHAnsi"/>
                <w:sz w:val="24"/>
              </w:rPr>
            </w:pPr>
            <w:r>
              <w:rPr>
                <w:rFonts w:cstheme="minorHAnsi"/>
                <w:sz w:val="24"/>
              </w:rPr>
              <w:t>当</w:t>
            </w:r>
            <w:r>
              <w:rPr>
                <w:rFonts w:cstheme="minorHAnsi"/>
                <w:i/>
                <w:sz w:val="24"/>
              </w:rPr>
              <w:t>Q</w:t>
            </w:r>
            <w:r>
              <w:rPr>
                <w:rFonts w:cstheme="minorHAnsi"/>
                <w:sz w:val="24"/>
              </w:rPr>
              <w:t>&lt;1时，该项目环境风险潜势为I；当</w:t>
            </w:r>
            <w:r>
              <w:rPr>
                <w:rFonts w:cstheme="minorHAnsi"/>
                <w:i/>
                <w:sz w:val="24"/>
              </w:rPr>
              <w:t>Q</w:t>
            </w:r>
            <w:r>
              <w:rPr>
                <w:rFonts w:cstheme="minorHAnsi"/>
                <w:sz w:val="24"/>
              </w:rPr>
              <w:t>≥1时</w:t>
            </w:r>
            <w:r>
              <w:rPr>
                <w:rFonts w:hint="eastAsia" w:cstheme="minorHAnsi"/>
                <w:sz w:val="24"/>
              </w:rPr>
              <w:t>，</w:t>
            </w:r>
            <w:r>
              <w:rPr>
                <w:rFonts w:cstheme="minorHAnsi"/>
                <w:sz w:val="24"/>
              </w:rPr>
              <w:t>将</w:t>
            </w:r>
            <w:r>
              <w:rPr>
                <w:rFonts w:cstheme="minorHAnsi"/>
                <w:i/>
                <w:sz w:val="24"/>
              </w:rPr>
              <w:t>Q</w:t>
            </w:r>
            <w:r>
              <w:rPr>
                <w:rFonts w:cstheme="minorHAnsi"/>
                <w:sz w:val="24"/>
              </w:rPr>
              <w:t>值划分为：a.1≤</w:t>
            </w:r>
            <w:r>
              <w:rPr>
                <w:rFonts w:cstheme="minorHAnsi"/>
                <w:i/>
                <w:sz w:val="24"/>
              </w:rPr>
              <w:t>Q</w:t>
            </w:r>
            <w:r>
              <w:rPr>
                <w:rFonts w:cstheme="minorHAnsi"/>
                <w:sz w:val="24"/>
              </w:rPr>
              <w:t>&lt;10</w:t>
            </w:r>
            <w:r>
              <w:rPr>
                <w:rFonts w:hint="eastAsia" w:cstheme="minorHAnsi"/>
                <w:sz w:val="24"/>
              </w:rPr>
              <w:t>；</w:t>
            </w:r>
            <w:r>
              <w:rPr>
                <w:rFonts w:cstheme="minorHAnsi"/>
                <w:sz w:val="24"/>
              </w:rPr>
              <w:t>b. 10≤</w:t>
            </w:r>
            <w:r>
              <w:rPr>
                <w:rFonts w:cstheme="minorHAnsi"/>
                <w:i/>
                <w:sz w:val="24"/>
              </w:rPr>
              <w:t>Q</w:t>
            </w:r>
            <w:r>
              <w:rPr>
                <w:rFonts w:cstheme="minorHAnsi"/>
                <w:sz w:val="24"/>
              </w:rPr>
              <w:t>&lt;100</w:t>
            </w:r>
            <w:r>
              <w:rPr>
                <w:rFonts w:hint="eastAsia" w:cstheme="minorHAnsi"/>
                <w:sz w:val="24"/>
              </w:rPr>
              <w:t>；c</w:t>
            </w:r>
            <w:r>
              <w:rPr>
                <w:rFonts w:cstheme="minorHAnsi"/>
                <w:sz w:val="24"/>
              </w:rPr>
              <w:t>.</w:t>
            </w:r>
            <w:r>
              <w:rPr>
                <w:rFonts w:cstheme="minorHAnsi"/>
                <w:i/>
                <w:sz w:val="24"/>
              </w:rPr>
              <w:t>Q</w:t>
            </w:r>
            <w:r>
              <w:rPr>
                <w:rFonts w:cstheme="minorHAnsi"/>
                <w:sz w:val="24"/>
              </w:rPr>
              <w:t>≥100</w:t>
            </w:r>
            <w:r>
              <w:rPr>
                <w:rFonts w:hint="eastAsia" w:cstheme="minorHAnsi"/>
                <w:sz w:val="24"/>
              </w:rPr>
              <w:t>。</w:t>
            </w:r>
          </w:p>
          <w:p>
            <w:pPr>
              <w:spacing w:line="360" w:lineRule="auto"/>
              <w:ind w:firstLine="480"/>
              <w:rPr>
                <w:sz w:val="24"/>
                <w:szCs w:val="24"/>
              </w:rPr>
            </w:pPr>
            <w:r>
              <w:rPr>
                <w:sz w:val="24"/>
                <w:szCs w:val="24"/>
              </w:rPr>
              <w:t>根据计算</w:t>
            </w:r>
            <w:r>
              <w:rPr>
                <w:rFonts w:hint="eastAsia"/>
                <w:sz w:val="24"/>
                <w:szCs w:val="24"/>
              </w:rPr>
              <w:t>，</w:t>
            </w:r>
            <w:r>
              <w:rPr>
                <w:sz w:val="24"/>
                <w:szCs w:val="24"/>
              </w:rPr>
              <w:t>项目</w:t>
            </w:r>
            <w:r>
              <w:rPr>
                <w:rFonts w:hint="eastAsia"/>
                <w:sz w:val="24"/>
                <w:szCs w:val="24"/>
              </w:rPr>
              <w:t>危险物质数量与临界量比值见下表。</w:t>
            </w:r>
          </w:p>
          <w:p>
            <w:pPr>
              <w:spacing w:line="360" w:lineRule="auto"/>
              <w:jc w:val="center"/>
              <w:rPr>
                <w:rFonts w:eastAsia="黑体"/>
                <w:szCs w:val="21"/>
              </w:rPr>
            </w:pPr>
            <w:r>
              <w:rPr>
                <w:rFonts w:hint="eastAsia" w:eastAsia="黑体"/>
                <w:szCs w:val="21"/>
              </w:rPr>
              <w:t>表</w:t>
            </w:r>
            <w:r>
              <w:rPr>
                <w:rFonts w:eastAsia="黑体"/>
                <w:szCs w:val="21"/>
              </w:rPr>
              <w:t>4</w:t>
            </w:r>
            <w:r>
              <w:rPr>
                <w:rFonts w:hint="eastAsia" w:eastAsia="黑体"/>
                <w:szCs w:val="21"/>
              </w:rPr>
              <w:t>-</w:t>
            </w:r>
            <w:r>
              <w:rPr>
                <w:rFonts w:eastAsia="黑体"/>
                <w:szCs w:val="21"/>
              </w:rPr>
              <w:t>2</w:t>
            </w:r>
            <w:r>
              <w:rPr>
                <w:rFonts w:hint="eastAsia" w:eastAsia="黑体"/>
                <w:szCs w:val="21"/>
              </w:rPr>
              <w:t>7</w:t>
            </w:r>
            <w:r>
              <w:rPr>
                <w:rFonts w:eastAsia="黑体"/>
                <w:szCs w:val="21"/>
              </w:rPr>
              <w:t xml:space="preserve">  </w:t>
            </w:r>
            <w:r>
              <w:rPr>
                <w:rFonts w:hint="eastAsia" w:eastAsia="黑体"/>
                <w:szCs w:val="21"/>
              </w:rPr>
              <w:t>危险物质数量与临界量比值计算表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363"/>
              <w:gridCol w:w="1500"/>
              <w:gridCol w:w="2020"/>
              <w:gridCol w:w="1643"/>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shd w:val="clear" w:color="auto" w:fill="auto"/>
                  <w:vAlign w:val="center"/>
                </w:tcPr>
                <w:p>
                  <w:pPr>
                    <w:jc w:val="center"/>
                    <w:rPr>
                      <w:szCs w:val="21"/>
                    </w:rPr>
                  </w:pPr>
                  <w:r>
                    <w:rPr>
                      <w:rFonts w:hint="eastAsia"/>
                      <w:szCs w:val="21"/>
                    </w:rPr>
                    <w:t>序号</w:t>
                  </w:r>
                </w:p>
              </w:tc>
              <w:tc>
                <w:tcPr>
                  <w:tcW w:w="745" w:type="pct"/>
                  <w:shd w:val="clear" w:color="auto" w:fill="auto"/>
                  <w:vAlign w:val="center"/>
                </w:tcPr>
                <w:p>
                  <w:pPr>
                    <w:jc w:val="center"/>
                    <w:rPr>
                      <w:szCs w:val="21"/>
                    </w:rPr>
                  </w:pPr>
                  <w:r>
                    <w:rPr>
                      <w:rFonts w:hint="eastAsia"/>
                      <w:szCs w:val="21"/>
                    </w:rPr>
                    <w:t>危险单元</w:t>
                  </w:r>
                </w:p>
              </w:tc>
              <w:tc>
                <w:tcPr>
                  <w:tcW w:w="820" w:type="pct"/>
                  <w:vAlign w:val="center"/>
                </w:tcPr>
                <w:p>
                  <w:pPr>
                    <w:jc w:val="center"/>
                    <w:rPr>
                      <w:szCs w:val="21"/>
                    </w:rPr>
                  </w:pPr>
                  <w:r>
                    <w:rPr>
                      <w:rFonts w:hint="eastAsia"/>
                      <w:szCs w:val="21"/>
                    </w:rPr>
                    <w:t>危险物质</w:t>
                  </w:r>
                </w:p>
              </w:tc>
              <w:tc>
                <w:tcPr>
                  <w:tcW w:w="1104" w:type="pct"/>
                  <w:shd w:val="clear" w:color="auto" w:fill="auto"/>
                  <w:vAlign w:val="center"/>
                </w:tcPr>
                <w:p>
                  <w:pPr>
                    <w:jc w:val="center"/>
                    <w:rPr>
                      <w:szCs w:val="21"/>
                    </w:rPr>
                  </w:pPr>
                  <w:r>
                    <w:rPr>
                      <w:szCs w:val="21"/>
                    </w:rPr>
                    <w:t>最大存在总量</w:t>
                  </w:r>
                  <w:r>
                    <w:rPr>
                      <w:i/>
                      <w:szCs w:val="21"/>
                    </w:rPr>
                    <w:t>q</w:t>
                  </w:r>
                  <w:r>
                    <w:rPr>
                      <w:i/>
                      <w:szCs w:val="21"/>
                      <w:vertAlign w:val="subscript"/>
                    </w:rPr>
                    <w:t>n</w:t>
                  </w:r>
                  <w:r>
                    <w:rPr>
                      <w:szCs w:val="21"/>
                    </w:rPr>
                    <w:t>/t</w:t>
                  </w:r>
                </w:p>
              </w:tc>
              <w:tc>
                <w:tcPr>
                  <w:tcW w:w="898" w:type="pct"/>
                  <w:shd w:val="clear" w:color="auto" w:fill="auto"/>
                  <w:vAlign w:val="center"/>
                </w:tcPr>
                <w:p>
                  <w:pPr>
                    <w:jc w:val="center"/>
                    <w:rPr>
                      <w:szCs w:val="21"/>
                    </w:rPr>
                  </w:pPr>
                  <w:r>
                    <w:rPr>
                      <w:szCs w:val="21"/>
                    </w:rPr>
                    <w:t>临界量</w:t>
                  </w:r>
                  <w:r>
                    <w:rPr>
                      <w:i/>
                      <w:szCs w:val="21"/>
                    </w:rPr>
                    <w:t>Q</w:t>
                  </w:r>
                  <w:r>
                    <w:rPr>
                      <w:i/>
                      <w:szCs w:val="21"/>
                      <w:vertAlign w:val="subscript"/>
                    </w:rPr>
                    <w:t>n</w:t>
                  </w:r>
                  <w:r>
                    <w:rPr>
                      <w:szCs w:val="21"/>
                    </w:rPr>
                    <w:t>/t</w:t>
                  </w:r>
                </w:p>
              </w:tc>
              <w:tc>
                <w:tcPr>
                  <w:tcW w:w="999" w:type="pct"/>
                  <w:shd w:val="clear" w:color="auto" w:fill="auto"/>
                  <w:vAlign w:val="center"/>
                </w:tcPr>
                <w:p>
                  <w:pPr>
                    <w:jc w:val="center"/>
                    <w:rPr>
                      <w:szCs w:val="21"/>
                    </w:rPr>
                  </w:pPr>
                  <w:r>
                    <w:rPr>
                      <w:rFonts w:hint="eastAsia"/>
                      <w:szCs w:val="21"/>
                    </w:rPr>
                    <w:t>比值（</w:t>
                  </w:r>
                  <w:r>
                    <w:rPr>
                      <w:rFonts w:hint="eastAsia"/>
                      <w:i/>
                      <w:szCs w:val="21"/>
                    </w:rPr>
                    <w:t>Q</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434" w:type="pct"/>
                  <w:shd w:val="clear" w:color="auto" w:fill="auto"/>
                  <w:vAlign w:val="center"/>
                </w:tcPr>
                <w:p>
                  <w:pPr>
                    <w:jc w:val="center"/>
                    <w:rPr>
                      <w:szCs w:val="21"/>
                    </w:rPr>
                  </w:pPr>
                  <w:r>
                    <w:rPr>
                      <w:szCs w:val="21"/>
                    </w:rPr>
                    <w:t>1</w:t>
                  </w:r>
                </w:p>
              </w:tc>
              <w:tc>
                <w:tcPr>
                  <w:tcW w:w="745" w:type="pct"/>
                  <w:shd w:val="clear" w:color="auto" w:fill="auto"/>
                  <w:vAlign w:val="center"/>
                </w:tcPr>
                <w:p>
                  <w:pPr>
                    <w:jc w:val="center"/>
                    <w:rPr>
                      <w:szCs w:val="21"/>
                    </w:rPr>
                  </w:pPr>
                  <w:r>
                    <w:rPr>
                      <w:rFonts w:hint="eastAsia" w:cstheme="minorHAnsi"/>
                      <w:szCs w:val="21"/>
                    </w:rPr>
                    <w:t>生产线</w:t>
                  </w:r>
                </w:p>
              </w:tc>
              <w:tc>
                <w:tcPr>
                  <w:tcW w:w="820" w:type="pct"/>
                  <w:vAlign w:val="center"/>
                </w:tcPr>
                <w:p>
                  <w:pPr>
                    <w:jc w:val="center"/>
                    <w:rPr>
                      <w:szCs w:val="21"/>
                    </w:rPr>
                  </w:pPr>
                  <w:r>
                    <w:rPr>
                      <w:rFonts w:hint="eastAsia"/>
                      <w:szCs w:val="21"/>
                    </w:rPr>
                    <w:t>润滑油</w:t>
                  </w:r>
                </w:p>
              </w:tc>
              <w:tc>
                <w:tcPr>
                  <w:tcW w:w="1104" w:type="pct"/>
                  <w:shd w:val="clear" w:color="auto" w:fill="auto"/>
                  <w:vAlign w:val="center"/>
                </w:tcPr>
                <w:p>
                  <w:pPr>
                    <w:jc w:val="center"/>
                    <w:rPr>
                      <w:szCs w:val="21"/>
                    </w:rPr>
                  </w:pPr>
                  <w:r>
                    <w:rPr>
                      <w:szCs w:val="21"/>
                    </w:rPr>
                    <w:t>0.2t</w:t>
                  </w:r>
                </w:p>
              </w:tc>
              <w:tc>
                <w:tcPr>
                  <w:tcW w:w="898" w:type="pct"/>
                  <w:shd w:val="clear" w:color="auto" w:fill="auto"/>
                  <w:vAlign w:val="center"/>
                </w:tcPr>
                <w:p>
                  <w:pPr>
                    <w:jc w:val="center"/>
                    <w:rPr>
                      <w:szCs w:val="21"/>
                    </w:rPr>
                  </w:pPr>
                  <w:r>
                    <w:rPr>
                      <w:szCs w:val="21"/>
                    </w:rPr>
                    <w:t>2500</w:t>
                  </w:r>
                  <w:r>
                    <w:rPr>
                      <w:rFonts w:hint="eastAsia"/>
                      <w:szCs w:val="21"/>
                    </w:rPr>
                    <w:t>t</w:t>
                  </w:r>
                </w:p>
              </w:tc>
              <w:tc>
                <w:tcPr>
                  <w:tcW w:w="999" w:type="pct"/>
                  <w:shd w:val="clear" w:color="auto" w:fill="auto"/>
                  <w:vAlign w:val="center"/>
                </w:tcPr>
                <w:p>
                  <w:pPr>
                    <w:widowControl/>
                    <w:jc w:val="center"/>
                    <w:rPr>
                      <w:rFonts w:cs="Times New Roman"/>
                      <w:szCs w:val="21"/>
                    </w:rPr>
                  </w:pPr>
                  <w:r>
                    <w:rPr>
                      <w:rFonts w:cs="Times New Roman"/>
                      <w:szCs w:val="21"/>
                    </w:rPr>
                    <w:t>8.00</w:t>
                  </w:r>
                  <w:r>
                    <w:rPr>
                      <w:rFonts w:hint="eastAsia" w:cs="Times New Roman"/>
                      <w:szCs w:val="21"/>
                    </w:rPr>
                    <w:t>E</w:t>
                  </w:r>
                  <w:r>
                    <w:rPr>
                      <w:rFonts w:cs="Times New Roman"/>
                      <w:szCs w:val="21"/>
                    </w:rPr>
                    <w:t>-05</w:t>
                  </w:r>
                </w:p>
              </w:tc>
            </w:tr>
          </w:tbl>
          <w:p>
            <w:pPr>
              <w:spacing w:line="360" w:lineRule="auto"/>
              <w:ind w:firstLine="480" w:firstLineChars="200"/>
              <w:rPr>
                <w:sz w:val="24"/>
                <w:szCs w:val="24"/>
              </w:rPr>
            </w:pPr>
            <w:r>
              <w:rPr>
                <w:rFonts w:hint="eastAsia"/>
                <w:sz w:val="24"/>
                <w:szCs w:val="24"/>
              </w:rPr>
              <w:t>由计算可知，项目危险物质数量与临界量比值（</w:t>
            </w:r>
            <w:r>
              <w:rPr>
                <w:rFonts w:hint="eastAsia"/>
                <w:i/>
                <w:sz w:val="24"/>
                <w:szCs w:val="24"/>
              </w:rPr>
              <w:t>Q</w:t>
            </w:r>
            <w:r>
              <w:rPr>
                <w:rFonts w:hint="eastAsia"/>
                <w:sz w:val="24"/>
                <w:szCs w:val="24"/>
              </w:rPr>
              <w:t>）小于1，</w:t>
            </w:r>
            <w:r>
              <w:rPr>
                <w:rFonts w:cstheme="minorHAnsi"/>
                <w:sz w:val="24"/>
              </w:rPr>
              <w:t>环境风险潜势为I</w:t>
            </w:r>
            <w:r>
              <w:rPr>
                <w:rFonts w:hint="eastAsia" w:cstheme="minorHAnsi"/>
                <w:sz w:val="24"/>
              </w:rPr>
              <w:t>。</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）环境风险识别</w:t>
            </w:r>
          </w:p>
          <w:p>
            <w:pPr>
              <w:spacing w:line="360" w:lineRule="auto"/>
              <w:ind w:firstLine="480" w:firstLineChars="200"/>
              <w:rPr>
                <w:sz w:val="24"/>
                <w:szCs w:val="24"/>
              </w:rPr>
            </w:pPr>
            <w:r>
              <w:rPr>
                <w:rFonts w:hint="eastAsia"/>
                <w:sz w:val="24"/>
                <w:szCs w:val="24"/>
              </w:rPr>
              <w:t>环境风险识别内容包括物质危险性识别、生产系统危险性识别和危险物质向环境转移的途径识别。</w:t>
            </w:r>
          </w:p>
          <w:p>
            <w:pPr>
              <w:spacing w:line="360" w:lineRule="auto"/>
              <w:ind w:firstLine="480" w:firstLineChars="200"/>
              <w:rPr>
                <w:sz w:val="24"/>
                <w:szCs w:val="24"/>
              </w:rPr>
            </w:pPr>
            <w:r>
              <w:rPr>
                <w:rFonts w:hint="eastAsia"/>
                <w:sz w:val="24"/>
                <w:szCs w:val="24"/>
              </w:rPr>
              <w:t>物质危险性识别：包括主要原辅材料、燃料、中间产品、副产品、最终产品、污染物、火灾和爆炸伴生/次生物等。</w:t>
            </w:r>
          </w:p>
          <w:p>
            <w:pPr>
              <w:spacing w:line="360" w:lineRule="auto"/>
              <w:ind w:firstLine="480" w:firstLineChars="200"/>
              <w:rPr>
                <w:sz w:val="24"/>
                <w:szCs w:val="24"/>
              </w:rPr>
            </w:pPr>
            <w:r>
              <w:rPr>
                <w:rFonts w:hint="eastAsia"/>
                <w:sz w:val="24"/>
                <w:szCs w:val="24"/>
              </w:rPr>
              <w:t>生产系统危险性识别：包括主要生产装置、储运设施、公用工程和辅助生产设施以及环境保护实施等。</w:t>
            </w:r>
          </w:p>
          <w:p>
            <w:pPr>
              <w:spacing w:line="360" w:lineRule="auto"/>
              <w:ind w:firstLine="480" w:firstLineChars="200"/>
              <w:rPr>
                <w:sz w:val="24"/>
                <w:szCs w:val="24"/>
              </w:rPr>
            </w:pPr>
            <w:r>
              <w:rPr>
                <w:rFonts w:hint="eastAsia"/>
                <w:sz w:val="24"/>
                <w:szCs w:val="24"/>
              </w:rPr>
              <w:t>危险物质向环境转移的途径识别：包括分析危险物质特性及可能的环境风险类型，识别危险物质影响环境的途径，分析可能影响的环境敏感目标。</w:t>
            </w:r>
          </w:p>
          <w:p>
            <w:pPr>
              <w:spacing w:line="360" w:lineRule="auto"/>
              <w:ind w:firstLine="482" w:firstLineChars="200"/>
              <w:rPr>
                <w:b/>
                <w:sz w:val="24"/>
                <w:szCs w:val="24"/>
              </w:rPr>
            </w:pPr>
            <w:r>
              <w:rPr>
                <w:rFonts w:hint="eastAsia"/>
                <w:b/>
                <w:sz w:val="24"/>
                <w:szCs w:val="24"/>
              </w:rPr>
              <w:t>1）物质危险性识别</w:t>
            </w:r>
          </w:p>
          <w:p>
            <w:pPr>
              <w:spacing w:line="360" w:lineRule="auto"/>
              <w:ind w:firstLine="480" w:firstLineChars="200"/>
              <w:rPr>
                <w:sz w:val="24"/>
                <w:szCs w:val="24"/>
              </w:rPr>
            </w:pPr>
            <w:r>
              <w:rPr>
                <w:rFonts w:hint="eastAsia"/>
                <w:sz w:val="24"/>
                <w:szCs w:val="24"/>
              </w:rPr>
              <w:t>根据对生产中主要原辅材料进行识别，项目使用的润滑油为易燃、有毒危险物质，项目不设贮存设施。</w:t>
            </w:r>
          </w:p>
          <w:p>
            <w:pPr>
              <w:spacing w:line="360" w:lineRule="auto"/>
              <w:ind w:firstLine="482" w:firstLineChars="200"/>
              <w:rPr>
                <w:b/>
                <w:sz w:val="24"/>
                <w:szCs w:val="24"/>
              </w:rPr>
            </w:pPr>
            <w:r>
              <w:rPr>
                <w:rFonts w:hint="eastAsia"/>
                <w:b/>
                <w:sz w:val="24"/>
                <w:szCs w:val="24"/>
              </w:rPr>
              <w:t>2）生产系统危险性识别</w:t>
            </w:r>
          </w:p>
          <w:p>
            <w:pPr>
              <w:spacing w:line="360" w:lineRule="auto"/>
              <w:ind w:firstLine="480" w:firstLineChars="200"/>
              <w:rPr>
                <w:sz w:val="24"/>
                <w:szCs w:val="24"/>
              </w:rPr>
            </w:pPr>
            <w:r>
              <w:rPr>
                <w:rFonts w:hint="eastAsia"/>
                <w:sz w:val="24"/>
                <w:szCs w:val="24"/>
              </w:rPr>
              <w:t>运营期主要风险源于润滑油泄漏，泄漏触发因素主要为机械设备管理不到位存在的滴漏。</w:t>
            </w:r>
          </w:p>
          <w:p>
            <w:pPr>
              <w:spacing w:line="360" w:lineRule="auto"/>
              <w:ind w:firstLine="482" w:firstLineChars="200"/>
              <w:rPr>
                <w:b/>
                <w:sz w:val="24"/>
                <w:szCs w:val="24"/>
              </w:rPr>
            </w:pPr>
            <w:r>
              <w:rPr>
                <w:rFonts w:hint="eastAsia"/>
                <w:b/>
                <w:sz w:val="24"/>
                <w:szCs w:val="24"/>
              </w:rPr>
              <w:t>3）环境风险类型及危险分析</w:t>
            </w:r>
          </w:p>
          <w:p>
            <w:pPr>
              <w:spacing w:line="360" w:lineRule="auto"/>
              <w:ind w:firstLine="482" w:firstLineChars="200"/>
              <w:rPr>
                <w:b/>
                <w:sz w:val="24"/>
                <w:szCs w:val="24"/>
              </w:rPr>
            </w:pPr>
            <w:r>
              <w:rPr>
                <w:rFonts w:hint="eastAsia"/>
                <w:b/>
                <w:sz w:val="24"/>
                <w:szCs w:val="24"/>
              </w:rPr>
              <w:t>①环境风险类型</w:t>
            </w:r>
          </w:p>
          <w:p>
            <w:pPr>
              <w:spacing w:line="360" w:lineRule="auto"/>
              <w:ind w:firstLine="480" w:firstLineChars="200"/>
              <w:rPr>
                <w:sz w:val="24"/>
                <w:szCs w:val="24"/>
              </w:rPr>
            </w:pPr>
            <w:r>
              <w:rPr>
                <w:rFonts w:hint="eastAsia"/>
                <w:sz w:val="24"/>
                <w:szCs w:val="24"/>
              </w:rPr>
              <w:t>根据项目建设特点，运营期环境风险类型主要包括：a.润滑油泄漏；</w:t>
            </w:r>
            <w:r>
              <w:rPr>
                <w:sz w:val="24"/>
                <w:szCs w:val="24"/>
              </w:rPr>
              <w:t>b</w:t>
            </w:r>
            <w:r>
              <w:rPr>
                <w:rFonts w:hint="eastAsia"/>
                <w:sz w:val="24"/>
                <w:szCs w:val="24"/>
              </w:rPr>
              <w:t>.废气处理设施故障引发的污染物排放；</w:t>
            </w:r>
            <w:r>
              <w:rPr>
                <w:sz w:val="24"/>
                <w:szCs w:val="24"/>
              </w:rPr>
              <w:t>c</w:t>
            </w:r>
            <w:r>
              <w:rPr>
                <w:rFonts w:hint="eastAsia"/>
                <w:sz w:val="24"/>
                <w:szCs w:val="24"/>
              </w:rPr>
              <w:t>.一般性火灾事故风险。</w:t>
            </w:r>
          </w:p>
          <w:p>
            <w:pPr>
              <w:spacing w:line="360" w:lineRule="auto"/>
              <w:ind w:firstLine="482" w:firstLineChars="200"/>
              <w:rPr>
                <w:b/>
                <w:sz w:val="24"/>
                <w:szCs w:val="24"/>
              </w:rPr>
            </w:pPr>
            <w:r>
              <w:rPr>
                <w:rFonts w:hint="eastAsia"/>
                <w:b/>
                <w:sz w:val="24"/>
                <w:szCs w:val="24"/>
              </w:rPr>
              <w:t>②危险物质向环境转移的途径识别</w:t>
            </w:r>
          </w:p>
          <w:p>
            <w:pPr>
              <w:spacing w:line="360" w:lineRule="auto"/>
              <w:ind w:firstLine="480" w:firstLineChars="200"/>
              <w:rPr>
                <w:sz w:val="24"/>
                <w:szCs w:val="24"/>
              </w:rPr>
            </w:pPr>
            <w:r>
              <w:rPr>
                <w:rFonts w:hint="eastAsia"/>
                <w:sz w:val="24"/>
                <w:szCs w:val="24"/>
              </w:rPr>
              <w:t>根据物质及生产系统危险性识别结果，结合运营期环境风险类型，分析得出危险物质向环境转移的可能途径如下：</w:t>
            </w:r>
          </w:p>
          <w:p>
            <w:pPr>
              <w:spacing w:line="360" w:lineRule="auto"/>
              <w:ind w:firstLine="480" w:firstLineChars="200"/>
              <w:rPr>
                <w:sz w:val="24"/>
                <w:szCs w:val="24"/>
              </w:rPr>
            </w:pPr>
            <w:r>
              <w:rPr>
                <w:sz w:val="24"/>
                <w:szCs w:val="24"/>
              </w:rPr>
              <w:t>a</w:t>
            </w:r>
            <w:r>
              <w:rPr>
                <w:rFonts w:hint="eastAsia"/>
                <w:sz w:val="24"/>
                <w:szCs w:val="24"/>
              </w:rPr>
              <w:t>.因生产管理不当，造成润滑油泄漏，有害物质通过地表径流或雨水管道进入地表水环境，此外还可能通过垂直渗透进入地下水环境或土壤环境。</w:t>
            </w:r>
          </w:p>
          <w:p>
            <w:pPr>
              <w:spacing w:line="360" w:lineRule="auto"/>
              <w:ind w:firstLine="480" w:firstLineChars="200"/>
              <w:rPr>
                <w:sz w:val="24"/>
                <w:szCs w:val="24"/>
              </w:rPr>
            </w:pPr>
            <w:r>
              <w:rPr>
                <w:sz w:val="24"/>
                <w:szCs w:val="24"/>
              </w:rPr>
              <w:t>b</w:t>
            </w:r>
            <w:r>
              <w:rPr>
                <w:rFonts w:hint="eastAsia"/>
                <w:sz w:val="24"/>
                <w:szCs w:val="24"/>
              </w:rPr>
              <w:t>.废气处理设施发生故障导致污染物未经有效处理排放。</w:t>
            </w:r>
          </w:p>
          <w:p>
            <w:pPr>
              <w:spacing w:line="360" w:lineRule="auto"/>
              <w:ind w:firstLine="480" w:firstLineChars="200"/>
              <w:rPr>
                <w:sz w:val="24"/>
                <w:szCs w:val="24"/>
              </w:rPr>
            </w:pPr>
            <w:r>
              <w:rPr>
                <w:sz w:val="24"/>
                <w:szCs w:val="24"/>
              </w:rPr>
              <w:t>c</w:t>
            </w:r>
            <w:r>
              <w:rPr>
                <w:rFonts w:hint="eastAsia"/>
                <w:sz w:val="24"/>
                <w:szCs w:val="24"/>
              </w:rPr>
              <w:t>.生产过程中因管理不规范、操作不当等造成一般性火灾事故产生次生污染物进入大气环境，在灭火过程中事故消防废水通过地表径流或雨水管道进入地表水环境。</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）环境风险防范措施</w:t>
            </w:r>
          </w:p>
          <w:p>
            <w:pPr>
              <w:spacing w:line="360" w:lineRule="auto"/>
              <w:ind w:firstLine="482" w:firstLineChars="200"/>
              <w:rPr>
                <w:b/>
                <w:sz w:val="24"/>
                <w:szCs w:val="24"/>
              </w:rPr>
            </w:pPr>
            <w:r>
              <w:rPr>
                <w:rFonts w:hint="eastAsia"/>
                <w:b/>
                <w:sz w:val="24"/>
                <w:szCs w:val="24"/>
              </w:rPr>
              <w:t>①贮存过程风险防范措施</w:t>
            </w:r>
          </w:p>
          <w:p>
            <w:pPr>
              <w:spacing w:line="360" w:lineRule="auto"/>
              <w:ind w:firstLine="480" w:firstLineChars="200"/>
              <w:rPr>
                <w:sz w:val="24"/>
                <w:szCs w:val="24"/>
              </w:rPr>
            </w:pPr>
            <w:r>
              <w:rPr>
                <w:rFonts w:hint="eastAsia"/>
                <w:sz w:val="24"/>
                <w:szCs w:val="24"/>
              </w:rPr>
              <w:t>危险废物应分类存储并设置警示标志，危险废物暂存间进行重点防渗处理，暂存间地面及10cm高墙裙（围堰）采用2mmHDPE防渗层进行防渗、防腐处理，液态危废采用专用容器盛装且下设防渗托盘（托盘边缘高度不低于10cm），设置空桶作备用收集容器。贮存区附近需常备有砂子、碎石等防范物资。一旦发生泄漏，不要直接接触泄漏物，在确保安全情况下堵漏。发生小量的泄漏，用砂石或其它不燃性吸附剂混合吸收，然后收集运至废物处理场所处置。发生大量泄漏，应及时将围堰里物质的抽取到安全不易泄漏的收集器内，回收或运至废物处理场所处置。</w:t>
            </w:r>
          </w:p>
          <w:p>
            <w:pPr>
              <w:spacing w:line="360" w:lineRule="auto"/>
              <w:ind w:firstLine="482" w:firstLineChars="200"/>
              <w:rPr>
                <w:b/>
                <w:sz w:val="24"/>
                <w:szCs w:val="24"/>
              </w:rPr>
            </w:pPr>
            <w:r>
              <w:rPr>
                <w:rFonts w:hint="eastAsia"/>
                <w:b/>
                <w:sz w:val="24"/>
                <w:szCs w:val="24"/>
              </w:rPr>
              <w:t>②运输过程风险防范措施</w:t>
            </w:r>
          </w:p>
          <w:p>
            <w:pPr>
              <w:spacing w:line="360" w:lineRule="auto"/>
              <w:ind w:firstLine="480" w:firstLineChars="200"/>
              <w:rPr>
                <w:sz w:val="24"/>
                <w:szCs w:val="24"/>
              </w:rPr>
            </w:pPr>
            <w:r>
              <w:rPr>
                <w:sz w:val="24"/>
                <w:szCs w:val="24"/>
              </w:rPr>
              <w:t>a.</w:t>
            </w:r>
            <w:r>
              <w:rPr>
                <w:rFonts w:hint="eastAsia"/>
                <w:sz w:val="24"/>
                <w:szCs w:val="24"/>
              </w:rPr>
              <w:t>做好每次外运处置危险废物的运输登记，认真填写危险废物转移联单，落实联单责任制度。</w:t>
            </w:r>
          </w:p>
          <w:p>
            <w:pPr>
              <w:spacing w:line="360" w:lineRule="auto"/>
              <w:ind w:firstLine="480" w:firstLineChars="200"/>
              <w:rPr>
                <w:sz w:val="24"/>
                <w:szCs w:val="24"/>
              </w:rPr>
            </w:pPr>
            <w:r>
              <w:rPr>
                <w:rFonts w:hint="eastAsia"/>
                <w:sz w:val="24"/>
                <w:szCs w:val="24"/>
              </w:rPr>
              <w:t>b</w:t>
            </w:r>
            <w:r>
              <w:rPr>
                <w:sz w:val="24"/>
                <w:szCs w:val="24"/>
              </w:rPr>
              <w:t>.</w:t>
            </w:r>
            <w:r>
              <w:rPr>
                <w:rFonts w:hint="eastAsia"/>
                <w:sz w:val="24"/>
                <w:szCs w:val="24"/>
              </w:rPr>
              <w:t>危险废物处置单位的运输人员必须掌握危险化学品运输的安全知识，了解所运载的危险化学品的性质、危害特性、包装容器的使用特性和发生意外时的应急措施。</w:t>
            </w:r>
          </w:p>
          <w:p>
            <w:pPr>
              <w:spacing w:line="360" w:lineRule="auto"/>
              <w:ind w:firstLine="480" w:firstLineChars="200"/>
              <w:rPr>
                <w:sz w:val="24"/>
                <w:szCs w:val="24"/>
              </w:rPr>
            </w:pPr>
            <w:r>
              <w:rPr>
                <w:rFonts w:hint="eastAsia"/>
                <w:sz w:val="24"/>
                <w:szCs w:val="24"/>
              </w:rPr>
              <w:t>c</w:t>
            </w:r>
            <w:r>
              <w:rPr>
                <w:sz w:val="24"/>
                <w:szCs w:val="24"/>
              </w:rPr>
              <w:t>.</w:t>
            </w:r>
            <w:r>
              <w:rPr>
                <w:rFonts w:hint="eastAsia"/>
                <w:sz w:val="24"/>
                <w:szCs w:val="24"/>
              </w:rPr>
              <w:t>运输危险废物不得超装、超载，严格按照规定的行车时间和行车路线行驶。</w:t>
            </w:r>
          </w:p>
          <w:p>
            <w:pPr>
              <w:spacing w:line="360" w:lineRule="auto"/>
              <w:ind w:firstLine="480" w:firstLineChars="200"/>
              <w:rPr>
                <w:sz w:val="24"/>
                <w:szCs w:val="24"/>
              </w:rPr>
            </w:pPr>
            <w:r>
              <w:rPr>
                <w:rFonts w:hint="eastAsia"/>
                <w:sz w:val="24"/>
                <w:szCs w:val="24"/>
              </w:rPr>
              <w:t>d</w:t>
            </w:r>
            <w:r>
              <w:rPr>
                <w:sz w:val="24"/>
                <w:szCs w:val="24"/>
              </w:rPr>
              <w:t>.</w:t>
            </w:r>
            <w:r>
              <w:rPr>
                <w:rFonts w:hint="eastAsia"/>
                <w:sz w:val="24"/>
                <w:szCs w:val="24"/>
              </w:rPr>
              <w:t>加强各类原辅料运输、使用、储存环节的环境管理，避免跑冒滴漏。</w:t>
            </w:r>
          </w:p>
          <w:p>
            <w:pPr>
              <w:spacing w:line="360" w:lineRule="auto"/>
              <w:ind w:firstLine="480" w:firstLineChars="200"/>
              <w:rPr>
                <w:sz w:val="24"/>
                <w:szCs w:val="24"/>
              </w:rPr>
            </w:pPr>
            <w:r>
              <w:rPr>
                <w:sz w:val="24"/>
                <w:szCs w:val="24"/>
              </w:rPr>
              <w:t>e</w:t>
            </w:r>
            <w:r>
              <w:rPr>
                <w:rFonts w:hint="eastAsia"/>
                <w:sz w:val="24"/>
                <w:szCs w:val="24"/>
              </w:rPr>
              <w:t>.运输单位应制定运输过程中突发环境风险事件的应急预案。</w:t>
            </w:r>
          </w:p>
          <w:p>
            <w:pPr>
              <w:spacing w:line="360" w:lineRule="auto"/>
              <w:ind w:firstLine="482" w:firstLineChars="200"/>
              <w:rPr>
                <w:b/>
                <w:sz w:val="24"/>
                <w:szCs w:val="24"/>
              </w:rPr>
            </w:pPr>
            <w:r>
              <w:rPr>
                <w:rFonts w:hint="eastAsia"/>
                <w:b/>
                <w:sz w:val="24"/>
                <w:szCs w:val="24"/>
              </w:rPr>
              <w:t>③火灾风险防范措施</w:t>
            </w:r>
          </w:p>
          <w:p>
            <w:pPr>
              <w:spacing w:line="360" w:lineRule="auto"/>
              <w:ind w:firstLine="480" w:firstLineChars="200"/>
              <w:rPr>
                <w:sz w:val="24"/>
                <w:szCs w:val="24"/>
              </w:rPr>
            </w:pPr>
            <w:r>
              <w:rPr>
                <w:rFonts w:hint="eastAsia"/>
                <w:sz w:val="24"/>
                <w:szCs w:val="24"/>
              </w:rPr>
              <w:t>a.</w:t>
            </w:r>
            <w:r>
              <w:rPr>
                <w:sz w:val="24"/>
                <w:szCs w:val="24"/>
              </w:rPr>
              <w:t>严格按照</w:t>
            </w:r>
            <w:r>
              <w:rPr>
                <w:rFonts w:hint="eastAsia"/>
                <w:sz w:val="24"/>
                <w:szCs w:val="24"/>
              </w:rPr>
              <w:t>《建筑设计防火规范（2018年版）》（GB50016-2014）等规范进行设计建设，落实防火、防爆设计要求。</w:t>
            </w:r>
          </w:p>
          <w:p>
            <w:pPr>
              <w:spacing w:line="360" w:lineRule="auto"/>
              <w:ind w:firstLine="480" w:firstLineChars="200"/>
              <w:rPr>
                <w:sz w:val="24"/>
                <w:szCs w:val="24"/>
              </w:rPr>
            </w:pPr>
            <w:r>
              <w:rPr>
                <w:rFonts w:hint="eastAsia"/>
                <w:sz w:val="24"/>
                <w:szCs w:val="24"/>
              </w:rPr>
              <w:t>b.完善生产区域</w:t>
            </w:r>
            <w:r>
              <w:rPr>
                <w:sz w:val="24"/>
                <w:szCs w:val="24"/>
              </w:rPr>
              <w:t>防火标识、消防</w:t>
            </w:r>
            <w:r>
              <w:rPr>
                <w:rFonts w:hint="eastAsia"/>
                <w:sz w:val="24"/>
                <w:szCs w:val="24"/>
              </w:rPr>
              <w:t>设施</w:t>
            </w:r>
            <w:r>
              <w:rPr>
                <w:sz w:val="24"/>
                <w:szCs w:val="24"/>
              </w:rPr>
              <w:t>，配置足够的灭火器材。</w:t>
            </w:r>
          </w:p>
          <w:p>
            <w:pPr>
              <w:spacing w:line="360" w:lineRule="auto"/>
              <w:ind w:firstLine="480" w:firstLineChars="200"/>
              <w:rPr>
                <w:sz w:val="24"/>
                <w:szCs w:val="24"/>
              </w:rPr>
            </w:pPr>
            <w:r>
              <w:rPr>
                <w:sz w:val="24"/>
                <w:szCs w:val="24"/>
              </w:rPr>
              <w:t>c</w:t>
            </w:r>
            <w:r>
              <w:rPr>
                <w:rFonts w:hint="eastAsia"/>
                <w:sz w:val="24"/>
                <w:szCs w:val="24"/>
              </w:rPr>
              <w:t>.制定和强化各种安全管理、安全生产的规程，减少人为风险事故（如误操作）的发生；加强生产过程检查，强化员工消防意识，定期进行消防演练。</w:t>
            </w:r>
          </w:p>
          <w:p>
            <w:pPr>
              <w:spacing w:line="360" w:lineRule="auto"/>
              <w:ind w:firstLine="482" w:firstLineChars="200"/>
              <w:rPr>
                <w:b/>
                <w:sz w:val="24"/>
                <w:szCs w:val="24"/>
              </w:rPr>
            </w:pPr>
            <w:r>
              <w:rPr>
                <w:rFonts w:hint="eastAsia"/>
                <w:b/>
                <w:sz w:val="24"/>
                <w:szCs w:val="24"/>
              </w:rPr>
              <w:t>④事故污染防范措施</w:t>
            </w:r>
          </w:p>
          <w:p>
            <w:pPr>
              <w:spacing w:line="360" w:lineRule="auto"/>
              <w:ind w:firstLine="480" w:firstLineChars="200"/>
              <w:rPr>
                <w:sz w:val="24"/>
                <w:szCs w:val="24"/>
              </w:rPr>
            </w:pPr>
            <w:r>
              <w:rPr>
                <w:rFonts w:hint="eastAsia"/>
                <w:sz w:val="24"/>
                <w:szCs w:val="24"/>
              </w:rPr>
              <w:t>废气处理设施应保证其有效运行和去除效率，定期进行设备维护；当发现设备故障或去除效率下降时，应立刻停止生产，尽快安排检修，减少污染物排放。</w:t>
            </w:r>
          </w:p>
          <w:p>
            <w:pPr>
              <w:spacing w:line="360" w:lineRule="auto"/>
              <w:ind w:firstLine="482" w:firstLineChars="200"/>
              <w:rPr>
                <w:b/>
                <w:sz w:val="24"/>
                <w:szCs w:val="24"/>
              </w:rPr>
            </w:pPr>
            <w:r>
              <w:rPr>
                <w:rFonts w:hint="eastAsia"/>
                <w:b/>
                <w:sz w:val="24"/>
                <w:szCs w:val="24"/>
              </w:rPr>
              <w:t>⑤风险应急预案</w:t>
            </w:r>
          </w:p>
          <w:p>
            <w:pPr>
              <w:spacing w:line="360" w:lineRule="auto"/>
              <w:ind w:firstLine="480" w:firstLineChars="200"/>
              <w:rPr>
                <w:sz w:val="24"/>
                <w:szCs w:val="24"/>
              </w:rPr>
            </w:pPr>
            <w:r>
              <w:rPr>
                <w:rFonts w:hint="eastAsia"/>
                <w:sz w:val="24"/>
                <w:szCs w:val="24"/>
              </w:rPr>
              <w:t>根据《突发环境事件应急管理办法》</w:t>
            </w:r>
            <w:bookmarkStart w:id="9" w:name="_GoBack"/>
            <w:bookmarkEnd w:id="9"/>
            <w:r>
              <w:rPr>
                <w:rFonts w:hint="eastAsia"/>
                <w:sz w:val="24"/>
                <w:szCs w:val="24"/>
              </w:rPr>
              <w:t>《企业事业单位突发环境事件应急预案备案管理办法（试行）》（环发〔2015〕4号）、《四川省突发环境事件应急预案备案行业名录（2022年版）》等文件要求，建设单位应组织修订突发环境事件应急预案，应急预案的应包括下表内容。</w:t>
            </w:r>
          </w:p>
          <w:p>
            <w:pPr>
              <w:spacing w:line="360" w:lineRule="auto"/>
              <w:jc w:val="center"/>
              <w:rPr>
                <w:rFonts w:eastAsia="黑体"/>
                <w:szCs w:val="21"/>
              </w:rPr>
            </w:pPr>
            <w:r>
              <w:rPr>
                <w:rFonts w:hint="eastAsia" w:eastAsia="黑体"/>
                <w:szCs w:val="21"/>
              </w:rPr>
              <w:t>表</w:t>
            </w:r>
            <w:r>
              <w:rPr>
                <w:rFonts w:eastAsia="黑体"/>
                <w:szCs w:val="21"/>
              </w:rPr>
              <w:t>4</w:t>
            </w:r>
            <w:r>
              <w:rPr>
                <w:rFonts w:hint="eastAsia" w:eastAsia="黑体"/>
                <w:szCs w:val="21"/>
              </w:rPr>
              <w:t>-</w:t>
            </w:r>
            <w:r>
              <w:rPr>
                <w:rFonts w:eastAsia="黑体"/>
                <w:szCs w:val="21"/>
              </w:rPr>
              <w:t>2</w:t>
            </w:r>
            <w:r>
              <w:rPr>
                <w:rFonts w:hint="eastAsia" w:eastAsia="黑体"/>
                <w:szCs w:val="21"/>
              </w:rPr>
              <w:t>8</w:t>
            </w:r>
            <w:r>
              <w:rPr>
                <w:rFonts w:eastAsia="黑体"/>
                <w:szCs w:val="21"/>
              </w:rPr>
              <w:t xml:space="preserve">  </w:t>
            </w:r>
            <w:r>
              <w:rPr>
                <w:rFonts w:hint="eastAsia" w:eastAsia="黑体"/>
                <w:szCs w:val="21"/>
              </w:rPr>
              <w:t>环境风险应急预案内容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2852"/>
              <w:gridCol w:w="5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8" w:type="pct"/>
                  <w:vAlign w:val="center"/>
                </w:tcPr>
                <w:p>
                  <w:pPr>
                    <w:widowControl/>
                    <w:jc w:val="center"/>
                    <w:rPr>
                      <w:rFonts w:cs="Times New Roman"/>
                      <w:kern w:val="0"/>
                      <w:szCs w:val="21"/>
                    </w:rPr>
                  </w:pPr>
                  <w:r>
                    <w:rPr>
                      <w:rFonts w:cs="Times New Roman"/>
                      <w:kern w:val="0"/>
                      <w:szCs w:val="21"/>
                    </w:rPr>
                    <w:t>序号</w:t>
                  </w:r>
                </w:p>
              </w:tc>
              <w:tc>
                <w:tcPr>
                  <w:tcW w:w="1559" w:type="pct"/>
                  <w:vAlign w:val="center"/>
                </w:tcPr>
                <w:p>
                  <w:pPr>
                    <w:widowControl/>
                    <w:jc w:val="center"/>
                    <w:rPr>
                      <w:rFonts w:cs="Times New Roman"/>
                      <w:kern w:val="0"/>
                      <w:szCs w:val="21"/>
                    </w:rPr>
                  </w:pPr>
                  <w:r>
                    <w:rPr>
                      <w:rFonts w:cs="Times New Roman"/>
                      <w:kern w:val="0"/>
                      <w:szCs w:val="21"/>
                    </w:rPr>
                    <w:t>项目</w:t>
                  </w:r>
                </w:p>
              </w:tc>
              <w:tc>
                <w:tcPr>
                  <w:tcW w:w="2853" w:type="pct"/>
                  <w:vAlign w:val="center"/>
                </w:tcPr>
                <w:p>
                  <w:pPr>
                    <w:widowControl/>
                    <w:jc w:val="center"/>
                    <w:rPr>
                      <w:rFonts w:cs="Times New Roman"/>
                      <w:kern w:val="0"/>
                      <w:szCs w:val="21"/>
                    </w:rPr>
                  </w:pPr>
                  <w:r>
                    <w:rPr>
                      <w:rFonts w:cs="Times New Roman"/>
                      <w:kern w:val="0"/>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1</w:t>
                  </w:r>
                </w:p>
              </w:tc>
              <w:tc>
                <w:tcPr>
                  <w:tcW w:w="1559" w:type="pct"/>
                  <w:vAlign w:val="center"/>
                </w:tcPr>
                <w:p>
                  <w:pPr>
                    <w:widowControl/>
                    <w:rPr>
                      <w:rFonts w:cs="Times New Roman"/>
                      <w:kern w:val="0"/>
                      <w:szCs w:val="21"/>
                    </w:rPr>
                  </w:pPr>
                  <w:r>
                    <w:rPr>
                      <w:rFonts w:cs="Times New Roman"/>
                      <w:kern w:val="0"/>
                      <w:szCs w:val="21"/>
                    </w:rPr>
                    <w:t>应急组织机构、人员</w:t>
                  </w:r>
                </w:p>
              </w:tc>
              <w:tc>
                <w:tcPr>
                  <w:tcW w:w="2853" w:type="pct"/>
                  <w:vAlign w:val="center"/>
                </w:tcPr>
                <w:p>
                  <w:pPr>
                    <w:widowControl/>
                    <w:rPr>
                      <w:rFonts w:cs="Times New Roman"/>
                      <w:kern w:val="0"/>
                      <w:szCs w:val="21"/>
                    </w:rPr>
                  </w:pPr>
                  <w:r>
                    <w:rPr>
                      <w:rFonts w:cs="Times New Roman"/>
                      <w:kern w:val="0"/>
                      <w:szCs w:val="21"/>
                    </w:rPr>
                    <w:t>公司应急机构人员，地方政府应急组织人员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2</w:t>
                  </w:r>
                </w:p>
              </w:tc>
              <w:tc>
                <w:tcPr>
                  <w:tcW w:w="1559" w:type="pct"/>
                  <w:vAlign w:val="center"/>
                </w:tcPr>
                <w:p>
                  <w:pPr>
                    <w:widowControl/>
                    <w:rPr>
                      <w:rFonts w:cs="Times New Roman"/>
                      <w:kern w:val="0"/>
                      <w:szCs w:val="21"/>
                    </w:rPr>
                  </w:pPr>
                  <w:r>
                    <w:rPr>
                      <w:rFonts w:cs="Times New Roman"/>
                      <w:kern w:val="0"/>
                      <w:szCs w:val="21"/>
                    </w:rPr>
                    <w:t>预案分级响应条件</w:t>
                  </w:r>
                </w:p>
              </w:tc>
              <w:tc>
                <w:tcPr>
                  <w:tcW w:w="2853" w:type="pct"/>
                  <w:vAlign w:val="center"/>
                </w:tcPr>
                <w:p>
                  <w:pPr>
                    <w:widowControl/>
                    <w:rPr>
                      <w:rFonts w:cs="Times New Roman"/>
                      <w:kern w:val="0"/>
                      <w:szCs w:val="21"/>
                    </w:rPr>
                  </w:pPr>
                  <w:r>
                    <w:rPr>
                      <w:rFonts w:cs="Times New Roman"/>
                      <w:kern w:val="0"/>
                      <w:szCs w:val="21"/>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3</w:t>
                  </w:r>
                </w:p>
              </w:tc>
              <w:tc>
                <w:tcPr>
                  <w:tcW w:w="1559" w:type="pct"/>
                  <w:vAlign w:val="center"/>
                </w:tcPr>
                <w:p>
                  <w:pPr>
                    <w:widowControl/>
                    <w:rPr>
                      <w:rFonts w:cs="Times New Roman"/>
                      <w:kern w:val="0"/>
                      <w:szCs w:val="21"/>
                    </w:rPr>
                  </w:pPr>
                  <w:r>
                    <w:rPr>
                      <w:rFonts w:cs="Times New Roman"/>
                      <w:kern w:val="0"/>
                      <w:szCs w:val="21"/>
                    </w:rPr>
                    <w:t>应急救援保障</w:t>
                  </w:r>
                </w:p>
              </w:tc>
              <w:tc>
                <w:tcPr>
                  <w:tcW w:w="2853" w:type="pct"/>
                  <w:vAlign w:val="center"/>
                </w:tcPr>
                <w:p>
                  <w:pPr>
                    <w:widowControl/>
                    <w:rPr>
                      <w:rFonts w:cs="Times New Roman"/>
                      <w:kern w:val="0"/>
                      <w:szCs w:val="21"/>
                    </w:rPr>
                  </w:pPr>
                  <w:r>
                    <w:rPr>
                      <w:rFonts w:cs="Times New Roman"/>
                      <w:kern w:val="0"/>
                      <w:szCs w:val="21"/>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4</w:t>
                  </w:r>
                </w:p>
              </w:tc>
              <w:tc>
                <w:tcPr>
                  <w:tcW w:w="1559" w:type="pct"/>
                  <w:vAlign w:val="center"/>
                </w:tcPr>
                <w:p>
                  <w:pPr>
                    <w:widowControl/>
                    <w:rPr>
                      <w:rFonts w:cs="Times New Roman"/>
                      <w:kern w:val="0"/>
                      <w:szCs w:val="21"/>
                    </w:rPr>
                  </w:pPr>
                  <w:r>
                    <w:rPr>
                      <w:rFonts w:cs="Times New Roman"/>
                      <w:kern w:val="0"/>
                      <w:szCs w:val="21"/>
                    </w:rPr>
                    <w:t>报警、通讯联络方式</w:t>
                  </w:r>
                </w:p>
              </w:tc>
              <w:tc>
                <w:tcPr>
                  <w:tcW w:w="2853" w:type="pct"/>
                  <w:vAlign w:val="center"/>
                </w:tcPr>
                <w:p>
                  <w:pPr>
                    <w:widowControl/>
                    <w:rPr>
                      <w:rFonts w:cs="Times New Roman"/>
                      <w:kern w:val="0"/>
                      <w:szCs w:val="21"/>
                    </w:rPr>
                  </w:pPr>
                  <w:r>
                    <w:rPr>
                      <w:rFonts w:cs="Times New Roman"/>
                      <w:kern w:val="0"/>
                      <w:szCs w:val="21"/>
                    </w:rPr>
                    <w:t>规定应急状态下的报警通讯方式；交通保障、管制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5</w:t>
                  </w:r>
                </w:p>
              </w:tc>
              <w:tc>
                <w:tcPr>
                  <w:tcW w:w="1559" w:type="pct"/>
                  <w:vAlign w:val="center"/>
                </w:tcPr>
                <w:p>
                  <w:pPr>
                    <w:widowControl/>
                    <w:rPr>
                      <w:rFonts w:cs="Times New Roman"/>
                      <w:kern w:val="0"/>
                      <w:szCs w:val="21"/>
                    </w:rPr>
                  </w:pPr>
                  <w:r>
                    <w:rPr>
                      <w:rFonts w:cs="Times New Roman"/>
                      <w:kern w:val="0"/>
                      <w:szCs w:val="21"/>
                    </w:rPr>
                    <w:t>应急环境监测、抢险、救援及控制措施</w:t>
                  </w:r>
                </w:p>
              </w:tc>
              <w:tc>
                <w:tcPr>
                  <w:tcW w:w="2853" w:type="pct"/>
                  <w:vAlign w:val="center"/>
                </w:tcPr>
                <w:p>
                  <w:pPr>
                    <w:widowControl/>
                    <w:rPr>
                      <w:rFonts w:cs="Times New Roman"/>
                      <w:kern w:val="0"/>
                      <w:szCs w:val="21"/>
                    </w:rPr>
                  </w:pPr>
                  <w:r>
                    <w:rPr>
                      <w:rFonts w:cs="Times New Roman"/>
                      <w:kern w:val="0"/>
                      <w:szCs w:val="21"/>
                    </w:rPr>
                    <w:t>由环境监测站负责对事故现场进行监测，对事故性质、参数与后果进行评估，为指挥部门提供决策根据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6</w:t>
                  </w:r>
                </w:p>
              </w:tc>
              <w:tc>
                <w:tcPr>
                  <w:tcW w:w="1559" w:type="pct"/>
                  <w:vAlign w:val="center"/>
                </w:tcPr>
                <w:p>
                  <w:pPr>
                    <w:widowControl/>
                    <w:rPr>
                      <w:rFonts w:cs="Times New Roman"/>
                      <w:kern w:val="0"/>
                      <w:szCs w:val="21"/>
                    </w:rPr>
                  </w:pPr>
                  <w:r>
                    <w:rPr>
                      <w:rFonts w:cs="Times New Roman"/>
                      <w:kern w:val="0"/>
                      <w:szCs w:val="21"/>
                    </w:rPr>
                    <w:t>应急检测、防护措施、清除泄漏措施器材</w:t>
                  </w:r>
                </w:p>
              </w:tc>
              <w:tc>
                <w:tcPr>
                  <w:tcW w:w="2853" w:type="pct"/>
                  <w:vAlign w:val="center"/>
                </w:tcPr>
                <w:p>
                  <w:pPr>
                    <w:widowControl/>
                    <w:rPr>
                      <w:rFonts w:cs="Times New Roman"/>
                      <w:kern w:val="0"/>
                      <w:szCs w:val="21"/>
                    </w:rPr>
                  </w:pPr>
                  <w:r>
                    <w:rPr>
                      <w:rFonts w:cs="Times New Roman"/>
                      <w:kern w:val="0"/>
                      <w:szCs w:val="21"/>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7</w:t>
                  </w:r>
                </w:p>
              </w:tc>
              <w:tc>
                <w:tcPr>
                  <w:tcW w:w="1559" w:type="pct"/>
                  <w:vAlign w:val="center"/>
                </w:tcPr>
                <w:p>
                  <w:pPr>
                    <w:widowControl/>
                    <w:rPr>
                      <w:rFonts w:cs="Times New Roman"/>
                      <w:kern w:val="0"/>
                      <w:szCs w:val="21"/>
                    </w:rPr>
                  </w:pPr>
                  <w:r>
                    <w:rPr>
                      <w:rFonts w:cs="Times New Roman"/>
                      <w:kern w:val="0"/>
                      <w:szCs w:val="21"/>
                    </w:rPr>
                    <w:t>人员紧急撤离、疏散</w:t>
                  </w:r>
                </w:p>
              </w:tc>
              <w:tc>
                <w:tcPr>
                  <w:tcW w:w="2853" w:type="pct"/>
                  <w:vAlign w:val="center"/>
                </w:tcPr>
                <w:p>
                  <w:pPr>
                    <w:widowControl/>
                    <w:rPr>
                      <w:rFonts w:cs="Times New Roman"/>
                      <w:kern w:val="0"/>
                      <w:szCs w:val="21"/>
                    </w:rPr>
                  </w:pPr>
                  <w:r>
                    <w:rPr>
                      <w:rFonts w:cs="Times New Roman"/>
                      <w:kern w:val="0"/>
                      <w:szCs w:val="21"/>
                    </w:rPr>
                    <w:t>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8</w:t>
                  </w:r>
                </w:p>
              </w:tc>
              <w:tc>
                <w:tcPr>
                  <w:tcW w:w="1559" w:type="pct"/>
                  <w:vAlign w:val="center"/>
                </w:tcPr>
                <w:p>
                  <w:pPr>
                    <w:widowControl/>
                    <w:rPr>
                      <w:rFonts w:cs="Times New Roman"/>
                      <w:kern w:val="0"/>
                      <w:szCs w:val="21"/>
                    </w:rPr>
                  </w:pPr>
                  <w:r>
                    <w:rPr>
                      <w:rFonts w:cs="Times New Roman"/>
                      <w:kern w:val="0"/>
                      <w:szCs w:val="21"/>
                    </w:rPr>
                    <w:t>事故应急救援关闭程序与恢复措施</w:t>
                  </w:r>
                </w:p>
              </w:tc>
              <w:tc>
                <w:tcPr>
                  <w:tcW w:w="2853" w:type="pct"/>
                  <w:vAlign w:val="center"/>
                </w:tcPr>
                <w:p>
                  <w:pPr>
                    <w:widowControl/>
                    <w:rPr>
                      <w:rFonts w:cs="Times New Roman"/>
                      <w:kern w:val="0"/>
                      <w:szCs w:val="21"/>
                    </w:rPr>
                  </w:pPr>
                  <w:r>
                    <w:rPr>
                      <w:rFonts w:cs="Times New Roman"/>
                      <w:kern w:val="0"/>
                      <w:szCs w:val="21"/>
                    </w:rPr>
                    <w:t>专业队伍抢救结束后，做好事故现场善后处理，邻近区域解除事故警戒及善后恢复措施，现场调查、清理、清洗工作恢复生产状态，组织生产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9</w:t>
                  </w:r>
                </w:p>
              </w:tc>
              <w:tc>
                <w:tcPr>
                  <w:tcW w:w="1559" w:type="pct"/>
                  <w:vAlign w:val="center"/>
                </w:tcPr>
                <w:p>
                  <w:pPr>
                    <w:widowControl/>
                    <w:rPr>
                      <w:rFonts w:cs="Times New Roman"/>
                      <w:kern w:val="0"/>
                      <w:szCs w:val="21"/>
                    </w:rPr>
                  </w:pPr>
                  <w:r>
                    <w:rPr>
                      <w:rFonts w:cs="Times New Roman"/>
                      <w:kern w:val="0"/>
                      <w:szCs w:val="21"/>
                    </w:rPr>
                    <w:t>应急培训计划</w:t>
                  </w:r>
                </w:p>
              </w:tc>
              <w:tc>
                <w:tcPr>
                  <w:tcW w:w="2853" w:type="pct"/>
                  <w:vAlign w:val="center"/>
                </w:tcPr>
                <w:p>
                  <w:pPr>
                    <w:widowControl/>
                    <w:rPr>
                      <w:rFonts w:cs="Times New Roman"/>
                      <w:kern w:val="0"/>
                      <w:szCs w:val="21"/>
                    </w:rPr>
                  </w:pPr>
                  <w:r>
                    <w:rPr>
                      <w:rFonts w:cs="Times New Roman"/>
                      <w:kern w:val="0"/>
                      <w:szCs w:val="21"/>
                    </w:rPr>
                    <w:t>制定计划，安排人员培训与演练</w:t>
                  </w:r>
                </w:p>
              </w:tc>
            </w:tr>
          </w:tbl>
          <w:p>
            <w:pPr>
              <w:spacing w:line="360" w:lineRule="auto"/>
              <w:ind w:firstLine="482" w:firstLineChars="200"/>
              <w:rPr>
                <w:b/>
                <w:sz w:val="24"/>
                <w:szCs w:val="24"/>
              </w:rPr>
            </w:pPr>
            <w:r>
              <w:rPr>
                <w:rFonts w:hint="eastAsia"/>
                <w:b/>
                <w:sz w:val="24"/>
                <w:szCs w:val="24"/>
              </w:rPr>
              <w:t>（</w:t>
            </w:r>
            <w:r>
              <w:rPr>
                <w:b/>
                <w:sz w:val="24"/>
                <w:szCs w:val="24"/>
              </w:rPr>
              <w:t>4</w:t>
            </w:r>
            <w:r>
              <w:rPr>
                <w:rFonts w:hint="eastAsia"/>
                <w:b/>
                <w:sz w:val="24"/>
                <w:szCs w:val="24"/>
              </w:rPr>
              <w:t>）环境风险分析结论</w:t>
            </w:r>
          </w:p>
          <w:p>
            <w:pPr>
              <w:spacing w:line="360" w:lineRule="auto"/>
              <w:ind w:firstLine="480"/>
              <w:rPr>
                <w:rFonts w:cs="Calibri"/>
                <w:sz w:val="24"/>
                <w:szCs w:val="24"/>
              </w:rPr>
            </w:pPr>
            <w:r>
              <w:rPr>
                <w:rFonts w:hint="eastAsia" w:cs="Calibri"/>
                <w:sz w:val="24"/>
                <w:szCs w:val="24"/>
              </w:rPr>
              <w:t>本项目环境风险潜势为I，运营期在严格落实环评提出的风险防范措施后，可最大程度防止重大环境污染事故的发生，使项目建成后风险水平处于可接受程度。</w:t>
            </w:r>
          </w:p>
          <w:p>
            <w:pPr>
              <w:spacing w:line="360" w:lineRule="auto"/>
              <w:ind w:firstLine="482" w:firstLineChars="200"/>
              <w:rPr>
                <w:b/>
                <w:sz w:val="24"/>
                <w:szCs w:val="24"/>
              </w:rPr>
            </w:pPr>
            <w:r>
              <w:rPr>
                <w:b/>
                <w:sz w:val="24"/>
                <w:szCs w:val="24"/>
              </w:rPr>
              <w:t>7</w:t>
            </w:r>
            <w:r>
              <w:rPr>
                <w:rFonts w:hint="eastAsia"/>
                <w:b/>
                <w:sz w:val="24"/>
                <w:szCs w:val="24"/>
              </w:rPr>
              <w:t>、改建前后“三本账”计算</w:t>
            </w:r>
          </w:p>
          <w:p>
            <w:pPr>
              <w:spacing w:line="360" w:lineRule="auto"/>
              <w:ind w:firstLine="480"/>
              <w:rPr>
                <w:sz w:val="24"/>
                <w:szCs w:val="24"/>
              </w:rPr>
            </w:pPr>
            <w:r>
              <w:rPr>
                <w:rFonts w:hint="eastAsia"/>
                <w:sz w:val="24"/>
                <w:szCs w:val="24"/>
              </w:rPr>
              <w:t>本次改建前后污染物排放“三本账”计算结果见下表。</w:t>
            </w:r>
          </w:p>
          <w:p>
            <w:pPr>
              <w:spacing w:line="360" w:lineRule="auto"/>
              <w:jc w:val="center"/>
              <w:rPr>
                <w:rFonts w:eastAsia="黑体"/>
                <w:szCs w:val="21"/>
              </w:rPr>
            </w:pPr>
            <w:r>
              <w:rPr>
                <w:rFonts w:hint="eastAsia" w:eastAsia="黑体"/>
                <w:szCs w:val="21"/>
              </w:rPr>
              <w:t>表</w:t>
            </w:r>
            <w:r>
              <w:rPr>
                <w:rFonts w:eastAsia="黑体"/>
                <w:szCs w:val="21"/>
              </w:rPr>
              <w:t>4</w:t>
            </w:r>
            <w:r>
              <w:rPr>
                <w:rFonts w:hint="eastAsia" w:eastAsia="黑体"/>
                <w:szCs w:val="21"/>
              </w:rPr>
              <w:t>-</w:t>
            </w:r>
            <w:r>
              <w:rPr>
                <w:rFonts w:eastAsia="黑体"/>
                <w:szCs w:val="21"/>
              </w:rPr>
              <w:t>2</w:t>
            </w:r>
            <w:r>
              <w:rPr>
                <w:rFonts w:hint="eastAsia" w:eastAsia="黑体"/>
                <w:szCs w:val="21"/>
              </w:rPr>
              <w:t>7</w:t>
            </w:r>
            <w:r>
              <w:rPr>
                <w:rFonts w:eastAsia="黑体"/>
                <w:szCs w:val="21"/>
              </w:rPr>
              <w:t xml:space="preserve">  </w:t>
            </w:r>
            <w:r>
              <w:rPr>
                <w:rFonts w:hint="eastAsia" w:eastAsia="黑体"/>
                <w:szCs w:val="21"/>
              </w:rPr>
              <w:t>改建前后骨料生产线“三本账”计算表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540"/>
              <w:gridCol w:w="1378"/>
              <w:gridCol w:w="1381"/>
              <w:gridCol w:w="1381"/>
              <w:gridCol w:w="1381"/>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87" w:type="pct"/>
                  <w:shd w:val="clear" w:color="auto" w:fill="auto"/>
                  <w:vAlign w:val="center"/>
                </w:tcPr>
                <w:p>
                  <w:pPr>
                    <w:jc w:val="center"/>
                    <w:rPr>
                      <w:szCs w:val="21"/>
                    </w:rPr>
                  </w:pPr>
                  <w:r>
                    <w:rPr>
                      <w:rFonts w:hint="eastAsia"/>
                      <w:szCs w:val="21"/>
                    </w:rPr>
                    <w:t>类别</w:t>
                  </w:r>
                </w:p>
              </w:tc>
              <w:tc>
                <w:tcPr>
                  <w:tcW w:w="842" w:type="pct"/>
                  <w:shd w:val="clear" w:color="auto" w:fill="auto"/>
                  <w:vAlign w:val="center"/>
                </w:tcPr>
                <w:p>
                  <w:pPr>
                    <w:jc w:val="center"/>
                    <w:rPr>
                      <w:szCs w:val="21"/>
                    </w:rPr>
                  </w:pPr>
                  <w:r>
                    <w:rPr>
                      <w:rFonts w:hint="eastAsia"/>
                      <w:szCs w:val="21"/>
                    </w:rPr>
                    <w:t>污染物</w:t>
                  </w:r>
                </w:p>
              </w:tc>
              <w:tc>
                <w:tcPr>
                  <w:tcW w:w="753" w:type="pct"/>
                  <w:shd w:val="clear" w:color="auto" w:fill="auto"/>
                  <w:vAlign w:val="center"/>
                </w:tcPr>
                <w:p>
                  <w:pPr>
                    <w:jc w:val="center"/>
                    <w:rPr>
                      <w:szCs w:val="21"/>
                    </w:rPr>
                  </w:pPr>
                  <w:r>
                    <w:rPr>
                      <w:rFonts w:hint="eastAsia"/>
                      <w:szCs w:val="21"/>
                    </w:rPr>
                    <w:t>现有工程排放量(t/a)</w:t>
                  </w:r>
                </w:p>
              </w:tc>
              <w:tc>
                <w:tcPr>
                  <w:tcW w:w="755" w:type="pct"/>
                  <w:shd w:val="clear" w:color="auto" w:fill="auto"/>
                  <w:vAlign w:val="center"/>
                </w:tcPr>
                <w:p>
                  <w:pPr>
                    <w:jc w:val="center"/>
                    <w:rPr>
                      <w:szCs w:val="21"/>
                    </w:rPr>
                  </w:pPr>
                  <w:r>
                    <w:rPr>
                      <w:rFonts w:hint="eastAsia"/>
                      <w:szCs w:val="21"/>
                    </w:rPr>
                    <w:t>改建项目放量(t/a)</w:t>
                  </w:r>
                </w:p>
              </w:tc>
              <w:tc>
                <w:tcPr>
                  <w:tcW w:w="755" w:type="pct"/>
                  <w:shd w:val="clear" w:color="auto" w:fill="auto"/>
                  <w:vAlign w:val="center"/>
                </w:tcPr>
                <w:p>
                  <w:pPr>
                    <w:jc w:val="center"/>
                    <w:rPr>
                      <w:szCs w:val="21"/>
                    </w:rPr>
                  </w:pPr>
                  <w:r>
                    <w:rPr>
                      <w:rFonts w:cs="Times New Roman"/>
                      <w:szCs w:val="21"/>
                    </w:rPr>
                    <w:t>“以新带老”</w:t>
                  </w:r>
                  <w:r>
                    <w:rPr>
                      <w:rFonts w:hint="eastAsia"/>
                      <w:szCs w:val="21"/>
                    </w:rPr>
                    <w:t>削</w:t>
                  </w:r>
                  <w:r>
                    <w:rPr>
                      <w:szCs w:val="21"/>
                    </w:rPr>
                    <w:t>减量</w:t>
                  </w:r>
                  <w:r>
                    <w:rPr>
                      <w:rFonts w:hint="eastAsia"/>
                      <w:szCs w:val="21"/>
                    </w:rPr>
                    <w:t>(t/a)</w:t>
                  </w:r>
                </w:p>
              </w:tc>
              <w:tc>
                <w:tcPr>
                  <w:tcW w:w="755" w:type="pct"/>
                  <w:shd w:val="clear" w:color="auto" w:fill="auto"/>
                  <w:vAlign w:val="center"/>
                </w:tcPr>
                <w:p>
                  <w:pPr>
                    <w:jc w:val="center"/>
                    <w:rPr>
                      <w:szCs w:val="21"/>
                    </w:rPr>
                  </w:pPr>
                  <w:r>
                    <w:rPr>
                      <w:rFonts w:hint="eastAsia"/>
                      <w:szCs w:val="21"/>
                    </w:rPr>
                    <w:t>改建后</w:t>
                  </w:r>
                  <w:r>
                    <w:rPr>
                      <w:szCs w:val="21"/>
                    </w:rPr>
                    <w:t>排放量</w:t>
                  </w:r>
                  <w:r>
                    <w:rPr>
                      <w:rFonts w:hint="eastAsia"/>
                      <w:szCs w:val="21"/>
                    </w:rPr>
                    <w:t>(t/a)</w:t>
                  </w:r>
                </w:p>
              </w:tc>
              <w:tc>
                <w:tcPr>
                  <w:tcW w:w="753" w:type="pct"/>
                  <w:shd w:val="clear" w:color="auto" w:fill="auto"/>
                  <w:vAlign w:val="center"/>
                </w:tcPr>
                <w:p>
                  <w:pPr>
                    <w:jc w:val="center"/>
                    <w:rPr>
                      <w:szCs w:val="21"/>
                    </w:rPr>
                  </w:pPr>
                  <w:r>
                    <w:rPr>
                      <w:rFonts w:hint="eastAsia"/>
                      <w:szCs w:val="21"/>
                    </w:rPr>
                    <w:t>污染物增减量(t/a</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shd w:val="clear" w:color="auto" w:fill="auto"/>
                  <w:vAlign w:val="center"/>
                </w:tcPr>
                <w:p>
                  <w:pPr>
                    <w:jc w:val="center"/>
                    <w:rPr>
                      <w:szCs w:val="21"/>
                    </w:rPr>
                  </w:pPr>
                  <w:r>
                    <w:rPr>
                      <w:rFonts w:hint="eastAsia"/>
                      <w:szCs w:val="21"/>
                    </w:rPr>
                    <w:t>废气</w:t>
                  </w:r>
                </w:p>
              </w:tc>
              <w:tc>
                <w:tcPr>
                  <w:tcW w:w="842" w:type="pct"/>
                  <w:shd w:val="clear" w:color="auto" w:fill="auto"/>
                  <w:vAlign w:val="center"/>
                </w:tcPr>
                <w:p>
                  <w:pPr>
                    <w:jc w:val="center"/>
                    <w:rPr>
                      <w:szCs w:val="21"/>
                    </w:rPr>
                  </w:pPr>
                  <w:r>
                    <w:rPr>
                      <w:rFonts w:hint="eastAsia"/>
                      <w:szCs w:val="21"/>
                    </w:rPr>
                    <w:t>颗粒物</w:t>
                  </w:r>
                </w:p>
              </w:tc>
              <w:tc>
                <w:tcPr>
                  <w:tcW w:w="753" w:type="pct"/>
                  <w:shd w:val="clear" w:color="auto" w:fill="auto"/>
                  <w:vAlign w:val="center"/>
                </w:tcPr>
                <w:p>
                  <w:pPr>
                    <w:jc w:val="center"/>
                    <w:rPr>
                      <w:szCs w:val="21"/>
                    </w:rPr>
                  </w:pPr>
                  <w:r>
                    <w:rPr>
                      <w:rFonts w:hint="eastAsia"/>
                      <w:szCs w:val="21"/>
                    </w:rPr>
                    <w:t>0.3756</w:t>
                  </w:r>
                </w:p>
              </w:tc>
              <w:tc>
                <w:tcPr>
                  <w:tcW w:w="755" w:type="pct"/>
                  <w:shd w:val="clear" w:color="auto" w:fill="auto"/>
                  <w:vAlign w:val="center"/>
                </w:tcPr>
                <w:p>
                  <w:pPr>
                    <w:jc w:val="center"/>
                    <w:rPr>
                      <w:szCs w:val="21"/>
                    </w:rPr>
                  </w:pPr>
                  <w:r>
                    <w:rPr>
                      <w:rFonts w:hint="eastAsia" w:cs="Times New Roman"/>
                      <w:szCs w:val="21"/>
                    </w:rPr>
                    <w:t>1.417</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szCs w:val="21"/>
                    </w:rPr>
                    <w:t>1.7926</w:t>
                  </w:r>
                </w:p>
              </w:tc>
              <w:tc>
                <w:tcPr>
                  <w:tcW w:w="753" w:type="pct"/>
                  <w:shd w:val="clear" w:color="auto" w:fill="auto"/>
                  <w:vAlign w:val="center"/>
                </w:tcPr>
                <w:p>
                  <w:pPr>
                    <w:jc w:val="center"/>
                    <w:rPr>
                      <w:rFonts w:cs="Times New Roman"/>
                      <w:szCs w:val="21"/>
                    </w:rPr>
                  </w:pPr>
                  <w:r>
                    <w:rPr>
                      <w:rFonts w:hint="eastAsia" w:cs="Times New Roman"/>
                      <w:szCs w:val="21"/>
                    </w:rPr>
                    <w:t>+</w:t>
                  </w:r>
                  <w:r>
                    <w:rPr>
                      <w:rFonts w:hint="eastAsia"/>
                      <w:szCs w:val="21"/>
                    </w:rPr>
                    <w:t>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restart"/>
                  <w:shd w:val="clear" w:color="auto" w:fill="auto"/>
                  <w:vAlign w:val="center"/>
                </w:tcPr>
                <w:p>
                  <w:pPr>
                    <w:jc w:val="center"/>
                    <w:rPr>
                      <w:szCs w:val="21"/>
                    </w:rPr>
                  </w:pPr>
                  <w:r>
                    <w:rPr>
                      <w:rFonts w:hint="eastAsia"/>
                      <w:szCs w:val="21"/>
                    </w:rPr>
                    <w:t>废水</w:t>
                  </w:r>
                </w:p>
              </w:tc>
              <w:tc>
                <w:tcPr>
                  <w:tcW w:w="842" w:type="pct"/>
                  <w:shd w:val="clear" w:color="auto" w:fill="auto"/>
                  <w:vAlign w:val="center"/>
                </w:tcPr>
                <w:p>
                  <w:pPr>
                    <w:jc w:val="center"/>
                    <w:rPr>
                      <w:szCs w:val="21"/>
                    </w:rPr>
                  </w:pPr>
                  <w:r>
                    <w:rPr>
                      <w:rFonts w:hint="eastAsia"/>
                      <w:szCs w:val="21"/>
                    </w:rPr>
                    <w:t>废水量</w:t>
                  </w:r>
                </w:p>
              </w:tc>
              <w:tc>
                <w:tcPr>
                  <w:tcW w:w="753"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3" w:type="pct"/>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shd w:val="clear" w:color="auto" w:fill="auto"/>
                  <w:vAlign w:val="center"/>
                </w:tcPr>
                <w:p>
                  <w:pPr>
                    <w:jc w:val="center"/>
                    <w:rPr>
                      <w:szCs w:val="21"/>
                    </w:rPr>
                  </w:pPr>
                </w:p>
              </w:tc>
              <w:tc>
                <w:tcPr>
                  <w:tcW w:w="842" w:type="pct"/>
                  <w:shd w:val="clear" w:color="auto" w:fill="auto"/>
                  <w:vAlign w:val="center"/>
                </w:tcPr>
                <w:p>
                  <w:pPr>
                    <w:jc w:val="center"/>
                    <w:rPr>
                      <w:szCs w:val="21"/>
                    </w:rPr>
                  </w:pPr>
                  <w:r>
                    <w:rPr>
                      <w:rFonts w:hint="eastAsia"/>
                      <w:szCs w:val="21"/>
                    </w:rPr>
                    <w:t>COD</w:t>
                  </w:r>
                </w:p>
              </w:tc>
              <w:tc>
                <w:tcPr>
                  <w:tcW w:w="753"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3" w:type="pct"/>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7" w:type="pct"/>
                  <w:vMerge w:val="continue"/>
                  <w:shd w:val="clear" w:color="auto" w:fill="auto"/>
                  <w:vAlign w:val="center"/>
                </w:tcPr>
                <w:p>
                  <w:pPr>
                    <w:jc w:val="center"/>
                    <w:rPr>
                      <w:szCs w:val="21"/>
                    </w:rPr>
                  </w:pPr>
                </w:p>
              </w:tc>
              <w:tc>
                <w:tcPr>
                  <w:tcW w:w="842" w:type="pct"/>
                  <w:shd w:val="clear" w:color="auto" w:fill="auto"/>
                  <w:vAlign w:val="center"/>
                </w:tcPr>
                <w:p>
                  <w:pPr>
                    <w:jc w:val="center"/>
                    <w:rPr>
                      <w:szCs w:val="21"/>
                    </w:rPr>
                  </w:pPr>
                  <w:r>
                    <w:rPr>
                      <w:rFonts w:hint="eastAsia"/>
                      <w:szCs w:val="21"/>
                    </w:rPr>
                    <w:t>NH</w:t>
                  </w:r>
                  <w:r>
                    <w:rPr>
                      <w:szCs w:val="21"/>
                      <w:vertAlign w:val="subscript"/>
                    </w:rPr>
                    <w:t>3</w:t>
                  </w:r>
                  <w:r>
                    <w:rPr>
                      <w:rFonts w:hint="eastAsia"/>
                      <w:szCs w:val="21"/>
                    </w:rPr>
                    <w:t>-N</w:t>
                  </w:r>
                </w:p>
              </w:tc>
              <w:tc>
                <w:tcPr>
                  <w:tcW w:w="753"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3" w:type="pct"/>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7" w:type="pct"/>
                  <w:vMerge w:val="restart"/>
                  <w:shd w:val="clear" w:color="auto" w:fill="auto"/>
                  <w:vAlign w:val="center"/>
                </w:tcPr>
                <w:p>
                  <w:pPr>
                    <w:jc w:val="center"/>
                    <w:rPr>
                      <w:szCs w:val="21"/>
                    </w:rPr>
                  </w:pPr>
                  <w:r>
                    <w:rPr>
                      <w:szCs w:val="21"/>
                    </w:rPr>
                    <w:t>固体废物</w:t>
                  </w:r>
                </w:p>
              </w:tc>
              <w:tc>
                <w:tcPr>
                  <w:tcW w:w="842" w:type="pct"/>
                  <w:shd w:val="clear" w:color="auto" w:fill="auto"/>
                  <w:vAlign w:val="center"/>
                </w:tcPr>
                <w:p>
                  <w:pPr>
                    <w:jc w:val="center"/>
                    <w:rPr>
                      <w:szCs w:val="21"/>
                    </w:rPr>
                  </w:pPr>
                  <w:r>
                    <w:rPr>
                      <w:rFonts w:hint="eastAsia"/>
                      <w:szCs w:val="21"/>
                    </w:rPr>
                    <w:t>一般固体废物</w:t>
                  </w:r>
                </w:p>
              </w:tc>
              <w:tc>
                <w:tcPr>
                  <w:tcW w:w="753"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3" w:type="pct"/>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7" w:type="pct"/>
                  <w:vMerge w:val="continue"/>
                  <w:shd w:val="clear" w:color="auto" w:fill="auto"/>
                  <w:vAlign w:val="center"/>
                </w:tcPr>
                <w:p>
                  <w:pPr>
                    <w:jc w:val="center"/>
                    <w:rPr>
                      <w:szCs w:val="21"/>
                    </w:rPr>
                  </w:pPr>
                </w:p>
              </w:tc>
              <w:tc>
                <w:tcPr>
                  <w:tcW w:w="842" w:type="pct"/>
                  <w:shd w:val="clear" w:color="auto" w:fill="auto"/>
                  <w:vAlign w:val="center"/>
                </w:tcPr>
                <w:p>
                  <w:pPr>
                    <w:jc w:val="center"/>
                    <w:rPr>
                      <w:szCs w:val="21"/>
                    </w:rPr>
                  </w:pPr>
                  <w:r>
                    <w:rPr>
                      <w:rFonts w:hint="eastAsia"/>
                      <w:szCs w:val="21"/>
                    </w:rPr>
                    <w:t>危险废物</w:t>
                  </w:r>
                </w:p>
              </w:tc>
              <w:tc>
                <w:tcPr>
                  <w:tcW w:w="753"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3" w:type="pct"/>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000" w:type="pct"/>
                  <w:gridSpan w:val="7"/>
                  <w:shd w:val="clear" w:color="auto" w:fill="auto"/>
                  <w:vAlign w:val="center"/>
                </w:tcPr>
                <w:p>
                  <w:pPr>
                    <w:rPr>
                      <w:szCs w:val="21"/>
                    </w:rPr>
                  </w:pPr>
                  <w:r>
                    <w:rPr>
                      <w:rFonts w:hint="eastAsia"/>
                      <w:szCs w:val="21"/>
                    </w:rPr>
                    <w:t>注：项目废水全部回用，固体废物实现综合利用，排放量为0</w:t>
                  </w:r>
                  <w:r>
                    <w:rPr>
                      <w:szCs w:val="21"/>
                    </w:rPr>
                    <w:t>。</w:t>
                  </w:r>
                </w:p>
              </w:tc>
            </w:tr>
          </w:tbl>
          <w:p>
            <w:pPr>
              <w:spacing w:line="360" w:lineRule="auto"/>
              <w:jc w:val="center"/>
              <w:rPr>
                <w:rFonts w:eastAsia="黑体"/>
                <w:szCs w:val="21"/>
              </w:rPr>
            </w:pPr>
          </w:p>
          <w:p>
            <w:pPr>
              <w:spacing w:line="360" w:lineRule="auto"/>
              <w:jc w:val="center"/>
              <w:rPr>
                <w:rFonts w:eastAsia="黑体"/>
                <w:szCs w:val="21"/>
              </w:rPr>
            </w:pPr>
          </w:p>
          <w:p>
            <w:pPr>
              <w:spacing w:line="360" w:lineRule="auto"/>
              <w:jc w:val="center"/>
              <w:rPr>
                <w:rFonts w:eastAsia="黑体"/>
                <w:szCs w:val="21"/>
              </w:rPr>
            </w:pPr>
            <w:r>
              <w:rPr>
                <w:rFonts w:hint="eastAsia" w:eastAsia="黑体"/>
                <w:szCs w:val="21"/>
              </w:rPr>
              <w:t>表</w:t>
            </w:r>
            <w:r>
              <w:rPr>
                <w:rFonts w:eastAsia="黑体"/>
                <w:szCs w:val="21"/>
              </w:rPr>
              <w:t>4</w:t>
            </w:r>
            <w:r>
              <w:rPr>
                <w:rFonts w:hint="eastAsia" w:eastAsia="黑体"/>
                <w:szCs w:val="21"/>
              </w:rPr>
              <w:t>-</w:t>
            </w:r>
            <w:r>
              <w:rPr>
                <w:rFonts w:eastAsia="黑体"/>
                <w:szCs w:val="21"/>
              </w:rPr>
              <w:t>2</w:t>
            </w:r>
            <w:r>
              <w:rPr>
                <w:rFonts w:hint="eastAsia" w:eastAsia="黑体"/>
                <w:szCs w:val="21"/>
              </w:rPr>
              <w:t>8</w:t>
            </w:r>
            <w:r>
              <w:rPr>
                <w:rFonts w:eastAsia="黑体"/>
                <w:szCs w:val="21"/>
              </w:rPr>
              <w:t xml:space="preserve">  </w:t>
            </w:r>
            <w:r>
              <w:rPr>
                <w:rFonts w:hint="eastAsia" w:eastAsia="黑体"/>
                <w:szCs w:val="21"/>
              </w:rPr>
              <w:t>改建前后全厂“三本账”计算表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540"/>
              <w:gridCol w:w="1378"/>
              <w:gridCol w:w="1381"/>
              <w:gridCol w:w="1381"/>
              <w:gridCol w:w="1381"/>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87" w:type="pct"/>
                  <w:shd w:val="clear" w:color="auto" w:fill="auto"/>
                  <w:vAlign w:val="center"/>
                </w:tcPr>
                <w:p>
                  <w:pPr>
                    <w:jc w:val="center"/>
                    <w:rPr>
                      <w:szCs w:val="21"/>
                    </w:rPr>
                  </w:pPr>
                  <w:r>
                    <w:rPr>
                      <w:rFonts w:hint="eastAsia"/>
                      <w:szCs w:val="21"/>
                    </w:rPr>
                    <w:t>类别</w:t>
                  </w:r>
                </w:p>
              </w:tc>
              <w:tc>
                <w:tcPr>
                  <w:tcW w:w="842" w:type="pct"/>
                  <w:shd w:val="clear" w:color="auto" w:fill="auto"/>
                  <w:vAlign w:val="center"/>
                </w:tcPr>
                <w:p>
                  <w:pPr>
                    <w:jc w:val="center"/>
                    <w:rPr>
                      <w:szCs w:val="21"/>
                    </w:rPr>
                  </w:pPr>
                  <w:r>
                    <w:rPr>
                      <w:rFonts w:hint="eastAsia"/>
                      <w:szCs w:val="21"/>
                    </w:rPr>
                    <w:t>污染物</w:t>
                  </w:r>
                </w:p>
              </w:tc>
              <w:tc>
                <w:tcPr>
                  <w:tcW w:w="753" w:type="pct"/>
                  <w:shd w:val="clear" w:color="auto" w:fill="auto"/>
                  <w:vAlign w:val="center"/>
                </w:tcPr>
                <w:p>
                  <w:pPr>
                    <w:jc w:val="center"/>
                    <w:rPr>
                      <w:szCs w:val="21"/>
                    </w:rPr>
                  </w:pPr>
                  <w:r>
                    <w:rPr>
                      <w:rFonts w:hint="eastAsia"/>
                      <w:szCs w:val="21"/>
                    </w:rPr>
                    <w:t>现有工程排放量(t/a)</w:t>
                  </w:r>
                </w:p>
              </w:tc>
              <w:tc>
                <w:tcPr>
                  <w:tcW w:w="755" w:type="pct"/>
                  <w:shd w:val="clear" w:color="auto" w:fill="auto"/>
                  <w:vAlign w:val="center"/>
                </w:tcPr>
                <w:p>
                  <w:pPr>
                    <w:jc w:val="center"/>
                    <w:rPr>
                      <w:szCs w:val="21"/>
                    </w:rPr>
                  </w:pPr>
                  <w:r>
                    <w:rPr>
                      <w:rFonts w:hint="eastAsia"/>
                      <w:szCs w:val="21"/>
                    </w:rPr>
                    <w:t>改建项目放量(t/a)</w:t>
                  </w:r>
                </w:p>
              </w:tc>
              <w:tc>
                <w:tcPr>
                  <w:tcW w:w="755" w:type="pct"/>
                  <w:shd w:val="clear" w:color="auto" w:fill="auto"/>
                  <w:vAlign w:val="center"/>
                </w:tcPr>
                <w:p>
                  <w:pPr>
                    <w:jc w:val="center"/>
                    <w:rPr>
                      <w:szCs w:val="21"/>
                    </w:rPr>
                  </w:pPr>
                  <w:r>
                    <w:rPr>
                      <w:rFonts w:cs="Times New Roman"/>
                      <w:szCs w:val="21"/>
                    </w:rPr>
                    <w:t>“以新带老”</w:t>
                  </w:r>
                  <w:r>
                    <w:rPr>
                      <w:rFonts w:hint="eastAsia"/>
                      <w:szCs w:val="21"/>
                    </w:rPr>
                    <w:t>削</w:t>
                  </w:r>
                  <w:r>
                    <w:rPr>
                      <w:szCs w:val="21"/>
                    </w:rPr>
                    <w:t>减量</w:t>
                  </w:r>
                  <w:r>
                    <w:rPr>
                      <w:rFonts w:hint="eastAsia"/>
                      <w:szCs w:val="21"/>
                    </w:rPr>
                    <w:t>(t/a)</w:t>
                  </w:r>
                </w:p>
              </w:tc>
              <w:tc>
                <w:tcPr>
                  <w:tcW w:w="755" w:type="pct"/>
                  <w:shd w:val="clear" w:color="auto" w:fill="auto"/>
                  <w:vAlign w:val="center"/>
                </w:tcPr>
                <w:p>
                  <w:pPr>
                    <w:jc w:val="center"/>
                    <w:rPr>
                      <w:szCs w:val="21"/>
                    </w:rPr>
                  </w:pPr>
                  <w:r>
                    <w:rPr>
                      <w:rFonts w:hint="eastAsia"/>
                      <w:szCs w:val="21"/>
                    </w:rPr>
                    <w:t>改建后全厂</w:t>
                  </w:r>
                  <w:r>
                    <w:rPr>
                      <w:szCs w:val="21"/>
                    </w:rPr>
                    <w:t>排放量</w:t>
                  </w:r>
                  <w:r>
                    <w:rPr>
                      <w:rFonts w:hint="eastAsia"/>
                      <w:szCs w:val="21"/>
                    </w:rPr>
                    <w:t>(t/a)</w:t>
                  </w:r>
                </w:p>
              </w:tc>
              <w:tc>
                <w:tcPr>
                  <w:tcW w:w="753" w:type="pct"/>
                  <w:shd w:val="clear" w:color="auto" w:fill="auto"/>
                  <w:vAlign w:val="center"/>
                </w:tcPr>
                <w:p>
                  <w:pPr>
                    <w:jc w:val="center"/>
                    <w:rPr>
                      <w:szCs w:val="21"/>
                    </w:rPr>
                  </w:pPr>
                  <w:r>
                    <w:rPr>
                      <w:rFonts w:hint="eastAsia"/>
                      <w:szCs w:val="21"/>
                    </w:rPr>
                    <w:t>污染物增减量(t/a</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restart"/>
                  <w:shd w:val="clear" w:color="auto" w:fill="auto"/>
                  <w:vAlign w:val="center"/>
                </w:tcPr>
                <w:p>
                  <w:pPr>
                    <w:jc w:val="center"/>
                    <w:rPr>
                      <w:szCs w:val="21"/>
                    </w:rPr>
                  </w:pPr>
                  <w:r>
                    <w:rPr>
                      <w:rFonts w:hint="eastAsia"/>
                      <w:szCs w:val="21"/>
                    </w:rPr>
                    <w:t>废气</w:t>
                  </w:r>
                </w:p>
              </w:tc>
              <w:tc>
                <w:tcPr>
                  <w:tcW w:w="842" w:type="pct"/>
                  <w:shd w:val="clear" w:color="auto" w:fill="auto"/>
                  <w:vAlign w:val="center"/>
                </w:tcPr>
                <w:p>
                  <w:pPr>
                    <w:jc w:val="center"/>
                    <w:rPr>
                      <w:szCs w:val="21"/>
                    </w:rPr>
                  </w:pPr>
                  <w:r>
                    <w:rPr>
                      <w:rFonts w:hint="eastAsia"/>
                      <w:szCs w:val="21"/>
                    </w:rPr>
                    <w:t>颗粒物</w:t>
                  </w:r>
                </w:p>
              </w:tc>
              <w:tc>
                <w:tcPr>
                  <w:tcW w:w="753" w:type="pct"/>
                  <w:shd w:val="clear" w:color="auto" w:fill="auto"/>
                  <w:vAlign w:val="center"/>
                </w:tcPr>
                <w:p>
                  <w:pPr>
                    <w:jc w:val="center"/>
                    <w:rPr>
                      <w:szCs w:val="21"/>
                    </w:rPr>
                  </w:pPr>
                  <w:r>
                    <w:rPr>
                      <w:rFonts w:hint="eastAsia"/>
                      <w:szCs w:val="21"/>
                    </w:rPr>
                    <w:t>23.9614</w:t>
                  </w:r>
                </w:p>
              </w:tc>
              <w:tc>
                <w:tcPr>
                  <w:tcW w:w="755" w:type="pct"/>
                  <w:shd w:val="clear" w:color="auto" w:fill="auto"/>
                  <w:vAlign w:val="center"/>
                </w:tcPr>
                <w:p>
                  <w:pPr>
                    <w:jc w:val="center"/>
                    <w:rPr>
                      <w:szCs w:val="21"/>
                    </w:rPr>
                  </w:pPr>
                  <w:r>
                    <w:rPr>
                      <w:rFonts w:hint="eastAsia" w:cs="Times New Roman"/>
                      <w:szCs w:val="21"/>
                    </w:rPr>
                    <w:t>1.417</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szCs w:val="21"/>
                    </w:rPr>
                    <w:t>25.3784</w:t>
                  </w:r>
                </w:p>
              </w:tc>
              <w:tc>
                <w:tcPr>
                  <w:tcW w:w="753" w:type="pct"/>
                  <w:shd w:val="clear" w:color="auto" w:fill="auto"/>
                  <w:vAlign w:val="center"/>
                </w:tcPr>
                <w:p>
                  <w:pPr>
                    <w:jc w:val="center"/>
                    <w:rPr>
                      <w:rFonts w:cs="Times New Roman"/>
                      <w:szCs w:val="21"/>
                    </w:rPr>
                  </w:pPr>
                  <w:r>
                    <w:rPr>
                      <w:rFonts w:hint="eastAsia" w:cs="Times New Roman"/>
                      <w:szCs w:val="21"/>
                    </w:rPr>
                    <w:t>+1.417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shd w:val="clear" w:color="auto" w:fill="auto"/>
                  <w:vAlign w:val="center"/>
                </w:tcPr>
                <w:p>
                  <w:pPr>
                    <w:jc w:val="center"/>
                    <w:rPr>
                      <w:szCs w:val="21"/>
                    </w:rPr>
                  </w:pPr>
                </w:p>
              </w:tc>
              <w:tc>
                <w:tcPr>
                  <w:tcW w:w="842" w:type="pct"/>
                  <w:shd w:val="clear" w:color="auto" w:fill="auto"/>
                  <w:vAlign w:val="center"/>
                </w:tcPr>
                <w:p>
                  <w:pPr>
                    <w:jc w:val="center"/>
                    <w:rPr>
                      <w:szCs w:val="21"/>
                    </w:rPr>
                  </w:pPr>
                  <w:r>
                    <w:rPr>
                      <w:rFonts w:hint="eastAsia"/>
                      <w:szCs w:val="21"/>
                    </w:rPr>
                    <w:t>二氧化硫</w:t>
                  </w:r>
                </w:p>
              </w:tc>
              <w:tc>
                <w:tcPr>
                  <w:tcW w:w="753" w:type="pct"/>
                  <w:shd w:val="clear" w:color="auto" w:fill="auto"/>
                  <w:vAlign w:val="center"/>
                </w:tcPr>
                <w:p>
                  <w:pPr>
                    <w:jc w:val="center"/>
                    <w:rPr>
                      <w:szCs w:val="21"/>
                    </w:rPr>
                  </w:pPr>
                  <w:r>
                    <w:rPr>
                      <w:rFonts w:hint="eastAsia"/>
                      <w:szCs w:val="21"/>
                    </w:rPr>
                    <w:t>51.7707</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rFonts w:hint="eastAsia"/>
                      <w:szCs w:val="21"/>
                    </w:rPr>
                    <w:t>51.7707</w:t>
                  </w:r>
                </w:p>
              </w:tc>
              <w:tc>
                <w:tcPr>
                  <w:tcW w:w="753" w:type="pct"/>
                  <w:shd w:val="clear" w:color="auto" w:fill="auto"/>
                  <w:vAlign w:val="center"/>
                </w:tcPr>
                <w:p>
                  <w:pPr>
                    <w:jc w:val="center"/>
                    <w:rPr>
                      <w:rFonts w:cs="Times New Roman"/>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shd w:val="clear" w:color="auto" w:fill="auto"/>
                  <w:vAlign w:val="center"/>
                </w:tcPr>
                <w:p>
                  <w:pPr>
                    <w:jc w:val="center"/>
                    <w:rPr>
                      <w:szCs w:val="21"/>
                    </w:rPr>
                  </w:pPr>
                </w:p>
              </w:tc>
              <w:tc>
                <w:tcPr>
                  <w:tcW w:w="842" w:type="pct"/>
                  <w:shd w:val="clear" w:color="auto" w:fill="auto"/>
                  <w:vAlign w:val="center"/>
                </w:tcPr>
                <w:p>
                  <w:pPr>
                    <w:jc w:val="center"/>
                    <w:rPr>
                      <w:szCs w:val="21"/>
                    </w:rPr>
                  </w:pPr>
                  <w:r>
                    <w:rPr>
                      <w:rFonts w:hint="eastAsia"/>
                      <w:szCs w:val="21"/>
                    </w:rPr>
                    <w:t>氮氧化物</w:t>
                  </w:r>
                </w:p>
              </w:tc>
              <w:tc>
                <w:tcPr>
                  <w:tcW w:w="753" w:type="pct"/>
                  <w:shd w:val="clear" w:color="auto" w:fill="auto"/>
                  <w:vAlign w:val="center"/>
                </w:tcPr>
                <w:p>
                  <w:pPr>
                    <w:jc w:val="center"/>
                    <w:rPr>
                      <w:szCs w:val="21"/>
                    </w:rPr>
                  </w:pPr>
                  <w:r>
                    <w:rPr>
                      <w:rFonts w:hint="eastAsia"/>
                      <w:szCs w:val="21"/>
                    </w:rPr>
                    <w:t>381.4060</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rFonts w:hint="eastAsia"/>
                      <w:szCs w:val="21"/>
                    </w:rPr>
                    <w:t>381.4060</w:t>
                  </w:r>
                </w:p>
              </w:tc>
              <w:tc>
                <w:tcPr>
                  <w:tcW w:w="753" w:type="pct"/>
                  <w:shd w:val="clear" w:color="auto" w:fill="auto"/>
                  <w:vAlign w:val="center"/>
                </w:tcPr>
                <w:p>
                  <w:pPr>
                    <w:jc w:val="center"/>
                    <w:rPr>
                      <w:rFonts w:cs="Times New Roman"/>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shd w:val="clear" w:color="auto" w:fill="auto"/>
                  <w:vAlign w:val="center"/>
                </w:tcPr>
                <w:p>
                  <w:pPr>
                    <w:jc w:val="center"/>
                    <w:rPr>
                      <w:szCs w:val="21"/>
                    </w:rPr>
                  </w:pPr>
                </w:p>
              </w:tc>
              <w:tc>
                <w:tcPr>
                  <w:tcW w:w="842" w:type="pct"/>
                  <w:shd w:val="clear" w:color="auto" w:fill="auto"/>
                  <w:vAlign w:val="center"/>
                </w:tcPr>
                <w:p>
                  <w:pPr>
                    <w:jc w:val="center"/>
                    <w:rPr>
                      <w:szCs w:val="21"/>
                    </w:rPr>
                  </w:pPr>
                  <w:r>
                    <w:rPr>
                      <w:rFonts w:hint="eastAsia"/>
                      <w:szCs w:val="21"/>
                    </w:rPr>
                    <w:t>氟化物</w:t>
                  </w:r>
                </w:p>
              </w:tc>
              <w:tc>
                <w:tcPr>
                  <w:tcW w:w="753" w:type="pct"/>
                  <w:shd w:val="clear" w:color="auto" w:fill="auto"/>
                  <w:vAlign w:val="center"/>
                </w:tcPr>
                <w:p>
                  <w:pPr>
                    <w:jc w:val="center"/>
                    <w:rPr>
                      <w:szCs w:val="21"/>
                    </w:rPr>
                  </w:pPr>
                  <w:r>
                    <w:rPr>
                      <w:rFonts w:hint="eastAsia"/>
                      <w:szCs w:val="21"/>
                    </w:rPr>
                    <w:t>2.2790</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rFonts w:hint="eastAsia"/>
                      <w:szCs w:val="21"/>
                    </w:rPr>
                    <w:t>2.2790</w:t>
                  </w:r>
                </w:p>
              </w:tc>
              <w:tc>
                <w:tcPr>
                  <w:tcW w:w="753" w:type="pct"/>
                  <w:shd w:val="clear" w:color="auto" w:fill="auto"/>
                  <w:vAlign w:val="center"/>
                </w:tcPr>
                <w:p>
                  <w:pPr>
                    <w:jc w:val="center"/>
                    <w:rPr>
                      <w:rFonts w:cs="Times New Roman"/>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shd w:val="clear" w:color="auto" w:fill="auto"/>
                  <w:vAlign w:val="center"/>
                </w:tcPr>
                <w:p>
                  <w:pPr>
                    <w:jc w:val="center"/>
                    <w:rPr>
                      <w:szCs w:val="21"/>
                    </w:rPr>
                  </w:pPr>
                </w:p>
              </w:tc>
              <w:tc>
                <w:tcPr>
                  <w:tcW w:w="842" w:type="pct"/>
                  <w:shd w:val="clear" w:color="auto" w:fill="auto"/>
                  <w:vAlign w:val="center"/>
                </w:tcPr>
                <w:p>
                  <w:pPr>
                    <w:jc w:val="center"/>
                    <w:rPr>
                      <w:szCs w:val="21"/>
                    </w:rPr>
                  </w:pPr>
                  <w:r>
                    <w:rPr>
                      <w:rFonts w:hint="eastAsia"/>
                      <w:szCs w:val="21"/>
                    </w:rPr>
                    <w:t>汞及其化合物</w:t>
                  </w:r>
                </w:p>
              </w:tc>
              <w:tc>
                <w:tcPr>
                  <w:tcW w:w="753" w:type="pct"/>
                  <w:shd w:val="clear" w:color="auto" w:fill="auto"/>
                  <w:vAlign w:val="center"/>
                </w:tcPr>
                <w:p>
                  <w:pPr>
                    <w:jc w:val="center"/>
                    <w:rPr>
                      <w:szCs w:val="21"/>
                    </w:rPr>
                  </w:pPr>
                  <w:r>
                    <w:rPr>
                      <w:rFonts w:hint="eastAsia"/>
                      <w:szCs w:val="21"/>
                    </w:rPr>
                    <w:t>0.4539</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rFonts w:hint="eastAsia"/>
                      <w:szCs w:val="21"/>
                    </w:rPr>
                    <w:t>0.4539</w:t>
                  </w:r>
                </w:p>
              </w:tc>
              <w:tc>
                <w:tcPr>
                  <w:tcW w:w="753" w:type="pct"/>
                  <w:shd w:val="clear" w:color="auto" w:fill="auto"/>
                  <w:vAlign w:val="center"/>
                </w:tcPr>
                <w:p>
                  <w:pPr>
                    <w:jc w:val="center"/>
                    <w:rPr>
                      <w:rFonts w:cs="Times New Roman"/>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shd w:val="clear" w:color="auto" w:fill="auto"/>
                  <w:vAlign w:val="center"/>
                </w:tcPr>
                <w:p>
                  <w:pPr>
                    <w:jc w:val="center"/>
                    <w:rPr>
                      <w:szCs w:val="21"/>
                    </w:rPr>
                  </w:pPr>
                </w:p>
              </w:tc>
              <w:tc>
                <w:tcPr>
                  <w:tcW w:w="842" w:type="pct"/>
                  <w:shd w:val="clear" w:color="auto" w:fill="auto"/>
                  <w:vAlign w:val="center"/>
                </w:tcPr>
                <w:p>
                  <w:pPr>
                    <w:jc w:val="center"/>
                    <w:rPr>
                      <w:szCs w:val="21"/>
                    </w:rPr>
                  </w:pPr>
                  <w:r>
                    <w:rPr>
                      <w:rFonts w:hint="eastAsia"/>
                      <w:szCs w:val="21"/>
                    </w:rPr>
                    <w:t>氨</w:t>
                  </w:r>
                </w:p>
              </w:tc>
              <w:tc>
                <w:tcPr>
                  <w:tcW w:w="753" w:type="pct"/>
                  <w:shd w:val="clear" w:color="auto" w:fill="auto"/>
                  <w:vAlign w:val="center"/>
                </w:tcPr>
                <w:p>
                  <w:pPr>
                    <w:jc w:val="center"/>
                    <w:rPr>
                      <w:szCs w:val="21"/>
                    </w:rPr>
                  </w:pPr>
                  <w:r>
                    <w:rPr>
                      <w:rFonts w:hint="eastAsia"/>
                      <w:szCs w:val="21"/>
                    </w:rPr>
                    <w:t>35.7673</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rFonts w:hint="eastAsia"/>
                      <w:szCs w:val="21"/>
                    </w:rPr>
                    <w:t>0</w:t>
                  </w:r>
                </w:p>
              </w:tc>
              <w:tc>
                <w:tcPr>
                  <w:tcW w:w="755" w:type="pct"/>
                  <w:shd w:val="clear" w:color="auto" w:fill="auto"/>
                  <w:vAlign w:val="center"/>
                </w:tcPr>
                <w:p>
                  <w:pPr>
                    <w:jc w:val="center"/>
                    <w:rPr>
                      <w:szCs w:val="21"/>
                    </w:rPr>
                  </w:pPr>
                  <w:r>
                    <w:rPr>
                      <w:rFonts w:hint="eastAsia"/>
                      <w:szCs w:val="21"/>
                    </w:rPr>
                    <w:t>35.7673</w:t>
                  </w:r>
                </w:p>
              </w:tc>
              <w:tc>
                <w:tcPr>
                  <w:tcW w:w="753" w:type="pct"/>
                  <w:shd w:val="clear" w:color="auto" w:fill="auto"/>
                  <w:vAlign w:val="center"/>
                </w:tcPr>
                <w:p>
                  <w:pPr>
                    <w:jc w:val="center"/>
                    <w:rPr>
                      <w:rFonts w:cs="Times New Roman"/>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restart"/>
                  <w:shd w:val="clear" w:color="auto" w:fill="auto"/>
                  <w:vAlign w:val="center"/>
                </w:tcPr>
                <w:p>
                  <w:pPr>
                    <w:jc w:val="center"/>
                    <w:rPr>
                      <w:szCs w:val="21"/>
                    </w:rPr>
                  </w:pPr>
                  <w:r>
                    <w:rPr>
                      <w:rFonts w:hint="eastAsia"/>
                      <w:szCs w:val="21"/>
                    </w:rPr>
                    <w:t>废水</w:t>
                  </w:r>
                </w:p>
              </w:tc>
              <w:tc>
                <w:tcPr>
                  <w:tcW w:w="842" w:type="pct"/>
                  <w:shd w:val="clear" w:color="auto" w:fill="auto"/>
                  <w:vAlign w:val="center"/>
                </w:tcPr>
                <w:p>
                  <w:pPr>
                    <w:jc w:val="center"/>
                    <w:rPr>
                      <w:szCs w:val="21"/>
                    </w:rPr>
                  </w:pPr>
                  <w:r>
                    <w:rPr>
                      <w:rFonts w:hint="eastAsia"/>
                      <w:szCs w:val="21"/>
                    </w:rPr>
                    <w:t>废水量</w:t>
                  </w:r>
                </w:p>
              </w:tc>
              <w:tc>
                <w:tcPr>
                  <w:tcW w:w="753"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3" w:type="pct"/>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shd w:val="clear" w:color="auto" w:fill="auto"/>
                  <w:vAlign w:val="center"/>
                </w:tcPr>
                <w:p>
                  <w:pPr>
                    <w:jc w:val="center"/>
                    <w:rPr>
                      <w:szCs w:val="21"/>
                    </w:rPr>
                  </w:pPr>
                </w:p>
              </w:tc>
              <w:tc>
                <w:tcPr>
                  <w:tcW w:w="842" w:type="pct"/>
                  <w:shd w:val="clear" w:color="auto" w:fill="auto"/>
                  <w:vAlign w:val="center"/>
                </w:tcPr>
                <w:p>
                  <w:pPr>
                    <w:jc w:val="center"/>
                    <w:rPr>
                      <w:szCs w:val="21"/>
                    </w:rPr>
                  </w:pPr>
                  <w:r>
                    <w:rPr>
                      <w:rFonts w:hint="eastAsia"/>
                      <w:szCs w:val="21"/>
                    </w:rPr>
                    <w:t>COD</w:t>
                  </w:r>
                </w:p>
              </w:tc>
              <w:tc>
                <w:tcPr>
                  <w:tcW w:w="753"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3" w:type="pct"/>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7" w:type="pct"/>
                  <w:vMerge w:val="continue"/>
                  <w:shd w:val="clear" w:color="auto" w:fill="auto"/>
                  <w:vAlign w:val="center"/>
                </w:tcPr>
                <w:p>
                  <w:pPr>
                    <w:jc w:val="center"/>
                    <w:rPr>
                      <w:szCs w:val="21"/>
                    </w:rPr>
                  </w:pPr>
                </w:p>
              </w:tc>
              <w:tc>
                <w:tcPr>
                  <w:tcW w:w="842" w:type="pct"/>
                  <w:shd w:val="clear" w:color="auto" w:fill="auto"/>
                  <w:vAlign w:val="center"/>
                </w:tcPr>
                <w:p>
                  <w:pPr>
                    <w:jc w:val="center"/>
                    <w:rPr>
                      <w:szCs w:val="21"/>
                    </w:rPr>
                  </w:pPr>
                  <w:r>
                    <w:rPr>
                      <w:rFonts w:hint="eastAsia"/>
                      <w:szCs w:val="21"/>
                    </w:rPr>
                    <w:t>NH</w:t>
                  </w:r>
                  <w:r>
                    <w:rPr>
                      <w:szCs w:val="21"/>
                      <w:vertAlign w:val="subscript"/>
                    </w:rPr>
                    <w:t>3</w:t>
                  </w:r>
                  <w:r>
                    <w:rPr>
                      <w:rFonts w:hint="eastAsia"/>
                      <w:szCs w:val="21"/>
                    </w:rPr>
                    <w:t>-N</w:t>
                  </w:r>
                </w:p>
              </w:tc>
              <w:tc>
                <w:tcPr>
                  <w:tcW w:w="753"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3" w:type="pct"/>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7" w:type="pct"/>
                  <w:vMerge w:val="restart"/>
                  <w:shd w:val="clear" w:color="auto" w:fill="auto"/>
                  <w:vAlign w:val="center"/>
                </w:tcPr>
                <w:p>
                  <w:pPr>
                    <w:jc w:val="center"/>
                    <w:rPr>
                      <w:szCs w:val="21"/>
                    </w:rPr>
                  </w:pPr>
                  <w:r>
                    <w:rPr>
                      <w:szCs w:val="21"/>
                    </w:rPr>
                    <w:t>固体废物</w:t>
                  </w:r>
                </w:p>
              </w:tc>
              <w:tc>
                <w:tcPr>
                  <w:tcW w:w="842" w:type="pct"/>
                  <w:shd w:val="clear" w:color="auto" w:fill="auto"/>
                  <w:vAlign w:val="center"/>
                </w:tcPr>
                <w:p>
                  <w:pPr>
                    <w:jc w:val="center"/>
                    <w:rPr>
                      <w:szCs w:val="21"/>
                    </w:rPr>
                  </w:pPr>
                  <w:r>
                    <w:rPr>
                      <w:rFonts w:hint="eastAsia"/>
                      <w:szCs w:val="21"/>
                    </w:rPr>
                    <w:t>一般固体废物</w:t>
                  </w:r>
                </w:p>
              </w:tc>
              <w:tc>
                <w:tcPr>
                  <w:tcW w:w="753"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3" w:type="pct"/>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7" w:type="pct"/>
                  <w:vMerge w:val="continue"/>
                  <w:shd w:val="clear" w:color="auto" w:fill="auto"/>
                  <w:vAlign w:val="center"/>
                </w:tcPr>
                <w:p>
                  <w:pPr>
                    <w:jc w:val="center"/>
                    <w:rPr>
                      <w:szCs w:val="21"/>
                    </w:rPr>
                  </w:pPr>
                </w:p>
              </w:tc>
              <w:tc>
                <w:tcPr>
                  <w:tcW w:w="842" w:type="pct"/>
                  <w:shd w:val="clear" w:color="auto" w:fill="auto"/>
                  <w:vAlign w:val="center"/>
                </w:tcPr>
                <w:p>
                  <w:pPr>
                    <w:jc w:val="center"/>
                    <w:rPr>
                      <w:szCs w:val="21"/>
                    </w:rPr>
                  </w:pPr>
                  <w:r>
                    <w:rPr>
                      <w:rFonts w:hint="eastAsia"/>
                      <w:szCs w:val="21"/>
                    </w:rPr>
                    <w:t>危险废物</w:t>
                  </w:r>
                </w:p>
              </w:tc>
              <w:tc>
                <w:tcPr>
                  <w:tcW w:w="753"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5" w:type="pct"/>
                  <w:shd w:val="clear" w:color="auto" w:fill="auto"/>
                  <w:vAlign w:val="center"/>
                </w:tcPr>
                <w:p>
                  <w:pPr>
                    <w:jc w:val="center"/>
                    <w:rPr>
                      <w:szCs w:val="21"/>
                    </w:rPr>
                  </w:pPr>
                  <w:r>
                    <w:rPr>
                      <w:szCs w:val="21"/>
                    </w:rPr>
                    <w:t>0</w:t>
                  </w:r>
                </w:p>
              </w:tc>
              <w:tc>
                <w:tcPr>
                  <w:tcW w:w="753" w:type="pct"/>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000" w:type="pct"/>
                  <w:gridSpan w:val="7"/>
                  <w:shd w:val="clear" w:color="auto" w:fill="auto"/>
                  <w:vAlign w:val="center"/>
                </w:tcPr>
                <w:p>
                  <w:pPr>
                    <w:rPr>
                      <w:szCs w:val="21"/>
                    </w:rPr>
                  </w:pPr>
                  <w:r>
                    <w:rPr>
                      <w:rFonts w:hint="eastAsia"/>
                      <w:szCs w:val="21"/>
                    </w:rPr>
                    <w:t>注：项目废水全部回用，固体废物实现综合利用，排放量为0</w:t>
                  </w:r>
                  <w:r>
                    <w:rPr>
                      <w:szCs w:val="21"/>
                    </w:rPr>
                    <w:t>。</w:t>
                  </w:r>
                </w:p>
              </w:tc>
            </w:tr>
          </w:tbl>
          <w:p>
            <w:pPr>
              <w:spacing w:line="360" w:lineRule="auto"/>
              <w:ind w:firstLine="480"/>
              <w:rPr>
                <w:sz w:val="24"/>
                <w:szCs w:val="24"/>
              </w:rPr>
            </w:pPr>
            <w:r>
              <w:rPr>
                <w:rFonts w:hint="eastAsia"/>
                <w:sz w:val="24"/>
                <w:szCs w:val="24"/>
              </w:rPr>
              <w:t>项目改建后虽颗粒物排放量有所增加，但通过采取废气收集处置措施后，各污染物可实现达标排放，对环境的影响是可接受的。</w:t>
            </w:r>
          </w:p>
          <w:p>
            <w:pPr>
              <w:spacing w:line="360" w:lineRule="auto"/>
              <w:ind w:firstLine="482" w:firstLineChars="200"/>
              <w:rPr>
                <w:b/>
                <w:sz w:val="24"/>
                <w:szCs w:val="24"/>
              </w:rPr>
            </w:pPr>
            <w:r>
              <w:rPr>
                <w:b/>
                <w:sz w:val="24"/>
                <w:szCs w:val="24"/>
              </w:rPr>
              <w:t>8</w:t>
            </w:r>
            <w:r>
              <w:rPr>
                <w:rFonts w:hint="eastAsia"/>
                <w:b/>
                <w:sz w:val="24"/>
                <w:szCs w:val="24"/>
              </w:rPr>
              <w:t>、排污口规范化设置</w:t>
            </w:r>
          </w:p>
          <w:p>
            <w:pPr>
              <w:spacing w:line="360" w:lineRule="auto"/>
              <w:ind w:firstLine="480"/>
              <w:rPr>
                <w:sz w:val="24"/>
                <w:szCs w:val="24"/>
              </w:rPr>
            </w:pPr>
            <w:r>
              <w:rPr>
                <w:rFonts w:hint="eastAsia"/>
                <w:sz w:val="24"/>
                <w:szCs w:val="24"/>
              </w:rPr>
              <w:t>根据《环境保护图形标志—排放口（源）》（GB15562.1-1995）、《环境保护图形标志—固体废物贮存（处置）场》（GB15562.2-1995）及其修改单和《关于印发排放口标志牌技术规格的通知》（环发〔2003〕95号）的要求，企业所有排放口（包括气、声、固体废物），必须按照“便于计量监测、便于日常现场监督检查”的原则和规范化要求，设置与之相适应的环境保护图形标志牌，绘制企业排污口分布图，对治理设施安装运行监控装置。</w:t>
            </w:r>
          </w:p>
          <w:p>
            <w:pPr>
              <w:spacing w:line="360" w:lineRule="auto"/>
              <w:ind w:firstLine="480"/>
              <w:rPr>
                <w:sz w:val="24"/>
                <w:szCs w:val="24"/>
              </w:rPr>
            </w:pPr>
            <w:r>
              <w:rPr>
                <w:rFonts w:hint="eastAsia"/>
                <w:sz w:val="24"/>
                <w:szCs w:val="24"/>
              </w:rPr>
              <w:t>排放一般污染物排污口（源），设置提示性标志牌，排放有毒有害等污染物的排污口设置警告性标志牌。标志牌设置位置在排污口附近且醒目处，高度为标志牌上缘离地面2m；排污口附近1m范围内有建筑物的，设平面式标志牌，无建筑物的设立式标志牌。</w:t>
            </w:r>
          </w:p>
          <w:p>
            <w:pPr>
              <w:spacing w:line="360" w:lineRule="auto"/>
              <w:ind w:firstLine="480"/>
              <w:rPr>
                <w:sz w:val="24"/>
                <w:szCs w:val="24"/>
              </w:rPr>
            </w:pPr>
            <w:r>
              <w:rPr>
                <w:rFonts w:hint="eastAsia"/>
                <w:sz w:val="24"/>
                <w:szCs w:val="24"/>
              </w:rPr>
              <w:t>规范化排污口的有关设置（如图形标志牌、监控装置等）属环保设施，排污单位必须负责日常的维护保养，任何单位和个人不得擅自拆除，如需变更的须报环境监管部门同意并办理变更手续。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pPr>
              <w:spacing w:line="360" w:lineRule="auto"/>
              <w:jc w:val="center"/>
              <w:rPr>
                <w:rFonts w:cs="Times New Roman"/>
                <w:sz w:val="24"/>
                <w:szCs w:val="24"/>
              </w:rPr>
            </w:pPr>
            <w:r>
              <w:rPr>
                <w:rFonts w:hint="eastAsia" w:cs="Times New Roman"/>
                <w:sz w:val="24"/>
                <w:szCs w:val="24"/>
              </w:rPr>
              <w:t>环保投资</w:t>
            </w:r>
          </w:p>
        </w:tc>
        <w:tc>
          <w:tcPr>
            <w:tcW w:w="4756" w:type="pct"/>
            <w:vAlign w:val="center"/>
          </w:tcPr>
          <w:p>
            <w:pPr>
              <w:spacing w:line="360" w:lineRule="auto"/>
              <w:ind w:firstLine="480" w:firstLineChars="200"/>
              <w:rPr>
                <w:sz w:val="24"/>
                <w:szCs w:val="24"/>
              </w:rPr>
            </w:pPr>
            <w:r>
              <w:rPr>
                <w:rFonts w:hint="eastAsia"/>
                <w:sz w:val="24"/>
                <w:szCs w:val="24"/>
              </w:rPr>
              <w:t>本项目总投资</w:t>
            </w:r>
            <w:r>
              <w:rPr>
                <w:sz w:val="24"/>
                <w:szCs w:val="24"/>
              </w:rPr>
              <w:t>1800万元</w:t>
            </w:r>
            <w:r>
              <w:rPr>
                <w:rFonts w:hint="eastAsia"/>
                <w:sz w:val="24"/>
                <w:szCs w:val="24"/>
              </w:rPr>
              <w:t>，环保投资约125万元，占总投资的</w:t>
            </w:r>
            <w:r>
              <w:rPr>
                <w:rFonts w:hint="eastAsia" w:cs="Times New Roman"/>
                <w:sz w:val="24"/>
                <w:szCs w:val="24"/>
              </w:rPr>
              <w:t>6</w:t>
            </w:r>
            <w:r>
              <w:rPr>
                <w:rFonts w:cs="Times New Roman"/>
                <w:sz w:val="24"/>
                <w:szCs w:val="24"/>
              </w:rPr>
              <w:t>.</w:t>
            </w:r>
            <w:r>
              <w:rPr>
                <w:rFonts w:hint="eastAsia" w:cs="Times New Roman"/>
                <w:sz w:val="24"/>
                <w:szCs w:val="24"/>
              </w:rPr>
              <w:t>9</w:t>
            </w:r>
            <w:r>
              <w:rPr>
                <w:rFonts w:cs="Times New Roman"/>
                <w:sz w:val="24"/>
                <w:szCs w:val="24"/>
              </w:rPr>
              <w:t>4%</w:t>
            </w:r>
            <w:r>
              <w:rPr>
                <w:rFonts w:hint="eastAsia"/>
                <w:sz w:val="24"/>
                <w:szCs w:val="24"/>
              </w:rPr>
              <w:t>，主要环保措施及投资估算见下表。</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jc w:val="center"/>
              <w:rPr>
                <w:rFonts w:eastAsia="黑体" w:cstheme="minorHAnsi"/>
                <w:szCs w:val="21"/>
              </w:rPr>
            </w:pPr>
            <w:r>
              <w:rPr>
                <w:rFonts w:eastAsia="黑体" w:cstheme="minorHAnsi"/>
                <w:szCs w:val="21"/>
              </w:rPr>
              <w:t>表4</w:t>
            </w:r>
            <w:r>
              <w:rPr>
                <w:rFonts w:hint="eastAsia" w:eastAsia="黑体" w:cstheme="minorHAnsi"/>
                <w:szCs w:val="21"/>
              </w:rPr>
              <w:t>-</w:t>
            </w:r>
            <w:r>
              <w:rPr>
                <w:rFonts w:eastAsia="黑体" w:cstheme="minorHAnsi"/>
                <w:szCs w:val="21"/>
              </w:rPr>
              <w:t>2</w:t>
            </w:r>
            <w:r>
              <w:rPr>
                <w:rFonts w:hint="eastAsia" w:eastAsia="黑体" w:cstheme="minorHAnsi"/>
                <w:szCs w:val="21"/>
              </w:rPr>
              <w:t>9</w:t>
            </w:r>
            <w:r>
              <w:rPr>
                <w:rFonts w:eastAsia="黑体" w:cstheme="minorHAnsi"/>
                <w:szCs w:val="21"/>
              </w:rPr>
              <w:t xml:space="preserve">  环保投资</w:t>
            </w:r>
            <w:r>
              <w:rPr>
                <w:rFonts w:hint="eastAsia" w:eastAsia="黑体" w:cstheme="minorHAnsi"/>
                <w:szCs w:val="21"/>
              </w:rPr>
              <w:t>估算</w:t>
            </w:r>
            <w:r>
              <w:rPr>
                <w:rFonts w:eastAsia="黑体" w:cstheme="minorHAnsi"/>
                <w:szCs w:val="21"/>
              </w:rPr>
              <w:t>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979"/>
              <w:gridCol w:w="5007"/>
              <w:gridCol w:w="1645"/>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blHeader/>
              </w:trPr>
              <w:tc>
                <w:tcPr>
                  <w:tcW w:w="404" w:type="pct"/>
                  <w:vAlign w:val="center"/>
                </w:tcPr>
                <w:p>
                  <w:pPr>
                    <w:pStyle w:val="30"/>
                    <w:rPr>
                      <w:rFonts w:eastAsia="宋体"/>
                    </w:rPr>
                  </w:pPr>
                  <w:r>
                    <w:rPr>
                      <w:rFonts w:hint="eastAsia" w:eastAsia="宋体"/>
                    </w:rPr>
                    <w:t>时期</w:t>
                  </w:r>
                </w:p>
              </w:tc>
              <w:tc>
                <w:tcPr>
                  <w:tcW w:w="535" w:type="pct"/>
                  <w:shd w:val="clear" w:color="auto" w:fill="auto"/>
                  <w:vAlign w:val="center"/>
                </w:tcPr>
                <w:p>
                  <w:pPr>
                    <w:pStyle w:val="30"/>
                  </w:pPr>
                  <w:r>
                    <w:rPr>
                      <w:rFonts w:eastAsia="宋体"/>
                    </w:rPr>
                    <w:t>类别</w:t>
                  </w:r>
                </w:p>
              </w:tc>
              <w:tc>
                <w:tcPr>
                  <w:tcW w:w="2737" w:type="pct"/>
                  <w:shd w:val="clear" w:color="auto" w:fill="auto"/>
                  <w:vAlign w:val="center"/>
                </w:tcPr>
                <w:p>
                  <w:pPr>
                    <w:pStyle w:val="30"/>
                  </w:pPr>
                  <w:r>
                    <w:rPr>
                      <w:rFonts w:eastAsia="宋体"/>
                    </w:rPr>
                    <w:t>措施内容</w:t>
                  </w:r>
                </w:p>
              </w:tc>
              <w:tc>
                <w:tcPr>
                  <w:tcW w:w="899" w:type="pct"/>
                  <w:shd w:val="clear" w:color="auto" w:fill="auto"/>
                  <w:vAlign w:val="center"/>
                </w:tcPr>
                <w:p>
                  <w:pPr>
                    <w:pStyle w:val="30"/>
                  </w:pPr>
                  <w:r>
                    <w:rPr>
                      <w:rFonts w:eastAsia="宋体"/>
                    </w:rPr>
                    <w:t>投资（万元）</w:t>
                  </w:r>
                </w:p>
              </w:tc>
              <w:tc>
                <w:tcPr>
                  <w:tcW w:w="425" w:type="pct"/>
                  <w:vAlign w:val="center"/>
                </w:tcPr>
                <w:p>
                  <w:pPr>
                    <w:pStyle w:val="30"/>
                    <w:rPr>
                      <w:rFonts w:eastAsia="宋体"/>
                    </w:rPr>
                  </w:pPr>
                  <w:r>
                    <w:rPr>
                      <w:rFonts w:eastAsia="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restart"/>
                  <w:vAlign w:val="center"/>
                </w:tcPr>
                <w:p>
                  <w:pPr>
                    <w:pStyle w:val="30"/>
                    <w:rPr>
                      <w:rFonts w:eastAsia="宋体"/>
                    </w:rPr>
                  </w:pPr>
                  <w:r>
                    <w:rPr>
                      <w:rFonts w:hint="eastAsia" w:eastAsia="宋体"/>
                    </w:rPr>
                    <w:t>施</w:t>
                  </w:r>
                </w:p>
                <w:p>
                  <w:pPr>
                    <w:pStyle w:val="30"/>
                    <w:rPr>
                      <w:rFonts w:eastAsia="宋体"/>
                    </w:rPr>
                  </w:pPr>
                  <w:r>
                    <w:rPr>
                      <w:rFonts w:hint="eastAsia" w:eastAsia="宋体"/>
                    </w:rPr>
                    <w:t>工</w:t>
                  </w:r>
                </w:p>
                <w:p>
                  <w:pPr>
                    <w:pStyle w:val="30"/>
                    <w:rPr>
                      <w:rFonts w:eastAsia="宋体"/>
                    </w:rPr>
                  </w:pPr>
                  <w:r>
                    <w:rPr>
                      <w:rFonts w:hint="eastAsia" w:eastAsia="宋体"/>
                    </w:rPr>
                    <w:t>期</w:t>
                  </w:r>
                </w:p>
              </w:tc>
              <w:tc>
                <w:tcPr>
                  <w:tcW w:w="535" w:type="pct"/>
                  <w:vMerge w:val="restart"/>
                  <w:shd w:val="clear" w:color="auto" w:fill="auto"/>
                  <w:vAlign w:val="center"/>
                </w:tcPr>
                <w:p>
                  <w:pPr>
                    <w:jc w:val="center"/>
                    <w:rPr>
                      <w:szCs w:val="21"/>
                    </w:rPr>
                  </w:pPr>
                  <w:r>
                    <w:rPr>
                      <w:rFonts w:hint="eastAsia"/>
                      <w:szCs w:val="21"/>
                    </w:rPr>
                    <w:t>废气</w:t>
                  </w:r>
                </w:p>
                <w:p>
                  <w:pPr>
                    <w:jc w:val="center"/>
                    <w:rPr>
                      <w:szCs w:val="21"/>
                    </w:rPr>
                  </w:pPr>
                  <w:r>
                    <w:rPr>
                      <w:rFonts w:hint="eastAsia"/>
                      <w:szCs w:val="21"/>
                    </w:rPr>
                    <w:t>治理</w:t>
                  </w:r>
                </w:p>
              </w:tc>
              <w:tc>
                <w:tcPr>
                  <w:tcW w:w="2737" w:type="pct"/>
                  <w:shd w:val="clear" w:color="auto" w:fill="auto"/>
                  <w:vAlign w:val="center"/>
                </w:tcPr>
                <w:p>
                  <w:pPr>
                    <w:pStyle w:val="30"/>
                    <w:rPr>
                      <w:rFonts w:eastAsia="宋体"/>
                    </w:rPr>
                  </w:pPr>
                  <w:r>
                    <w:rPr>
                      <w:rFonts w:hint="eastAsia" w:eastAsia="宋体"/>
                    </w:rPr>
                    <w:t>施工现场设不低于2.5m高封闭围挡、设置雾状喷淋，主要道路硬化、设挡水带、排水沟等，采取覆盖措施，车辆密闭运输等</w:t>
                  </w:r>
                </w:p>
              </w:tc>
              <w:tc>
                <w:tcPr>
                  <w:tcW w:w="899" w:type="pct"/>
                  <w:shd w:val="clear" w:color="auto" w:fill="auto"/>
                  <w:vAlign w:val="center"/>
                </w:tcPr>
                <w:p>
                  <w:pPr>
                    <w:pStyle w:val="30"/>
                    <w:rPr>
                      <w:rFonts w:eastAsiaTheme="minorEastAsia"/>
                    </w:rPr>
                  </w:pPr>
                  <w:r>
                    <w:rPr>
                      <w:rFonts w:hint="eastAsia" w:eastAsiaTheme="minorEastAsia"/>
                    </w:rPr>
                    <w:t>8</w:t>
                  </w:r>
                </w:p>
              </w:tc>
              <w:tc>
                <w:tcPr>
                  <w:tcW w:w="425" w:type="pct"/>
                  <w:vAlign w:val="center"/>
                </w:tcPr>
                <w:p>
                  <w:pPr>
                    <w:pStyle w:val="30"/>
                    <w:rPr>
                      <w:rFonts w:eastAsiaTheme="minorEastAsia"/>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04" w:type="pct"/>
                  <w:vMerge w:val="continue"/>
                  <w:vAlign w:val="center"/>
                </w:tcPr>
                <w:p>
                  <w:pPr>
                    <w:pStyle w:val="30"/>
                    <w:rPr>
                      <w:rFonts w:eastAsia="宋体"/>
                    </w:rPr>
                  </w:pPr>
                </w:p>
              </w:tc>
              <w:tc>
                <w:tcPr>
                  <w:tcW w:w="535" w:type="pct"/>
                  <w:vMerge w:val="continue"/>
                  <w:shd w:val="clear" w:color="auto" w:fill="auto"/>
                  <w:vAlign w:val="center"/>
                </w:tcPr>
                <w:p>
                  <w:pPr>
                    <w:jc w:val="center"/>
                    <w:rPr>
                      <w:szCs w:val="21"/>
                    </w:rPr>
                  </w:pPr>
                </w:p>
              </w:tc>
              <w:tc>
                <w:tcPr>
                  <w:tcW w:w="2737" w:type="pct"/>
                  <w:shd w:val="clear" w:color="auto" w:fill="auto"/>
                  <w:vAlign w:val="center"/>
                </w:tcPr>
                <w:p>
                  <w:pPr>
                    <w:pStyle w:val="30"/>
                    <w:rPr>
                      <w:rFonts w:eastAsia="宋体"/>
                    </w:rPr>
                  </w:pPr>
                  <w:r>
                    <w:rPr>
                      <w:rFonts w:hint="eastAsia" w:eastAsia="宋体"/>
                    </w:rPr>
                    <w:t>禁止使用高排放非道路移动机械，制定施工现场非道路移动机械管理制度，加强施工设备维护，采用低污染的燃料；采用优质环保的装修材料</w:t>
                  </w:r>
                </w:p>
              </w:tc>
              <w:tc>
                <w:tcPr>
                  <w:tcW w:w="899" w:type="pct"/>
                  <w:shd w:val="clear" w:color="auto" w:fill="auto"/>
                  <w:vAlign w:val="center"/>
                </w:tcPr>
                <w:p>
                  <w:pPr>
                    <w:pStyle w:val="30"/>
                    <w:rPr>
                      <w:rFonts w:eastAsiaTheme="minorEastAsia"/>
                    </w:rPr>
                  </w:pPr>
                  <w:r>
                    <w:rPr>
                      <w:rFonts w:hint="eastAsia" w:eastAsiaTheme="minorEastAsia"/>
                    </w:rPr>
                    <w:t>2</w:t>
                  </w:r>
                </w:p>
              </w:tc>
              <w:tc>
                <w:tcPr>
                  <w:tcW w:w="425" w:type="pct"/>
                  <w:vAlign w:val="center"/>
                </w:tcPr>
                <w:p>
                  <w:pPr>
                    <w:pStyle w:val="30"/>
                    <w:rPr>
                      <w:rFonts w:eastAsiaTheme="minorEastAsia"/>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04" w:type="pct"/>
                  <w:vMerge w:val="continue"/>
                  <w:vAlign w:val="center"/>
                </w:tcPr>
                <w:p>
                  <w:pPr>
                    <w:pStyle w:val="30"/>
                    <w:rPr>
                      <w:rFonts w:eastAsia="宋体"/>
                    </w:rPr>
                  </w:pPr>
                </w:p>
              </w:tc>
              <w:tc>
                <w:tcPr>
                  <w:tcW w:w="535" w:type="pct"/>
                  <w:vMerge w:val="restart"/>
                  <w:shd w:val="clear" w:color="auto" w:fill="auto"/>
                  <w:vAlign w:val="center"/>
                </w:tcPr>
                <w:p>
                  <w:pPr>
                    <w:jc w:val="center"/>
                    <w:rPr>
                      <w:szCs w:val="21"/>
                    </w:rPr>
                  </w:pPr>
                  <w:r>
                    <w:rPr>
                      <w:rFonts w:hint="eastAsia"/>
                      <w:szCs w:val="21"/>
                    </w:rPr>
                    <w:t>废水</w:t>
                  </w:r>
                </w:p>
                <w:p>
                  <w:pPr>
                    <w:pStyle w:val="30"/>
                    <w:rPr>
                      <w:rFonts w:eastAsia="宋体"/>
                    </w:rPr>
                  </w:pPr>
                  <w:r>
                    <w:rPr>
                      <w:rFonts w:hint="eastAsia" w:eastAsia="宋体"/>
                    </w:rPr>
                    <w:t>治理</w:t>
                  </w:r>
                </w:p>
              </w:tc>
              <w:tc>
                <w:tcPr>
                  <w:tcW w:w="2737" w:type="pct"/>
                  <w:shd w:val="clear" w:color="auto" w:fill="auto"/>
                  <w:vAlign w:val="center"/>
                </w:tcPr>
                <w:p>
                  <w:pPr>
                    <w:pStyle w:val="30"/>
                    <w:rPr>
                      <w:rFonts w:eastAsia="宋体"/>
                    </w:rPr>
                  </w:pPr>
                  <w:r>
                    <w:rPr>
                      <w:rFonts w:hint="eastAsia" w:eastAsia="宋体"/>
                    </w:rPr>
                    <w:t>依托厂区已建的污水处理设施处理后回用</w:t>
                  </w:r>
                </w:p>
              </w:tc>
              <w:tc>
                <w:tcPr>
                  <w:tcW w:w="899" w:type="pct"/>
                  <w:shd w:val="clear" w:color="auto" w:fill="auto"/>
                  <w:vAlign w:val="center"/>
                </w:tcPr>
                <w:p>
                  <w:pPr>
                    <w:pStyle w:val="30"/>
                    <w:rPr>
                      <w:rFonts w:eastAsiaTheme="minorEastAsia"/>
                    </w:rPr>
                  </w:pPr>
                  <w:r>
                    <w:rPr>
                      <w:rFonts w:hint="eastAsia" w:eastAsiaTheme="minorEastAsia"/>
                    </w:rPr>
                    <w:t>/</w:t>
                  </w:r>
                </w:p>
              </w:tc>
              <w:tc>
                <w:tcPr>
                  <w:tcW w:w="425" w:type="pct"/>
                  <w:vAlign w:val="center"/>
                </w:tcPr>
                <w:p>
                  <w:pPr>
                    <w:pStyle w:val="30"/>
                    <w:rPr>
                      <w:rFonts w:eastAsiaTheme="minorEastAsia"/>
                    </w:rPr>
                  </w:pPr>
                  <w:r>
                    <w:rPr>
                      <w:rFonts w:hint="eastAsia" w:eastAsiaTheme="minor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04" w:type="pct"/>
                  <w:vMerge w:val="continue"/>
                  <w:vAlign w:val="center"/>
                </w:tcPr>
                <w:p>
                  <w:pPr>
                    <w:pStyle w:val="30"/>
                    <w:rPr>
                      <w:rFonts w:eastAsia="宋体"/>
                    </w:rPr>
                  </w:pPr>
                </w:p>
              </w:tc>
              <w:tc>
                <w:tcPr>
                  <w:tcW w:w="535" w:type="pct"/>
                  <w:vMerge w:val="continue"/>
                  <w:shd w:val="clear" w:color="auto" w:fill="auto"/>
                  <w:vAlign w:val="center"/>
                </w:tcPr>
                <w:p>
                  <w:pPr>
                    <w:jc w:val="center"/>
                    <w:rPr>
                      <w:szCs w:val="21"/>
                    </w:rPr>
                  </w:pPr>
                </w:p>
              </w:tc>
              <w:tc>
                <w:tcPr>
                  <w:tcW w:w="2737" w:type="pct"/>
                  <w:shd w:val="clear" w:color="auto" w:fill="auto"/>
                  <w:vAlign w:val="center"/>
                </w:tcPr>
                <w:p>
                  <w:pPr>
                    <w:pStyle w:val="30"/>
                    <w:rPr>
                      <w:rFonts w:eastAsia="宋体"/>
                    </w:rPr>
                  </w:pPr>
                  <w:r>
                    <w:rPr>
                      <w:rFonts w:eastAsia="宋体"/>
                    </w:rPr>
                    <w:t>设排水沟（沟宽×深≥300×300mm，排水坡度应大于3%）</w:t>
                  </w:r>
                  <w:r>
                    <w:rPr>
                      <w:rFonts w:hint="eastAsia" w:eastAsia="宋体"/>
                    </w:rPr>
                    <w:t>和</w:t>
                  </w:r>
                  <w:r>
                    <w:rPr>
                      <w:rFonts w:eastAsia="宋体"/>
                    </w:rPr>
                    <w:t>三级沉淀池</w:t>
                  </w:r>
                  <w:r>
                    <w:rPr>
                      <w:rFonts w:hint="eastAsia" w:eastAsia="宋体"/>
                    </w:rPr>
                    <w:t>，依托厂区现有车辆冲洗沉淀池</w:t>
                  </w:r>
                  <w:r>
                    <w:rPr>
                      <w:rFonts w:eastAsia="宋体"/>
                    </w:rPr>
                    <w:t>，施工废水全部回用</w:t>
                  </w:r>
                </w:p>
              </w:tc>
              <w:tc>
                <w:tcPr>
                  <w:tcW w:w="899" w:type="pct"/>
                  <w:shd w:val="clear" w:color="auto" w:fill="auto"/>
                  <w:vAlign w:val="center"/>
                </w:tcPr>
                <w:p>
                  <w:pPr>
                    <w:pStyle w:val="30"/>
                    <w:rPr>
                      <w:rFonts w:eastAsiaTheme="minorEastAsia"/>
                    </w:rPr>
                  </w:pPr>
                  <w:r>
                    <w:rPr>
                      <w:rFonts w:hint="eastAsia" w:eastAsiaTheme="minorEastAsia"/>
                    </w:rPr>
                    <w:t>30</w:t>
                  </w:r>
                </w:p>
              </w:tc>
              <w:tc>
                <w:tcPr>
                  <w:tcW w:w="425" w:type="pct"/>
                  <w:vAlign w:val="center"/>
                </w:tcPr>
                <w:p>
                  <w:pPr>
                    <w:pStyle w:val="30"/>
                    <w:rPr>
                      <w:rFonts w:eastAsiaTheme="minorEastAsia"/>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rPr>
                  </w:pPr>
                </w:p>
              </w:tc>
              <w:tc>
                <w:tcPr>
                  <w:tcW w:w="535" w:type="pct"/>
                  <w:shd w:val="clear" w:color="auto" w:fill="auto"/>
                  <w:vAlign w:val="center"/>
                </w:tcPr>
                <w:p>
                  <w:pPr>
                    <w:pStyle w:val="30"/>
                    <w:rPr>
                      <w:rFonts w:eastAsia="宋体"/>
                    </w:rPr>
                  </w:pPr>
                  <w:r>
                    <w:rPr>
                      <w:rFonts w:hint="eastAsia" w:eastAsia="宋体"/>
                    </w:rPr>
                    <w:t>噪声</w:t>
                  </w:r>
                </w:p>
                <w:p>
                  <w:pPr>
                    <w:pStyle w:val="30"/>
                    <w:rPr>
                      <w:rFonts w:eastAsia="宋体"/>
                    </w:rPr>
                  </w:pPr>
                  <w:r>
                    <w:rPr>
                      <w:rFonts w:hint="eastAsia" w:eastAsia="宋体"/>
                    </w:rPr>
                    <w:t>治理</w:t>
                  </w:r>
                </w:p>
              </w:tc>
              <w:tc>
                <w:tcPr>
                  <w:tcW w:w="2737" w:type="pct"/>
                  <w:shd w:val="clear" w:color="auto" w:fill="auto"/>
                  <w:vAlign w:val="center"/>
                </w:tcPr>
                <w:p>
                  <w:pPr>
                    <w:pStyle w:val="30"/>
                    <w:rPr>
                      <w:rFonts w:eastAsia="宋体"/>
                    </w:rPr>
                  </w:pPr>
                  <w:r>
                    <w:rPr>
                      <w:rFonts w:hint="eastAsia" w:eastAsia="宋体"/>
                    </w:rPr>
                    <w:t>编制噪声污染防治方案，选低噪声施工工艺，设置噪声自动监测系统，文明施工，合理布局施工平面</w:t>
                  </w:r>
                </w:p>
              </w:tc>
              <w:tc>
                <w:tcPr>
                  <w:tcW w:w="899" w:type="pct"/>
                  <w:shd w:val="clear" w:color="auto" w:fill="auto"/>
                  <w:vAlign w:val="center"/>
                </w:tcPr>
                <w:p>
                  <w:pPr>
                    <w:pStyle w:val="30"/>
                    <w:rPr>
                      <w:rFonts w:eastAsiaTheme="minorEastAsia"/>
                    </w:rPr>
                  </w:pPr>
                  <w:r>
                    <w:rPr>
                      <w:rFonts w:eastAsiaTheme="minorEastAsia"/>
                    </w:rPr>
                    <w:t>2</w:t>
                  </w:r>
                </w:p>
              </w:tc>
              <w:tc>
                <w:tcPr>
                  <w:tcW w:w="425" w:type="pct"/>
                  <w:vAlign w:val="center"/>
                </w:tcPr>
                <w:p>
                  <w:pPr>
                    <w:pStyle w:val="30"/>
                    <w:rPr>
                      <w:rFonts w:eastAsiaTheme="minorEastAsia"/>
                    </w:rPr>
                  </w:pPr>
                  <w:r>
                    <w:rPr>
                      <w:rFonts w:hint="eastAsia"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04" w:type="pct"/>
                  <w:vMerge w:val="continue"/>
                  <w:vAlign w:val="center"/>
                </w:tcPr>
                <w:p>
                  <w:pPr>
                    <w:pStyle w:val="30"/>
                    <w:rPr>
                      <w:rFonts w:eastAsia="宋体"/>
                    </w:rPr>
                  </w:pPr>
                </w:p>
              </w:tc>
              <w:tc>
                <w:tcPr>
                  <w:tcW w:w="535" w:type="pct"/>
                  <w:shd w:val="clear" w:color="auto" w:fill="auto"/>
                  <w:vAlign w:val="center"/>
                </w:tcPr>
                <w:p>
                  <w:pPr>
                    <w:pStyle w:val="30"/>
                    <w:rPr>
                      <w:rFonts w:eastAsia="宋体"/>
                    </w:rPr>
                  </w:pPr>
                  <w:r>
                    <w:rPr>
                      <w:rFonts w:hint="eastAsia" w:eastAsia="宋体"/>
                    </w:rPr>
                    <w:t>固废</w:t>
                  </w:r>
                </w:p>
                <w:p>
                  <w:pPr>
                    <w:pStyle w:val="30"/>
                    <w:rPr>
                      <w:rFonts w:eastAsia="宋体"/>
                    </w:rPr>
                  </w:pPr>
                  <w:r>
                    <w:rPr>
                      <w:rFonts w:hint="eastAsia" w:eastAsia="宋体"/>
                    </w:rPr>
                    <w:t>治理</w:t>
                  </w:r>
                </w:p>
              </w:tc>
              <w:tc>
                <w:tcPr>
                  <w:tcW w:w="2737" w:type="pct"/>
                  <w:shd w:val="clear" w:color="auto" w:fill="auto"/>
                  <w:vAlign w:val="center"/>
                </w:tcPr>
                <w:p>
                  <w:pPr>
                    <w:pStyle w:val="30"/>
                    <w:rPr>
                      <w:rFonts w:eastAsia="宋体"/>
                    </w:rPr>
                  </w:pPr>
                  <w:r>
                    <w:rPr>
                      <w:rFonts w:hint="eastAsia" w:eastAsia="宋体"/>
                    </w:rPr>
                    <w:t>开挖土石方及时回填、覆土，建筑废物分类处置，生活垃圾日产日清，废包装料外售废旧资源回收站，隔油设施浮油交由具资质单位处理</w:t>
                  </w:r>
                </w:p>
              </w:tc>
              <w:tc>
                <w:tcPr>
                  <w:tcW w:w="899" w:type="pct"/>
                  <w:shd w:val="clear" w:color="auto" w:fill="auto"/>
                  <w:vAlign w:val="center"/>
                </w:tcPr>
                <w:p>
                  <w:pPr>
                    <w:pStyle w:val="30"/>
                    <w:rPr>
                      <w:rFonts w:eastAsiaTheme="minorEastAsia"/>
                    </w:rPr>
                  </w:pPr>
                  <w:r>
                    <w:rPr>
                      <w:rFonts w:hint="eastAsia" w:eastAsiaTheme="minorEastAsia"/>
                    </w:rPr>
                    <w:t>18</w:t>
                  </w:r>
                </w:p>
              </w:tc>
              <w:tc>
                <w:tcPr>
                  <w:tcW w:w="425" w:type="pct"/>
                  <w:vAlign w:val="center"/>
                </w:tcPr>
                <w:p>
                  <w:pPr>
                    <w:pStyle w:val="30"/>
                    <w:rPr>
                      <w:rFonts w:eastAsiaTheme="minorEastAsia"/>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restart"/>
                  <w:vAlign w:val="center"/>
                </w:tcPr>
                <w:p>
                  <w:pPr>
                    <w:pStyle w:val="30"/>
                    <w:rPr>
                      <w:rFonts w:eastAsia="宋体"/>
                    </w:rPr>
                  </w:pPr>
                  <w:r>
                    <w:rPr>
                      <w:rFonts w:hint="eastAsia" w:eastAsia="宋体"/>
                    </w:rPr>
                    <w:t>运</w:t>
                  </w:r>
                </w:p>
                <w:p>
                  <w:pPr>
                    <w:pStyle w:val="30"/>
                    <w:rPr>
                      <w:rFonts w:eastAsia="宋体"/>
                    </w:rPr>
                  </w:pPr>
                  <w:r>
                    <w:rPr>
                      <w:rFonts w:hint="eastAsia" w:eastAsia="宋体"/>
                    </w:rPr>
                    <w:t>营</w:t>
                  </w:r>
                </w:p>
                <w:p>
                  <w:pPr>
                    <w:pStyle w:val="30"/>
                    <w:rPr>
                      <w:rFonts w:eastAsia="宋体"/>
                    </w:rPr>
                  </w:pPr>
                  <w:r>
                    <w:rPr>
                      <w:rFonts w:hint="eastAsia" w:eastAsia="宋体"/>
                    </w:rPr>
                    <w:t>期</w:t>
                  </w:r>
                </w:p>
              </w:tc>
              <w:tc>
                <w:tcPr>
                  <w:tcW w:w="535" w:type="pct"/>
                  <w:vMerge w:val="restart"/>
                  <w:shd w:val="clear" w:color="auto" w:fill="auto"/>
                  <w:vAlign w:val="center"/>
                </w:tcPr>
                <w:p>
                  <w:pPr>
                    <w:pStyle w:val="30"/>
                  </w:pPr>
                  <w:r>
                    <w:rPr>
                      <w:rFonts w:eastAsia="宋体"/>
                    </w:rPr>
                    <w:t>废</w:t>
                  </w:r>
                  <w:r>
                    <w:rPr>
                      <w:rFonts w:hint="eastAsia" w:eastAsia="宋体"/>
                    </w:rPr>
                    <w:t>气</w:t>
                  </w:r>
                </w:p>
                <w:p>
                  <w:pPr>
                    <w:pStyle w:val="30"/>
                  </w:pPr>
                  <w:r>
                    <w:rPr>
                      <w:rFonts w:eastAsia="宋体"/>
                    </w:rPr>
                    <w:t>治理</w:t>
                  </w:r>
                </w:p>
              </w:tc>
              <w:tc>
                <w:tcPr>
                  <w:tcW w:w="2737" w:type="pct"/>
                  <w:shd w:val="clear" w:color="auto" w:fill="auto"/>
                  <w:vAlign w:val="center"/>
                </w:tcPr>
                <w:p>
                  <w:pPr>
                    <w:pStyle w:val="30"/>
                    <w:rPr>
                      <w:rFonts w:eastAsia="宋体"/>
                    </w:rPr>
                  </w:pPr>
                  <w:r>
                    <w:rPr>
                      <w:rFonts w:hint="eastAsia" w:eastAsia="宋体"/>
                    </w:rPr>
                    <w:t>制砂楼采用一体化密闭设施，设置集气罩+1台袋式除尘器（TA151）+20m高排气筒（DA151）</w:t>
                  </w:r>
                </w:p>
              </w:tc>
              <w:tc>
                <w:tcPr>
                  <w:tcW w:w="899" w:type="pct"/>
                  <w:shd w:val="clear" w:color="auto" w:fill="auto"/>
                  <w:vAlign w:val="center"/>
                </w:tcPr>
                <w:p>
                  <w:pPr>
                    <w:pStyle w:val="30"/>
                    <w:rPr>
                      <w:rFonts w:eastAsiaTheme="minorEastAsia"/>
                    </w:rPr>
                  </w:pPr>
                  <w:r>
                    <w:rPr>
                      <w:rFonts w:eastAsiaTheme="minorEastAsia"/>
                    </w:rPr>
                    <w:t>10</w:t>
                  </w:r>
                </w:p>
              </w:tc>
              <w:tc>
                <w:tcPr>
                  <w:tcW w:w="425" w:type="pct"/>
                  <w:vAlign w:val="center"/>
                </w:tcPr>
                <w:p>
                  <w:pPr>
                    <w:pStyle w:val="30"/>
                    <w:rPr>
                      <w:rFonts w:eastAsiaTheme="minorEastAsia"/>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rPr>
                  </w:pPr>
                </w:p>
              </w:tc>
              <w:tc>
                <w:tcPr>
                  <w:tcW w:w="535" w:type="pct"/>
                  <w:vMerge w:val="continue"/>
                  <w:shd w:val="clear" w:color="auto" w:fill="auto"/>
                  <w:vAlign w:val="center"/>
                </w:tcPr>
                <w:p>
                  <w:pPr>
                    <w:pStyle w:val="30"/>
                    <w:rPr>
                      <w:rFonts w:eastAsia="宋体"/>
                    </w:rPr>
                  </w:pPr>
                </w:p>
              </w:tc>
              <w:tc>
                <w:tcPr>
                  <w:tcW w:w="2737" w:type="pct"/>
                  <w:shd w:val="clear" w:color="auto" w:fill="auto"/>
                  <w:vAlign w:val="center"/>
                </w:tcPr>
                <w:p>
                  <w:pPr>
                    <w:pStyle w:val="30"/>
                    <w:rPr>
                      <w:rFonts w:eastAsia="宋体"/>
                    </w:rPr>
                  </w:pPr>
                  <w:r>
                    <w:rPr>
                      <w:rFonts w:hint="eastAsia" w:eastAsia="宋体"/>
                    </w:rPr>
                    <w:t>采用封闭式输送廊道，设集气罩+1台袋式除尘器（TA152）+20m高排气筒（DA152）</w:t>
                  </w:r>
                </w:p>
              </w:tc>
              <w:tc>
                <w:tcPr>
                  <w:tcW w:w="899" w:type="pct"/>
                  <w:shd w:val="clear" w:color="auto" w:fill="auto"/>
                  <w:vAlign w:val="center"/>
                </w:tcPr>
                <w:p>
                  <w:pPr>
                    <w:pStyle w:val="30"/>
                    <w:rPr>
                      <w:rFonts w:eastAsiaTheme="minorEastAsia"/>
                    </w:rPr>
                  </w:pPr>
                  <w:r>
                    <w:rPr>
                      <w:rFonts w:eastAsiaTheme="minorEastAsia"/>
                    </w:rPr>
                    <w:t>10</w:t>
                  </w:r>
                </w:p>
              </w:tc>
              <w:tc>
                <w:tcPr>
                  <w:tcW w:w="425" w:type="pct"/>
                  <w:vAlign w:val="center"/>
                </w:tcPr>
                <w:p>
                  <w:pPr>
                    <w:pStyle w:val="30"/>
                    <w:rPr>
                      <w:rFonts w:eastAsiaTheme="minorEastAsia"/>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rPr>
                  </w:pPr>
                </w:p>
              </w:tc>
              <w:tc>
                <w:tcPr>
                  <w:tcW w:w="535" w:type="pct"/>
                  <w:vMerge w:val="continue"/>
                  <w:shd w:val="clear" w:color="auto" w:fill="auto"/>
                  <w:vAlign w:val="center"/>
                </w:tcPr>
                <w:p>
                  <w:pPr>
                    <w:pStyle w:val="30"/>
                    <w:rPr>
                      <w:rFonts w:eastAsia="宋体"/>
                    </w:rPr>
                  </w:pPr>
                </w:p>
              </w:tc>
              <w:tc>
                <w:tcPr>
                  <w:tcW w:w="2737" w:type="pct"/>
                  <w:shd w:val="clear" w:color="auto" w:fill="auto"/>
                  <w:vAlign w:val="center"/>
                </w:tcPr>
                <w:p>
                  <w:pPr>
                    <w:pStyle w:val="30"/>
                    <w:rPr>
                      <w:rFonts w:eastAsia="宋体"/>
                    </w:rPr>
                  </w:pPr>
                  <w:r>
                    <w:rPr>
                      <w:rFonts w:hint="eastAsia" w:eastAsia="宋体"/>
                    </w:rPr>
                    <w:t>依托现有钢板仓密闭管道收尘+</w:t>
                  </w:r>
                  <w:r>
                    <w:rPr>
                      <w:rFonts w:eastAsia="宋体"/>
                    </w:rPr>
                    <w:t>1台</w:t>
                  </w:r>
                  <w:r>
                    <w:rPr>
                      <w:rFonts w:hint="eastAsia" w:eastAsia="宋体"/>
                    </w:rPr>
                    <w:t>袋式除尘器（TA</w:t>
                  </w:r>
                  <w:r>
                    <w:rPr>
                      <w:rFonts w:eastAsia="宋体"/>
                    </w:rPr>
                    <w:t>122</w:t>
                  </w:r>
                  <w:r>
                    <w:rPr>
                      <w:rFonts w:hint="eastAsia" w:eastAsia="宋体"/>
                    </w:rPr>
                    <w:t>）+</w:t>
                  </w:r>
                  <w:r>
                    <w:rPr>
                      <w:rFonts w:eastAsia="宋体"/>
                    </w:rPr>
                    <w:t>31.2</w:t>
                  </w:r>
                  <w:r>
                    <w:rPr>
                      <w:rFonts w:hint="eastAsia" w:eastAsia="宋体"/>
                    </w:rPr>
                    <w:t>m高排气筒（DA</w:t>
                  </w:r>
                  <w:r>
                    <w:rPr>
                      <w:rFonts w:eastAsia="宋体"/>
                    </w:rPr>
                    <w:t>115</w:t>
                  </w:r>
                  <w:r>
                    <w:rPr>
                      <w:rFonts w:hint="eastAsia" w:eastAsia="宋体"/>
                    </w:rPr>
                    <w:t>）</w:t>
                  </w:r>
                </w:p>
              </w:tc>
              <w:tc>
                <w:tcPr>
                  <w:tcW w:w="899" w:type="pct"/>
                  <w:shd w:val="clear" w:color="auto" w:fill="auto"/>
                  <w:vAlign w:val="center"/>
                </w:tcPr>
                <w:p>
                  <w:pPr>
                    <w:pStyle w:val="30"/>
                    <w:rPr>
                      <w:rFonts w:eastAsiaTheme="minorEastAsia"/>
                    </w:rPr>
                  </w:pPr>
                  <w:r>
                    <w:rPr>
                      <w:rFonts w:eastAsiaTheme="minorEastAsia"/>
                    </w:rPr>
                    <w:t>/</w:t>
                  </w:r>
                </w:p>
              </w:tc>
              <w:tc>
                <w:tcPr>
                  <w:tcW w:w="425" w:type="pct"/>
                  <w:vAlign w:val="center"/>
                </w:tcPr>
                <w:p>
                  <w:pPr>
                    <w:pStyle w:val="30"/>
                    <w:rPr>
                      <w:rFonts w:eastAsiaTheme="minorEastAsia"/>
                    </w:rPr>
                  </w:pPr>
                  <w:r>
                    <w:rPr>
                      <w:rFonts w:hint="eastAsia" w:eastAsiaTheme="minor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rPr>
                  </w:pPr>
                </w:p>
              </w:tc>
              <w:tc>
                <w:tcPr>
                  <w:tcW w:w="535" w:type="pct"/>
                  <w:vMerge w:val="continue"/>
                  <w:shd w:val="clear" w:color="auto" w:fill="auto"/>
                  <w:vAlign w:val="center"/>
                </w:tcPr>
                <w:p>
                  <w:pPr>
                    <w:pStyle w:val="30"/>
                    <w:rPr>
                      <w:rFonts w:eastAsia="宋体"/>
                    </w:rPr>
                  </w:pPr>
                </w:p>
              </w:tc>
              <w:tc>
                <w:tcPr>
                  <w:tcW w:w="2737" w:type="pct"/>
                  <w:shd w:val="clear" w:color="auto" w:fill="auto"/>
                  <w:vAlign w:val="center"/>
                </w:tcPr>
                <w:p>
                  <w:pPr>
                    <w:pStyle w:val="30"/>
                    <w:rPr>
                      <w:rFonts w:eastAsia="宋体"/>
                    </w:rPr>
                  </w:pPr>
                  <w:r>
                    <w:rPr>
                      <w:rFonts w:hint="eastAsia" w:eastAsia="宋体"/>
                    </w:rPr>
                    <w:t>依托现有骨料仓密闭管道收尘+</w:t>
                  </w:r>
                  <w:r>
                    <w:rPr>
                      <w:rFonts w:eastAsia="宋体"/>
                    </w:rPr>
                    <w:t>1台</w:t>
                  </w:r>
                  <w:r>
                    <w:rPr>
                      <w:rFonts w:hint="eastAsia" w:eastAsia="宋体"/>
                    </w:rPr>
                    <w:t>袋式除尘器（TA</w:t>
                  </w:r>
                  <w:r>
                    <w:rPr>
                      <w:rFonts w:eastAsia="宋体"/>
                    </w:rPr>
                    <w:t>138</w:t>
                  </w:r>
                  <w:r>
                    <w:rPr>
                      <w:rFonts w:hint="eastAsia" w:eastAsia="宋体"/>
                    </w:rPr>
                    <w:t>）+</w:t>
                  </w:r>
                  <w:r>
                    <w:rPr>
                      <w:rFonts w:eastAsia="宋体"/>
                    </w:rPr>
                    <w:t>16</w:t>
                  </w:r>
                  <w:r>
                    <w:rPr>
                      <w:rFonts w:hint="eastAsia" w:eastAsia="宋体"/>
                    </w:rPr>
                    <w:t>m高排气筒（DA</w:t>
                  </w:r>
                  <w:r>
                    <w:rPr>
                      <w:rFonts w:eastAsia="宋体"/>
                    </w:rPr>
                    <w:t>090</w:t>
                  </w:r>
                  <w:r>
                    <w:rPr>
                      <w:rFonts w:hint="eastAsia" w:eastAsia="宋体"/>
                    </w:rPr>
                    <w:t>）</w:t>
                  </w:r>
                </w:p>
              </w:tc>
              <w:tc>
                <w:tcPr>
                  <w:tcW w:w="899" w:type="pct"/>
                  <w:shd w:val="clear" w:color="auto" w:fill="auto"/>
                  <w:vAlign w:val="center"/>
                </w:tcPr>
                <w:p>
                  <w:pPr>
                    <w:pStyle w:val="30"/>
                    <w:rPr>
                      <w:rFonts w:eastAsiaTheme="minorEastAsia"/>
                    </w:rPr>
                  </w:pPr>
                  <w:r>
                    <w:rPr>
                      <w:rFonts w:eastAsiaTheme="minorEastAsia"/>
                    </w:rPr>
                    <w:t>/</w:t>
                  </w:r>
                </w:p>
              </w:tc>
              <w:tc>
                <w:tcPr>
                  <w:tcW w:w="425" w:type="pct"/>
                  <w:vAlign w:val="center"/>
                </w:tcPr>
                <w:p>
                  <w:pPr>
                    <w:pStyle w:val="30"/>
                    <w:rPr>
                      <w:rFonts w:eastAsiaTheme="minorEastAsia"/>
                    </w:rPr>
                  </w:pPr>
                  <w:r>
                    <w:rPr>
                      <w:rFonts w:hint="eastAsia" w:eastAsiaTheme="minor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rPr>
                  </w:pPr>
                </w:p>
              </w:tc>
              <w:tc>
                <w:tcPr>
                  <w:tcW w:w="535" w:type="pct"/>
                  <w:vMerge w:val="continue"/>
                  <w:shd w:val="clear" w:color="auto" w:fill="auto"/>
                  <w:vAlign w:val="center"/>
                </w:tcPr>
                <w:p>
                  <w:pPr>
                    <w:pStyle w:val="30"/>
                    <w:rPr>
                      <w:rFonts w:eastAsia="宋体"/>
                    </w:rPr>
                  </w:pPr>
                </w:p>
              </w:tc>
              <w:tc>
                <w:tcPr>
                  <w:tcW w:w="2737" w:type="pct"/>
                  <w:shd w:val="clear" w:color="auto" w:fill="auto"/>
                  <w:vAlign w:val="center"/>
                </w:tcPr>
                <w:p>
                  <w:pPr>
                    <w:pStyle w:val="30"/>
                    <w:rPr>
                      <w:rFonts w:eastAsia="宋体"/>
                    </w:rPr>
                  </w:pPr>
                  <w:r>
                    <w:rPr>
                      <w:rFonts w:hint="eastAsia" w:eastAsia="宋体"/>
                    </w:rPr>
                    <w:t>依托现有骨料仓密闭管道收尘+</w:t>
                  </w:r>
                  <w:r>
                    <w:rPr>
                      <w:rFonts w:eastAsia="宋体"/>
                    </w:rPr>
                    <w:t>1台</w:t>
                  </w:r>
                  <w:r>
                    <w:rPr>
                      <w:rFonts w:hint="eastAsia" w:eastAsia="宋体"/>
                    </w:rPr>
                    <w:t>袋式除尘器（TA</w:t>
                  </w:r>
                  <w:r>
                    <w:rPr>
                      <w:rFonts w:eastAsia="宋体"/>
                    </w:rPr>
                    <w:t>137</w:t>
                  </w:r>
                  <w:r>
                    <w:rPr>
                      <w:rFonts w:hint="eastAsia" w:eastAsia="宋体"/>
                    </w:rPr>
                    <w:t>）+</w:t>
                  </w:r>
                  <w:r>
                    <w:rPr>
                      <w:rFonts w:eastAsia="宋体"/>
                    </w:rPr>
                    <w:t>22</w:t>
                  </w:r>
                  <w:r>
                    <w:rPr>
                      <w:rFonts w:hint="eastAsia" w:eastAsia="宋体"/>
                    </w:rPr>
                    <w:t>m高排气筒（DA</w:t>
                  </w:r>
                  <w:r>
                    <w:rPr>
                      <w:rFonts w:eastAsia="宋体"/>
                    </w:rPr>
                    <w:t>097</w:t>
                  </w:r>
                  <w:r>
                    <w:rPr>
                      <w:rFonts w:hint="eastAsia" w:eastAsia="宋体"/>
                    </w:rPr>
                    <w:t>）</w:t>
                  </w:r>
                </w:p>
              </w:tc>
              <w:tc>
                <w:tcPr>
                  <w:tcW w:w="899" w:type="pct"/>
                  <w:shd w:val="clear" w:color="auto" w:fill="auto"/>
                  <w:vAlign w:val="center"/>
                </w:tcPr>
                <w:p>
                  <w:pPr>
                    <w:pStyle w:val="30"/>
                    <w:rPr>
                      <w:rFonts w:eastAsiaTheme="minorEastAsia"/>
                    </w:rPr>
                  </w:pPr>
                  <w:r>
                    <w:rPr>
                      <w:rFonts w:eastAsiaTheme="minorEastAsia"/>
                    </w:rPr>
                    <w:t>/</w:t>
                  </w:r>
                </w:p>
              </w:tc>
              <w:tc>
                <w:tcPr>
                  <w:tcW w:w="425" w:type="pct"/>
                  <w:vAlign w:val="center"/>
                </w:tcPr>
                <w:p>
                  <w:pPr>
                    <w:pStyle w:val="30"/>
                    <w:rPr>
                      <w:rFonts w:eastAsiaTheme="minorEastAsia"/>
                    </w:rPr>
                  </w:pPr>
                  <w:r>
                    <w:rPr>
                      <w:rFonts w:hint="eastAsia" w:eastAsiaTheme="minor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rPr>
                  </w:pPr>
                </w:p>
              </w:tc>
              <w:tc>
                <w:tcPr>
                  <w:tcW w:w="535" w:type="pct"/>
                  <w:vMerge w:val="continue"/>
                  <w:shd w:val="clear" w:color="auto" w:fill="auto"/>
                  <w:vAlign w:val="center"/>
                </w:tcPr>
                <w:p>
                  <w:pPr>
                    <w:pStyle w:val="30"/>
                    <w:rPr>
                      <w:rFonts w:eastAsia="宋体"/>
                    </w:rPr>
                  </w:pPr>
                </w:p>
              </w:tc>
              <w:tc>
                <w:tcPr>
                  <w:tcW w:w="2737" w:type="pct"/>
                  <w:shd w:val="clear" w:color="auto" w:fill="auto"/>
                  <w:vAlign w:val="center"/>
                </w:tcPr>
                <w:p>
                  <w:pPr>
                    <w:pStyle w:val="30"/>
                    <w:rPr>
                      <w:rFonts w:eastAsia="宋体"/>
                    </w:rPr>
                  </w:pPr>
                  <w:r>
                    <w:rPr>
                      <w:rFonts w:hint="eastAsia" w:eastAsia="宋体"/>
                    </w:rPr>
                    <w:t>新建钢板仓、成品砂库、微粉库设密闭管道收尘+</w:t>
                  </w:r>
                  <w:r>
                    <w:rPr>
                      <w:rFonts w:eastAsia="宋体"/>
                    </w:rPr>
                    <w:t>3台</w:t>
                  </w:r>
                  <w:r>
                    <w:rPr>
                      <w:rFonts w:hint="eastAsia" w:eastAsia="宋体"/>
                    </w:rPr>
                    <w:t>袋式除尘器（TA</w:t>
                  </w:r>
                  <w:r>
                    <w:rPr>
                      <w:rFonts w:eastAsia="宋体"/>
                    </w:rPr>
                    <w:t>153~TA155</w:t>
                  </w:r>
                  <w:r>
                    <w:rPr>
                      <w:rFonts w:hint="eastAsia" w:eastAsia="宋体"/>
                    </w:rPr>
                    <w:t>）+</w:t>
                  </w:r>
                  <w:r>
                    <w:rPr>
                      <w:rFonts w:eastAsia="宋体"/>
                    </w:rPr>
                    <w:t>20</w:t>
                  </w:r>
                  <w:r>
                    <w:rPr>
                      <w:rFonts w:hint="eastAsia" w:eastAsia="宋体"/>
                    </w:rPr>
                    <w:t>m高排气筒（DA</w:t>
                  </w:r>
                  <w:r>
                    <w:rPr>
                      <w:rFonts w:eastAsia="宋体"/>
                    </w:rPr>
                    <w:t>153~DA155</w:t>
                  </w:r>
                  <w:r>
                    <w:rPr>
                      <w:rFonts w:hint="eastAsia" w:eastAsia="宋体"/>
                    </w:rPr>
                    <w:t>）</w:t>
                  </w:r>
                </w:p>
              </w:tc>
              <w:tc>
                <w:tcPr>
                  <w:tcW w:w="899" w:type="pct"/>
                  <w:shd w:val="clear" w:color="auto" w:fill="auto"/>
                  <w:vAlign w:val="center"/>
                </w:tcPr>
                <w:p>
                  <w:pPr>
                    <w:pStyle w:val="30"/>
                    <w:rPr>
                      <w:rFonts w:eastAsiaTheme="minorEastAsia"/>
                    </w:rPr>
                  </w:pPr>
                  <w:r>
                    <w:rPr>
                      <w:rFonts w:hint="eastAsia" w:eastAsiaTheme="minorEastAsia"/>
                    </w:rPr>
                    <w:t>30</w:t>
                  </w:r>
                </w:p>
              </w:tc>
              <w:tc>
                <w:tcPr>
                  <w:tcW w:w="425" w:type="pct"/>
                  <w:vAlign w:val="center"/>
                </w:tcPr>
                <w:p>
                  <w:pPr>
                    <w:pStyle w:val="30"/>
                    <w:rPr>
                      <w:rFonts w:eastAsiaTheme="minorEastAsia"/>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rPr>
                  </w:pPr>
                </w:p>
              </w:tc>
              <w:tc>
                <w:tcPr>
                  <w:tcW w:w="535" w:type="pct"/>
                  <w:vMerge w:val="continue"/>
                  <w:shd w:val="clear" w:color="auto" w:fill="auto"/>
                  <w:vAlign w:val="center"/>
                </w:tcPr>
                <w:p>
                  <w:pPr>
                    <w:pStyle w:val="30"/>
                    <w:rPr>
                      <w:rFonts w:eastAsia="宋体"/>
                    </w:rPr>
                  </w:pPr>
                </w:p>
              </w:tc>
              <w:tc>
                <w:tcPr>
                  <w:tcW w:w="2737" w:type="pct"/>
                  <w:shd w:val="clear" w:color="auto" w:fill="auto"/>
                  <w:vAlign w:val="center"/>
                </w:tcPr>
                <w:p>
                  <w:pPr>
                    <w:pStyle w:val="30"/>
                    <w:rPr>
                      <w:rFonts w:eastAsia="宋体"/>
                    </w:rPr>
                  </w:pPr>
                  <w:r>
                    <w:rPr>
                      <w:rFonts w:hint="eastAsia" w:eastAsia="宋体"/>
                    </w:rPr>
                    <w:t>新增成品砂库和钢板仓配套装车区封闭，设置自动卷帘门，装卸口设集气罩接入骨料仓袋式除尘器</w:t>
                  </w:r>
                </w:p>
              </w:tc>
              <w:tc>
                <w:tcPr>
                  <w:tcW w:w="899" w:type="pct"/>
                  <w:shd w:val="clear" w:color="auto" w:fill="auto"/>
                  <w:vAlign w:val="center"/>
                </w:tcPr>
                <w:p>
                  <w:pPr>
                    <w:pStyle w:val="30"/>
                    <w:rPr>
                      <w:rFonts w:eastAsiaTheme="minorEastAsia"/>
                    </w:rPr>
                  </w:pPr>
                  <w:r>
                    <w:rPr>
                      <w:rFonts w:hint="eastAsia" w:eastAsiaTheme="minorEastAsia"/>
                    </w:rPr>
                    <w:t>6</w:t>
                  </w:r>
                </w:p>
              </w:tc>
              <w:tc>
                <w:tcPr>
                  <w:tcW w:w="425" w:type="pct"/>
                  <w:vAlign w:val="center"/>
                </w:tcPr>
                <w:p>
                  <w:pPr>
                    <w:pStyle w:val="30"/>
                    <w:rPr>
                      <w:rFonts w:eastAsiaTheme="minorEastAsia"/>
                    </w:rPr>
                  </w:pPr>
                  <w:r>
                    <w:rPr>
                      <w:rFonts w:hint="eastAsia"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rPr>
                  </w:pPr>
                </w:p>
              </w:tc>
              <w:tc>
                <w:tcPr>
                  <w:tcW w:w="535" w:type="pct"/>
                  <w:shd w:val="clear" w:color="auto" w:fill="auto"/>
                  <w:vAlign w:val="center"/>
                </w:tcPr>
                <w:p>
                  <w:pPr>
                    <w:pStyle w:val="30"/>
                  </w:pPr>
                  <w:r>
                    <w:rPr>
                      <w:rFonts w:eastAsia="宋体"/>
                    </w:rPr>
                    <w:t>废水</w:t>
                  </w:r>
                </w:p>
                <w:p>
                  <w:pPr>
                    <w:pStyle w:val="30"/>
                    <w:rPr>
                      <w:rFonts w:eastAsia="宋体"/>
                    </w:rPr>
                  </w:pPr>
                  <w:r>
                    <w:rPr>
                      <w:rFonts w:eastAsia="宋体"/>
                    </w:rPr>
                    <w:t>治理</w:t>
                  </w:r>
                </w:p>
              </w:tc>
              <w:tc>
                <w:tcPr>
                  <w:tcW w:w="2737" w:type="pct"/>
                  <w:shd w:val="clear" w:color="auto" w:fill="auto"/>
                  <w:vAlign w:val="center"/>
                </w:tcPr>
                <w:p>
                  <w:pPr>
                    <w:pStyle w:val="30"/>
                    <w:rPr>
                      <w:rFonts w:eastAsia="宋体"/>
                    </w:rPr>
                  </w:pPr>
                  <w:r>
                    <w:rPr>
                      <w:rFonts w:hint="eastAsia" w:eastAsia="宋体"/>
                    </w:rPr>
                    <w:t>依托厂区现有洗车平台配套沉淀池（1个，容积约50m</w:t>
                  </w:r>
                  <w:r>
                    <w:rPr>
                      <w:rFonts w:hint="eastAsia" w:eastAsia="宋体"/>
                      <w:vertAlign w:val="superscript"/>
                    </w:rPr>
                    <w:t>3</w:t>
                  </w:r>
                  <w:r>
                    <w:rPr>
                      <w:rFonts w:hint="eastAsia" w:eastAsia="宋体"/>
                    </w:rPr>
                    <w:t>）</w:t>
                  </w:r>
                </w:p>
              </w:tc>
              <w:tc>
                <w:tcPr>
                  <w:tcW w:w="899" w:type="pct"/>
                  <w:shd w:val="clear" w:color="auto" w:fill="auto"/>
                  <w:vAlign w:val="center"/>
                </w:tcPr>
                <w:p>
                  <w:pPr>
                    <w:pStyle w:val="30"/>
                    <w:rPr>
                      <w:rFonts w:eastAsiaTheme="minorEastAsia"/>
                    </w:rPr>
                  </w:pPr>
                  <w:r>
                    <w:rPr>
                      <w:rFonts w:hint="eastAsia" w:eastAsiaTheme="minorEastAsia"/>
                    </w:rPr>
                    <w:t>/</w:t>
                  </w:r>
                </w:p>
              </w:tc>
              <w:tc>
                <w:tcPr>
                  <w:tcW w:w="425" w:type="pct"/>
                  <w:vAlign w:val="center"/>
                </w:tcPr>
                <w:p>
                  <w:pPr>
                    <w:pStyle w:val="30"/>
                    <w:rPr>
                      <w:rFonts w:eastAsiaTheme="minorEastAsia"/>
                    </w:rPr>
                  </w:pPr>
                  <w:r>
                    <w:rPr>
                      <w:rFonts w:hint="eastAsia" w:eastAsiaTheme="minor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404" w:type="pct"/>
                  <w:vMerge w:val="continue"/>
                  <w:vAlign w:val="center"/>
                </w:tcPr>
                <w:p>
                  <w:pPr>
                    <w:pStyle w:val="30"/>
                    <w:rPr>
                      <w:rFonts w:eastAsia="宋体"/>
                    </w:rPr>
                  </w:pPr>
                </w:p>
              </w:tc>
              <w:tc>
                <w:tcPr>
                  <w:tcW w:w="535" w:type="pct"/>
                  <w:shd w:val="clear" w:color="auto" w:fill="auto"/>
                  <w:vAlign w:val="center"/>
                </w:tcPr>
                <w:p>
                  <w:pPr>
                    <w:pStyle w:val="30"/>
                    <w:rPr>
                      <w:rFonts w:eastAsia="宋体"/>
                    </w:rPr>
                  </w:pPr>
                  <w:r>
                    <w:rPr>
                      <w:rFonts w:eastAsia="宋体"/>
                    </w:rPr>
                    <w:t>噪声</w:t>
                  </w:r>
                </w:p>
                <w:p>
                  <w:pPr>
                    <w:pStyle w:val="30"/>
                    <w:rPr>
                      <w:rFonts w:eastAsia="宋体"/>
                    </w:rPr>
                  </w:pPr>
                  <w:r>
                    <w:rPr>
                      <w:rFonts w:eastAsia="宋体"/>
                    </w:rPr>
                    <w:t>治理</w:t>
                  </w:r>
                </w:p>
              </w:tc>
              <w:tc>
                <w:tcPr>
                  <w:tcW w:w="2737" w:type="pct"/>
                  <w:shd w:val="clear" w:color="auto" w:fill="auto"/>
                  <w:vAlign w:val="center"/>
                </w:tcPr>
                <w:p>
                  <w:pPr>
                    <w:pStyle w:val="30"/>
                  </w:pPr>
                  <w:r>
                    <w:rPr>
                      <w:rFonts w:hint="eastAsia" w:eastAsia="宋体"/>
                    </w:rPr>
                    <w:t>选</w:t>
                  </w:r>
                  <w:r>
                    <w:rPr>
                      <w:rFonts w:eastAsia="宋体"/>
                    </w:rPr>
                    <w:t>低噪声设备</w:t>
                  </w:r>
                  <w:r>
                    <w:rPr>
                      <w:rFonts w:hint="eastAsia" w:eastAsia="宋体"/>
                    </w:rPr>
                    <w:t>，</w:t>
                  </w:r>
                  <w:r>
                    <w:rPr>
                      <w:rFonts w:eastAsia="宋体"/>
                    </w:rPr>
                    <w:t>采取基础减振</w:t>
                  </w:r>
                  <w:r>
                    <w:rPr>
                      <w:rFonts w:hint="eastAsia" w:eastAsia="宋体"/>
                    </w:rPr>
                    <w:t>、隔声、消声等措施</w:t>
                  </w:r>
                </w:p>
              </w:tc>
              <w:tc>
                <w:tcPr>
                  <w:tcW w:w="899" w:type="pct"/>
                  <w:shd w:val="clear" w:color="auto" w:fill="auto"/>
                  <w:vAlign w:val="center"/>
                </w:tcPr>
                <w:p>
                  <w:pPr>
                    <w:pStyle w:val="30"/>
                    <w:rPr>
                      <w:rFonts w:eastAsiaTheme="minorEastAsia"/>
                    </w:rPr>
                  </w:pPr>
                  <w:r>
                    <w:rPr>
                      <w:rFonts w:hint="eastAsia" w:eastAsiaTheme="minorEastAsia"/>
                    </w:rPr>
                    <w:t>3</w:t>
                  </w:r>
                </w:p>
              </w:tc>
              <w:tc>
                <w:tcPr>
                  <w:tcW w:w="425" w:type="pct"/>
                  <w:vAlign w:val="center"/>
                </w:tcPr>
                <w:p>
                  <w:pPr>
                    <w:pStyle w:val="30"/>
                    <w:rPr>
                      <w:rFonts w:eastAsiaTheme="minorEastAsia"/>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rPr>
                  </w:pPr>
                </w:p>
              </w:tc>
              <w:tc>
                <w:tcPr>
                  <w:tcW w:w="535" w:type="pct"/>
                  <w:shd w:val="clear" w:color="auto" w:fill="auto"/>
                  <w:vAlign w:val="center"/>
                </w:tcPr>
                <w:p>
                  <w:pPr>
                    <w:pStyle w:val="30"/>
                  </w:pPr>
                  <w:r>
                    <w:rPr>
                      <w:rFonts w:eastAsia="宋体"/>
                    </w:rPr>
                    <w:t>固废</w:t>
                  </w:r>
                </w:p>
                <w:p>
                  <w:pPr>
                    <w:pStyle w:val="30"/>
                    <w:rPr>
                      <w:rFonts w:eastAsia="宋体"/>
                    </w:rPr>
                  </w:pPr>
                  <w:r>
                    <w:rPr>
                      <w:rFonts w:eastAsia="宋体"/>
                    </w:rPr>
                    <w:t>治理</w:t>
                  </w:r>
                </w:p>
              </w:tc>
              <w:tc>
                <w:tcPr>
                  <w:tcW w:w="2737" w:type="pct"/>
                  <w:shd w:val="clear" w:color="auto" w:fill="auto"/>
                  <w:vAlign w:val="center"/>
                </w:tcPr>
                <w:p>
                  <w:pPr>
                    <w:jc w:val="center"/>
                    <w:rPr>
                      <w:rFonts w:cs="Times New Roman"/>
                    </w:rPr>
                  </w:pPr>
                  <w:r>
                    <w:rPr>
                      <w:rFonts w:hint="eastAsia" w:cs="Times New Roman"/>
                    </w:rPr>
                    <w:t>依托厂区已建的危废暂存间（面积约80m</w:t>
                  </w:r>
                  <w:r>
                    <w:rPr>
                      <w:rFonts w:hint="eastAsia" w:cs="Times New Roman"/>
                      <w:vertAlign w:val="superscript"/>
                    </w:rPr>
                    <w:t>2</w:t>
                  </w:r>
                  <w:r>
                    <w:rPr>
                      <w:rFonts w:hint="eastAsia" w:cs="Times New Roman"/>
                    </w:rPr>
                    <w:t>），危险废物分类收集贮存，交具资质单位处理</w:t>
                  </w:r>
                </w:p>
              </w:tc>
              <w:tc>
                <w:tcPr>
                  <w:tcW w:w="899" w:type="pct"/>
                  <w:shd w:val="clear" w:color="auto" w:fill="auto"/>
                  <w:vAlign w:val="center"/>
                </w:tcPr>
                <w:p>
                  <w:pPr>
                    <w:jc w:val="center"/>
                    <w:rPr>
                      <w:rFonts w:eastAsiaTheme="minorEastAsia"/>
                    </w:rPr>
                  </w:pPr>
                  <w:r>
                    <w:rPr>
                      <w:rFonts w:hint="eastAsia" w:eastAsiaTheme="minorEastAsia"/>
                    </w:rPr>
                    <w:t>2</w:t>
                  </w:r>
                </w:p>
              </w:tc>
              <w:tc>
                <w:tcPr>
                  <w:tcW w:w="425" w:type="pct"/>
                  <w:vAlign w:val="center"/>
                </w:tcPr>
                <w:p>
                  <w:pPr>
                    <w:jc w:val="center"/>
                    <w:rPr>
                      <w:rFonts w:eastAsiaTheme="minorEastAsia"/>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04" w:type="pct"/>
                  <w:vMerge w:val="continue"/>
                  <w:vAlign w:val="center"/>
                </w:tcPr>
                <w:p>
                  <w:pPr>
                    <w:jc w:val="center"/>
                    <w:rPr>
                      <w:rFonts w:cs="Times New Roman"/>
                      <w:szCs w:val="21"/>
                    </w:rPr>
                  </w:pPr>
                </w:p>
              </w:tc>
              <w:tc>
                <w:tcPr>
                  <w:tcW w:w="535" w:type="pct"/>
                  <w:shd w:val="clear" w:color="auto" w:fill="auto"/>
                  <w:vAlign w:val="center"/>
                </w:tcPr>
                <w:p>
                  <w:pPr>
                    <w:jc w:val="center"/>
                    <w:rPr>
                      <w:rFonts w:cs="Times New Roman"/>
                      <w:szCs w:val="21"/>
                    </w:rPr>
                  </w:pPr>
                  <w:r>
                    <w:rPr>
                      <w:rFonts w:cs="Times New Roman"/>
                      <w:szCs w:val="21"/>
                    </w:rPr>
                    <w:t>地下水污染</w:t>
                  </w:r>
                </w:p>
              </w:tc>
              <w:tc>
                <w:tcPr>
                  <w:tcW w:w="2737" w:type="pct"/>
                  <w:shd w:val="clear" w:color="auto" w:fill="auto"/>
                  <w:vAlign w:val="center"/>
                </w:tcPr>
                <w:p>
                  <w:pPr>
                    <w:jc w:val="center"/>
                    <w:rPr>
                      <w:rFonts w:cs="Times New Roman"/>
                      <w:szCs w:val="21"/>
                    </w:rPr>
                  </w:pPr>
                  <w:r>
                    <w:rPr>
                      <w:rFonts w:hint="eastAsia" w:cs="Times New Roman"/>
                      <w:szCs w:val="21"/>
                    </w:rPr>
                    <w:t>新增空压机站采用采用原土夯实+30cm抗渗混凝土进行防渗处理，其他区域采用一般地面硬化</w:t>
                  </w:r>
                </w:p>
              </w:tc>
              <w:tc>
                <w:tcPr>
                  <w:tcW w:w="899" w:type="pct"/>
                  <w:shd w:val="clear" w:color="auto" w:fill="auto"/>
                  <w:vAlign w:val="center"/>
                </w:tcPr>
                <w:p>
                  <w:pPr>
                    <w:jc w:val="center"/>
                    <w:rPr>
                      <w:rFonts w:cs="Times New Roman"/>
                      <w:szCs w:val="21"/>
                    </w:rPr>
                  </w:pPr>
                  <w:r>
                    <w:rPr>
                      <w:rFonts w:eastAsiaTheme="minorEastAsia"/>
                    </w:rPr>
                    <w:t>1</w:t>
                  </w:r>
                </w:p>
              </w:tc>
              <w:tc>
                <w:tcPr>
                  <w:tcW w:w="425" w:type="pct"/>
                  <w:vAlign w:val="center"/>
                </w:tcPr>
                <w:p>
                  <w:pPr>
                    <w:jc w:val="center"/>
                    <w:rPr>
                      <w:rFonts w:eastAsiaTheme="minorEastAsia"/>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04" w:type="pct"/>
                  <w:vMerge w:val="continue"/>
                  <w:vAlign w:val="center"/>
                </w:tcPr>
                <w:p>
                  <w:pPr>
                    <w:pStyle w:val="30"/>
                    <w:rPr>
                      <w:rFonts w:eastAsia="宋体"/>
                    </w:rPr>
                  </w:pPr>
                </w:p>
              </w:tc>
              <w:tc>
                <w:tcPr>
                  <w:tcW w:w="535" w:type="pct"/>
                  <w:shd w:val="clear" w:color="auto" w:fill="auto"/>
                  <w:vAlign w:val="center"/>
                </w:tcPr>
                <w:p>
                  <w:pPr>
                    <w:pStyle w:val="30"/>
                    <w:rPr>
                      <w:rFonts w:eastAsia="宋体"/>
                    </w:rPr>
                  </w:pPr>
                  <w:r>
                    <w:rPr>
                      <w:rFonts w:eastAsia="宋体"/>
                    </w:rPr>
                    <w:t>环境</w:t>
                  </w:r>
                </w:p>
                <w:p>
                  <w:pPr>
                    <w:pStyle w:val="30"/>
                    <w:rPr>
                      <w:rFonts w:eastAsia="宋体"/>
                    </w:rPr>
                  </w:pPr>
                  <w:r>
                    <w:rPr>
                      <w:rFonts w:eastAsia="宋体"/>
                    </w:rPr>
                    <w:t>风险</w:t>
                  </w:r>
                </w:p>
              </w:tc>
              <w:tc>
                <w:tcPr>
                  <w:tcW w:w="2737" w:type="pct"/>
                  <w:shd w:val="clear" w:color="auto" w:fill="auto"/>
                  <w:vAlign w:val="center"/>
                </w:tcPr>
                <w:p>
                  <w:pPr>
                    <w:pStyle w:val="30"/>
                    <w:rPr>
                      <w:rFonts w:eastAsia="宋体"/>
                    </w:rPr>
                  </w:pPr>
                  <w:r>
                    <w:rPr>
                      <w:rFonts w:hint="eastAsia" w:eastAsia="宋体"/>
                    </w:rPr>
                    <w:t>落实防火、防爆设计要求，设置防火标识、消防器材，制定环境风险应急预案</w:t>
                  </w:r>
                </w:p>
              </w:tc>
              <w:tc>
                <w:tcPr>
                  <w:tcW w:w="899" w:type="pct"/>
                  <w:shd w:val="clear" w:color="auto" w:fill="auto"/>
                  <w:vAlign w:val="center"/>
                </w:tcPr>
                <w:p>
                  <w:pPr>
                    <w:pStyle w:val="30"/>
                    <w:rPr>
                      <w:rFonts w:eastAsiaTheme="minorEastAsia"/>
                    </w:rPr>
                  </w:pPr>
                  <w:r>
                    <w:rPr>
                      <w:rFonts w:eastAsiaTheme="minorEastAsia"/>
                    </w:rPr>
                    <w:t>1</w:t>
                  </w:r>
                </w:p>
              </w:tc>
              <w:tc>
                <w:tcPr>
                  <w:tcW w:w="425" w:type="pct"/>
                  <w:vAlign w:val="center"/>
                </w:tcPr>
                <w:p>
                  <w:pPr>
                    <w:pStyle w:val="30"/>
                    <w:rPr>
                      <w:rFonts w:eastAsiaTheme="minorEastAsia"/>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04" w:type="pct"/>
                  <w:vMerge w:val="continue"/>
                  <w:vAlign w:val="center"/>
                </w:tcPr>
                <w:p>
                  <w:pPr>
                    <w:pStyle w:val="30"/>
                    <w:rPr>
                      <w:rFonts w:eastAsia="宋体"/>
                    </w:rPr>
                  </w:pPr>
                </w:p>
              </w:tc>
              <w:tc>
                <w:tcPr>
                  <w:tcW w:w="535" w:type="pct"/>
                  <w:shd w:val="clear" w:color="auto" w:fill="auto"/>
                  <w:vAlign w:val="center"/>
                </w:tcPr>
                <w:p>
                  <w:pPr>
                    <w:pStyle w:val="30"/>
                    <w:rPr>
                      <w:rFonts w:eastAsia="宋体"/>
                    </w:rPr>
                  </w:pPr>
                  <w:r>
                    <w:rPr>
                      <w:rFonts w:eastAsia="宋体"/>
                    </w:rPr>
                    <w:t>环境</w:t>
                  </w:r>
                </w:p>
                <w:p>
                  <w:pPr>
                    <w:pStyle w:val="30"/>
                    <w:rPr>
                      <w:rFonts w:eastAsia="宋体"/>
                    </w:rPr>
                  </w:pPr>
                  <w:r>
                    <w:rPr>
                      <w:rFonts w:eastAsia="宋体"/>
                    </w:rPr>
                    <w:t>监测</w:t>
                  </w:r>
                </w:p>
              </w:tc>
              <w:tc>
                <w:tcPr>
                  <w:tcW w:w="2737" w:type="pct"/>
                  <w:shd w:val="clear" w:color="auto" w:fill="auto"/>
                  <w:vAlign w:val="center"/>
                </w:tcPr>
                <w:p>
                  <w:pPr>
                    <w:jc w:val="center"/>
                    <w:rPr>
                      <w:rFonts w:cs="Times New Roman"/>
                      <w:szCs w:val="21"/>
                    </w:rPr>
                  </w:pPr>
                  <w:r>
                    <w:rPr>
                      <w:rFonts w:hint="eastAsia" w:cs="Times New Roman"/>
                      <w:szCs w:val="21"/>
                    </w:rPr>
                    <w:t>制定</w:t>
                  </w:r>
                  <w:r>
                    <w:rPr>
                      <w:rFonts w:cs="Times New Roman"/>
                      <w:szCs w:val="21"/>
                    </w:rPr>
                    <w:t>自行监测方案</w:t>
                  </w:r>
                  <w:r>
                    <w:rPr>
                      <w:rFonts w:hint="eastAsia" w:cs="Times New Roman"/>
                      <w:szCs w:val="21"/>
                    </w:rPr>
                    <w:t>，</w:t>
                  </w:r>
                  <w:r>
                    <w:rPr>
                      <w:rFonts w:cs="Times New Roman"/>
                      <w:szCs w:val="21"/>
                    </w:rPr>
                    <w:t>定期开展污染源监测</w:t>
                  </w:r>
                </w:p>
              </w:tc>
              <w:tc>
                <w:tcPr>
                  <w:tcW w:w="899" w:type="pct"/>
                  <w:shd w:val="clear" w:color="auto" w:fill="auto"/>
                  <w:vAlign w:val="center"/>
                </w:tcPr>
                <w:p>
                  <w:pPr>
                    <w:jc w:val="center"/>
                    <w:rPr>
                      <w:rFonts w:cs="Times New Roman"/>
                      <w:szCs w:val="21"/>
                    </w:rPr>
                  </w:pPr>
                  <w:r>
                    <w:rPr>
                      <w:rFonts w:cs="Times New Roman"/>
                      <w:szCs w:val="21"/>
                    </w:rPr>
                    <w:t>2</w:t>
                  </w:r>
                </w:p>
              </w:tc>
              <w:tc>
                <w:tcPr>
                  <w:tcW w:w="425" w:type="pct"/>
                  <w:vAlign w:val="center"/>
                </w:tcPr>
                <w:p>
                  <w:pPr>
                    <w:jc w:val="center"/>
                    <w:rPr>
                      <w:rFonts w:cs="Times New Roman"/>
                      <w:szCs w:val="21"/>
                    </w:rPr>
                  </w:pPr>
                  <w:r>
                    <w:rPr>
                      <w:rFonts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6" w:type="pct"/>
                  <w:gridSpan w:val="3"/>
                  <w:vAlign w:val="center"/>
                </w:tcPr>
                <w:p>
                  <w:pPr>
                    <w:jc w:val="center"/>
                    <w:rPr>
                      <w:rFonts w:cs="Times New Roman"/>
                      <w:szCs w:val="21"/>
                    </w:rPr>
                  </w:pPr>
                  <w:r>
                    <w:rPr>
                      <w:rFonts w:hint="eastAsia" w:cs="Times New Roman"/>
                      <w:szCs w:val="21"/>
                    </w:rPr>
                    <w:t>合计</w:t>
                  </w:r>
                </w:p>
              </w:tc>
              <w:tc>
                <w:tcPr>
                  <w:tcW w:w="899" w:type="pct"/>
                  <w:shd w:val="clear" w:color="auto" w:fill="auto"/>
                  <w:vAlign w:val="center"/>
                </w:tcPr>
                <w:p>
                  <w:pPr>
                    <w:jc w:val="center"/>
                    <w:rPr>
                      <w:rFonts w:cs="Times New Roman"/>
                      <w:szCs w:val="21"/>
                    </w:rPr>
                  </w:pPr>
                  <w:r>
                    <w:rPr>
                      <w:rFonts w:hint="eastAsia" w:cs="Times New Roman"/>
                      <w:szCs w:val="21"/>
                    </w:rPr>
                    <w:t>125</w:t>
                  </w:r>
                </w:p>
              </w:tc>
              <w:tc>
                <w:tcPr>
                  <w:tcW w:w="425" w:type="pct"/>
                  <w:vAlign w:val="center"/>
                </w:tcPr>
                <w:p>
                  <w:pPr>
                    <w:jc w:val="center"/>
                    <w:rPr>
                      <w:rFonts w:cs="Times New Roman"/>
                      <w:szCs w:val="21"/>
                    </w:rPr>
                  </w:pPr>
                  <w:r>
                    <w:rPr>
                      <w:rFonts w:eastAsiaTheme="minorEastAsia"/>
                    </w:rPr>
                    <w:t>新增</w:t>
                  </w:r>
                </w:p>
              </w:tc>
            </w:tr>
          </w:tbl>
          <w:p>
            <w:pPr>
              <w:spacing w:line="360" w:lineRule="auto"/>
              <w:rPr>
                <w:b/>
                <w:sz w:val="24"/>
                <w:szCs w:val="24"/>
              </w:rPr>
            </w:pPr>
          </w:p>
        </w:tc>
      </w:tr>
    </w:tbl>
    <w:p>
      <w:pPr>
        <w:rPr>
          <w:rFonts w:hint="eastAsia" w:ascii="宋体" w:hAnsi="宋体"/>
          <w:sz w:val="28"/>
          <w:szCs w:val="28"/>
        </w:rPr>
        <w:sectPr>
          <w:pgSz w:w="11906" w:h="16838"/>
          <w:pgMar w:top="1134" w:right="1134" w:bottom="1134" w:left="1134" w:header="851" w:footer="992" w:gutter="0"/>
          <w:cols w:space="720" w:num="1"/>
          <w:docGrid w:type="lines" w:linePitch="312" w:charSpace="0"/>
        </w:sectPr>
      </w:pPr>
    </w:p>
    <w:p>
      <w:pPr>
        <w:pStyle w:val="39"/>
        <w:jc w:val="center"/>
        <w:rPr>
          <w:rFonts w:hint="eastAsia" w:ascii="黑体" w:hAnsi="黑体" w:eastAsia="黑体"/>
          <w:b w:val="0"/>
          <w:sz w:val="30"/>
          <w:szCs w:val="30"/>
        </w:rPr>
      </w:pPr>
      <w:bookmarkStart w:id="6" w:name="_Toc126243458"/>
      <w:r>
        <w:rPr>
          <w:rFonts w:hint="eastAsia" w:ascii="黑体" w:hAnsi="黑体" w:eastAsia="黑体"/>
          <w:b w:val="0"/>
          <w:sz w:val="30"/>
          <w:szCs w:val="30"/>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394335</wp:posOffset>
                </wp:positionV>
                <wp:extent cx="981075" cy="400050"/>
                <wp:effectExtent l="0" t="0" r="28575" b="19050"/>
                <wp:wrapNone/>
                <wp:docPr id="45" name="直接连接符 45"/>
                <wp:cNvGraphicFramePr/>
                <a:graphic xmlns:a="http://schemas.openxmlformats.org/drawingml/2006/main">
                  <a:graphicData uri="http://schemas.microsoft.com/office/word/2010/wordprocessingShape">
                    <wps:wsp>
                      <wps:cNvCnPr/>
                      <wps:spPr>
                        <a:xfrm>
                          <a:off x="0" y="0"/>
                          <a:ext cx="981075" cy="400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31.05pt;height:31.5pt;width:77.25pt;z-index:251659264;mso-width-relative:page;mso-height-relative:page;" filled="f" stroked="t" coordsize="21600,21600" o:gfxdata="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K7+qdYAAAAJAQAADwAAAAAA&#10;AAABACAAAAAiAAAAZHJzL2Rvd25yZXYueG1sUEsBAhQAFAAAAAgAh07iQPtG8IrcAQAAoAMAAA4A&#10;AAAAAAAAAQAgAAAAJQEAAGRycy9lMm9Eb2MueG1sUEsFBgAAAAAGAAYAWQEAAHMFAAAAAA==&#10;">
                <v:fill on="f" focussize="0,0"/>
                <v:stroke color="#000000 [3213]" joinstyle="round"/>
                <v:imagedata o:title=""/>
                <o:lock v:ext="edit" aspectratio="f"/>
              </v:line>
            </w:pict>
          </mc:Fallback>
        </mc:AlternateContent>
      </w:r>
      <w:r>
        <w:rPr>
          <w:rFonts w:hint="eastAsia" w:ascii="黑体" w:hAnsi="黑体" w:eastAsia="黑体"/>
          <w:b w:val="0"/>
          <w:sz w:val="30"/>
          <w:szCs w:val="30"/>
        </w:rPr>
        <w:t>五、环境保护措施监督检查清单</w:t>
      </w:r>
      <w:bookmarkEnd w:id="6"/>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1793"/>
        <w:gridCol w:w="1494"/>
        <w:gridCol w:w="2692"/>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Align w:val="center"/>
          </w:tcPr>
          <w:p>
            <w:pPr>
              <w:jc w:val="right"/>
              <w:rPr>
                <w:rFonts w:cs="Times New Roman" w:eastAsiaTheme="minorEastAsia"/>
                <w:szCs w:val="21"/>
              </w:rPr>
            </w:pPr>
            <w:r>
              <w:rPr>
                <w:rFonts w:cs="Times New Roman" w:eastAsiaTheme="minorEastAsia"/>
                <w:szCs w:val="21"/>
              </w:rPr>
              <w:t>内容</w:t>
            </w:r>
          </w:p>
          <w:p>
            <w:pPr>
              <w:rPr>
                <w:rFonts w:cs="Times New Roman" w:eastAsiaTheme="minorEastAsia"/>
                <w:szCs w:val="21"/>
              </w:rPr>
            </w:pPr>
            <w:r>
              <w:rPr>
                <w:rFonts w:hint="eastAsia" w:cs="Times New Roman" w:eastAsiaTheme="minorEastAsia"/>
                <w:szCs w:val="21"/>
              </w:rPr>
              <w:t>要素</w:t>
            </w:r>
          </w:p>
        </w:tc>
        <w:tc>
          <w:tcPr>
            <w:tcW w:w="910" w:type="pct"/>
            <w:vAlign w:val="center"/>
          </w:tcPr>
          <w:p>
            <w:pPr>
              <w:jc w:val="center"/>
              <w:rPr>
                <w:rFonts w:cs="Times New Roman" w:eastAsiaTheme="minorEastAsia"/>
                <w:szCs w:val="21"/>
              </w:rPr>
            </w:pPr>
            <w:r>
              <w:rPr>
                <w:rFonts w:cs="Times New Roman" w:eastAsiaTheme="minorEastAsia"/>
                <w:szCs w:val="21"/>
              </w:rPr>
              <w:t>排放口</w:t>
            </w:r>
            <w:r>
              <w:rPr>
                <w:rFonts w:hint="eastAsia" w:cs="Times New Roman" w:eastAsiaTheme="minorEastAsia"/>
                <w:szCs w:val="21"/>
              </w:rPr>
              <w:t>（</w:t>
            </w:r>
            <w:r>
              <w:rPr>
                <w:rFonts w:cs="Times New Roman" w:eastAsiaTheme="minorEastAsia"/>
                <w:szCs w:val="21"/>
              </w:rPr>
              <w:t>编号</w:t>
            </w:r>
            <w:r>
              <w:rPr>
                <w:rFonts w:hint="eastAsia" w:cs="Times New Roman" w:eastAsiaTheme="minorEastAsia"/>
                <w:szCs w:val="21"/>
              </w:rPr>
              <w:t>、</w:t>
            </w:r>
            <w:r>
              <w:rPr>
                <w:rFonts w:cs="Times New Roman" w:eastAsiaTheme="minorEastAsia"/>
                <w:szCs w:val="21"/>
              </w:rPr>
              <w:t>名称</w:t>
            </w:r>
            <w:r>
              <w:rPr>
                <w:rFonts w:hint="eastAsia" w:cs="Times New Roman" w:eastAsiaTheme="minorEastAsia"/>
                <w:szCs w:val="21"/>
              </w:rPr>
              <w:t>）/污染源</w:t>
            </w:r>
          </w:p>
        </w:tc>
        <w:tc>
          <w:tcPr>
            <w:tcW w:w="758" w:type="pct"/>
            <w:vAlign w:val="center"/>
          </w:tcPr>
          <w:p>
            <w:pPr>
              <w:jc w:val="center"/>
              <w:rPr>
                <w:rFonts w:cs="Times New Roman" w:eastAsiaTheme="minorEastAsia"/>
                <w:szCs w:val="21"/>
              </w:rPr>
            </w:pPr>
            <w:r>
              <w:rPr>
                <w:rFonts w:cs="Times New Roman" w:eastAsiaTheme="minorEastAsia"/>
                <w:szCs w:val="21"/>
              </w:rPr>
              <w:t>污染物项目</w:t>
            </w:r>
          </w:p>
        </w:tc>
        <w:tc>
          <w:tcPr>
            <w:tcW w:w="1366" w:type="pct"/>
            <w:vAlign w:val="center"/>
          </w:tcPr>
          <w:p>
            <w:pPr>
              <w:jc w:val="center"/>
              <w:rPr>
                <w:rFonts w:cs="Times New Roman" w:eastAsiaTheme="minorEastAsia"/>
                <w:szCs w:val="21"/>
              </w:rPr>
            </w:pPr>
            <w:r>
              <w:rPr>
                <w:rFonts w:cs="Times New Roman" w:eastAsiaTheme="minorEastAsia"/>
                <w:szCs w:val="21"/>
              </w:rPr>
              <w:t>环境保护措施</w:t>
            </w:r>
          </w:p>
        </w:tc>
        <w:tc>
          <w:tcPr>
            <w:tcW w:w="1134" w:type="pct"/>
            <w:vAlign w:val="center"/>
          </w:tcPr>
          <w:p>
            <w:pPr>
              <w:jc w:val="center"/>
              <w:rPr>
                <w:rFonts w:cs="Times New Roman" w:eastAsiaTheme="minorEastAsia"/>
                <w:szCs w:val="21"/>
              </w:rPr>
            </w:pPr>
            <w:r>
              <w:rPr>
                <w:rFonts w:hint="eastAsia" w:cs="Times New Roman" w:eastAsiaTheme="minorEastAsia"/>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Merge w:val="restart"/>
            <w:vAlign w:val="center"/>
          </w:tcPr>
          <w:p>
            <w:pPr>
              <w:jc w:val="center"/>
              <w:rPr>
                <w:rFonts w:cs="Times New Roman" w:eastAsiaTheme="minorEastAsia"/>
                <w:szCs w:val="21"/>
              </w:rPr>
            </w:pPr>
            <w:r>
              <w:rPr>
                <w:rFonts w:cs="Times New Roman" w:eastAsiaTheme="minorEastAsia"/>
                <w:szCs w:val="21"/>
              </w:rPr>
              <w:t>大气环境</w:t>
            </w:r>
          </w:p>
        </w:tc>
        <w:tc>
          <w:tcPr>
            <w:tcW w:w="910" w:type="pct"/>
            <w:vAlign w:val="center"/>
          </w:tcPr>
          <w:p>
            <w:pPr>
              <w:jc w:val="center"/>
              <w:rPr>
                <w:rFonts w:cs="Times New Roman"/>
                <w:szCs w:val="21"/>
              </w:rPr>
            </w:pPr>
            <w:r>
              <w:rPr>
                <w:rFonts w:hint="eastAsia"/>
                <w:szCs w:val="21"/>
              </w:rPr>
              <w:t>制砂、筛分粉尘</w:t>
            </w:r>
          </w:p>
        </w:tc>
        <w:tc>
          <w:tcPr>
            <w:tcW w:w="758" w:type="pct"/>
            <w:vAlign w:val="center"/>
          </w:tcPr>
          <w:p>
            <w:pPr>
              <w:jc w:val="center"/>
              <w:rPr>
                <w:rFonts w:cs="Times New Roman" w:eastAsiaTheme="minorEastAsia"/>
                <w:szCs w:val="21"/>
              </w:rPr>
            </w:pPr>
            <w:r>
              <w:rPr>
                <w:rFonts w:hint="eastAsia" w:cs="Times New Roman" w:eastAsiaTheme="minorEastAsia"/>
                <w:szCs w:val="21"/>
              </w:rPr>
              <w:t>颗粒物</w:t>
            </w:r>
          </w:p>
        </w:tc>
        <w:tc>
          <w:tcPr>
            <w:tcW w:w="1366" w:type="pct"/>
            <w:vAlign w:val="center"/>
          </w:tcPr>
          <w:p>
            <w:pPr>
              <w:rPr>
                <w:rFonts w:cs="Times New Roman"/>
                <w:szCs w:val="21"/>
              </w:rPr>
            </w:pPr>
            <w:r>
              <w:rPr>
                <w:rFonts w:hint="eastAsia"/>
                <w:szCs w:val="21"/>
              </w:rPr>
              <w:t>制砂楼密闭，设集气罩+袋式除尘器（TA151）+</w:t>
            </w:r>
            <w:r>
              <w:rPr>
                <w:szCs w:val="21"/>
              </w:rPr>
              <w:t>20</w:t>
            </w:r>
            <w:r>
              <w:rPr>
                <w:rFonts w:hint="eastAsia"/>
                <w:szCs w:val="21"/>
              </w:rPr>
              <w:t>m高排气筒（DA151）</w:t>
            </w:r>
          </w:p>
        </w:tc>
        <w:tc>
          <w:tcPr>
            <w:tcW w:w="1134" w:type="pct"/>
            <w:vMerge w:val="restart"/>
            <w:vAlign w:val="center"/>
          </w:tcPr>
          <w:p>
            <w:pPr>
              <w:jc w:val="center"/>
              <w:rPr>
                <w:rFonts w:cs="Times New Roman" w:eastAsiaTheme="minorEastAsia"/>
                <w:szCs w:val="21"/>
              </w:rPr>
            </w:pPr>
            <w:r>
              <w:rPr>
                <w:rFonts w:hint="eastAsia" w:cs="Times New Roman" w:eastAsiaTheme="minorEastAsia"/>
                <w:szCs w:val="21"/>
              </w:rPr>
              <w:t>《四川省水泥工业大气污染物排放标准》（DB51/2864-2021）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Merge w:val="continue"/>
            <w:vAlign w:val="center"/>
          </w:tcPr>
          <w:p>
            <w:pPr>
              <w:jc w:val="center"/>
              <w:rPr>
                <w:rFonts w:cs="Times New Roman" w:eastAsiaTheme="minorEastAsia"/>
                <w:szCs w:val="21"/>
              </w:rPr>
            </w:pPr>
          </w:p>
        </w:tc>
        <w:tc>
          <w:tcPr>
            <w:tcW w:w="910" w:type="pct"/>
            <w:vAlign w:val="center"/>
          </w:tcPr>
          <w:p>
            <w:pPr>
              <w:jc w:val="center"/>
              <w:rPr>
                <w:szCs w:val="21"/>
              </w:rPr>
            </w:pPr>
            <w:r>
              <w:rPr>
                <w:rFonts w:hint="eastAsia"/>
                <w:szCs w:val="21"/>
              </w:rPr>
              <w:t>物料输送粉尘</w:t>
            </w:r>
          </w:p>
        </w:tc>
        <w:tc>
          <w:tcPr>
            <w:tcW w:w="758" w:type="pct"/>
            <w:vAlign w:val="center"/>
          </w:tcPr>
          <w:p>
            <w:pPr>
              <w:jc w:val="center"/>
              <w:rPr>
                <w:rFonts w:cs="Times New Roman" w:eastAsiaTheme="minorEastAsia"/>
                <w:szCs w:val="21"/>
              </w:rPr>
            </w:pPr>
            <w:r>
              <w:rPr>
                <w:rFonts w:hint="eastAsia" w:cs="Times New Roman" w:eastAsiaTheme="minorEastAsia"/>
                <w:szCs w:val="21"/>
              </w:rPr>
              <w:t>颗粒物</w:t>
            </w:r>
          </w:p>
        </w:tc>
        <w:tc>
          <w:tcPr>
            <w:tcW w:w="1366" w:type="pct"/>
            <w:vAlign w:val="center"/>
          </w:tcPr>
          <w:p>
            <w:pPr>
              <w:rPr>
                <w:szCs w:val="21"/>
              </w:rPr>
            </w:pPr>
            <w:r>
              <w:rPr>
                <w:rFonts w:hint="eastAsia"/>
                <w:szCs w:val="21"/>
              </w:rPr>
              <w:t>输送廊道封闭，中间转换点设集气罩+袋式除尘器（TA152）+</w:t>
            </w:r>
            <w:r>
              <w:rPr>
                <w:szCs w:val="21"/>
              </w:rPr>
              <w:t>20</w:t>
            </w:r>
            <w:r>
              <w:rPr>
                <w:rFonts w:hint="eastAsia"/>
                <w:szCs w:val="21"/>
              </w:rPr>
              <w:t>m高排气筒（DA152）</w:t>
            </w:r>
          </w:p>
        </w:tc>
        <w:tc>
          <w:tcPr>
            <w:tcW w:w="1134" w:type="pct"/>
            <w:vMerge w:val="continue"/>
            <w:vAlign w:val="center"/>
          </w:tcPr>
          <w:p>
            <w:pPr>
              <w:jc w:val="center"/>
              <w:rPr>
                <w:rFonts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Merge w:val="continue"/>
            <w:vAlign w:val="center"/>
          </w:tcPr>
          <w:p>
            <w:pPr>
              <w:jc w:val="center"/>
              <w:rPr>
                <w:rFonts w:cs="Times New Roman" w:eastAsiaTheme="minorEastAsia"/>
                <w:szCs w:val="21"/>
              </w:rPr>
            </w:pPr>
          </w:p>
        </w:tc>
        <w:tc>
          <w:tcPr>
            <w:tcW w:w="910" w:type="pct"/>
            <w:vAlign w:val="center"/>
          </w:tcPr>
          <w:p>
            <w:pPr>
              <w:jc w:val="center"/>
              <w:rPr>
                <w:szCs w:val="21"/>
              </w:rPr>
            </w:pPr>
            <w:r>
              <w:rPr>
                <w:rFonts w:hint="eastAsia"/>
                <w:szCs w:val="21"/>
              </w:rPr>
              <w:t>现有钢板仓粉尘</w:t>
            </w:r>
          </w:p>
        </w:tc>
        <w:tc>
          <w:tcPr>
            <w:tcW w:w="758" w:type="pct"/>
            <w:vAlign w:val="center"/>
          </w:tcPr>
          <w:p>
            <w:pPr>
              <w:jc w:val="center"/>
              <w:rPr>
                <w:rFonts w:cs="Times New Roman" w:eastAsiaTheme="minorEastAsia"/>
                <w:szCs w:val="21"/>
              </w:rPr>
            </w:pPr>
            <w:r>
              <w:rPr>
                <w:rFonts w:hint="eastAsia" w:cs="Times New Roman" w:eastAsiaTheme="minorEastAsia"/>
                <w:szCs w:val="21"/>
              </w:rPr>
              <w:t>颗粒物</w:t>
            </w:r>
          </w:p>
        </w:tc>
        <w:tc>
          <w:tcPr>
            <w:tcW w:w="1366" w:type="pct"/>
            <w:vAlign w:val="center"/>
          </w:tcPr>
          <w:p>
            <w:pPr>
              <w:jc w:val="center"/>
              <w:rPr>
                <w:szCs w:val="21"/>
              </w:rPr>
            </w:pPr>
            <w:r>
              <w:rPr>
                <w:rFonts w:hint="eastAsia"/>
                <w:szCs w:val="21"/>
              </w:rPr>
              <w:t>密闭</w:t>
            </w:r>
            <w:r>
              <w:rPr>
                <w:rFonts w:hint="eastAsia"/>
              </w:rPr>
              <w:t>管道</w:t>
            </w:r>
            <w:r>
              <w:rPr>
                <w:rFonts w:hint="eastAsia"/>
                <w:szCs w:val="21"/>
              </w:rPr>
              <w:t>收尘+袋式除尘器（TA122）+31.2m高排气筒（DA115）</w:t>
            </w:r>
          </w:p>
        </w:tc>
        <w:tc>
          <w:tcPr>
            <w:tcW w:w="1134" w:type="pct"/>
            <w:vMerge w:val="continue"/>
            <w:vAlign w:val="center"/>
          </w:tcPr>
          <w:p>
            <w:pPr>
              <w:jc w:val="center"/>
              <w:rPr>
                <w:rFonts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Merge w:val="continue"/>
            <w:vAlign w:val="center"/>
          </w:tcPr>
          <w:p>
            <w:pPr>
              <w:jc w:val="center"/>
              <w:rPr>
                <w:rFonts w:cs="Times New Roman" w:eastAsiaTheme="minorEastAsia"/>
                <w:szCs w:val="21"/>
              </w:rPr>
            </w:pPr>
          </w:p>
        </w:tc>
        <w:tc>
          <w:tcPr>
            <w:tcW w:w="910" w:type="pct"/>
            <w:vAlign w:val="center"/>
          </w:tcPr>
          <w:p>
            <w:pPr>
              <w:jc w:val="center"/>
              <w:rPr>
                <w:szCs w:val="21"/>
              </w:rPr>
            </w:pPr>
            <w:r>
              <w:rPr>
                <w:rFonts w:hint="eastAsia"/>
                <w:szCs w:val="21"/>
              </w:rPr>
              <w:t>1#骨料仓粉尘</w:t>
            </w:r>
          </w:p>
        </w:tc>
        <w:tc>
          <w:tcPr>
            <w:tcW w:w="758" w:type="pct"/>
            <w:vAlign w:val="center"/>
          </w:tcPr>
          <w:p>
            <w:pPr>
              <w:jc w:val="center"/>
              <w:rPr>
                <w:rFonts w:cs="Times New Roman" w:eastAsiaTheme="minorEastAsia"/>
                <w:szCs w:val="21"/>
              </w:rPr>
            </w:pPr>
            <w:r>
              <w:rPr>
                <w:rFonts w:hint="eastAsia" w:cs="Times New Roman" w:eastAsiaTheme="minorEastAsia"/>
                <w:szCs w:val="21"/>
              </w:rPr>
              <w:t>颗粒物</w:t>
            </w:r>
          </w:p>
        </w:tc>
        <w:tc>
          <w:tcPr>
            <w:tcW w:w="1366" w:type="pct"/>
            <w:vAlign w:val="center"/>
          </w:tcPr>
          <w:p>
            <w:pPr>
              <w:jc w:val="center"/>
              <w:rPr>
                <w:szCs w:val="21"/>
              </w:rPr>
            </w:pPr>
            <w:r>
              <w:rPr>
                <w:rFonts w:hint="eastAsia"/>
                <w:szCs w:val="21"/>
              </w:rPr>
              <w:t>密闭</w:t>
            </w:r>
            <w:r>
              <w:rPr>
                <w:rFonts w:hint="eastAsia"/>
              </w:rPr>
              <w:t>管道</w:t>
            </w:r>
            <w:r>
              <w:rPr>
                <w:rFonts w:hint="eastAsia"/>
                <w:szCs w:val="21"/>
              </w:rPr>
              <w:t>收尘+袋式除尘器（TA138）+16m高排气筒（DA090）</w:t>
            </w:r>
          </w:p>
        </w:tc>
        <w:tc>
          <w:tcPr>
            <w:tcW w:w="1134" w:type="pct"/>
            <w:vMerge w:val="continue"/>
            <w:vAlign w:val="center"/>
          </w:tcPr>
          <w:p>
            <w:pPr>
              <w:jc w:val="center"/>
              <w:rPr>
                <w:rFonts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Merge w:val="continue"/>
            <w:vAlign w:val="center"/>
          </w:tcPr>
          <w:p>
            <w:pPr>
              <w:jc w:val="center"/>
              <w:rPr>
                <w:rFonts w:cs="Times New Roman" w:eastAsiaTheme="minorEastAsia"/>
                <w:szCs w:val="21"/>
              </w:rPr>
            </w:pPr>
          </w:p>
        </w:tc>
        <w:tc>
          <w:tcPr>
            <w:tcW w:w="910" w:type="pct"/>
            <w:vAlign w:val="center"/>
          </w:tcPr>
          <w:p>
            <w:pPr>
              <w:jc w:val="center"/>
              <w:rPr>
                <w:szCs w:val="21"/>
              </w:rPr>
            </w:pPr>
            <w:r>
              <w:rPr>
                <w:rFonts w:hint="eastAsia"/>
                <w:szCs w:val="21"/>
              </w:rPr>
              <w:t>2#骨料仓粉尘</w:t>
            </w:r>
          </w:p>
        </w:tc>
        <w:tc>
          <w:tcPr>
            <w:tcW w:w="758" w:type="pct"/>
            <w:vAlign w:val="center"/>
          </w:tcPr>
          <w:p>
            <w:pPr>
              <w:jc w:val="center"/>
              <w:rPr>
                <w:rFonts w:cs="Times New Roman" w:eastAsiaTheme="minorEastAsia"/>
                <w:szCs w:val="21"/>
              </w:rPr>
            </w:pPr>
            <w:r>
              <w:rPr>
                <w:rFonts w:hint="eastAsia" w:cs="Times New Roman" w:eastAsiaTheme="minorEastAsia"/>
                <w:szCs w:val="21"/>
              </w:rPr>
              <w:t>颗粒物</w:t>
            </w:r>
          </w:p>
        </w:tc>
        <w:tc>
          <w:tcPr>
            <w:tcW w:w="1366" w:type="pct"/>
            <w:vAlign w:val="center"/>
          </w:tcPr>
          <w:p>
            <w:pPr>
              <w:jc w:val="center"/>
              <w:rPr>
                <w:szCs w:val="21"/>
              </w:rPr>
            </w:pPr>
            <w:r>
              <w:rPr>
                <w:rFonts w:hint="eastAsia"/>
                <w:szCs w:val="21"/>
              </w:rPr>
              <w:t>密闭</w:t>
            </w:r>
            <w:r>
              <w:rPr>
                <w:rFonts w:hint="eastAsia"/>
              </w:rPr>
              <w:t>管道</w:t>
            </w:r>
            <w:r>
              <w:rPr>
                <w:rFonts w:hint="eastAsia"/>
                <w:szCs w:val="21"/>
              </w:rPr>
              <w:t>收尘+袋式除尘器（TA137）+22m高排气筒（DA097）</w:t>
            </w:r>
          </w:p>
        </w:tc>
        <w:tc>
          <w:tcPr>
            <w:tcW w:w="1134" w:type="pct"/>
            <w:vMerge w:val="continue"/>
            <w:vAlign w:val="center"/>
          </w:tcPr>
          <w:p>
            <w:pPr>
              <w:jc w:val="center"/>
              <w:rPr>
                <w:rFonts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Merge w:val="continue"/>
            <w:vAlign w:val="center"/>
          </w:tcPr>
          <w:p>
            <w:pPr>
              <w:jc w:val="center"/>
              <w:rPr>
                <w:rFonts w:cs="Times New Roman" w:eastAsiaTheme="minorEastAsia"/>
                <w:szCs w:val="21"/>
              </w:rPr>
            </w:pPr>
          </w:p>
        </w:tc>
        <w:tc>
          <w:tcPr>
            <w:tcW w:w="910" w:type="pct"/>
            <w:vAlign w:val="center"/>
          </w:tcPr>
          <w:p>
            <w:pPr>
              <w:jc w:val="center"/>
              <w:rPr>
                <w:szCs w:val="21"/>
              </w:rPr>
            </w:pPr>
            <w:r>
              <w:rPr>
                <w:rFonts w:hint="eastAsia"/>
                <w:szCs w:val="21"/>
              </w:rPr>
              <w:t>新建钢板仓、成品砂库、微粉库粉尘</w:t>
            </w:r>
          </w:p>
        </w:tc>
        <w:tc>
          <w:tcPr>
            <w:tcW w:w="758" w:type="pct"/>
            <w:vAlign w:val="center"/>
          </w:tcPr>
          <w:p>
            <w:pPr>
              <w:jc w:val="center"/>
              <w:rPr>
                <w:rFonts w:cs="Times New Roman" w:eastAsiaTheme="minorEastAsia"/>
                <w:szCs w:val="21"/>
              </w:rPr>
            </w:pPr>
            <w:r>
              <w:rPr>
                <w:rFonts w:hint="eastAsia" w:cs="Times New Roman" w:eastAsiaTheme="minorEastAsia"/>
                <w:szCs w:val="21"/>
              </w:rPr>
              <w:t>颗粒物</w:t>
            </w:r>
          </w:p>
        </w:tc>
        <w:tc>
          <w:tcPr>
            <w:tcW w:w="1366" w:type="pct"/>
            <w:vAlign w:val="center"/>
          </w:tcPr>
          <w:p>
            <w:pPr>
              <w:rPr>
                <w:szCs w:val="21"/>
              </w:rPr>
            </w:pPr>
            <w:r>
              <w:rPr>
                <w:rFonts w:hint="eastAsia"/>
                <w:szCs w:val="21"/>
              </w:rPr>
              <w:t>密闭</w:t>
            </w:r>
            <w:r>
              <w:rPr>
                <w:rFonts w:hint="eastAsia"/>
              </w:rPr>
              <w:t>管道</w:t>
            </w:r>
            <w:r>
              <w:rPr>
                <w:rFonts w:hint="eastAsia"/>
                <w:szCs w:val="21"/>
              </w:rPr>
              <w:t>收尘+袋式除尘器（TA153~TA155）+20m高排气筒（DA153~DA155）</w:t>
            </w:r>
          </w:p>
        </w:tc>
        <w:tc>
          <w:tcPr>
            <w:tcW w:w="1134" w:type="pct"/>
            <w:vMerge w:val="continue"/>
            <w:vAlign w:val="center"/>
          </w:tcPr>
          <w:p>
            <w:pPr>
              <w:jc w:val="center"/>
              <w:rPr>
                <w:rFonts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Merge w:val="continue"/>
            <w:vAlign w:val="center"/>
          </w:tcPr>
          <w:p>
            <w:pPr>
              <w:jc w:val="center"/>
              <w:rPr>
                <w:rFonts w:cs="Times New Roman" w:eastAsiaTheme="minorEastAsia"/>
                <w:szCs w:val="21"/>
              </w:rPr>
            </w:pPr>
          </w:p>
        </w:tc>
        <w:tc>
          <w:tcPr>
            <w:tcW w:w="910" w:type="pct"/>
            <w:vAlign w:val="center"/>
          </w:tcPr>
          <w:p>
            <w:pPr>
              <w:jc w:val="center"/>
              <w:rPr>
                <w:szCs w:val="21"/>
              </w:rPr>
            </w:pPr>
            <w:r>
              <w:rPr>
                <w:rFonts w:hint="eastAsia"/>
                <w:szCs w:val="21"/>
              </w:rPr>
              <w:t>装车粉尘</w:t>
            </w:r>
          </w:p>
        </w:tc>
        <w:tc>
          <w:tcPr>
            <w:tcW w:w="758" w:type="pct"/>
            <w:vAlign w:val="center"/>
          </w:tcPr>
          <w:p>
            <w:pPr>
              <w:jc w:val="center"/>
              <w:rPr>
                <w:rFonts w:cs="Times New Roman" w:eastAsiaTheme="minorEastAsia"/>
                <w:szCs w:val="21"/>
              </w:rPr>
            </w:pPr>
            <w:r>
              <w:rPr>
                <w:rFonts w:hint="eastAsia" w:cs="Times New Roman" w:eastAsiaTheme="minorEastAsia"/>
                <w:szCs w:val="21"/>
              </w:rPr>
              <w:t>颗粒物</w:t>
            </w:r>
          </w:p>
        </w:tc>
        <w:tc>
          <w:tcPr>
            <w:tcW w:w="1366" w:type="pct"/>
            <w:vAlign w:val="center"/>
          </w:tcPr>
          <w:p>
            <w:pPr>
              <w:rPr>
                <w:szCs w:val="21"/>
              </w:rPr>
            </w:pPr>
            <w:r>
              <w:rPr>
                <w:rFonts w:hint="eastAsia"/>
                <w:szCs w:val="21"/>
              </w:rPr>
              <w:t>设封闭式装车区，配套自动卷帘门，装卸口设集气罩接入现有骨料仓袋式除尘器</w:t>
            </w:r>
          </w:p>
        </w:tc>
        <w:tc>
          <w:tcPr>
            <w:tcW w:w="1134" w:type="pct"/>
            <w:vMerge w:val="continue"/>
            <w:vAlign w:val="center"/>
          </w:tcPr>
          <w:p>
            <w:pPr>
              <w:jc w:val="center"/>
              <w:rPr>
                <w:rFonts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32" w:type="pct"/>
            <w:vAlign w:val="center"/>
          </w:tcPr>
          <w:p>
            <w:pPr>
              <w:jc w:val="center"/>
              <w:rPr>
                <w:rFonts w:cs="Times New Roman" w:eastAsiaTheme="minorEastAsia"/>
                <w:szCs w:val="21"/>
              </w:rPr>
            </w:pPr>
            <w:r>
              <w:rPr>
                <w:rFonts w:cs="Times New Roman" w:eastAsiaTheme="minorEastAsia"/>
                <w:szCs w:val="21"/>
              </w:rPr>
              <w:t>地表水环境</w:t>
            </w:r>
          </w:p>
        </w:tc>
        <w:tc>
          <w:tcPr>
            <w:tcW w:w="910" w:type="pct"/>
            <w:vAlign w:val="center"/>
          </w:tcPr>
          <w:p>
            <w:pPr>
              <w:jc w:val="center"/>
              <w:rPr>
                <w:szCs w:val="21"/>
              </w:rPr>
            </w:pPr>
            <w:r>
              <w:rPr>
                <w:rFonts w:hint="eastAsia"/>
                <w:szCs w:val="21"/>
              </w:rPr>
              <w:t>车辆轮胎冲洗废水</w:t>
            </w:r>
          </w:p>
        </w:tc>
        <w:tc>
          <w:tcPr>
            <w:tcW w:w="758" w:type="pct"/>
            <w:vAlign w:val="center"/>
          </w:tcPr>
          <w:p>
            <w:pPr>
              <w:jc w:val="center"/>
              <w:rPr>
                <w:szCs w:val="21"/>
              </w:rPr>
            </w:pPr>
            <w:r>
              <w:rPr>
                <w:rFonts w:hint="eastAsia"/>
                <w:szCs w:val="21"/>
              </w:rPr>
              <w:t>悬浮物</w:t>
            </w:r>
          </w:p>
        </w:tc>
        <w:tc>
          <w:tcPr>
            <w:tcW w:w="1366" w:type="pct"/>
            <w:vAlign w:val="center"/>
          </w:tcPr>
          <w:p>
            <w:pPr>
              <w:jc w:val="center"/>
              <w:rPr>
                <w:szCs w:val="21"/>
              </w:rPr>
            </w:pPr>
            <w:r>
              <w:rPr>
                <w:rFonts w:hint="eastAsia"/>
                <w:bCs/>
                <w:szCs w:val="21"/>
              </w:rPr>
              <w:t>依托现有洗车平台配套沉淀池（1个，容积约50m</w:t>
            </w:r>
            <w:r>
              <w:rPr>
                <w:rFonts w:hint="eastAsia"/>
                <w:bCs/>
                <w:szCs w:val="21"/>
                <w:vertAlign w:val="superscript"/>
              </w:rPr>
              <w:t>3</w:t>
            </w:r>
            <w:r>
              <w:rPr>
                <w:rFonts w:hint="eastAsia"/>
                <w:bCs/>
                <w:szCs w:val="21"/>
              </w:rPr>
              <w:t>）处理后循环使用</w:t>
            </w:r>
          </w:p>
        </w:tc>
        <w:tc>
          <w:tcPr>
            <w:tcW w:w="1134" w:type="pct"/>
            <w:vAlign w:val="center"/>
          </w:tcPr>
          <w:p>
            <w:pPr>
              <w:jc w:val="center"/>
              <w:rPr>
                <w:rFonts w:cs="Times New Roman" w:eastAsiaTheme="minorEastAsia"/>
                <w:szCs w:val="21"/>
              </w:rPr>
            </w:pPr>
            <w:r>
              <w:rPr>
                <w:rFonts w:hint="eastAsia" w:cs="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32" w:type="pct"/>
            <w:vAlign w:val="center"/>
          </w:tcPr>
          <w:p>
            <w:pPr>
              <w:jc w:val="center"/>
              <w:rPr>
                <w:rFonts w:cs="Times New Roman" w:eastAsiaTheme="minorEastAsia"/>
                <w:szCs w:val="21"/>
              </w:rPr>
            </w:pPr>
            <w:r>
              <w:rPr>
                <w:rFonts w:cs="Times New Roman" w:eastAsiaTheme="minorEastAsia"/>
                <w:szCs w:val="21"/>
              </w:rPr>
              <w:t>声环境</w:t>
            </w:r>
          </w:p>
        </w:tc>
        <w:tc>
          <w:tcPr>
            <w:tcW w:w="910" w:type="pct"/>
            <w:vAlign w:val="center"/>
          </w:tcPr>
          <w:p>
            <w:pPr>
              <w:jc w:val="center"/>
              <w:rPr>
                <w:rFonts w:cs="Times New Roman" w:eastAsiaTheme="minorEastAsia"/>
                <w:szCs w:val="21"/>
              </w:rPr>
            </w:pPr>
            <w:r>
              <w:rPr>
                <w:rFonts w:hint="eastAsia" w:cs="Times New Roman" w:eastAsiaTheme="minorEastAsia"/>
                <w:szCs w:val="21"/>
              </w:rPr>
              <w:t>生产设备</w:t>
            </w:r>
          </w:p>
        </w:tc>
        <w:tc>
          <w:tcPr>
            <w:tcW w:w="758" w:type="pct"/>
            <w:vAlign w:val="center"/>
          </w:tcPr>
          <w:p>
            <w:pPr>
              <w:jc w:val="center"/>
              <w:rPr>
                <w:rFonts w:cs="Times New Roman" w:eastAsiaTheme="minorEastAsia"/>
                <w:szCs w:val="21"/>
              </w:rPr>
            </w:pPr>
            <w:r>
              <w:rPr>
                <w:rFonts w:cs="Times New Roman" w:eastAsiaTheme="minorEastAsia"/>
                <w:szCs w:val="21"/>
              </w:rPr>
              <w:t>噪声</w:t>
            </w:r>
          </w:p>
        </w:tc>
        <w:tc>
          <w:tcPr>
            <w:tcW w:w="1366" w:type="pct"/>
            <w:vAlign w:val="center"/>
          </w:tcPr>
          <w:p>
            <w:pPr>
              <w:jc w:val="center"/>
              <w:rPr>
                <w:rFonts w:cs="Times New Roman" w:eastAsiaTheme="minorEastAsia"/>
                <w:szCs w:val="21"/>
              </w:rPr>
            </w:pPr>
            <w:r>
              <w:rPr>
                <w:rFonts w:hint="eastAsia" w:cs="Times New Roman" w:eastAsiaTheme="minorEastAsia"/>
                <w:szCs w:val="21"/>
              </w:rPr>
              <w:t>选低噪声设备，采取基础减振、隔声措施</w:t>
            </w:r>
          </w:p>
        </w:tc>
        <w:tc>
          <w:tcPr>
            <w:tcW w:w="1134" w:type="pct"/>
            <w:vAlign w:val="center"/>
          </w:tcPr>
          <w:p>
            <w:pPr>
              <w:jc w:val="center"/>
              <w:rPr>
                <w:rFonts w:cs="Times New Roman" w:eastAsiaTheme="minorEastAsia"/>
                <w:szCs w:val="21"/>
              </w:rPr>
            </w:pPr>
            <w:r>
              <w:rPr>
                <w:rFonts w:hint="eastAsia" w:cs="Times New Roman" w:eastAsiaTheme="minorEastAsia"/>
                <w:szCs w:val="21"/>
              </w:rPr>
              <w:t>《工业企业厂界环境噪声排放标准》（GB12348-2008）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Align w:val="center"/>
          </w:tcPr>
          <w:p>
            <w:pPr>
              <w:jc w:val="center"/>
              <w:rPr>
                <w:rFonts w:cs="Times New Roman" w:eastAsiaTheme="minorEastAsia"/>
                <w:szCs w:val="21"/>
              </w:rPr>
            </w:pPr>
            <w:r>
              <w:rPr>
                <w:rFonts w:hint="eastAsia" w:cs="Times New Roman" w:eastAsiaTheme="minorEastAsia"/>
                <w:szCs w:val="21"/>
              </w:rPr>
              <w:t>电磁辐射</w:t>
            </w:r>
          </w:p>
        </w:tc>
        <w:tc>
          <w:tcPr>
            <w:tcW w:w="910" w:type="pct"/>
            <w:vAlign w:val="center"/>
          </w:tcPr>
          <w:p>
            <w:pPr>
              <w:jc w:val="center"/>
              <w:rPr>
                <w:rFonts w:cs="Times New Roman" w:eastAsiaTheme="minorEastAsia"/>
                <w:szCs w:val="21"/>
              </w:rPr>
            </w:pPr>
            <w:r>
              <w:rPr>
                <w:rFonts w:hint="eastAsia" w:cs="Times New Roman" w:eastAsiaTheme="minorEastAsia"/>
                <w:szCs w:val="21"/>
              </w:rPr>
              <w:t>/</w:t>
            </w:r>
          </w:p>
        </w:tc>
        <w:tc>
          <w:tcPr>
            <w:tcW w:w="758" w:type="pct"/>
            <w:vAlign w:val="center"/>
          </w:tcPr>
          <w:p>
            <w:pPr>
              <w:jc w:val="center"/>
              <w:rPr>
                <w:rFonts w:cs="Times New Roman" w:eastAsiaTheme="minorEastAsia"/>
                <w:szCs w:val="21"/>
              </w:rPr>
            </w:pPr>
            <w:r>
              <w:rPr>
                <w:rFonts w:hint="eastAsia" w:cs="Times New Roman" w:eastAsiaTheme="minorEastAsia"/>
                <w:szCs w:val="21"/>
              </w:rPr>
              <w:t>/</w:t>
            </w:r>
          </w:p>
        </w:tc>
        <w:tc>
          <w:tcPr>
            <w:tcW w:w="1366" w:type="pct"/>
            <w:vAlign w:val="center"/>
          </w:tcPr>
          <w:p>
            <w:pPr>
              <w:jc w:val="center"/>
              <w:rPr>
                <w:rFonts w:cs="Times New Roman" w:eastAsiaTheme="minorEastAsia"/>
                <w:szCs w:val="21"/>
              </w:rPr>
            </w:pPr>
            <w:r>
              <w:rPr>
                <w:rFonts w:hint="eastAsia" w:cs="Times New Roman" w:eastAsiaTheme="minorEastAsia"/>
                <w:szCs w:val="21"/>
              </w:rPr>
              <w:t>/</w:t>
            </w:r>
          </w:p>
        </w:tc>
        <w:tc>
          <w:tcPr>
            <w:tcW w:w="1134" w:type="pct"/>
            <w:vAlign w:val="center"/>
          </w:tcPr>
          <w:p>
            <w:pPr>
              <w:jc w:val="center"/>
              <w:rPr>
                <w:rFonts w:cs="Times New Roman" w:eastAsiaTheme="minorEastAsia"/>
                <w:szCs w:val="21"/>
              </w:rPr>
            </w:pPr>
            <w:r>
              <w:rPr>
                <w:rFonts w:hint="eastAsia" w:cs="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32" w:type="pct"/>
            <w:vAlign w:val="center"/>
          </w:tcPr>
          <w:p>
            <w:pPr>
              <w:jc w:val="center"/>
              <w:rPr>
                <w:rFonts w:cs="Times New Roman" w:eastAsiaTheme="minorEastAsia"/>
                <w:szCs w:val="21"/>
              </w:rPr>
            </w:pPr>
            <w:r>
              <w:rPr>
                <w:rFonts w:hint="eastAsia" w:cs="Times New Roman" w:eastAsiaTheme="minorEastAsia"/>
                <w:szCs w:val="21"/>
              </w:rPr>
              <w:t>固体废物</w:t>
            </w:r>
          </w:p>
        </w:tc>
        <w:tc>
          <w:tcPr>
            <w:tcW w:w="4168" w:type="pct"/>
            <w:gridSpan w:val="4"/>
            <w:vAlign w:val="center"/>
          </w:tcPr>
          <w:p>
            <w:pPr>
              <w:ind w:firstLine="420" w:firstLineChars="200"/>
              <w:rPr>
                <w:rFonts w:cs="Times New Roman" w:eastAsiaTheme="minorEastAsia"/>
                <w:szCs w:val="21"/>
              </w:rPr>
            </w:pPr>
            <w:r>
              <w:rPr>
                <w:rFonts w:hint="eastAsia" w:cs="Times New Roman" w:eastAsiaTheme="minorEastAsia"/>
                <w:szCs w:val="21"/>
              </w:rPr>
              <w:t>除尘设施及地面收集的粉尘回用于生产线，沉淀池泥沙清理后作为水泥辅材回用于生产线，实现综合利用；废润滑油及包装桶、含油棉纱及手套等危险废物依托厂区已建危废暂存间贮存，定期交由有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Align w:val="center"/>
          </w:tcPr>
          <w:p>
            <w:pPr>
              <w:jc w:val="center"/>
              <w:rPr>
                <w:rFonts w:cs="Times New Roman" w:eastAsiaTheme="minorEastAsia"/>
                <w:szCs w:val="21"/>
              </w:rPr>
            </w:pPr>
            <w:r>
              <w:rPr>
                <w:rFonts w:hint="eastAsia" w:cs="Times New Roman" w:eastAsiaTheme="minorEastAsia"/>
                <w:szCs w:val="21"/>
              </w:rPr>
              <w:t>土壤及地下水</w:t>
            </w:r>
          </w:p>
          <w:p>
            <w:pPr>
              <w:jc w:val="center"/>
              <w:rPr>
                <w:rFonts w:cs="Times New Roman" w:eastAsiaTheme="minorEastAsia"/>
                <w:szCs w:val="21"/>
              </w:rPr>
            </w:pPr>
            <w:r>
              <w:rPr>
                <w:rFonts w:hint="eastAsia" w:cs="Times New Roman" w:eastAsiaTheme="minorEastAsia"/>
                <w:szCs w:val="21"/>
              </w:rPr>
              <w:t>污染防治措施</w:t>
            </w:r>
          </w:p>
        </w:tc>
        <w:tc>
          <w:tcPr>
            <w:tcW w:w="4168" w:type="pct"/>
            <w:gridSpan w:val="4"/>
            <w:vAlign w:val="center"/>
          </w:tcPr>
          <w:p>
            <w:pPr>
              <w:ind w:firstLine="420" w:firstLineChars="200"/>
              <w:rPr>
                <w:rFonts w:cs="Times New Roman" w:eastAsiaTheme="minorEastAsia"/>
                <w:szCs w:val="21"/>
              </w:rPr>
            </w:pPr>
            <w:r>
              <w:rPr>
                <w:rFonts w:hint="eastAsia" w:cs="Times New Roman" w:eastAsiaTheme="minorEastAsia"/>
                <w:szCs w:val="21"/>
              </w:rPr>
              <w:t>新增空压机站采用采用原土夯实+30cm抗渗混凝土进行防渗处理，其余区域采用一般地面硬化；严格落实环评提出的粉尘控制措施，保证环保治理设施正常稳定运行，减少污染物排放；厂界应种植吸附能力强的植物，减轻对周围土壤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Align w:val="center"/>
          </w:tcPr>
          <w:p>
            <w:pPr>
              <w:jc w:val="center"/>
              <w:rPr>
                <w:rFonts w:cs="Times New Roman" w:eastAsiaTheme="minorEastAsia"/>
                <w:szCs w:val="21"/>
              </w:rPr>
            </w:pPr>
            <w:r>
              <w:rPr>
                <w:rFonts w:hint="eastAsia" w:cs="Times New Roman" w:eastAsiaTheme="minorEastAsia"/>
                <w:szCs w:val="21"/>
              </w:rPr>
              <w:t>生态保护措施</w:t>
            </w:r>
          </w:p>
        </w:tc>
        <w:tc>
          <w:tcPr>
            <w:tcW w:w="4168" w:type="pct"/>
            <w:gridSpan w:val="4"/>
            <w:vAlign w:val="center"/>
          </w:tcPr>
          <w:p>
            <w:pPr>
              <w:jc w:val="center"/>
              <w:rPr>
                <w:rFonts w:cs="Times New Roman" w:eastAsiaTheme="minorEastAsia"/>
                <w:szCs w:val="21"/>
              </w:rPr>
            </w:pPr>
            <w:r>
              <w:rPr>
                <w:rFonts w:hint="eastAsia" w:cs="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2" w:type="pct"/>
            <w:vAlign w:val="center"/>
          </w:tcPr>
          <w:p>
            <w:pPr>
              <w:jc w:val="center"/>
              <w:rPr>
                <w:rFonts w:cs="Times New Roman" w:eastAsiaTheme="minorEastAsia"/>
                <w:szCs w:val="21"/>
              </w:rPr>
            </w:pPr>
            <w:r>
              <w:rPr>
                <w:rFonts w:hint="eastAsia" w:cs="Times New Roman" w:eastAsiaTheme="minorEastAsia"/>
                <w:szCs w:val="21"/>
              </w:rPr>
              <w:t>环境风险</w:t>
            </w:r>
          </w:p>
          <w:p>
            <w:pPr>
              <w:jc w:val="center"/>
              <w:rPr>
                <w:rFonts w:cs="Times New Roman" w:eastAsiaTheme="minorEastAsia"/>
                <w:szCs w:val="21"/>
              </w:rPr>
            </w:pPr>
            <w:r>
              <w:rPr>
                <w:rFonts w:hint="eastAsia" w:cs="Times New Roman" w:eastAsiaTheme="minorEastAsia"/>
                <w:szCs w:val="21"/>
              </w:rPr>
              <w:t>防范措施</w:t>
            </w:r>
          </w:p>
        </w:tc>
        <w:tc>
          <w:tcPr>
            <w:tcW w:w="4168" w:type="pct"/>
            <w:gridSpan w:val="4"/>
            <w:vAlign w:val="center"/>
          </w:tcPr>
          <w:p>
            <w:pPr>
              <w:ind w:firstLine="420" w:firstLineChars="200"/>
              <w:rPr>
                <w:rFonts w:cs="Times New Roman" w:eastAsiaTheme="minorEastAsia"/>
                <w:szCs w:val="21"/>
              </w:rPr>
            </w:pPr>
            <w:r>
              <w:rPr>
                <w:rFonts w:hint="eastAsia" w:cs="Times New Roman" w:eastAsiaTheme="minorEastAsia"/>
                <w:szCs w:val="21"/>
              </w:rPr>
              <w:t>落实防火、防爆设计要求，设置防火标识、消防器材，制定环境风险应急预案。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832" w:type="pct"/>
            <w:vAlign w:val="center"/>
          </w:tcPr>
          <w:p>
            <w:pPr>
              <w:jc w:val="center"/>
              <w:rPr>
                <w:rFonts w:cs="Times New Roman" w:eastAsiaTheme="minorEastAsia"/>
                <w:szCs w:val="21"/>
              </w:rPr>
            </w:pPr>
            <w:r>
              <w:rPr>
                <w:rFonts w:hint="eastAsia" w:cs="Times New Roman" w:eastAsiaTheme="minorEastAsia"/>
                <w:szCs w:val="21"/>
              </w:rPr>
              <w:t>其他环境</w:t>
            </w:r>
          </w:p>
          <w:p>
            <w:pPr>
              <w:jc w:val="center"/>
              <w:rPr>
                <w:rFonts w:cs="Times New Roman" w:eastAsiaTheme="minorEastAsia"/>
                <w:szCs w:val="21"/>
              </w:rPr>
            </w:pPr>
            <w:r>
              <w:rPr>
                <w:rFonts w:hint="eastAsia" w:cs="Times New Roman" w:eastAsiaTheme="minorEastAsia"/>
                <w:szCs w:val="21"/>
              </w:rPr>
              <w:t>管理要求</w:t>
            </w:r>
          </w:p>
        </w:tc>
        <w:tc>
          <w:tcPr>
            <w:tcW w:w="4168" w:type="pct"/>
            <w:gridSpan w:val="4"/>
            <w:vAlign w:val="center"/>
          </w:tcPr>
          <w:p>
            <w:pPr>
              <w:ind w:firstLine="420" w:firstLineChars="200"/>
              <w:rPr>
                <w:rFonts w:cs="Times New Roman" w:eastAsiaTheme="minorEastAsia"/>
                <w:szCs w:val="21"/>
              </w:rPr>
            </w:pPr>
            <w:r>
              <w:rPr>
                <w:rFonts w:hint="eastAsia" w:cs="Times New Roman" w:eastAsiaTheme="minorEastAsia"/>
                <w:szCs w:val="21"/>
              </w:rPr>
              <w:t>制定自行监测方案，定期开展污染源监测。</w:t>
            </w:r>
          </w:p>
        </w:tc>
      </w:tr>
    </w:tbl>
    <w:p>
      <w:pPr>
        <w:spacing w:line="360" w:lineRule="auto"/>
        <w:rPr>
          <w:b/>
          <w:sz w:val="28"/>
          <w:szCs w:val="28"/>
        </w:rPr>
        <w:sectPr>
          <w:pgSz w:w="11906" w:h="16838"/>
          <w:pgMar w:top="1134" w:right="1134" w:bottom="1134" w:left="1134" w:header="851" w:footer="992" w:gutter="0"/>
          <w:cols w:space="720" w:num="1"/>
          <w:docGrid w:type="lines" w:linePitch="312" w:charSpace="0"/>
        </w:sectPr>
      </w:pPr>
    </w:p>
    <w:p>
      <w:pPr>
        <w:pStyle w:val="39"/>
        <w:jc w:val="center"/>
        <w:rPr>
          <w:rFonts w:hint="eastAsia" w:ascii="黑体" w:hAnsi="黑体" w:eastAsia="黑体"/>
          <w:b w:val="0"/>
          <w:sz w:val="30"/>
          <w:szCs w:val="30"/>
        </w:rPr>
      </w:pPr>
      <w:bookmarkStart w:id="7" w:name="_Toc126243459"/>
      <w:r>
        <w:rPr>
          <w:rFonts w:hint="eastAsia" w:ascii="黑体" w:hAnsi="黑体" w:eastAsia="黑体"/>
          <w:b w:val="0"/>
          <w:sz w:val="30"/>
          <w:szCs w:val="30"/>
        </w:rPr>
        <w:t>六、结论</w:t>
      </w:r>
      <w:bookmarkEnd w:id="7"/>
    </w:p>
    <w:tbl>
      <w:tblPr>
        <w:tblStyle w:val="1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shd w:val="clear" w:color="auto" w:fill="auto"/>
          </w:tcPr>
          <w:p>
            <w:pPr>
              <w:spacing w:line="360" w:lineRule="auto"/>
              <w:ind w:firstLine="480" w:firstLineChars="200"/>
              <w:rPr>
                <w:rFonts w:cs="Times New Roman"/>
                <w:sz w:val="24"/>
                <w:szCs w:val="24"/>
              </w:rPr>
            </w:pPr>
            <w:r>
              <w:rPr>
                <w:rFonts w:hint="eastAsia" w:cs="Times New Roman"/>
                <w:sz w:val="24"/>
                <w:szCs w:val="24"/>
              </w:rPr>
              <w:t>达州海螺水泥有限责任公司30万t/a机制砂技改项目符合国家现行产业政策，选址合理，符合“三线一单”相关要求，建设单位在认真落实本报告中提出的各项污染防治措施和有关管理措施，保证环境保护措施的有效运行，可确保污染物稳定达标排放。从环保角度而言，本项目的建设是可行的。</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tc>
      </w:tr>
    </w:tbl>
    <w:p>
      <w:pPr>
        <w:rPr>
          <w:rFonts w:hint="eastAsia" w:ascii="宋体" w:hAnsi="宋体"/>
          <w:sz w:val="24"/>
          <w:szCs w:val="24"/>
        </w:rPr>
        <w:sectPr>
          <w:pgSz w:w="11906" w:h="16838"/>
          <w:pgMar w:top="1134" w:right="1134" w:bottom="1134" w:left="1418" w:header="851" w:footer="992" w:gutter="0"/>
          <w:cols w:space="720" w:num="1"/>
          <w:docGrid w:type="lines" w:linePitch="312" w:charSpace="0"/>
        </w:sectPr>
      </w:pPr>
    </w:p>
    <w:p>
      <w:pPr>
        <w:pStyle w:val="39"/>
        <w:rPr>
          <w:rFonts w:hint="eastAsia" w:ascii="黑体" w:hAnsi="黑体" w:eastAsia="黑体"/>
          <w:b w:val="0"/>
          <w:sz w:val="30"/>
          <w:szCs w:val="30"/>
        </w:rPr>
      </w:pPr>
      <w:bookmarkStart w:id="8" w:name="_Toc126243460"/>
      <w:r>
        <w:rPr>
          <w:rFonts w:hint="eastAsia" w:ascii="黑体" w:hAnsi="黑体" w:eastAsia="黑体"/>
          <w:b w:val="0"/>
          <w:sz w:val="30"/>
          <w:szCs w:val="30"/>
        </w:rPr>
        <w:t>附表</w:t>
      </w:r>
      <w:bookmarkEnd w:id="8"/>
    </w:p>
    <w:p>
      <w:pPr>
        <w:jc w:val="center"/>
        <w:rPr>
          <w:rFonts w:hint="eastAsia" w:ascii="方正小标宋_GBK" w:hAnsi="宋体" w:eastAsia="方正小标宋_GBK"/>
          <w:sz w:val="36"/>
          <w:szCs w:val="36"/>
        </w:rPr>
      </w:pPr>
      <w:r>
        <w:rPr>
          <w:rFonts w:hint="eastAsia" w:ascii="方正小标宋_GBK" w:hAnsi="宋体" w:eastAsia="方正小标宋_GBK"/>
          <w:sz w:val="36"/>
          <w:szCs w:val="36"/>
        </w:rPr>
        <w:t>建设项目污染物排放量汇总表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01"/>
        <w:gridCol w:w="1701"/>
        <w:gridCol w:w="1559"/>
        <w:gridCol w:w="1843"/>
        <w:gridCol w:w="1843"/>
        <w:gridCol w:w="1701"/>
        <w:gridCol w:w="184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jc w:val="right"/>
              <w:rPr>
                <w:rFonts w:hint="eastAsia" w:ascii="黑体" w:hAnsi="黑体" w:eastAsia="黑体" w:cs="Times New Roman"/>
                <w:szCs w:val="21"/>
              </w:rPr>
            </w:pPr>
            <w:r>
              <w:rPr>
                <w:rFonts w:hint="eastAsia" w:ascii="方正小标宋_GBK" w:hAnsi="宋体" w:eastAsia="方正小标宋_GBK"/>
                <w:sz w:val="36"/>
                <w:szCs w:val="36"/>
              </w:rPr>
              <mc:AlternateContent>
                <mc:Choice Requires="wps">
                  <w:drawing>
                    <wp:anchor distT="0" distB="0" distL="114300" distR="114300" simplePos="0" relativeHeight="251660288" behindDoc="0" locked="0" layoutInCell="1" allowOverlap="1">
                      <wp:simplePos x="0" y="0"/>
                      <wp:positionH relativeFrom="margin">
                        <wp:posOffset>-69215</wp:posOffset>
                      </wp:positionH>
                      <wp:positionV relativeFrom="paragraph">
                        <wp:posOffset>-1905</wp:posOffset>
                      </wp:positionV>
                      <wp:extent cx="790575" cy="600075"/>
                      <wp:effectExtent l="0" t="0" r="28575" b="28575"/>
                      <wp:wrapNone/>
                      <wp:docPr id="1" name="直接连接符 1"/>
                      <wp:cNvGraphicFramePr/>
                      <a:graphic xmlns:a="http://schemas.openxmlformats.org/drawingml/2006/main">
                        <a:graphicData uri="http://schemas.microsoft.com/office/word/2010/wordprocessingShape">
                          <wps:wsp>
                            <wps:cNvCnPr/>
                            <wps:spPr>
                              <a:xfrm>
                                <a:off x="0" y="0"/>
                                <a:ext cx="790575" cy="600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5pt;margin-top:-0.15pt;height:47.25pt;width:62.25pt;mso-position-horizontal-relative:margin;z-index:251660288;mso-width-relative:page;mso-height-relative:page;" filled="f" stroked="t" coordsize="21600,21600" o:gfxdata="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aNyq21wAAAAgBAAAPAAAAAAAA&#10;AAEAIAAAACIAAABkcnMvZG93bnJldi54bWxQSwECFAAUAAAACACHTuJAutYxOdoBAACeAwAADgAA&#10;AAAAAAABACAAAAAmAQAAZHJzL2Uyb0RvYy54bWxQSwUGAAAAAAYABgBZAQAAcgUAAAAA&#10;">
                      <v:fill on="f" focussize="0,0"/>
                      <v:stroke color="#000000 [3213]" joinstyle="round"/>
                      <v:imagedata o:title=""/>
                      <o:lock v:ext="edit" aspectratio="f"/>
                    </v:line>
                  </w:pict>
                </mc:Fallback>
              </mc:AlternateContent>
            </w:r>
            <w:r>
              <w:rPr>
                <w:rFonts w:ascii="黑体" w:hAnsi="黑体" w:eastAsia="黑体" w:cs="Times New Roman"/>
                <w:szCs w:val="21"/>
              </w:rPr>
              <w:t>项目</w:t>
            </w:r>
          </w:p>
          <w:p>
            <w:pPr>
              <w:jc w:val="left"/>
              <w:rPr>
                <w:rFonts w:hint="eastAsia" w:ascii="黑体" w:hAnsi="黑体" w:eastAsia="黑体" w:cs="Times New Roman"/>
                <w:szCs w:val="21"/>
              </w:rPr>
            </w:pPr>
          </w:p>
          <w:p>
            <w:pPr>
              <w:jc w:val="left"/>
              <w:rPr>
                <w:rFonts w:hint="eastAsia" w:ascii="黑体" w:hAnsi="黑体" w:eastAsia="黑体" w:cs="Times New Roman"/>
                <w:szCs w:val="21"/>
              </w:rPr>
            </w:pPr>
            <w:r>
              <w:rPr>
                <w:rFonts w:ascii="黑体" w:hAnsi="黑体" w:eastAsia="黑体" w:cs="Times New Roman"/>
                <w:szCs w:val="21"/>
              </w:rPr>
              <w:t>分类</w:t>
            </w:r>
          </w:p>
        </w:tc>
        <w:tc>
          <w:tcPr>
            <w:tcW w:w="1701" w:type="dxa"/>
            <w:vAlign w:val="center"/>
          </w:tcPr>
          <w:p>
            <w:pPr>
              <w:jc w:val="center"/>
              <w:rPr>
                <w:rFonts w:hint="eastAsia" w:ascii="黑体" w:hAnsi="黑体" w:eastAsia="黑体" w:cs="Times New Roman"/>
                <w:szCs w:val="21"/>
              </w:rPr>
            </w:pPr>
            <w:r>
              <w:rPr>
                <w:rFonts w:ascii="黑体" w:hAnsi="黑体" w:eastAsia="黑体" w:cs="Times New Roman"/>
                <w:szCs w:val="21"/>
              </w:rPr>
              <w:t>污染物名称</w:t>
            </w:r>
          </w:p>
        </w:tc>
        <w:tc>
          <w:tcPr>
            <w:tcW w:w="1701" w:type="dxa"/>
            <w:vAlign w:val="center"/>
          </w:tcPr>
          <w:p>
            <w:pPr>
              <w:jc w:val="center"/>
              <w:rPr>
                <w:rFonts w:hint="eastAsia" w:ascii="黑体" w:hAnsi="黑体" w:eastAsia="黑体" w:cs="Times New Roman"/>
                <w:szCs w:val="21"/>
              </w:rPr>
            </w:pPr>
            <w:r>
              <w:rPr>
                <w:rFonts w:ascii="黑体" w:hAnsi="黑体" w:eastAsia="黑体" w:cs="Times New Roman"/>
                <w:szCs w:val="21"/>
              </w:rPr>
              <w:t>现有工程</w:t>
            </w:r>
          </w:p>
          <w:p>
            <w:pPr>
              <w:jc w:val="center"/>
              <w:rPr>
                <w:rFonts w:hint="eastAsia" w:ascii="黑体" w:hAnsi="黑体" w:eastAsia="黑体" w:cs="Times New Roman"/>
                <w:szCs w:val="21"/>
              </w:rPr>
            </w:pPr>
            <w:r>
              <w:rPr>
                <w:rFonts w:ascii="黑体" w:hAnsi="黑体" w:eastAsia="黑体" w:cs="Times New Roman"/>
                <w:szCs w:val="21"/>
              </w:rPr>
              <w:t>排放量（固体废物产生量）</w:t>
            </w:r>
            <w:r>
              <w:rPr>
                <w:rFonts w:hint="eastAsia" w:ascii="黑体" w:hAnsi="黑体" w:eastAsia="黑体" w:cs="宋体"/>
                <w:szCs w:val="21"/>
              </w:rPr>
              <w:t>①</w:t>
            </w:r>
          </w:p>
        </w:tc>
        <w:tc>
          <w:tcPr>
            <w:tcW w:w="1559" w:type="dxa"/>
            <w:vAlign w:val="center"/>
          </w:tcPr>
          <w:p>
            <w:pPr>
              <w:jc w:val="center"/>
              <w:rPr>
                <w:rFonts w:hint="eastAsia" w:ascii="黑体" w:hAnsi="黑体" w:eastAsia="黑体" w:cs="Times New Roman"/>
                <w:szCs w:val="21"/>
              </w:rPr>
            </w:pPr>
            <w:r>
              <w:rPr>
                <w:rFonts w:ascii="黑体" w:hAnsi="黑体" w:eastAsia="黑体" w:cs="Times New Roman"/>
                <w:szCs w:val="21"/>
              </w:rPr>
              <w:t>现有工程</w:t>
            </w:r>
          </w:p>
          <w:p>
            <w:pPr>
              <w:jc w:val="center"/>
              <w:rPr>
                <w:rFonts w:hint="eastAsia" w:ascii="黑体" w:hAnsi="黑体" w:eastAsia="黑体" w:cs="Times New Roman"/>
                <w:szCs w:val="21"/>
              </w:rPr>
            </w:pPr>
            <w:r>
              <w:rPr>
                <w:rFonts w:ascii="黑体" w:hAnsi="黑体" w:eastAsia="黑体" w:cs="Times New Roman"/>
                <w:szCs w:val="21"/>
              </w:rPr>
              <w:t>许可排放量</w:t>
            </w:r>
            <w:r>
              <w:rPr>
                <w:rFonts w:hint="eastAsia" w:ascii="黑体" w:hAnsi="黑体" w:eastAsia="黑体" w:cs="宋体"/>
                <w:szCs w:val="21"/>
              </w:rPr>
              <w:t>②</w:t>
            </w:r>
          </w:p>
        </w:tc>
        <w:tc>
          <w:tcPr>
            <w:tcW w:w="1843" w:type="dxa"/>
            <w:vAlign w:val="center"/>
          </w:tcPr>
          <w:p>
            <w:pPr>
              <w:jc w:val="center"/>
              <w:rPr>
                <w:rFonts w:hint="eastAsia" w:ascii="黑体" w:hAnsi="黑体" w:eastAsia="黑体" w:cs="Times New Roman"/>
                <w:szCs w:val="21"/>
              </w:rPr>
            </w:pPr>
            <w:r>
              <w:rPr>
                <w:rFonts w:ascii="黑体" w:hAnsi="黑体" w:eastAsia="黑体" w:cs="Times New Roman"/>
                <w:szCs w:val="21"/>
              </w:rPr>
              <w:t>在建工程</w:t>
            </w:r>
          </w:p>
          <w:p>
            <w:pPr>
              <w:jc w:val="center"/>
              <w:rPr>
                <w:rFonts w:hint="eastAsia" w:ascii="黑体" w:hAnsi="黑体" w:eastAsia="黑体" w:cs="Times New Roman"/>
                <w:szCs w:val="21"/>
              </w:rPr>
            </w:pPr>
            <w:r>
              <w:rPr>
                <w:rFonts w:ascii="黑体" w:hAnsi="黑体" w:eastAsia="黑体" w:cs="Times New Roman"/>
                <w:szCs w:val="21"/>
              </w:rPr>
              <w:t>排放量（固体废物产生量）</w:t>
            </w:r>
            <w:r>
              <w:rPr>
                <w:rFonts w:hint="eastAsia" w:ascii="黑体" w:hAnsi="黑体" w:eastAsia="黑体" w:cs="宋体"/>
                <w:szCs w:val="21"/>
              </w:rPr>
              <w:t>③</w:t>
            </w:r>
          </w:p>
        </w:tc>
        <w:tc>
          <w:tcPr>
            <w:tcW w:w="1843" w:type="dxa"/>
            <w:vAlign w:val="center"/>
          </w:tcPr>
          <w:p>
            <w:pPr>
              <w:jc w:val="center"/>
              <w:rPr>
                <w:rFonts w:hint="eastAsia" w:ascii="黑体" w:hAnsi="黑体" w:eastAsia="黑体" w:cs="Times New Roman"/>
                <w:szCs w:val="21"/>
              </w:rPr>
            </w:pPr>
            <w:r>
              <w:rPr>
                <w:rFonts w:ascii="黑体" w:hAnsi="黑体" w:eastAsia="黑体" w:cs="Times New Roman"/>
                <w:szCs w:val="21"/>
              </w:rPr>
              <w:t>本项目</w:t>
            </w:r>
          </w:p>
          <w:p>
            <w:pPr>
              <w:jc w:val="center"/>
              <w:rPr>
                <w:rFonts w:hint="eastAsia" w:ascii="黑体" w:hAnsi="黑体" w:eastAsia="黑体" w:cs="Times New Roman"/>
                <w:szCs w:val="21"/>
              </w:rPr>
            </w:pPr>
            <w:r>
              <w:rPr>
                <w:rFonts w:ascii="黑体" w:hAnsi="黑体" w:eastAsia="黑体" w:cs="Times New Roman"/>
                <w:szCs w:val="21"/>
              </w:rPr>
              <w:t>排放量（固体废物产生量）</w:t>
            </w:r>
            <w:r>
              <w:rPr>
                <w:rFonts w:hint="eastAsia" w:ascii="黑体" w:hAnsi="黑体" w:eastAsia="黑体" w:cs="宋体"/>
                <w:szCs w:val="21"/>
              </w:rPr>
              <w:t>④</w:t>
            </w:r>
          </w:p>
        </w:tc>
        <w:tc>
          <w:tcPr>
            <w:tcW w:w="1701" w:type="dxa"/>
            <w:vAlign w:val="center"/>
          </w:tcPr>
          <w:p>
            <w:pPr>
              <w:jc w:val="center"/>
              <w:rPr>
                <w:rFonts w:hint="eastAsia" w:ascii="黑体" w:hAnsi="黑体" w:eastAsia="黑体" w:cs="Times New Roman"/>
                <w:szCs w:val="21"/>
              </w:rPr>
            </w:pPr>
            <w:r>
              <w:rPr>
                <w:rFonts w:ascii="黑体" w:hAnsi="黑体" w:eastAsia="黑体" w:cs="Times New Roman"/>
                <w:szCs w:val="21"/>
              </w:rPr>
              <w:t>以新带老削减量</w:t>
            </w:r>
          </w:p>
          <w:p>
            <w:pPr>
              <w:jc w:val="center"/>
              <w:rPr>
                <w:rFonts w:hint="eastAsia" w:ascii="黑体" w:hAnsi="黑体" w:eastAsia="黑体" w:cs="Times New Roman"/>
                <w:szCs w:val="21"/>
              </w:rPr>
            </w:pPr>
            <w:r>
              <w:rPr>
                <w:rFonts w:ascii="黑体" w:hAnsi="黑体" w:eastAsia="黑体" w:cs="Times New Roman"/>
                <w:szCs w:val="21"/>
              </w:rPr>
              <w:t>（新建项目不填）</w:t>
            </w:r>
            <w:r>
              <w:rPr>
                <w:rFonts w:hint="eastAsia" w:ascii="黑体" w:hAnsi="黑体" w:eastAsia="黑体" w:cs="宋体"/>
                <w:szCs w:val="21"/>
              </w:rPr>
              <w:t>⑤</w:t>
            </w:r>
          </w:p>
        </w:tc>
        <w:tc>
          <w:tcPr>
            <w:tcW w:w="1843" w:type="dxa"/>
            <w:vAlign w:val="center"/>
          </w:tcPr>
          <w:p>
            <w:pPr>
              <w:jc w:val="center"/>
              <w:rPr>
                <w:rFonts w:hint="eastAsia" w:ascii="黑体" w:hAnsi="黑体" w:eastAsia="黑体" w:cs="Times New Roman"/>
                <w:szCs w:val="21"/>
              </w:rPr>
            </w:pPr>
            <w:r>
              <w:rPr>
                <w:rFonts w:ascii="黑体" w:hAnsi="黑体" w:eastAsia="黑体" w:cs="Times New Roman"/>
                <w:szCs w:val="21"/>
              </w:rPr>
              <w:t>本项目建成后</w:t>
            </w:r>
          </w:p>
          <w:p>
            <w:pPr>
              <w:rPr>
                <w:rFonts w:hint="eastAsia" w:ascii="黑体" w:hAnsi="黑体" w:eastAsia="黑体" w:cs="Times New Roman"/>
                <w:szCs w:val="21"/>
              </w:rPr>
            </w:pPr>
            <w:r>
              <w:rPr>
                <w:rFonts w:ascii="黑体" w:hAnsi="黑体" w:eastAsia="黑体" w:cs="Times New Roman"/>
                <w:szCs w:val="21"/>
              </w:rPr>
              <w:t>全厂排放量（固体废物产生量）</w:t>
            </w:r>
            <w:r>
              <w:rPr>
                <w:rFonts w:hint="eastAsia" w:ascii="黑体" w:hAnsi="黑体" w:eastAsia="黑体" w:cs="宋体"/>
                <w:szCs w:val="21"/>
              </w:rPr>
              <w:t>⑥</w:t>
            </w:r>
          </w:p>
        </w:tc>
        <w:tc>
          <w:tcPr>
            <w:tcW w:w="1098" w:type="dxa"/>
            <w:vAlign w:val="center"/>
          </w:tcPr>
          <w:p>
            <w:pPr>
              <w:jc w:val="center"/>
              <w:rPr>
                <w:rFonts w:hint="eastAsia" w:ascii="黑体" w:hAnsi="黑体" w:eastAsia="黑体" w:cs="Times New Roman"/>
                <w:szCs w:val="21"/>
              </w:rPr>
            </w:pPr>
            <w:r>
              <w:rPr>
                <w:rFonts w:ascii="黑体" w:hAnsi="黑体" w:eastAsia="黑体" w:cs="Times New Roman"/>
                <w:szCs w:val="21"/>
              </w:rPr>
              <w:t>变化量</w:t>
            </w:r>
          </w:p>
          <w:p>
            <w:pPr>
              <w:jc w:val="center"/>
              <w:rPr>
                <w:rFonts w:hint="eastAsia" w:ascii="黑体" w:hAnsi="黑体" w:eastAsia="黑体" w:cs="Times New Roman"/>
                <w:szCs w:val="21"/>
              </w:rPr>
            </w:pPr>
            <w:r>
              <w:rPr>
                <w:rFonts w:hint="eastAsia" w:ascii="黑体" w:hAnsi="黑体" w:eastAsia="黑体" w:cs="宋体"/>
                <w:szCs w:val="21"/>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jc w:val="center"/>
              <w:rPr>
                <w:rFonts w:cs="Times New Roman"/>
                <w:szCs w:val="21"/>
              </w:rPr>
            </w:pPr>
            <w:r>
              <w:rPr>
                <w:rFonts w:cs="Times New Roman"/>
                <w:szCs w:val="21"/>
              </w:rPr>
              <w:t>废气</w:t>
            </w:r>
          </w:p>
        </w:tc>
        <w:tc>
          <w:tcPr>
            <w:tcW w:w="1701" w:type="dxa"/>
            <w:vAlign w:val="center"/>
          </w:tcPr>
          <w:p>
            <w:pPr>
              <w:jc w:val="center"/>
              <w:rPr>
                <w:rFonts w:cs="Times New Roman"/>
                <w:szCs w:val="21"/>
              </w:rPr>
            </w:pPr>
            <w:r>
              <w:rPr>
                <w:rFonts w:hint="eastAsia"/>
                <w:szCs w:val="21"/>
              </w:rPr>
              <w:t>颗粒物</w:t>
            </w:r>
          </w:p>
        </w:tc>
        <w:tc>
          <w:tcPr>
            <w:tcW w:w="1701" w:type="dxa"/>
            <w:vAlign w:val="center"/>
          </w:tcPr>
          <w:p>
            <w:pPr>
              <w:jc w:val="center"/>
              <w:rPr>
                <w:rFonts w:cs="Times New Roman"/>
                <w:szCs w:val="21"/>
              </w:rPr>
            </w:pPr>
            <w:r>
              <w:rPr>
                <w:rFonts w:hint="eastAsia"/>
                <w:szCs w:val="21"/>
              </w:rPr>
              <w:t>23.9614</w:t>
            </w:r>
          </w:p>
        </w:tc>
        <w:tc>
          <w:tcPr>
            <w:tcW w:w="1559" w:type="dxa"/>
            <w:vAlign w:val="center"/>
          </w:tcPr>
          <w:p>
            <w:pPr>
              <w:jc w:val="center"/>
              <w:rPr>
                <w:rFonts w:cs="Times New Roman"/>
                <w:szCs w:val="21"/>
              </w:rPr>
            </w:pPr>
            <w:r>
              <w:rPr>
                <w:rFonts w:hint="eastAsia"/>
                <w:szCs w:val="21"/>
              </w:rPr>
              <w:t>253.792</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imes New Roman"/>
                <w:szCs w:val="21"/>
              </w:rPr>
            </w:pPr>
            <w:r>
              <w:rPr>
                <w:rFonts w:hint="eastAsia" w:cs="Times New Roman"/>
                <w:szCs w:val="21"/>
              </w:rPr>
              <w:t>1.417</w:t>
            </w:r>
          </w:p>
        </w:tc>
        <w:tc>
          <w:tcPr>
            <w:tcW w:w="1701" w:type="dxa"/>
            <w:vAlign w:val="center"/>
          </w:tcPr>
          <w:p>
            <w:pPr>
              <w:jc w:val="center"/>
              <w:rPr>
                <w:rFonts w:cs="Times New Roman"/>
                <w:szCs w:val="21"/>
              </w:rPr>
            </w:pPr>
            <w:r>
              <w:rPr>
                <w:rFonts w:hint="eastAsia"/>
                <w:szCs w:val="21"/>
              </w:rPr>
              <w:t>0</w:t>
            </w:r>
          </w:p>
        </w:tc>
        <w:tc>
          <w:tcPr>
            <w:tcW w:w="1843" w:type="dxa"/>
            <w:vAlign w:val="center"/>
          </w:tcPr>
          <w:p>
            <w:pPr>
              <w:jc w:val="center"/>
              <w:rPr>
                <w:rFonts w:cs="Times New Roman"/>
                <w:szCs w:val="21"/>
              </w:rPr>
            </w:pPr>
            <w:r>
              <w:rPr>
                <w:szCs w:val="21"/>
              </w:rPr>
              <w:t>25.3784</w:t>
            </w:r>
          </w:p>
        </w:tc>
        <w:tc>
          <w:tcPr>
            <w:tcW w:w="1098" w:type="dxa"/>
            <w:vAlign w:val="center"/>
          </w:tcPr>
          <w:p>
            <w:pPr>
              <w:jc w:val="center"/>
              <w:rPr>
                <w:rFonts w:cs="Times New Roman"/>
                <w:szCs w:val="21"/>
              </w:rPr>
            </w:pPr>
            <w:r>
              <w:rPr>
                <w:rFonts w:hint="eastAsia" w:cs="Times New Roman"/>
                <w:szCs w:val="21"/>
              </w:rPr>
              <w:t>+1.417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cs="Times New Roman"/>
                <w:szCs w:val="21"/>
              </w:rPr>
            </w:pPr>
          </w:p>
        </w:tc>
        <w:tc>
          <w:tcPr>
            <w:tcW w:w="1701" w:type="dxa"/>
            <w:vAlign w:val="center"/>
          </w:tcPr>
          <w:p>
            <w:pPr>
              <w:jc w:val="center"/>
              <w:rPr>
                <w:szCs w:val="21"/>
              </w:rPr>
            </w:pPr>
            <w:r>
              <w:rPr>
                <w:rFonts w:hint="eastAsia"/>
                <w:szCs w:val="21"/>
              </w:rPr>
              <w:t>二氧化硫</w:t>
            </w:r>
          </w:p>
        </w:tc>
        <w:tc>
          <w:tcPr>
            <w:tcW w:w="1701" w:type="dxa"/>
            <w:vAlign w:val="center"/>
          </w:tcPr>
          <w:p>
            <w:pPr>
              <w:jc w:val="center"/>
              <w:rPr>
                <w:szCs w:val="21"/>
              </w:rPr>
            </w:pPr>
            <w:r>
              <w:rPr>
                <w:rFonts w:hint="eastAsia"/>
                <w:szCs w:val="21"/>
              </w:rPr>
              <w:t>51.7707</w:t>
            </w:r>
          </w:p>
        </w:tc>
        <w:tc>
          <w:tcPr>
            <w:tcW w:w="1559" w:type="dxa"/>
            <w:vAlign w:val="center"/>
          </w:tcPr>
          <w:p>
            <w:pPr>
              <w:jc w:val="center"/>
              <w:rPr>
                <w:rFonts w:cs="Times New Roman"/>
                <w:szCs w:val="21"/>
              </w:rPr>
            </w:pPr>
            <w:r>
              <w:rPr>
                <w:rFonts w:hint="eastAsia"/>
                <w:szCs w:val="21"/>
              </w:rPr>
              <w:t>259.875</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szCs w:val="21"/>
              </w:rPr>
            </w:pPr>
            <w:r>
              <w:rPr>
                <w:rFonts w:hint="eastAsia"/>
                <w:szCs w:val="21"/>
              </w:rPr>
              <w:t>0</w:t>
            </w:r>
          </w:p>
        </w:tc>
        <w:tc>
          <w:tcPr>
            <w:tcW w:w="1701" w:type="dxa"/>
            <w:vAlign w:val="center"/>
          </w:tcPr>
          <w:p>
            <w:pPr>
              <w:jc w:val="center"/>
              <w:rPr>
                <w:szCs w:val="21"/>
              </w:rPr>
            </w:pPr>
            <w:r>
              <w:rPr>
                <w:rFonts w:hint="eastAsia"/>
                <w:szCs w:val="21"/>
              </w:rPr>
              <w:t>0</w:t>
            </w:r>
          </w:p>
        </w:tc>
        <w:tc>
          <w:tcPr>
            <w:tcW w:w="1843" w:type="dxa"/>
            <w:vAlign w:val="center"/>
          </w:tcPr>
          <w:p>
            <w:pPr>
              <w:jc w:val="center"/>
              <w:rPr>
                <w:szCs w:val="21"/>
              </w:rPr>
            </w:pPr>
            <w:r>
              <w:rPr>
                <w:rFonts w:hint="eastAsia"/>
                <w:szCs w:val="21"/>
              </w:rPr>
              <w:t>51.7707</w:t>
            </w:r>
          </w:p>
        </w:tc>
        <w:tc>
          <w:tcPr>
            <w:tcW w:w="1098" w:type="dxa"/>
            <w:vAlign w:val="center"/>
          </w:tcPr>
          <w:p>
            <w:pPr>
              <w:jc w:val="center"/>
              <w:rPr>
                <w:rFonts w:cs="Times New Roman"/>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cs="Times New Roman"/>
                <w:szCs w:val="21"/>
              </w:rPr>
            </w:pPr>
          </w:p>
        </w:tc>
        <w:tc>
          <w:tcPr>
            <w:tcW w:w="1701" w:type="dxa"/>
            <w:vAlign w:val="center"/>
          </w:tcPr>
          <w:p>
            <w:pPr>
              <w:jc w:val="center"/>
              <w:rPr>
                <w:szCs w:val="21"/>
              </w:rPr>
            </w:pPr>
            <w:r>
              <w:rPr>
                <w:rFonts w:hint="eastAsia"/>
                <w:szCs w:val="21"/>
              </w:rPr>
              <w:t>氮氧化物</w:t>
            </w:r>
          </w:p>
        </w:tc>
        <w:tc>
          <w:tcPr>
            <w:tcW w:w="1701" w:type="dxa"/>
            <w:vAlign w:val="center"/>
          </w:tcPr>
          <w:p>
            <w:pPr>
              <w:jc w:val="center"/>
              <w:rPr>
                <w:szCs w:val="21"/>
              </w:rPr>
            </w:pPr>
            <w:r>
              <w:rPr>
                <w:rFonts w:hint="eastAsia"/>
                <w:szCs w:val="21"/>
              </w:rPr>
              <w:t>381.4060</w:t>
            </w:r>
          </w:p>
        </w:tc>
        <w:tc>
          <w:tcPr>
            <w:tcW w:w="1559" w:type="dxa"/>
            <w:vAlign w:val="center"/>
          </w:tcPr>
          <w:p>
            <w:pPr>
              <w:jc w:val="center"/>
              <w:rPr>
                <w:rFonts w:cs="Times New Roman"/>
                <w:szCs w:val="21"/>
              </w:rPr>
            </w:pPr>
            <w:r>
              <w:rPr>
                <w:rFonts w:hint="eastAsia"/>
                <w:szCs w:val="21"/>
              </w:rPr>
              <w:t>742.5</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szCs w:val="21"/>
              </w:rPr>
            </w:pPr>
            <w:r>
              <w:rPr>
                <w:rFonts w:hint="eastAsia"/>
                <w:szCs w:val="21"/>
              </w:rPr>
              <w:t>0</w:t>
            </w:r>
          </w:p>
        </w:tc>
        <w:tc>
          <w:tcPr>
            <w:tcW w:w="1701" w:type="dxa"/>
            <w:vAlign w:val="center"/>
          </w:tcPr>
          <w:p>
            <w:pPr>
              <w:jc w:val="center"/>
              <w:rPr>
                <w:szCs w:val="21"/>
              </w:rPr>
            </w:pPr>
            <w:r>
              <w:rPr>
                <w:rFonts w:hint="eastAsia"/>
                <w:szCs w:val="21"/>
              </w:rPr>
              <w:t>0</w:t>
            </w:r>
          </w:p>
        </w:tc>
        <w:tc>
          <w:tcPr>
            <w:tcW w:w="1843" w:type="dxa"/>
            <w:vAlign w:val="center"/>
          </w:tcPr>
          <w:p>
            <w:pPr>
              <w:jc w:val="center"/>
              <w:rPr>
                <w:szCs w:val="21"/>
              </w:rPr>
            </w:pPr>
            <w:r>
              <w:rPr>
                <w:rFonts w:hint="eastAsia"/>
                <w:szCs w:val="21"/>
              </w:rPr>
              <w:t>381.4060</w:t>
            </w:r>
          </w:p>
        </w:tc>
        <w:tc>
          <w:tcPr>
            <w:tcW w:w="1098" w:type="dxa"/>
            <w:vAlign w:val="center"/>
          </w:tcPr>
          <w:p>
            <w:pPr>
              <w:jc w:val="center"/>
              <w:rPr>
                <w:rFonts w:cs="Times New Roman"/>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cs="Times New Roman"/>
                <w:szCs w:val="21"/>
              </w:rPr>
            </w:pPr>
          </w:p>
        </w:tc>
        <w:tc>
          <w:tcPr>
            <w:tcW w:w="1701" w:type="dxa"/>
            <w:vAlign w:val="center"/>
          </w:tcPr>
          <w:p>
            <w:pPr>
              <w:jc w:val="center"/>
              <w:rPr>
                <w:szCs w:val="21"/>
              </w:rPr>
            </w:pPr>
            <w:r>
              <w:rPr>
                <w:rFonts w:hint="eastAsia"/>
                <w:szCs w:val="21"/>
              </w:rPr>
              <w:t>氟化物</w:t>
            </w:r>
          </w:p>
        </w:tc>
        <w:tc>
          <w:tcPr>
            <w:tcW w:w="1701" w:type="dxa"/>
            <w:vAlign w:val="center"/>
          </w:tcPr>
          <w:p>
            <w:pPr>
              <w:jc w:val="center"/>
              <w:rPr>
                <w:szCs w:val="21"/>
              </w:rPr>
            </w:pPr>
            <w:r>
              <w:rPr>
                <w:rFonts w:hint="eastAsia"/>
                <w:szCs w:val="21"/>
              </w:rPr>
              <w:t>2.2790</w:t>
            </w:r>
          </w:p>
        </w:tc>
        <w:tc>
          <w:tcPr>
            <w:tcW w:w="1559" w:type="dxa"/>
            <w:vAlign w:val="center"/>
          </w:tcPr>
          <w:p>
            <w:pPr>
              <w:jc w:val="center"/>
              <w:rPr>
                <w:rFonts w:cs="Times New Roman"/>
                <w:szCs w:val="21"/>
              </w:rPr>
            </w:pPr>
            <w:r>
              <w:rPr>
                <w:rFonts w:hint="eastAsia"/>
                <w:szCs w:val="21"/>
              </w:rPr>
              <w:t>/</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szCs w:val="21"/>
              </w:rPr>
            </w:pPr>
            <w:r>
              <w:rPr>
                <w:rFonts w:hint="eastAsia"/>
                <w:szCs w:val="21"/>
              </w:rPr>
              <w:t>0</w:t>
            </w:r>
          </w:p>
        </w:tc>
        <w:tc>
          <w:tcPr>
            <w:tcW w:w="1701" w:type="dxa"/>
            <w:vAlign w:val="center"/>
          </w:tcPr>
          <w:p>
            <w:pPr>
              <w:jc w:val="center"/>
              <w:rPr>
                <w:szCs w:val="21"/>
              </w:rPr>
            </w:pPr>
            <w:r>
              <w:rPr>
                <w:rFonts w:hint="eastAsia"/>
                <w:szCs w:val="21"/>
              </w:rPr>
              <w:t>0</w:t>
            </w:r>
          </w:p>
        </w:tc>
        <w:tc>
          <w:tcPr>
            <w:tcW w:w="1843" w:type="dxa"/>
            <w:vAlign w:val="center"/>
          </w:tcPr>
          <w:p>
            <w:pPr>
              <w:jc w:val="center"/>
              <w:rPr>
                <w:szCs w:val="21"/>
              </w:rPr>
            </w:pPr>
            <w:r>
              <w:rPr>
                <w:rFonts w:hint="eastAsia"/>
                <w:szCs w:val="21"/>
              </w:rPr>
              <w:t>2.2790</w:t>
            </w:r>
          </w:p>
        </w:tc>
        <w:tc>
          <w:tcPr>
            <w:tcW w:w="1098" w:type="dxa"/>
            <w:vAlign w:val="center"/>
          </w:tcPr>
          <w:p>
            <w:pPr>
              <w:jc w:val="center"/>
              <w:rPr>
                <w:rFonts w:cs="Times New Roman"/>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cs="Times New Roman"/>
                <w:szCs w:val="21"/>
              </w:rPr>
            </w:pPr>
          </w:p>
        </w:tc>
        <w:tc>
          <w:tcPr>
            <w:tcW w:w="1701" w:type="dxa"/>
            <w:vAlign w:val="center"/>
          </w:tcPr>
          <w:p>
            <w:pPr>
              <w:jc w:val="center"/>
              <w:rPr>
                <w:szCs w:val="21"/>
              </w:rPr>
            </w:pPr>
            <w:r>
              <w:rPr>
                <w:rFonts w:hint="eastAsia"/>
                <w:szCs w:val="21"/>
              </w:rPr>
              <w:t>汞及其化合物</w:t>
            </w:r>
          </w:p>
        </w:tc>
        <w:tc>
          <w:tcPr>
            <w:tcW w:w="1701" w:type="dxa"/>
            <w:vAlign w:val="center"/>
          </w:tcPr>
          <w:p>
            <w:pPr>
              <w:jc w:val="center"/>
              <w:rPr>
                <w:szCs w:val="21"/>
              </w:rPr>
            </w:pPr>
            <w:r>
              <w:rPr>
                <w:rFonts w:hint="eastAsia"/>
                <w:szCs w:val="21"/>
              </w:rPr>
              <w:t>0.4539</w:t>
            </w:r>
          </w:p>
        </w:tc>
        <w:tc>
          <w:tcPr>
            <w:tcW w:w="1559" w:type="dxa"/>
            <w:vAlign w:val="center"/>
          </w:tcPr>
          <w:p>
            <w:pPr>
              <w:jc w:val="center"/>
              <w:rPr>
                <w:rFonts w:cs="Times New Roman"/>
                <w:szCs w:val="21"/>
              </w:rPr>
            </w:pPr>
            <w:r>
              <w:rPr>
                <w:rFonts w:hint="eastAsia"/>
                <w:szCs w:val="21"/>
              </w:rPr>
              <w:t>/</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szCs w:val="21"/>
              </w:rPr>
            </w:pPr>
            <w:r>
              <w:rPr>
                <w:rFonts w:hint="eastAsia"/>
                <w:szCs w:val="21"/>
              </w:rPr>
              <w:t>0</w:t>
            </w:r>
          </w:p>
        </w:tc>
        <w:tc>
          <w:tcPr>
            <w:tcW w:w="1701" w:type="dxa"/>
            <w:vAlign w:val="center"/>
          </w:tcPr>
          <w:p>
            <w:pPr>
              <w:jc w:val="center"/>
              <w:rPr>
                <w:szCs w:val="21"/>
              </w:rPr>
            </w:pPr>
            <w:r>
              <w:rPr>
                <w:rFonts w:hint="eastAsia"/>
                <w:szCs w:val="21"/>
              </w:rPr>
              <w:t>0</w:t>
            </w:r>
          </w:p>
        </w:tc>
        <w:tc>
          <w:tcPr>
            <w:tcW w:w="1843" w:type="dxa"/>
            <w:vAlign w:val="center"/>
          </w:tcPr>
          <w:p>
            <w:pPr>
              <w:jc w:val="center"/>
              <w:rPr>
                <w:szCs w:val="21"/>
              </w:rPr>
            </w:pPr>
            <w:r>
              <w:rPr>
                <w:rFonts w:hint="eastAsia"/>
                <w:szCs w:val="21"/>
              </w:rPr>
              <w:t>0.4539</w:t>
            </w:r>
          </w:p>
        </w:tc>
        <w:tc>
          <w:tcPr>
            <w:tcW w:w="1098" w:type="dxa"/>
            <w:vAlign w:val="center"/>
          </w:tcPr>
          <w:p>
            <w:pPr>
              <w:jc w:val="center"/>
              <w:rPr>
                <w:rFonts w:cs="Times New Roman"/>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cs="Times New Roman"/>
                <w:szCs w:val="21"/>
              </w:rPr>
            </w:pPr>
          </w:p>
        </w:tc>
        <w:tc>
          <w:tcPr>
            <w:tcW w:w="1701" w:type="dxa"/>
            <w:vAlign w:val="center"/>
          </w:tcPr>
          <w:p>
            <w:pPr>
              <w:jc w:val="center"/>
              <w:rPr>
                <w:szCs w:val="21"/>
              </w:rPr>
            </w:pPr>
            <w:r>
              <w:rPr>
                <w:rFonts w:hint="eastAsia"/>
                <w:szCs w:val="21"/>
              </w:rPr>
              <w:t>氨</w:t>
            </w:r>
          </w:p>
        </w:tc>
        <w:tc>
          <w:tcPr>
            <w:tcW w:w="1701" w:type="dxa"/>
            <w:vAlign w:val="center"/>
          </w:tcPr>
          <w:p>
            <w:pPr>
              <w:jc w:val="center"/>
              <w:rPr>
                <w:szCs w:val="21"/>
              </w:rPr>
            </w:pPr>
            <w:r>
              <w:rPr>
                <w:rFonts w:hint="eastAsia"/>
                <w:szCs w:val="21"/>
              </w:rPr>
              <w:t>35.7673</w:t>
            </w:r>
          </w:p>
        </w:tc>
        <w:tc>
          <w:tcPr>
            <w:tcW w:w="1559" w:type="dxa"/>
            <w:vAlign w:val="center"/>
          </w:tcPr>
          <w:p>
            <w:pPr>
              <w:jc w:val="center"/>
              <w:rPr>
                <w:rFonts w:cs="Times New Roman"/>
                <w:szCs w:val="21"/>
              </w:rPr>
            </w:pPr>
            <w:r>
              <w:rPr>
                <w:rFonts w:hint="eastAsia"/>
                <w:szCs w:val="21"/>
              </w:rPr>
              <w:t>/</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szCs w:val="21"/>
              </w:rPr>
            </w:pPr>
            <w:r>
              <w:rPr>
                <w:rFonts w:hint="eastAsia"/>
                <w:szCs w:val="21"/>
              </w:rPr>
              <w:t>0</w:t>
            </w:r>
          </w:p>
        </w:tc>
        <w:tc>
          <w:tcPr>
            <w:tcW w:w="1701" w:type="dxa"/>
            <w:vAlign w:val="center"/>
          </w:tcPr>
          <w:p>
            <w:pPr>
              <w:jc w:val="center"/>
              <w:rPr>
                <w:szCs w:val="21"/>
              </w:rPr>
            </w:pPr>
            <w:r>
              <w:rPr>
                <w:rFonts w:hint="eastAsia"/>
                <w:szCs w:val="21"/>
              </w:rPr>
              <w:t>0</w:t>
            </w:r>
          </w:p>
        </w:tc>
        <w:tc>
          <w:tcPr>
            <w:tcW w:w="1843" w:type="dxa"/>
            <w:vAlign w:val="center"/>
          </w:tcPr>
          <w:p>
            <w:pPr>
              <w:jc w:val="center"/>
              <w:rPr>
                <w:szCs w:val="21"/>
              </w:rPr>
            </w:pPr>
            <w:r>
              <w:rPr>
                <w:rFonts w:hint="eastAsia"/>
                <w:szCs w:val="21"/>
              </w:rPr>
              <w:t>35.7673</w:t>
            </w:r>
          </w:p>
        </w:tc>
        <w:tc>
          <w:tcPr>
            <w:tcW w:w="1098" w:type="dxa"/>
            <w:vAlign w:val="center"/>
          </w:tcPr>
          <w:p>
            <w:pPr>
              <w:jc w:val="center"/>
              <w:rPr>
                <w:rFonts w:cs="Times New Roman"/>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jc w:val="center"/>
              <w:rPr>
                <w:rFonts w:cs="Times New Roman"/>
                <w:szCs w:val="21"/>
              </w:rPr>
            </w:pPr>
            <w:r>
              <w:rPr>
                <w:rFonts w:cs="Times New Roman"/>
                <w:szCs w:val="21"/>
              </w:rPr>
              <w:t>废水</w:t>
            </w:r>
          </w:p>
        </w:tc>
        <w:tc>
          <w:tcPr>
            <w:tcW w:w="1701" w:type="dxa"/>
            <w:vAlign w:val="center"/>
          </w:tcPr>
          <w:p>
            <w:pPr>
              <w:jc w:val="center"/>
              <w:rPr>
                <w:rFonts w:cs="Times New Roman"/>
                <w:szCs w:val="21"/>
              </w:rPr>
            </w:pPr>
            <w:r>
              <w:rPr>
                <w:rFonts w:cs="Times New Roman"/>
                <w:szCs w:val="21"/>
              </w:rPr>
              <w:t>废水量</w:t>
            </w:r>
          </w:p>
        </w:tc>
        <w:tc>
          <w:tcPr>
            <w:tcW w:w="1701" w:type="dxa"/>
            <w:vAlign w:val="center"/>
          </w:tcPr>
          <w:p>
            <w:pPr>
              <w:jc w:val="center"/>
              <w:rPr>
                <w:rFonts w:cs="Times New Roman"/>
                <w:szCs w:val="21"/>
              </w:rPr>
            </w:pPr>
            <w:r>
              <w:rPr>
                <w:rFonts w:hint="eastAsia" w:cs="Times New Roman"/>
                <w:szCs w:val="21"/>
              </w:rPr>
              <w:t>0</w:t>
            </w:r>
          </w:p>
        </w:tc>
        <w:tc>
          <w:tcPr>
            <w:tcW w:w="1559" w:type="dxa"/>
            <w:vAlign w:val="center"/>
          </w:tcPr>
          <w:p>
            <w:pPr>
              <w:jc w:val="center"/>
              <w:rPr>
                <w:rFonts w:cs="Times New Roman"/>
                <w:szCs w:val="21"/>
              </w:rPr>
            </w:pPr>
            <w:r>
              <w:rPr>
                <w:rFonts w:hint="eastAsia" w:cs="Times New Roman"/>
                <w:szCs w:val="21"/>
              </w:rPr>
              <w:t>0</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imes New Roman"/>
                <w:szCs w:val="21"/>
              </w:rPr>
            </w:pPr>
            <w:r>
              <w:rPr>
                <w:rFonts w:hint="eastAsia" w:cs="Times New Roman"/>
                <w:szCs w:val="21"/>
              </w:rPr>
              <w:t>0</w:t>
            </w:r>
          </w:p>
        </w:tc>
        <w:tc>
          <w:tcPr>
            <w:tcW w:w="1701" w:type="dxa"/>
            <w:vAlign w:val="center"/>
          </w:tcPr>
          <w:p>
            <w:pPr>
              <w:jc w:val="center"/>
              <w:rPr>
                <w:rFonts w:cs="Times New Roman"/>
                <w:szCs w:val="21"/>
              </w:rPr>
            </w:pPr>
            <w:r>
              <w:rPr>
                <w:rFonts w:hint="eastAsia" w:cs="Times New Roman"/>
                <w:szCs w:val="21"/>
              </w:rPr>
              <w:t>0</w:t>
            </w:r>
          </w:p>
        </w:tc>
        <w:tc>
          <w:tcPr>
            <w:tcW w:w="1843" w:type="dxa"/>
            <w:vAlign w:val="center"/>
          </w:tcPr>
          <w:p>
            <w:pPr>
              <w:jc w:val="center"/>
              <w:rPr>
                <w:rFonts w:cs="Times New Roman"/>
                <w:szCs w:val="21"/>
              </w:rPr>
            </w:pPr>
            <w:r>
              <w:rPr>
                <w:rFonts w:hint="eastAsia" w:cs="Times New Roman"/>
                <w:szCs w:val="21"/>
              </w:rPr>
              <w:t>0</w:t>
            </w:r>
          </w:p>
        </w:tc>
        <w:tc>
          <w:tcPr>
            <w:tcW w:w="1098" w:type="dxa"/>
            <w:vAlign w:val="center"/>
          </w:tcPr>
          <w:p>
            <w:pPr>
              <w:jc w:val="center"/>
              <w:rPr>
                <w:rFonts w:cs="Times New Roman"/>
                <w:szCs w:val="21"/>
              </w:rPr>
            </w:pPr>
            <w:r>
              <w:rPr>
                <w:rFonts w:hint="eastAsia"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cs="Times New Roman"/>
                <w:szCs w:val="21"/>
              </w:rPr>
            </w:pPr>
          </w:p>
        </w:tc>
        <w:tc>
          <w:tcPr>
            <w:tcW w:w="1701" w:type="dxa"/>
            <w:vAlign w:val="center"/>
          </w:tcPr>
          <w:p>
            <w:pPr>
              <w:jc w:val="center"/>
              <w:rPr>
                <w:rFonts w:cs="Times New Roman"/>
                <w:szCs w:val="21"/>
              </w:rPr>
            </w:pPr>
            <w:r>
              <w:rPr>
                <w:rFonts w:cs="Times New Roman"/>
                <w:szCs w:val="21"/>
              </w:rPr>
              <w:t>COD</w:t>
            </w:r>
          </w:p>
        </w:tc>
        <w:tc>
          <w:tcPr>
            <w:tcW w:w="1701" w:type="dxa"/>
            <w:vAlign w:val="center"/>
          </w:tcPr>
          <w:p>
            <w:pPr>
              <w:jc w:val="center"/>
              <w:rPr>
                <w:rFonts w:cs="Times New Roman"/>
                <w:szCs w:val="21"/>
              </w:rPr>
            </w:pPr>
            <w:r>
              <w:rPr>
                <w:rFonts w:hint="eastAsia" w:cs="Times New Roman"/>
                <w:szCs w:val="21"/>
              </w:rPr>
              <w:t>0</w:t>
            </w:r>
          </w:p>
        </w:tc>
        <w:tc>
          <w:tcPr>
            <w:tcW w:w="1559" w:type="dxa"/>
            <w:vAlign w:val="center"/>
          </w:tcPr>
          <w:p>
            <w:pPr>
              <w:jc w:val="center"/>
              <w:rPr>
                <w:rFonts w:cs="Times New Roman"/>
                <w:szCs w:val="21"/>
              </w:rPr>
            </w:pPr>
            <w:r>
              <w:rPr>
                <w:rFonts w:hint="eastAsia" w:cs="Times New Roman"/>
                <w:szCs w:val="21"/>
              </w:rPr>
              <w:t>0</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imes New Roman"/>
                <w:szCs w:val="21"/>
              </w:rPr>
            </w:pPr>
            <w:r>
              <w:rPr>
                <w:rFonts w:hint="eastAsia" w:cs="Times New Roman"/>
                <w:szCs w:val="21"/>
              </w:rPr>
              <w:t>0</w:t>
            </w:r>
          </w:p>
        </w:tc>
        <w:tc>
          <w:tcPr>
            <w:tcW w:w="1701" w:type="dxa"/>
            <w:vAlign w:val="center"/>
          </w:tcPr>
          <w:p>
            <w:pPr>
              <w:jc w:val="center"/>
              <w:rPr>
                <w:rFonts w:cs="Times New Roman"/>
                <w:szCs w:val="21"/>
              </w:rPr>
            </w:pPr>
            <w:r>
              <w:rPr>
                <w:rFonts w:hint="eastAsia" w:cs="Times New Roman"/>
                <w:szCs w:val="21"/>
              </w:rPr>
              <w:t>0</w:t>
            </w:r>
          </w:p>
        </w:tc>
        <w:tc>
          <w:tcPr>
            <w:tcW w:w="1843" w:type="dxa"/>
            <w:vAlign w:val="center"/>
          </w:tcPr>
          <w:p>
            <w:pPr>
              <w:jc w:val="center"/>
              <w:rPr>
                <w:rFonts w:cs="Times New Roman"/>
                <w:szCs w:val="21"/>
              </w:rPr>
            </w:pPr>
            <w:r>
              <w:rPr>
                <w:rFonts w:hint="eastAsia" w:cs="Times New Roman"/>
                <w:szCs w:val="21"/>
              </w:rPr>
              <w:t>0</w:t>
            </w:r>
          </w:p>
        </w:tc>
        <w:tc>
          <w:tcPr>
            <w:tcW w:w="1098" w:type="dxa"/>
            <w:vAlign w:val="center"/>
          </w:tcPr>
          <w:p>
            <w:pPr>
              <w:jc w:val="center"/>
              <w:rPr>
                <w:rFonts w:cs="Times New Roman"/>
                <w:szCs w:val="21"/>
              </w:rPr>
            </w:pPr>
            <w:r>
              <w:rPr>
                <w:rFonts w:hint="eastAsia"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71" w:type="dxa"/>
            <w:vMerge w:val="continue"/>
            <w:vAlign w:val="center"/>
          </w:tcPr>
          <w:p>
            <w:pPr>
              <w:jc w:val="center"/>
              <w:rPr>
                <w:rFonts w:cs="Times New Roman"/>
                <w:szCs w:val="21"/>
              </w:rPr>
            </w:pPr>
          </w:p>
        </w:tc>
        <w:tc>
          <w:tcPr>
            <w:tcW w:w="1701" w:type="dxa"/>
            <w:vAlign w:val="center"/>
          </w:tcPr>
          <w:p>
            <w:pPr>
              <w:jc w:val="center"/>
              <w:rPr>
                <w:rFonts w:cs="Times New Roman"/>
                <w:szCs w:val="21"/>
              </w:rPr>
            </w:pPr>
            <w:r>
              <w:rPr>
                <w:rFonts w:cs="Times New Roman"/>
                <w:szCs w:val="21"/>
              </w:rPr>
              <w:t>NH</w:t>
            </w:r>
            <w:r>
              <w:rPr>
                <w:rFonts w:cs="Times New Roman"/>
                <w:szCs w:val="21"/>
                <w:vertAlign w:val="subscript"/>
              </w:rPr>
              <w:t>3</w:t>
            </w:r>
            <w:r>
              <w:rPr>
                <w:rFonts w:hint="eastAsia" w:cs="Times New Roman"/>
                <w:szCs w:val="21"/>
              </w:rPr>
              <w:t>-</w:t>
            </w:r>
            <w:r>
              <w:rPr>
                <w:rFonts w:cs="Times New Roman"/>
                <w:szCs w:val="21"/>
              </w:rPr>
              <w:t>N</w:t>
            </w:r>
          </w:p>
        </w:tc>
        <w:tc>
          <w:tcPr>
            <w:tcW w:w="1701" w:type="dxa"/>
            <w:vAlign w:val="center"/>
          </w:tcPr>
          <w:p>
            <w:pPr>
              <w:jc w:val="center"/>
              <w:rPr>
                <w:rFonts w:cs="Times New Roman"/>
                <w:szCs w:val="21"/>
              </w:rPr>
            </w:pPr>
            <w:r>
              <w:rPr>
                <w:rFonts w:hint="eastAsia" w:cs="Times New Roman"/>
                <w:szCs w:val="21"/>
              </w:rPr>
              <w:t>0</w:t>
            </w:r>
          </w:p>
        </w:tc>
        <w:tc>
          <w:tcPr>
            <w:tcW w:w="1559" w:type="dxa"/>
            <w:vAlign w:val="center"/>
          </w:tcPr>
          <w:p>
            <w:pPr>
              <w:jc w:val="center"/>
              <w:rPr>
                <w:rFonts w:cs="Times New Roman"/>
                <w:szCs w:val="21"/>
              </w:rPr>
            </w:pPr>
            <w:r>
              <w:rPr>
                <w:rFonts w:hint="eastAsia" w:cs="Times New Roman"/>
                <w:szCs w:val="21"/>
              </w:rPr>
              <w:t>0</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imes New Roman"/>
                <w:szCs w:val="21"/>
              </w:rPr>
            </w:pPr>
            <w:r>
              <w:rPr>
                <w:rFonts w:hint="eastAsia" w:cs="Times New Roman"/>
                <w:szCs w:val="21"/>
              </w:rPr>
              <w:t>0</w:t>
            </w:r>
          </w:p>
        </w:tc>
        <w:tc>
          <w:tcPr>
            <w:tcW w:w="1701" w:type="dxa"/>
            <w:vAlign w:val="center"/>
          </w:tcPr>
          <w:p>
            <w:pPr>
              <w:jc w:val="center"/>
              <w:rPr>
                <w:rFonts w:cs="Times New Roman"/>
                <w:szCs w:val="21"/>
              </w:rPr>
            </w:pPr>
            <w:r>
              <w:rPr>
                <w:rFonts w:hint="eastAsia" w:cs="Times New Roman"/>
                <w:szCs w:val="21"/>
              </w:rPr>
              <w:t>0</w:t>
            </w:r>
          </w:p>
        </w:tc>
        <w:tc>
          <w:tcPr>
            <w:tcW w:w="1843" w:type="dxa"/>
            <w:vAlign w:val="center"/>
          </w:tcPr>
          <w:p>
            <w:pPr>
              <w:jc w:val="center"/>
              <w:rPr>
                <w:rFonts w:cs="Times New Roman"/>
                <w:szCs w:val="21"/>
              </w:rPr>
            </w:pPr>
            <w:r>
              <w:rPr>
                <w:rFonts w:hint="eastAsia" w:cs="Times New Roman"/>
                <w:szCs w:val="21"/>
              </w:rPr>
              <w:t>0</w:t>
            </w:r>
          </w:p>
        </w:tc>
        <w:tc>
          <w:tcPr>
            <w:tcW w:w="1098" w:type="dxa"/>
            <w:vAlign w:val="center"/>
          </w:tcPr>
          <w:p>
            <w:pPr>
              <w:jc w:val="center"/>
              <w:rPr>
                <w:rFonts w:cs="Times New Roman"/>
                <w:szCs w:val="21"/>
              </w:rPr>
            </w:pPr>
            <w:r>
              <w:rPr>
                <w:rFonts w:hint="eastAsia"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jc w:val="center"/>
              <w:rPr>
                <w:rFonts w:cs="Times New Roman"/>
                <w:szCs w:val="21"/>
              </w:rPr>
            </w:pPr>
            <w:r>
              <w:rPr>
                <w:rFonts w:cs="Times New Roman"/>
                <w:szCs w:val="21"/>
              </w:rPr>
              <w:t>一般工业</w:t>
            </w:r>
          </w:p>
          <w:p>
            <w:pPr>
              <w:jc w:val="center"/>
              <w:rPr>
                <w:rFonts w:cs="Times New Roman"/>
                <w:szCs w:val="21"/>
              </w:rPr>
            </w:pPr>
            <w:r>
              <w:rPr>
                <w:rFonts w:cs="Times New Roman"/>
                <w:szCs w:val="21"/>
              </w:rPr>
              <w:t>固体废物</w:t>
            </w:r>
          </w:p>
        </w:tc>
        <w:tc>
          <w:tcPr>
            <w:tcW w:w="1701" w:type="dxa"/>
            <w:vAlign w:val="center"/>
          </w:tcPr>
          <w:p>
            <w:pPr>
              <w:jc w:val="center"/>
              <w:rPr>
                <w:szCs w:val="21"/>
              </w:rPr>
            </w:pPr>
            <w:r>
              <w:rPr>
                <w:rFonts w:hint="eastAsia"/>
                <w:szCs w:val="21"/>
              </w:rPr>
              <w:t>除尘设施及地面收集的粉尘</w:t>
            </w:r>
          </w:p>
        </w:tc>
        <w:tc>
          <w:tcPr>
            <w:tcW w:w="1701" w:type="dxa"/>
            <w:vAlign w:val="center"/>
          </w:tcPr>
          <w:p>
            <w:pPr>
              <w:jc w:val="center"/>
              <w:rPr>
                <w:rFonts w:cs="Times New Roman"/>
                <w:szCs w:val="21"/>
              </w:rPr>
            </w:pPr>
            <w:r>
              <w:rPr>
                <w:rFonts w:hint="eastAsia" w:cs="Times New Roman"/>
                <w:szCs w:val="21"/>
              </w:rPr>
              <w:t>/</w:t>
            </w:r>
          </w:p>
        </w:tc>
        <w:tc>
          <w:tcPr>
            <w:tcW w:w="1559"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szCs w:val="21"/>
              </w:rPr>
            </w:pPr>
            <w:r>
              <w:rPr>
                <w:szCs w:val="21"/>
              </w:rPr>
              <w:t>941.185</w:t>
            </w:r>
          </w:p>
        </w:tc>
        <w:tc>
          <w:tcPr>
            <w:tcW w:w="1701" w:type="dxa"/>
            <w:vAlign w:val="center"/>
          </w:tcPr>
          <w:p>
            <w:pPr>
              <w:jc w:val="center"/>
              <w:rPr>
                <w:rFonts w:cs="Times New Roman"/>
                <w:szCs w:val="21"/>
              </w:rPr>
            </w:pPr>
            <w:r>
              <w:rPr>
                <w:szCs w:val="21"/>
              </w:rPr>
              <w:t>/</w:t>
            </w:r>
          </w:p>
        </w:tc>
        <w:tc>
          <w:tcPr>
            <w:tcW w:w="1843" w:type="dxa"/>
            <w:vAlign w:val="center"/>
          </w:tcPr>
          <w:p>
            <w:pPr>
              <w:jc w:val="center"/>
              <w:rPr>
                <w:szCs w:val="21"/>
              </w:rPr>
            </w:pPr>
            <w:r>
              <w:rPr>
                <w:szCs w:val="21"/>
              </w:rPr>
              <w:t>/</w:t>
            </w:r>
          </w:p>
        </w:tc>
        <w:tc>
          <w:tcPr>
            <w:tcW w:w="1098" w:type="dxa"/>
            <w:vAlign w:val="center"/>
          </w:tcPr>
          <w:p>
            <w:pPr>
              <w:jc w:val="center"/>
              <w:rPr>
                <w:rFonts w:cs="Times New Roman"/>
                <w:szCs w:val="21"/>
              </w:rPr>
            </w:pPr>
            <w:r>
              <w:rPr>
                <w:rFonts w:cs="Times New Roman"/>
                <w:szCs w:val="21"/>
              </w:rPr>
              <w:t>+</w:t>
            </w:r>
            <w:r>
              <w:rPr>
                <w:rFonts w:hint="eastAsia" w:cs="Times New Roman"/>
                <w:szCs w:val="21"/>
              </w:rPr>
              <w:t>9</w:t>
            </w:r>
            <w:r>
              <w:rPr>
                <w:szCs w:val="21"/>
              </w:rPr>
              <w:t>41.185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cs="Times New Roman"/>
                <w:szCs w:val="21"/>
              </w:rPr>
            </w:pPr>
          </w:p>
        </w:tc>
        <w:tc>
          <w:tcPr>
            <w:tcW w:w="1701" w:type="dxa"/>
            <w:vAlign w:val="center"/>
          </w:tcPr>
          <w:p>
            <w:pPr>
              <w:jc w:val="center"/>
              <w:rPr>
                <w:szCs w:val="21"/>
              </w:rPr>
            </w:pPr>
            <w:r>
              <w:rPr>
                <w:rFonts w:hint="eastAsia"/>
                <w:szCs w:val="21"/>
              </w:rPr>
              <w:t>沉淀池泥沙</w:t>
            </w:r>
          </w:p>
        </w:tc>
        <w:tc>
          <w:tcPr>
            <w:tcW w:w="1701" w:type="dxa"/>
            <w:vAlign w:val="center"/>
          </w:tcPr>
          <w:p>
            <w:pPr>
              <w:jc w:val="center"/>
              <w:rPr>
                <w:rFonts w:cs="Times New Roman"/>
                <w:szCs w:val="21"/>
              </w:rPr>
            </w:pPr>
            <w:r>
              <w:rPr>
                <w:rFonts w:hint="eastAsia" w:cs="Times New Roman"/>
                <w:szCs w:val="21"/>
              </w:rPr>
              <w:t>/</w:t>
            </w:r>
          </w:p>
        </w:tc>
        <w:tc>
          <w:tcPr>
            <w:tcW w:w="1559"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szCs w:val="21"/>
              </w:rPr>
            </w:pPr>
            <w:r>
              <w:rPr>
                <w:rFonts w:hint="eastAsia"/>
                <w:szCs w:val="21"/>
              </w:rPr>
              <w:t>0.126</w:t>
            </w:r>
          </w:p>
        </w:tc>
        <w:tc>
          <w:tcPr>
            <w:tcW w:w="1701" w:type="dxa"/>
            <w:vAlign w:val="center"/>
          </w:tcPr>
          <w:p>
            <w:pPr>
              <w:jc w:val="center"/>
              <w:rPr>
                <w:szCs w:val="21"/>
              </w:rPr>
            </w:pPr>
            <w:r>
              <w:rPr>
                <w:szCs w:val="21"/>
              </w:rPr>
              <w:t>/</w:t>
            </w:r>
          </w:p>
        </w:tc>
        <w:tc>
          <w:tcPr>
            <w:tcW w:w="1843" w:type="dxa"/>
            <w:vAlign w:val="center"/>
          </w:tcPr>
          <w:p>
            <w:pPr>
              <w:jc w:val="center"/>
              <w:rPr>
                <w:szCs w:val="21"/>
              </w:rPr>
            </w:pPr>
            <w:r>
              <w:rPr>
                <w:szCs w:val="21"/>
              </w:rPr>
              <w:t>/</w:t>
            </w:r>
          </w:p>
        </w:tc>
        <w:tc>
          <w:tcPr>
            <w:tcW w:w="1098" w:type="dxa"/>
            <w:vAlign w:val="center"/>
          </w:tcPr>
          <w:p>
            <w:pPr>
              <w:jc w:val="center"/>
              <w:rPr>
                <w:rFonts w:cs="Times New Roman"/>
                <w:szCs w:val="21"/>
              </w:rPr>
            </w:pPr>
            <w:r>
              <w:rPr>
                <w:rFonts w:hint="eastAsia" w:cs="Times New Roman"/>
                <w:szCs w:val="21"/>
              </w:rPr>
              <w:t>+</w:t>
            </w:r>
            <w:r>
              <w:rPr>
                <w:rFonts w:hint="eastAsia"/>
                <w:szCs w:val="21"/>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jc w:val="center"/>
              <w:rPr>
                <w:rFonts w:cs="Times New Roman"/>
                <w:szCs w:val="21"/>
              </w:rPr>
            </w:pPr>
            <w:r>
              <w:rPr>
                <w:rFonts w:cs="Times New Roman"/>
                <w:szCs w:val="21"/>
              </w:rPr>
              <w:t>危险废物</w:t>
            </w:r>
          </w:p>
        </w:tc>
        <w:tc>
          <w:tcPr>
            <w:tcW w:w="1701" w:type="dxa"/>
            <w:vAlign w:val="center"/>
          </w:tcPr>
          <w:p>
            <w:pPr>
              <w:jc w:val="center"/>
              <w:rPr>
                <w:szCs w:val="21"/>
              </w:rPr>
            </w:pPr>
            <w:r>
              <w:rPr>
                <w:rFonts w:hint="eastAsia"/>
                <w:szCs w:val="21"/>
              </w:rPr>
              <w:t>废油及包装桶</w:t>
            </w:r>
          </w:p>
        </w:tc>
        <w:tc>
          <w:tcPr>
            <w:tcW w:w="1701" w:type="dxa"/>
            <w:vAlign w:val="center"/>
          </w:tcPr>
          <w:p>
            <w:pPr>
              <w:jc w:val="center"/>
              <w:rPr>
                <w:rFonts w:cs="Times New Roman"/>
                <w:szCs w:val="21"/>
              </w:rPr>
            </w:pPr>
            <w:r>
              <w:rPr>
                <w:rFonts w:hint="eastAsia" w:cs="Times New Roman"/>
                <w:szCs w:val="21"/>
              </w:rPr>
              <w:t>/</w:t>
            </w:r>
          </w:p>
        </w:tc>
        <w:tc>
          <w:tcPr>
            <w:tcW w:w="1559"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heme="minorHAnsi"/>
                <w:szCs w:val="21"/>
              </w:rPr>
            </w:pPr>
            <w:r>
              <w:rPr>
                <w:rFonts w:hint="eastAsia" w:cstheme="minorHAnsi"/>
                <w:szCs w:val="21"/>
              </w:rPr>
              <w:t>2.4</w:t>
            </w:r>
          </w:p>
        </w:tc>
        <w:tc>
          <w:tcPr>
            <w:tcW w:w="1701"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heme="minorHAnsi"/>
                <w:szCs w:val="21"/>
              </w:rPr>
            </w:pPr>
            <w:r>
              <w:rPr>
                <w:rFonts w:hint="eastAsia" w:cs="Times New Roman"/>
                <w:szCs w:val="21"/>
              </w:rPr>
              <w:t>/</w:t>
            </w:r>
          </w:p>
        </w:tc>
        <w:tc>
          <w:tcPr>
            <w:tcW w:w="1098" w:type="dxa"/>
            <w:vAlign w:val="center"/>
          </w:tcPr>
          <w:p>
            <w:pPr>
              <w:jc w:val="center"/>
              <w:rPr>
                <w:rFonts w:cs="Times New Roman"/>
                <w:szCs w:val="21"/>
              </w:rPr>
            </w:pPr>
            <w:r>
              <w:rPr>
                <w:rFonts w:cstheme="minorHAnsi"/>
                <w:szCs w:val="21"/>
              </w:rPr>
              <w:t>+</w:t>
            </w:r>
            <w:r>
              <w:rPr>
                <w:rFonts w:hint="eastAsia" w:cstheme="minorHAnsi"/>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cs="Times New Roman"/>
                <w:szCs w:val="21"/>
              </w:rPr>
            </w:pPr>
          </w:p>
        </w:tc>
        <w:tc>
          <w:tcPr>
            <w:tcW w:w="1701" w:type="dxa"/>
            <w:vAlign w:val="center"/>
          </w:tcPr>
          <w:p>
            <w:pPr>
              <w:jc w:val="center"/>
              <w:rPr>
                <w:rFonts w:cs="Times New Roman"/>
                <w:szCs w:val="21"/>
              </w:rPr>
            </w:pPr>
            <w:r>
              <w:rPr>
                <w:rFonts w:hint="eastAsia"/>
                <w:szCs w:val="21"/>
              </w:rPr>
              <w:t>含油棉纱及手套</w:t>
            </w:r>
          </w:p>
        </w:tc>
        <w:tc>
          <w:tcPr>
            <w:tcW w:w="1701" w:type="dxa"/>
            <w:vAlign w:val="center"/>
          </w:tcPr>
          <w:p>
            <w:pPr>
              <w:jc w:val="center"/>
              <w:rPr>
                <w:rFonts w:cs="Times New Roman"/>
                <w:szCs w:val="21"/>
              </w:rPr>
            </w:pPr>
            <w:r>
              <w:rPr>
                <w:rFonts w:hint="eastAsia" w:cs="Times New Roman"/>
                <w:szCs w:val="21"/>
              </w:rPr>
              <w:t>/</w:t>
            </w:r>
          </w:p>
        </w:tc>
        <w:tc>
          <w:tcPr>
            <w:tcW w:w="1559"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imes New Roman"/>
                <w:szCs w:val="21"/>
              </w:rPr>
            </w:pPr>
            <w:r>
              <w:rPr>
                <w:rFonts w:hint="eastAsia" w:cs="Times New Roman"/>
                <w:szCs w:val="21"/>
              </w:rPr>
              <w:t>0</w:t>
            </w:r>
            <w:r>
              <w:rPr>
                <w:rFonts w:cs="Times New Roman"/>
                <w:szCs w:val="21"/>
              </w:rPr>
              <w:t>.01</w:t>
            </w:r>
          </w:p>
        </w:tc>
        <w:tc>
          <w:tcPr>
            <w:tcW w:w="1701" w:type="dxa"/>
            <w:vAlign w:val="center"/>
          </w:tcPr>
          <w:p>
            <w:pPr>
              <w:jc w:val="center"/>
              <w:rPr>
                <w:rFonts w:cs="Times New Roman"/>
                <w:szCs w:val="21"/>
              </w:rPr>
            </w:pPr>
            <w:r>
              <w:rPr>
                <w:rFonts w:hint="eastAsia" w:cs="Times New Roman"/>
                <w:szCs w:val="21"/>
              </w:rPr>
              <w:t>/</w:t>
            </w:r>
          </w:p>
        </w:tc>
        <w:tc>
          <w:tcPr>
            <w:tcW w:w="1843" w:type="dxa"/>
            <w:vAlign w:val="center"/>
          </w:tcPr>
          <w:p>
            <w:pPr>
              <w:jc w:val="center"/>
              <w:rPr>
                <w:rFonts w:cs="Times New Roman"/>
                <w:szCs w:val="21"/>
              </w:rPr>
            </w:pPr>
            <w:r>
              <w:rPr>
                <w:rFonts w:hint="eastAsia" w:cs="Times New Roman"/>
                <w:szCs w:val="21"/>
              </w:rPr>
              <w:t>/</w:t>
            </w:r>
          </w:p>
        </w:tc>
        <w:tc>
          <w:tcPr>
            <w:tcW w:w="1098" w:type="dxa"/>
            <w:vAlign w:val="center"/>
          </w:tcPr>
          <w:p>
            <w:pPr>
              <w:jc w:val="center"/>
              <w:rPr>
                <w:rFonts w:cs="Times New Roman"/>
                <w:szCs w:val="21"/>
              </w:rPr>
            </w:pPr>
            <w:r>
              <w:rPr>
                <w:rFonts w:cs="Times New Roman"/>
                <w:szCs w:val="21"/>
              </w:rPr>
              <w:t>+</w:t>
            </w:r>
            <w:r>
              <w:rPr>
                <w:rFonts w:hint="eastAsia" w:cs="Times New Roman"/>
                <w:szCs w:val="21"/>
              </w:rPr>
              <w:t>0</w:t>
            </w:r>
            <w:r>
              <w:rPr>
                <w:rFonts w:cs="Times New Roman"/>
                <w:szCs w:val="21"/>
              </w:rPr>
              <w:t>.01</w:t>
            </w:r>
          </w:p>
        </w:tc>
      </w:tr>
    </w:tbl>
    <w:p>
      <w:pPr>
        <w:rPr>
          <w:rFonts w:cs="Times New Roman"/>
          <w:szCs w:val="21"/>
        </w:rPr>
      </w:pPr>
      <w:r>
        <w:rPr>
          <w:rFonts w:hint="eastAsia" w:ascii="宋体" w:hAnsi="宋体"/>
          <w:szCs w:val="21"/>
        </w:rPr>
        <w:t>注：⑥=①+③+④-⑤；⑦=⑥-①；</w:t>
      </w:r>
      <w:r>
        <w:rPr>
          <w:rFonts w:cs="Times New Roman"/>
          <w:szCs w:val="21"/>
        </w:rPr>
        <w:t>单位为</w:t>
      </w:r>
      <w:r>
        <w:rPr>
          <w:rFonts w:hint="eastAsia" w:cs="Times New Roman"/>
          <w:szCs w:val="21"/>
        </w:rPr>
        <w:t>吨</w:t>
      </w:r>
      <w:r>
        <w:rPr>
          <w:rFonts w:cs="Times New Roman"/>
          <w:szCs w:val="21"/>
        </w:rPr>
        <w:t>/年。</w:t>
      </w:r>
    </w:p>
    <w:sectPr>
      <w:pgSz w:w="16838" w:h="11906" w:orient="landscape"/>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33</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E02BA5"/>
    <w:multiLevelType w:val="singleLevel"/>
    <w:tmpl w:val="6EE02BA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kM2FkM2VkY2QwOWY1MTU2YjI3OGMxMDcxNzcwYzcifQ=="/>
  </w:docVars>
  <w:rsids>
    <w:rsidRoot w:val="0077720A"/>
    <w:rsid w:val="00000075"/>
    <w:rsid w:val="000006E6"/>
    <w:rsid w:val="00000B5E"/>
    <w:rsid w:val="00000C0A"/>
    <w:rsid w:val="00000D76"/>
    <w:rsid w:val="000014A6"/>
    <w:rsid w:val="00001EBA"/>
    <w:rsid w:val="000024BB"/>
    <w:rsid w:val="00002A6D"/>
    <w:rsid w:val="00002A73"/>
    <w:rsid w:val="00003162"/>
    <w:rsid w:val="00003B2C"/>
    <w:rsid w:val="0000433F"/>
    <w:rsid w:val="000048B8"/>
    <w:rsid w:val="00005ED2"/>
    <w:rsid w:val="00006ACA"/>
    <w:rsid w:val="00006F6D"/>
    <w:rsid w:val="000078D2"/>
    <w:rsid w:val="00007A0D"/>
    <w:rsid w:val="00010241"/>
    <w:rsid w:val="000103CE"/>
    <w:rsid w:val="00010841"/>
    <w:rsid w:val="00010FDA"/>
    <w:rsid w:val="00011144"/>
    <w:rsid w:val="0001157F"/>
    <w:rsid w:val="00011912"/>
    <w:rsid w:val="00013A3F"/>
    <w:rsid w:val="00013DEB"/>
    <w:rsid w:val="00014371"/>
    <w:rsid w:val="0001444C"/>
    <w:rsid w:val="00014B28"/>
    <w:rsid w:val="00014C0C"/>
    <w:rsid w:val="00014F13"/>
    <w:rsid w:val="00015043"/>
    <w:rsid w:val="0001552C"/>
    <w:rsid w:val="00015784"/>
    <w:rsid w:val="00016C99"/>
    <w:rsid w:val="00016D8D"/>
    <w:rsid w:val="00017226"/>
    <w:rsid w:val="00017D0D"/>
    <w:rsid w:val="000200E4"/>
    <w:rsid w:val="000202A1"/>
    <w:rsid w:val="000207E9"/>
    <w:rsid w:val="000211E1"/>
    <w:rsid w:val="0002149E"/>
    <w:rsid w:val="000218AA"/>
    <w:rsid w:val="000235FB"/>
    <w:rsid w:val="00024B9E"/>
    <w:rsid w:val="0002546F"/>
    <w:rsid w:val="00025610"/>
    <w:rsid w:val="00025C9E"/>
    <w:rsid w:val="00025DDA"/>
    <w:rsid w:val="00025EF3"/>
    <w:rsid w:val="0002610A"/>
    <w:rsid w:val="00026139"/>
    <w:rsid w:val="000273BA"/>
    <w:rsid w:val="000307AB"/>
    <w:rsid w:val="00031C2C"/>
    <w:rsid w:val="00031D72"/>
    <w:rsid w:val="000320C1"/>
    <w:rsid w:val="0003462F"/>
    <w:rsid w:val="00034AD0"/>
    <w:rsid w:val="00034DCC"/>
    <w:rsid w:val="00034DDA"/>
    <w:rsid w:val="00035AC5"/>
    <w:rsid w:val="00035EB5"/>
    <w:rsid w:val="000367F7"/>
    <w:rsid w:val="00036F07"/>
    <w:rsid w:val="0003716A"/>
    <w:rsid w:val="00037266"/>
    <w:rsid w:val="00037C5C"/>
    <w:rsid w:val="00040855"/>
    <w:rsid w:val="00040E19"/>
    <w:rsid w:val="0004105C"/>
    <w:rsid w:val="0004147F"/>
    <w:rsid w:val="00041755"/>
    <w:rsid w:val="0004272B"/>
    <w:rsid w:val="00042738"/>
    <w:rsid w:val="00042D31"/>
    <w:rsid w:val="00043772"/>
    <w:rsid w:val="0004377D"/>
    <w:rsid w:val="000439DD"/>
    <w:rsid w:val="00043C3C"/>
    <w:rsid w:val="000447BD"/>
    <w:rsid w:val="00044D25"/>
    <w:rsid w:val="000452D7"/>
    <w:rsid w:val="00045304"/>
    <w:rsid w:val="000454D4"/>
    <w:rsid w:val="0004673D"/>
    <w:rsid w:val="00046783"/>
    <w:rsid w:val="00047357"/>
    <w:rsid w:val="0005046B"/>
    <w:rsid w:val="0005068E"/>
    <w:rsid w:val="00050B9A"/>
    <w:rsid w:val="00050F0B"/>
    <w:rsid w:val="00050F56"/>
    <w:rsid w:val="00050FCF"/>
    <w:rsid w:val="0005183D"/>
    <w:rsid w:val="00051989"/>
    <w:rsid w:val="00051C97"/>
    <w:rsid w:val="0005299A"/>
    <w:rsid w:val="00052FCC"/>
    <w:rsid w:val="00053455"/>
    <w:rsid w:val="000534F5"/>
    <w:rsid w:val="00053EE1"/>
    <w:rsid w:val="0005474B"/>
    <w:rsid w:val="000554A6"/>
    <w:rsid w:val="00055766"/>
    <w:rsid w:val="00055905"/>
    <w:rsid w:val="0005632A"/>
    <w:rsid w:val="00056412"/>
    <w:rsid w:val="0005647E"/>
    <w:rsid w:val="0005723F"/>
    <w:rsid w:val="000573CB"/>
    <w:rsid w:val="0005747E"/>
    <w:rsid w:val="00057875"/>
    <w:rsid w:val="00061654"/>
    <w:rsid w:val="00064B27"/>
    <w:rsid w:val="00065713"/>
    <w:rsid w:val="0006592A"/>
    <w:rsid w:val="000667C5"/>
    <w:rsid w:val="000668A4"/>
    <w:rsid w:val="00066A37"/>
    <w:rsid w:val="00066ADD"/>
    <w:rsid w:val="00067A22"/>
    <w:rsid w:val="00067F57"/>
    <w:rsid w:val="00070A81"/>
    <w:rsid w:val="000711E4"/>
    <w:rsid w:val="00071368"/>
    <w:rsid w:val="00071779"/>
    <w:rsid w:val="0007183E"/>
    <w:rsid w:val="00072619"/>
    <w:rsid w:val="00073507"/>
    <w:rsid w:val="00073A4D"/>
    <w:rsid w:val="00073B2D"/>
    <w:rsid w:val="00074010"/>
    <w:rsid w:val="0007412D"/>
    <w:rsid w:val="00074317"/>
    <w:rsid w:val="000744F7"/>
    <w:rsid w:val="00074D4F"/>
    <w:rsid w:val="000758A2"/>
    <w:rsid w:val="000758E5"/>
    <w:rsid w:val="000760E6"/>
    <w:rsid w:val="00077478"/>
    <w:rsid w:val="00077A0F"/>
    <w:rsid w:val="00077B46"/>
    <w:rsid w:val="000804ED"/>
    <w:rsid w:val="000813EA"/>
    <w:rsid w:val="000821B2"/>
    <w:rsid w:val="000821CC"/>
    <w:rsid w:val="00082F8F"/>
    <w:rsid w:val="00083098"/>
    <w:rsid w:val="00083188"/>
    <w:rsid w:val="0008326E"/>
    <w:rsid w:val="000842C0"/>
    <w:rsid w:val="000847C7"/>
    <w:rsid w:val="000847F7"/>
    <w:rsid w:val="00084A07"/>
    <w:rsid w:val="00084D48"/>
    <w:rsid w:val="00084FD1"/>
    <w:rsid w:val="000858A9"/>
    <w:rsid w:val="00086637"/>
    <w:rsid w:val="000877D1"/>
    <w:rsid w:val="000900A4"/>
    <w:rsid w:val="00091D11"/>
    <w:rsid w:val="00091E77"/>
    <w:rsid w:val="000929AC"/>
    <w:rsid w:val="000929DD"/>
    <w:rsid w:val="0009303C"/>
    <w:rsid w:val="00093154"/>
    <w:rsid w:val="00093367"/>
    <w:rsid w:val="0009339C"/>
    <w:rsid w:val="00093F4D"/>
    <w:rsid w:val="00093FBF"/>
    <w:rsid w:val="0009484A"/>
    <w:rsid w:val="000958BB"/>
    <w:rsid w:val="0009642A"/>
    <w:rsid w:val="000964DC"/>
    <w:rsid w:val="00096636"/>
    <w:rsid w:val="00096A4D"/>
    <w:rsid w:val="00096F5A"/>
    <w:rsid w:val="00097116"/>
    <w:rsid w:val="000971F6"/>
    <w:rsid w:val="00097315"/>
    <w:rsid w:val="00097B64"/>
    <w:rsid w:val="000A02FB"/>
    <w:rsid w:val="000A0D5F"/>
    <w:rsid w:val="000A11DE"/>
    <w:rsid w:val="000A12C4"/>
    <w:rsid w:val="000A12F0"/>
    <w:rsid w:val="000A1CCE"/>
    <w:rsid w:val="000A1F30"/>
    <w:rsid w:val="000A208C"/>
    <w:rsid w:val="000A2382"/>
    <w:rsid w:val="000A24F4"/>
    <w:rsid w:val="000A28BF"/>
    <w:rsid w:val="000A2AF8"/>
    <w:rsid w:val="000A406A"/>
    <w:rsid w:val="000A4136"/>
    <w:rsid w:val="000A425F"/>
    <w:rsid w:val="000A5070"/>
    <w:rsid w:val="000A5333"/>
    <w:rsid w:val="000A6411"/>
    <w:rsid w:val="000A712F"/>
    <w:rsid w:val="000A72C8"/>
    <w:rsid w:val="000B019A"/>
    <w:rsid w:val="000B0212"/>
    <w:rsid w:val="000B114E"/>
    <w:rsid w:val="000B1357"/>
    <w:rsid w:val="000B1E0B"/>
    <w:rsid w:val="000B2352"/>
    <w:rsid w:val="000B23A4"/>
    <w:rsid w:val="000B27ED"/>
    <w:rsid w:val="000B47B9"/>
    <w:rsid w:val="000B4CD9"/>
    <w:rsid w:val="000B55FF"/>
    <w:rsid w:val="000B6244"/>
    <w:rsid w:val="000B6672"/>
    <w:rsid w:val="000B6983"/>
    <w:rsid w:val="000B703E"/>
    <w:rsid w:val="000B79A0"/>
    <w:rsid w:val="000C032C"/>
    <w:rsid w:val="000C0DBD"/>
    <w:rsid w:val="000C134D"/>
    <w:rsid w:val="000C1C38"/>
    <w:rsid w:val="000C1CDA"/>
    <w:rsid w:val="000C23BE"/>
    <w:rsid w:val="000C247E"/>
    <w:rsid w:val="000C24F1"/>
    <w:rsid w:val="000C2E30"/>
    <w:rsid w:val="000C35EE"/>
    <w:rsid w:val="000C37EB"/>
    <w:rsid w:val="000C5707"/>
    <w:rsid w:val="000C5B08"/>
    <w:rsid w:val="000C5F52"/>
    <w:rsid w:val="000C6119"/>
    <w:rsid w:val="000C6D62"/>
    <w:rsid w:val="000C79F0"/>
    <w:rsid w:val="000C7FAC"/>
    <w:rsid w:val="000D021C"/>
    <w:rsid w:val="000D07FC"/>
    <w:rsid w:val="000D0ADB"/>
    <w:rsid w:val="000D0C13"/>
    <w:rsid w:val="000D10C7"/>
    <w:rsid w:val="000D11DD"/>
    <w:rsid w:val="000D14C0"/>
    <w:rsid w:val="000D1619"/>
    <w:rsid w:val="000D19D6"/>
    <w:rsid w:val="000D1BEE"/>
    <w:rsid w:val="000D2472"/>
    <w:rsid w:val="000D2AAA"/>
    <w:rsid w:val="000D318F"/>
    <w:rsid w:val="000D3928"/>
    <w:rsid w:val="000D4126"/>
    <w:rsid w:val="000D46E2"/>
    <w:rsid w:val="000D485A"/>
    <w:rsid w:val="000D4B06"/>
    <w:rsid w:val="000D50C0"/>
    <w:rsid w:val="000D5606"/>
    <w:rsid w:val="000D5765"/>
    <w:rsid w:val="000D58C2"/>
    <w:rsid w:val="000D5C5F"/>
    <w:rsid w:val="000D5D22"/>
    <w:rsid w:val="000D5E57"/>
    <w:rsid w:val="000D6D6E"/>
    <w:rsid w:val="000D6ED5"/>
    <w:rsid w:val="000D70D4"/>
    <w:rsid w:val="000D7B34"/>
    <w:rsid w:val="000E0004"/>
    <w:rsid w:val="000E0373"/>
    <w:rsid w:val="000E0CBE"/>
    <w:rsid w:val="000E0DFA"/>
    <w:rsid w:val="000E123F"/>
    <w:rsid w:val="000E1B22"/>
    <w:rsid w:val="000E1D09"/>
    <w:rsid w:val="000E24D9"/>
    <w:rsid w:val="000E2B9F"/>
    <w:rsid w:val="000E3687"/>
    <w:rsid w:val="000E4316"/>
    <w:rsid w:val="000E46F4"/>
    <w:rsid w:val="000E4C2C"/>
    <w:rsid w:val="000E6225"/>
    <w:rsid w:val="000E6C9F"/>
    <w:rsid w:val="000E7DAC"/>
    <w:rsid w:val="000F0104"/>
    <w:rsid w:val="000F01A4"/>
    <w:rsid w:val="000F09DF"/>
    <w:rsid w:val="000F19ED"/>
    <w:rsid w:val="000F2090"/>
    <w:rsid w:val="000F21FC"/>
    <w:rsid w:val="000F23FA"/>
    <w:rsid w:val="000F2AFB"/>
    <w:rsid w:val="000F2C6D"/>
    <w:rsid w:val="000F3140"/>
    <w:rsid w:val="000F347F"/>
    <w:rsid w:val="000F3CE6"/>
    <w:rsid w:val="000F4022"/>
    <w:rsid w:val="000F4DC7"/>
    <w:rsid w:val="000F5DE7"/>
    <w:rsid w:val="000F639A"/>
    <w:rsid w:val="000F7CCB"/>
    <w:rsid w:val="00100590"/>
    <w:rsid w:val="00101C0A"/>
    <w:rsid w:val="00101D10"/>
    <w:rsid w:val="00101D45"/>
    <w:rsid w:val="00101FE7"/>
    <w:rsid w:val="00102225"/>
    <w:rsid w:val="00102388"/>
    <w:rsid w:val="00103433"/>
    <w:rsid w:val="00103606"/>
    <w:rsid w:val="001039F8"/>
    <w:rsid w:val="0010402E"/>
    <w:rsid w:val="001054EA"/>
    <w:rsid w:val="0010624F"/>
    <w:rsid w:val="00106D98"/>
    <w:rsid w:val="00107266"/>
    <w:rsid w:val="00110499"/>
    <w:rsid w:val="00110740"/>
    <w:rsid w:val="00110ADB"/>
    <w:rsid w:val="00110FBF"/>
    <w:rsid w:val="00111FBC"/>
    <w:rsid w:val="00112CF4"/>
    <w:rsid w:val="001137C1"/>
    <w:rsid w:val="00113F84"/>
    <w:rsid w:val="00114611"/>
    <w:rsid w:val="00114D2C"/>
    <w:rsid w:val="00114FB7"/>
    <w:rsid w:val="001154A8"/>
    <w:rsid w:val="00115880"/>
    <w:rsid w:val="00115FD8"/>
    <w:rsid w:val="00116331"/>
    <w:rsid w:val="001169C8"/>
    <w:rsid w:val="00116C46"/>
    <w:rsid w:val="0011732D"/>
    <w:rsid w:val="00117A17"/>
    <w:rsid w:val="00117BD5"/>
    <w:rsid w:val="0012069F"/>
    <w:rsid w:val="001207E6"/>
    <w:rsid w:val="0012090B"/>
    <w:rsid w:val="00120E1C"/>
    <w:rsid w:val="00120F59"/>
    <w:rsid w:val="001214ED"/>
    <w:rsid w:val="001215F4"/>
    <w:rsid w:val="001217E4"/>
    <w:rsid w:val="00122CB0"/>
    <w:rsid w:val="00122D3B"/>
    <w:rsid w:val="00122EF3"/>
    <w:rsid w:val="00124352"/>
    <w:rsid w:val="00124738"/>
    <w:rsid w:val="00125696"/>
    <w:rsid w:val="001259AA"/>
    <w:rsid w:val="00125D9F"/>
    <w:rsid w:val="00125E98"/>
    <w:rsid w:val="00126733"/>
    <w:rsid w:val="0012683C"/>
    <w:rsid w:val="00126942"/>
    <w:rsid w:val="001270EA"/>
    <w:rsid w:val="00127754"/>
    <w:rsid w:val="00127A8A"/>
    <w:rsid w:val="00127C82"/>
    <w:rsid w:val="001303A7"/>
    <w:rsid w:val="00130AAF"/>
    <w:rsid w:val="0013134F"/>
    <w:rsid w:val="00131A04"/>
    <w:rsid w:val="00131B99"/>
    <w:rsid w:val="0013238B"/>
    <w:rsid w:val="00132439"/>
    <w:rsid w:val="00132584"/>
    <w:rsid w:val="0013265F"/>
    <w:rsid w:val="001327DB"/>
    <w:rsid w:val="00134E7B"/>
    <w:rsid w:val="00135078"/>
    <w:rsid w:val="00135CD6"/>
    <w:rsid w:val="00135DBA"/>
    <w:rsid w:val="00135DC0"/>
    <w:rsid w:val="001367D8"/>
    <w:rsid w:val="001378AA"/>
    <w:rsid w:val="001400B1"/>
    <w:rsid w:val="00140613"/>
    <w:rsid w:val="00141069"/>
    <w:rsid w:val="0014132C"/>
    <w:rsid w:val="00141D1A"/>
    <w:rsid w:val="00142791"/>
    <w:rsid w:val="00143010"/>
    <w:rsid w:val="001433E0"/>
    <w:rsid w:val="001438A5"/>
    <w:rsid w:val="00143C10"/>
    <w:rsid w:val="00145B98"/>
    <w:rsid w:val="0014630F"/>
    <w:rsid w:val="0014739E"/>
    <w:rsid w:val="001473E9"/>
    <w:rsid w:val="001473EB"/>
    <w:rsid w:val="00147683"/>
    <w:rsid w:val="001476F1"/>
    <w:rsid w:val="0015026D"/>
    <w:rsid w:val="00151185"/>
    <w:rsid w:val="001515B7"/>
    <w:rsid w:val="00151E7A"/>
    <w:rsid w:val="0015204F"/>
    <w:rsid w:val="0015240B"/>
    <w:rsid w:val="001524BB"/>
    <w:rsid w:val="00152F00"/>
    <w:rsid w:val="0015377A"/>
    <w:rsid w:val="00155390"/>
    <w:rsid w:val="001556AA"/>
    <w:rsid w:val="001556F6"/>
    <w:rsid w:val="00156281"/>
    <w:rsid w:val="00157008"/>
    <w:rsid w:val="00157450"/>
    <w:rsid w:val="00157B75"/>
    <w:rsid w:val="0016016F"/>
    <w:rsid w:val="0016045F"/>
    <w:rsid w:val="00160B0B"/>
    <w:rsid w:val="00161A8B"/>
    <w:rsid w:val="00162250"/>
    <w:rsid w:val="00162B9A"/>
    <w:rsid w:val="00162C48"/>
    <w:rsid w:val="00162E0F"/>
    <w:rsid w:val="0016321C"/>
    <w:rsid w:val="001634F9"/>
    <w:rsid w:val="00163990"/>
    <w:rsid w:val="0016498B"/>
    <w:rsid w:val="00164B95"/>
    <w:rsid w:val="00164CF7"/>
    <w:rsid w:val="00165EBA"/>
    <w:rsid w:val="00166183"/>
    <w:rsid w:val="0016669A"/>
    <w:rsid w:val="00166726"/>
    <w:rsid w:val="00166B4C"/>
    <w:rsid w:val="00167113"/>
    <w:rsid w:val="0016728C"/>
    <w:rsid w:val="00167852"/>
    <w:rsid w:val="001679F6"/>
    <w:rsid w:val="00167FF0"/>
    <w:rsid w:val="0017160F"/>
    <w:rsid w:val="00172388"/>
    <w:rsid w:val="00172630"/>
    <w:rsid w:val="00173501"/>
    <w:rsid w:val="00174515"/>
    <w:rsid w:val="0017455C"/>
    <w:rsid w:val="00174BBE"/>
    <w:rsid w:val="0017583B"/>
    <w:rsid w:val="00175F98"/>
    <w:rsid w:val="001761FF"/>
    <w:rsid w:val="00176491"/>
    <w:rsid w:val="001765D4"/>
    <w:rsid w:val="00176B17"/>
    <w:rsid w:val="00177391"/>
    <w:rsid w:val="0017764F"/>
    <w:rsid w:val="00177D64"/>
    <w:rsid w:val="00177FCC"/>
    <w:rsid w:val="001800A3"/>
    <w:rsid w:val="00180576"/>
    <w:rsid w:val="00180CFD"/>
    <w:rsid w:val="00181BC4"/>
    <w:rsid w:val="00181FEA"/>
    <w:rsid w:val="00182CD4"/>
    <w:rsid w:val="00185038"/>
    <w:rsid w:val="00185663"/>
    <w:rsid w:val="00185FC3"/>
    <w:rsid w:val="00190211"/>
    <w:rsid w:val="00190C01"/>
    <w:rsid w:val="00190D5F"/>
    <w:rsid w:val="001927AB"/>
    <w:rsid w:val="00192DE0"/>
    <w:rsid w:val="00192ECE"/>
    <w:rsid w:val="0019358B"/>
    <w:rsid w:val="00193D19"/>
    <w:rsid w:val="00194D46"/>
    <w:rsid w:val="00194EAA"/>
    <w:rsid w:val="00194FBD"/>
    <w:rsid w:val="001950E3"/>
    <w:rsid w:val="001961A6"/>
    <w:rsid w:val="001963F0"/>
    <w:rsid w:val="00196F8D"/>
    <w:rsid w:val="0019760B"/>
    <w:rsid w:val="00197F59"/>
    <w:rsid w:val="001A0FF0"/>
    <w:rsid w:val="001A1620"/>
    <w:rsid w:val="001A1644"/>
    <w:rsid w:val="001A4240"/>
    <w:rsid w:val="001A4563"/>
    <w:rsid w:val="001A5316"/>
    <w:rsid w:val="001A6F59"/>
    <w:rsid w:val="001A74D9"/>
    <w:rsid w:val="001A7E03"/>
    <w:rsid w:val="001B0B30"/>
    <w:rsid w:val="001B0EC2"/>
    <w:rsid w:val="001B12B2"/>
    <w:rsid w:val="001B13D5"/>
    <w:rsid w:val="001B15E1"/>
    <w:rsid w:val="001B1643"/>
    <w:rsid w:val="001B1E5A"/>
    <w:rsid w:val="001B2801"/>
    <w:rsid w:val="001B2B05"/>
    <w:rsid w:val="001B2D20"/>
    <w:rsid w:val="001B3265"/>
    <w:rsid w:val="001B3BDB"/>
    <w:rsid w:val="001B3D47"/>
    <w:rsid w:val="001B430F"/>
    <w:rsid w:val="001B4F4F"/>
    <w:rsid w:val="001B52EE"/>
    <w:rsid w:val="001B5A5B"/>
    <w:rsid w:val="001B5E2A"/>
    <w:rsid w:val="001B6F59"/>
    <w:rsid w:val="001B7258"/>
    <w:rsid w:val="001B75B3"/>
    <w:rsid w:val="001B75BE"/>
    <w:rsid w:val="001B7A91"/>
    <w:rsid w:val="001C12DF"/>
    <w:rsid w:val="001C12FF"/>
    <w:rsid w:val="001C2365"/>
    <w:rsid w:val="001C30B0"/>
    <w:rsid w:val="001C3302"/>
    <w:rsid w:val="001C35B4"/>
    <w:rsid w:val="001C4786"/>
    <w:rsid w:val="001C5180"/>
    <w:rsid w:val="001C5980"/>
    <w:rsid w:val="001C6021"/>
    <w:rsid w:val="001C606B"/>
    <w:rsid w:val="001C646A"/>
    <w:rsid w:val="001C6610"/>
    <w:rsid w:val="001C663D"/>
    <w:rsid w:val="001C6C59"/>
    <w:rsid w:val="001C7036"/>
    <w:rsid w:val="001C71F3"/>
    <w:rsid w:val="001D04D4"/>
    <w:rsid w:val="001D0E57"/>
    <w:rsid w:val="001D16CC"/>
    <w:rsid w:val="001D1BC2"/>
    <w:rsid w:val="001D1F8C"/>
    <w:rsid w:val="001D2028"/>
    <w:rsid w:val="001D213A"/>
    <w:rsid w:val="001D260C"/>
    <w:rsid w:val="001D3597"/>
    <w:rsid w:val="001D43CE"/>
    <w:rsid w:val="001D515D"/>
    <w:rsid w:val="001D6BA0"/>
    <w:rsid w:val="001D7671"/>
    <w:rsid w:val="001D7E10"/>
    <w:rsid w:val="001E08E7"/>
    <w:rsid w:val="001E0ADF"/>
    <w:rsid w:val="001E10E1"/>
    <w:rsid w:val="001E1EB8"/>
    <w:rsid w:val="001E2B35"/>
    <w:rsid w:val="001E2F0C"/>
    <w:rsid w:val="001E3F64"/>
    <w:rsid w:val="001E4B3B"/>
    <w:rsid w:val="001E5266"/>
    <w:rsid w:val="001E5A40"/>
    <w:rsid w:val="001E5B0D"/>
    <w:rsid w:val="001E5E27"/>
    <w:rsid w:val="001E69B5"/>
    <w:rsid w:val="001E6B6C"/>
    <w:rsid w:val="001F0508"/>
    <w:rsid w:val="001F208F"/>
    <w:rsid w:val="001F2AAA"/>
    <w:rsid w:val="001F38C6"/>
    <w:rsid w:val="001F4003"/>
    <w:rsid w:val="001F5082"/>
    <w:rsid w:val="001F6048"/>
    <w:rsid w:val="001F62A7"/>
    <w:rsid w:val="001F62C6"/>
    <w:rsid w:val="001F631B"/>
    <w:rsid w:val="001F64A5"/>
    <w:rsid w:val="00200439"/>
    <w:rsid w:val="00200B10"/>
    <w:rsid w:val="00201028"/>
    <w:rsid w:val="00201289"/>
    <w:rsid w:val="00203CDC"/>
    <w:rsid w:val="00203E60"/>
    <w:rsid w:val="00204283"/>
    <w:rsid w:val="002043D6"/>
    <w:rsid w:val="00204AA1"/>
    <w:rsid w:val="00204D4C"/>
    <w:rsid w:val="00205511"/>
    <w:rsid w:val="002056DF"/>
    <w:rsid w:val="00205FBD"/>
    <w:rsid w:val="002063C4"/>
    <w:rsid w:val="00207D07"/>
    <w:rsid w:val="0021038B"/>
    <w:rsid w:val="0021090C"/>
    <w:rsid w:val="00210E1B"/>
    <w:rsid w:val="00211066"/>
    <w:rsid w:val="00211387"/>
    <w:rsid w:val="00211574"/>
    <w:rsid w:val="00212532"/>
    <w:rsid w:val="00212A35"/>
    <w:rsid w:val="00212AE7"/>
    <w:rsid w:val="00212CF3"/>
    <w:rsid w:val="00213258"/>
    <w:rsid w:val="00213A11"/>
    <w:rsid w:val="00213B8B"/>
    <w:rsid w:val="00213D80"/>
    <w:rsid w:val="00214509"/>
    <w:rsid w:val="00214C78"/>
    <w:rsid w:val="00215FA3"/>
    <w:rsid w:val="00216405"/>
    <w:rsid w:val="002166A7"/>
    <w:rsid w:val="0021676F"/>
    <w:rsid w:val="00216D3A"/>
    <w:rsid w:val="00217811"/>
    <w:rsid w:val="00217984"/>
    <w:rsid w:val="00217D48"/>
    <w:rsid w:val="00220011"/>
    <w:rsid w:val="002205C8"/>
    <w:rsid w:val="0022062E"/>
    <w:rsid w:val="002208B0"/>
    <w:rsid w:val="002209D4"/>
    <w:rsid w:val="00220B98"/>
    <w:rsid w:val="00220E4E"/>
    <w:rsid w:val="0022135A"/>
    <w:rsid w:val="00221674"/>
    <w:rsid w:val="00221BE9"/>
    <w:rsid w:val="0022260A"/>
    <w:rsid w:val="00222C35"/>
    <w:rsid w:val="00223E72"/>
    <w:rsid w:val="00224369"/>
    <w:rsid w:val="0022462F"/>
    <w:rsid w:val="002249D0"/>
    <w:rsid w:val="002254B8"/>
    <w:rsid w:val="0022656E"/>
    <w:rsid w:val="002266E1"/>
    <w:rsid w:val="0022676D"/>
    <w:rsid w:val="00227D6D"/>
    <w:rsid w:val="00230307"/>
    <w:rsid w:val="00230E5D"/>
    <w:rsid w:val="002320C7"/>
    <w:rsid w:val="002329BE"/>
    <w:rsid w:val="00232C82"/>
    <w:rsid w:val="00232DD8"/>
    <w:rsid w:val="002330D6"/>
    <w:rsid w:val="002339F9"/>
    <w:rsid w:val="00233CDD"/>
    <w:rsid w:val="00234297"/>
    <w:rsid w:val="00234DE9"/>
    <w:rsid w:val="00234F4B"/>
    <w:rsid w:val="002350BB"/>
    <w:rsid w:val="00235205"/>
    <w:rsid w:val="00235511"/>
    <w:rsid w:val="0023563F"/>
    <w:rsid w:val="00235BF0"/>
    <w:rsid w:val="00235C35"/>
    <w:rsid w:val="00236693"/>
    <w:rsid w:val="00236916"/>
    <w:rsid w:val="00236D7F"/>
    <w:rsid w:val="00236F89"/>
    <w:rsid w:val="00237828"/>
    <w:rsid w:val="00240D79"/>
    <w:rsid w:val="002412AB"/>
    <w:rsid w:val="00241505"/>
    <w:rsid w:val="00241EA8"/>
    <w:rsid w:val="002424FA"/>
    <w:rsid w:val="002429D3"/>
    <w:rsid w:val="00243462"/>
    <w:rsid w:val="002442B3"/>
    <w:rsid w:val="002444D6"/>
    <w:rsid w:val="002445A1"/>
    <w:rsid w:val="00244AA7"/>
    <w:rsid w:val="00244AAD"/>
    <w:rsid w:val="00244C42"/>
    <w:rsid w:val="002453C9"/>
    <w:rsid w:val="0024551A"/>
    <w:rsid w:val="0024662B"/>
    <w:rsid w:val="00246CA3"/>
    <w:rsid w:val="00246D7E"/>
    <w:rsid w:val="00246FCC"/>
    <w:rsid w:val="002479F9"/>
    <w:rsid w:val="00247AFD"/>
    <w:rsid w:val="00250999"/>
    <w:rsid w:val="00250C53"/>
    <w:rsid w:val="00251B5F"/>
    <w:rsid w:val="00252432"/>
    <w:rsid w:val="002528B3"/>
    <w:rsid w:val="00252DED"/>
    <w:rsid w:val="002546FF"/>
    <w:rsid w:val="00254D24"/>
    <w:rsid w:val="002551D2"/>
    <w:rsid w:val="00255797"/>
    <w:rsid w:val="00256253"/>
    <w:rsid w:val="0025626A"/>
    <w:rsid w:val="00256B20"/>
    <w:rsid w:val="00260192"/>
    <w:rsid w:val="002618E5"/>
    <w:rsid w:val="00261E4A"/>
    <w:rsid w:val="00262994"/>
    <w:rsid w:val="0026323D"/>
    <w:rsid w:val="00263D82"/>
    <w:rsid w:val="00264054"/>
    <w:rsid w:val="00264331"/>
    <w:rsid w:val="00264EEE"/>
    <w:rsid w:val="00265204"/>
    <w:rsid w:val="0026636F"/>
    <w:rsid w:val="00266B88"/>
    <w:rsid w:val="002722FF"/>
    <w:rsid w:val="0027236D"/>
    <w:rsid w:val="00272615"/>
    <w:rsid w:val="00272CF4"/>
    <w:rsid w:val="00272D3A"/>
    <w:rsid w:val="00272D47"/>
    <w:rsid w:val="002730EA"/>
    <w:rsid w:val="0027313B"/>
    <w:rsid w:val="00273359"/>
    <w:rsid w:val="0027341C"/>
    <w:rsid w:val="00273538"/>
    <w:rsid w:val="00273AFB"/>
    <w:rsid w:val="002743A2"/>
    <w:rsid w:val="002743E3"/>
    <w:rsid w:val="002747D7"/>
    <w:rsid w:val="00274A0C"/>
    <w:rsid w:val="00274C12"/>
    <w:rsid w:val="00274D0C"/>
    <w:rsid w:val="002751FA"/>
    <w:rsid w:val="002757CC"/>
    <w:rsid w:val="0027656B"/>
    <w:rsid w:val="00276686"/>
    <w:rsid w:val="00276A43"/>
    <w:rsid w:val="002770D7"/>
    <w:rsid w:val="002770F4"/>
    <w:rsid w:val="00280005"/>
    <w:rsid w:val="00280108"/>
    <w:rsid w:val="00280235"/>
    <w:rsid w:val="00280384"/>
    <w:rsid w:val="00280804"/>
    <w:rsid w:val="00280A5B"/>
    <w:rsid w:val="00280B47"/>
    <w:rsid w:val="00280E0C"/>
    <w:rsid w:val="00282BB1"/>
    <w:rsid w:val="00283592"/>
    <w:rsid w:val="0028391F"/>
    <w:rsid w:val="0028399C"/>
    <w:rsid w:val="002841BD"/>
    <w:rsid w:val="00285281"/>
    <w:rsid w:val="00285B92"/>
    <w:rsid w:val="00285C64"/>
    <w:rsid w:val="002866F1"/>
    <w:rsid w:val="00286C77"/>
    <w:rsid w:val="00287908"/>
    <w:rsid w:val="00287AEC"/>
    <w:rsid w:val="002905DE"/>
    <w:rsid w:val="00290A60"/>
    <w:rsid w:val="00290BC4"/>
    <w:rsid w:val="00290C11"/>
    <w:rsid w:val="002915AC"/>
    <w:rsid w:val="0029160C"/>
    <w:rsid w:val="00292D49"/>
    <w:rsid w:val="00293586"/>
    <w:rsid w:val="00294482"/>
    <w:rsid w:val="0029457F"/>
    <w:rsid w:val="00294C29"/>
    <w:rsid w:val="00294FEA"/>
    <w:rsid w:val="00295212"/>
    <w:rsid w:val="00295469"/>
    <w:rsid w:val="002955ED"/>
    <w:rsid w:val="00295A67"/>
    <w:rsid w:val="002972BD"/>
    <w:rsid w:val="00297CBE"/>
    <w:rsid w:val="002A007A"/>
    <w:rsid w:val="002A051D"/>
    <w:rsid w:val="002A08E1"/>
    <w:rsid w:val="002A09C4"/>
    <w:rsid w:val="002A0E89"/>
    <w:rsid w:val="002A0ED9"/>
    <w:rsid w:val="002A0F95"/>
    <w:rsid w:val="002A133F"/>
    <w:rsid w:val="002A1403"/>
    <w:rsid w:val="002A18D5"/>
    <w:rsid w:val="002A251E"/>
    <w:rsid w:val="002A2680"/>
    <w:rsid w:val="002A2756"/>
    <w:rsid w:val="002A29B6"/>
    <w:rsid w:val="002A2A02"/>
    <w:rsid w:val="002A38D3"/>
    <w:rsid w:val="002A3AB3"/>
    <w:rsid w:val="002A4A0F"/>
    <w:rsid w:val="002A4F4B"/>
    <w:rsid w:val="002A548B"/>
    <w:rsid w:val="002A5C84"/>
    <w:rsid w:val="002A6528"/>
    <w:rsid w:val="002A6551"/>
    <w:rsid w:val="002A6E11"/>
    <w:rsid w:val="002B0DF9"/>
    <w:rsid w:val="002B0E76"/>
    <w:rsid w:val="002B1311"/>
    <w:rsid w:val="002B201A"/>
    <w:rsid w:val="002B220F"/>
    <w:rsid w:val="002B24B6"/>
    <w:rsid w:val="002B2C50"/>
    <w:rsid w:val="002B3289"/>
    <w:rsid w:val="002B39A6"/>
    <w:rsid w:val="002B40B3"/>
    <w:rsid w:val="002B411C"/>
    <w:rsid w:val="002B4489"/>
    <w:rsid w:val="002B44EB"/>
    <w:rsid w:val="002B4C4F"/>
    <w:rsid w:val="002B65F6"/>
    <w:rsid w:val="002C0A06"/>
    <w:rsid w:val="002C0B3C"/>
    <w:rsid w:val="002C1988"/>
    <w:rsid w:val="002C2AC4"/>
    <w:rsid w:val="002C3A74"/>
    <w:rsid w:val="002C3CE0"/>
    <w:rsid w:val="002C3F5E"/>
    <w:rsid w:val="002C415E"/>
    <w:rsid w:val="002C45DD"/>
    <w:rsid w:val="002C4B56"/>
    <w:rsid w:val="002C4E1E"/>
    <w:rsid w:val="002C4E39"/>
    <w:rsid w:val="002C4F8C"/>
    <w:rsid w:val="002C5BC6"/>
    <w:rsid w:val="002C5D05"/>
    <w:rsid w:val="002C61FE"/>
    <w:rsid w:val="002C7193"/>
    <w:rsid w:val="002D0013"/>
    <w:rsid w:val="002D0787"/>
    <w:rsid w:val="002D07F4"/>
    <w:rsid w:val="002D0FBE"/>
    <w:rsid w:val="002D172E"/>
    <w:rsid w:val="002D1B29"/>
    <w:rsid w:val="002D1BEA"/>
    <w:rsid w:val="002D2153"/>
    <w:rsid w:val="002D2E53"/>
    <w:rsid w:val="002D2FBD"/>
    <w:rsid w:val="002D341A"/>
    <w:rsid w:val="002D4071"/>
    <w:rsid w:val="002D42E3"/>
    <w:rsid w:val="002D4951"/>
    <w:rsid w:val="002D4BC8"/>
    <w:rsid w:val="002D5439"/>
    <w:rsid w:val="002D590C"/>
    <w:rsid w:val="002D5AEF"/>
    <w:rsid w:val="002D63F5"/>
    <w:rsid w:val="002D70A5"/>
    <w:rsid w:val="002D79CD"/>
    <w:rsid w:val="002D7A59"/>
    <w:rsid w:val="002D7CF5"/>
    <w:rsid w:val="002D7D0A"/>
    <w:rsid w:val="002E012A"/>
    <w:rsid w:val="002E05E0"/>
    <w:rsid w:val="002E104D"/>
    <w:rsid w:val="002E16FF"/>
    <w:rsid w:val="002E1946"/>
    <w:rsid w:val="002E29AB"/>
    <w:rsid w:val="002E301A"/>
    <w:rsid w:val="002E3580"/>
    <w:rsid w:val="002E3595"/>
    <w:rsid w:val="002E3D54"/>
    <w:rsid w:val="002E3F36"/>
    <w:rsid w:val="002E4144"/>
    <w:rsid w:val="002E4290"/>
    <w:rsid w:val="002E512B"/>
    <w:rsid w:val="002E51FB"/>
    <w:rsid w:val="002E5228"/>
    <w:rsid w:val="002E563E"/>
    <w:rsid w:val="002E607A"/>
    <w:rsid w:val="002E639E"/>
    <w:rsid w:val="002E6FD0"/>
    <w:rsid w:val="002E7096"/>
    <w:rsid w:val="002E70A6"/>
    <w:rsid w:val="002E70EB"/>
    <w:rsid w:val="002E75C1"/>
    <w:rsid w:val="002E77C1"/>
    <w:rsid w:val="002E7838"/>
    <w:rsid w:val="002F0243"/>
    <w:rsid w:val="002F0A21"/>
    <w:rsid w:val="002F0BB9"/>
    <w:rsid w:val="002F14C0"/>
    <w:rsid w:val="002F161E"/>
    <w:rsid w:val="002F1DF5"/>
    <w:rsid w:val="002F1F9C"/>
    <w:rsid w:val="002F2214"/>
    <w:rsid w:val="002F23D3"/>
    <w:rsid w:val="002F2440"/>
    <w:rsid w:val="002F269A"/>
    <w:rsid w:val="002F29A6"/>
    <w:rsid w:val="002F32C3"/>
    <w:rsid w:val="002F3611"/>
    <w:rsid w:val="002F3F58"/>
    <w:rsid w:val="002F4A96"/>
    <w:rsid w:val="002F4B80"/>
    <w:rsid w:val="002F5A83"/>
    <w:rsid w:val="002F637F"/>
    <w:rsid w:val="002F6439"/>
    <w:rsid w:val="002F6DC8"/>
    <w:rsid w:val="002F6DD1"/>
    <w:rsid w:val="002F72C3"/>
    <w:rsid w:val="003010D2"/>
    <w:rsid w:val="0030122C"/>
    <w:rsid w:val="0030193C"/>
    <w:rsid w:val="00301B78"/>
    <w:rsid w:val="00302271"/>
    <w:rsid w:val="0030293D"/>
    <w:rsid w:val="003029E6"/>
    <w:rsid w:val="003034DC"/>
    <w:rsid w:val="0030554E"/>
    <w:rsid w:val="00305E48"/>
    <w:rsid w:val="00306654"/>
    <w:rsid w:val="00306FAA"/>
    <w:rsid w:val="0030760F"/>
    <w:rsid w:val="0031020C"/>
    <w:rsid w:val="003127BE"/>
    <w:rsid w:val="00312F22"/>
    <w:rsid w:val="003131A0"/>
    <w:rsid w:val="0031337C"/>
    <w:rsid w:val="00313B91"/>
    <w:rsid w:val="00313C2D"/>
    <w:rsid w:val="00313C40"/>
    <w:rsid w:val="00313D1A"/>
    <w:rsid w:val="00314144"/>
    <w:rsid w:val="00314395"/>
    <w:rsid w:val="00314B1C"/>
    <w:rsid w:val="00314BDA"/>
    <w:rsid w:val="00314FE5"/>
    <w:rsid w:val="0031630B"/>
    <w:rsid w:val="00316AC4"/>
    <w:rsid w:val="00316EBE"/>
    <w:rsid w:val="00316FCB"/>
    <w:rsid w:val="00317B4C"/>
    <w:rsid w:val="00320F8F"/>
    <w:rsid w:val="00321FB2"/>
    <w:rsid w:val="003221A7"/>
    <w:rsid w:val="003235DC"/>
    <w:rsid w:val="00323932"/>
    <w:rsid w:val="00323C50"/>
    <w:rsid w:val="003261BD"/>
    <w:rsid w:val="00330230"/>
    <w:rsid w:val="0033072E"/>
    <w:rsid w:val="00330C80"/>
    <w:rsid w:val="003311F2"/>
    <w:rsid w:val="00331682"/>
    <w:rsid w:val="003326E3"/>
    <w:rsid w:val="00332E63"/>
    <w:rsid w:val="003339E0"/>
    <w:rsid w:val="00333E53"/>
    <w:rsid w:val="003341ED"/>
    <w:rsid w:val="00334D3C"/>
    <w:rsid w:val="00335716"/>
    <w:rsid w:val="00335FCB"/>
    <w:rsid w:val="003367EB"/>
    <w:rsid w:val="00336939"/>
    <w:rsid w:val="00336A69"/>
    <w:rsid w:val="00336A9A"/>
    <w:rsid w:val="0033779A"/>
    <w:rsid w:val="00337FD8"/>
    <w:rsid w:val="003406C6"/>
    <w:rsid w:val="00340A13"/>
    <w:rsid w:val="003419A8"/>
    <w:rsid w:val="00341AF7"/>
    <w:rsid w:val="00341FB6"/>
    <w:rsid w:val="003424E2"/>
    <w:rsid w:val="00342DB3"/>
    <w:rsid w:val="0034385A"/>
    <w:rsid w:val="00343B2C"/>
    <w:rsid w:val="00343D4D"/>
    <w:rsid w:val="00343F97"/>
    <w:rsid w:val="00344193"/>
    <w:rsid w:val="003466D2"/>
    <w:rsid w:val="003468EC"/>
    <w:rsid w:val="00347A7D"/>
    <w:rsid w:val="00350258"/>
    <w:rsid w:val="00351729"/>
    <w:rsid w:val="003522E6"/>
    <w:rsid w:val="0035279C"/>
    <w:rsid w:val="00352BE4"/>
    <w:rsid w:val="003539C3"/>
    <w:rsid w:val="003551B8"/>
    <w:rsid w:val="003553D0"/>
    <w:rsid w:val="00355E36"/>
    <w:rsid w:val="003561C3"/>
    <w:rsid w:val="00356B85"/>
    <w:rsid w:val="00356DF0"/>
    <w:rsid w:val="003571C6"/>
    <w:rsid w:val="003602FB"/>
    <w:rsid w:val="003608CD"/>
    <w:rsid w:val="003618A2"/>
    <w:rsid w:val="003619EF"/>
    <w:rsid w:val="00361A05"/>
    <w:rsid w:val="00361CA0"/>
    <w:rsid w:val="00362EB9"/>
    <w:rsid w:val="003639AD"/>
    <w:rsid w:val="00363B46"/>
    <w:rsid w:val="00364E7A"/>
    <w:rsid w:val="0036523D"/>
    <w:rsid w:val="00365B74"/>
    <w:rsid w:val="003668D2"/>
    <w:rsid w:val="003669E2"/>
    <w:rsid w:val="00366E0D"/>
    <w:rsid w:val="00366E22"/>
    <w:rsid w:val="00367189"/>
    <w:rsid w:val="00367216"/>
    <w:rsid w:val="0036774A"/>
    <w:rsid w:val="003706A4"/>
    <w:rsid w:val="00370AE5"/>
    <w:rsid w:val="00370AEB"/>
    <w:rsid w:val="0037127F"/>
    <w:rsid w:val="0037138C"/>
    <w:rsid w:val="00371BD9"/>
    <w:rsid w:val="00371F9C"/>
    <w:rsid w:val="00371FAC"/>
    <w:rsid w:val="00372534"/>
    <w:rsid w:val="00372C4F"/>
    <w:rsid w:val="00373511"/>
    <w:rsid w:val="00373CD3"/>
    <w:rsid w:val="00373D5B"/>
    <w:rsid w:val="003741A4"/>
    <w:rsid w:val="003743D7"/>
    <w:rsid w:val="003745DF"/>
    <w:rsid w:val="003748AF"/>
    <w:rsid w:val="00375980"/>
    <w:rsid w:val="00376CFB"/>
    <w:rsid w:val="00377130"/>
    <w:rsid w:val="0037774A"/>
    <w:rsid w:val="00377C58"/>
    <w:rsid w:val="00377FB3"/>
    <w:rsid w:val="00380E8F"/>
    <w:rsid w:val="003818B6"/>
    <w:rsid w:val="003818E0"/>
    <w:rsid w:val="00381994"/>
    <w:rsid w:val="00382C42"/>
    <w:rsid w:val="003833C7"/>
    <w:rsid w:val="0038380A"/>
    <w:rsid w:val="00383E44"/>
    <w:rsid w:val="00383EB3"/>
    <w:rsid w:val="00384295"/>
    <w:rsid w:val="0038531A"/>
    <w:rsid w:val="00385471"/>
    <w:rsid w:val="003854E5"/>
    <w:rsid w:val="00386D44"/>
    <w:rsid w:val="00386D69"/>
    <w:rsid w:val="00386E2D"/>
    <w:rsid w:val="00386E75"/>
    <w:rsid w:val="00386F79"/>
    <w:rsid w:val="00387531"/>
    <w:rsid w:val="0039009B"/>
    <w:rsid w:val="00391322"/>
    <w:rsid w:val="00391B85"/>
    <w:rsid w:val="00391C44"/>
    <w:rsid w:val="003928B1"/>
    <w:rsid w:val="003930BD"/>
    <w:rsid w:val="003936F8"/>
    <w:rsid w:val="003941F3"/>
    <w:rsid w:val="00394615"/>
    <w:rsid w:val="00394E7B"/>
    <w:rsid w:val="003950D0"/>
    <w:rsid w:val="00395477"/>
    <w:rsid w:val="00395626"/>
    <w:rsid w:val="00395F55"/>
    <w:rsid w:val="00396406"/>
    <w:rsid w:val="00397E89"/>
    <w:rsid w:val="003A0C1B"/>
    <w:rsid w:val="003A1F67"/>
    <w:rsid w:val="003A2456"/>
    <w:rsid w:val="003A249D"/>
    <w:rsid w:val="003A3E1D"/>
    <w:rsid w:val="003A4294"/>
    <w:rsid w:val="003A47EB"/>
    <w:rsid w:val="003A4B3B"/>
    <w:rsid w:val="003A5201"/>
    <w:rsid w:val="003A59EF"/>
    <w:rsid w:val="003A7075"/>
    <w:rsid w:val="003A7449"/>
    <w:rsid w:val="003A783A"/>
    <w:rsid w:val="003B06C5"/>
    <w:rsid w:val="003B09E1"/>
    <w:rsid w:val="003B10DC"/>
    <w:rsid w:val="003B1141"/>
    <w:rsid w:val="003B1C40"/>
    <w:rsid w:val="003B2158"/>
    <w:rsid w:val="003B2D28"/>
    <w:rsid w:val="003B3930"/>
    <w:rsid w:val="003B3CA5"/>
    <w:rsid w:val="003B4019"/>
    <w:rsid w:val="003B4310"/>
    <w:rsid w:val="003B4371"/>
    <w:rsid w:val="003B52D3"/>
    <w:rsid w:val="003B608E"/>
    <w:rsid w:val="003B6C5C"/>
    <w:rsid w:val="003B7485"/>
    <w:rsid w:val="003B75F5"/>
    <w:rsid w:val="003C01AD"/>
    <w:rsid w:val="003C0827"/>
    <w:rsid w:val="003C0B3B"/>
    <w:rsid w:val="003C0CE1"/>
    <w:rsid w:val="003C29D9"/>
    <w:rsid w:val="003C2F6B"/>
    <w:rsid w:val="003C3813"/>
    <w:rsid w:val="003C3A3A"/>
    <w:rsid w:val="003C3FB0"/>
    <w:rsid w:val="003C4B8D"/>
    <w:rsid w:val="003C5732"/>
    <w:rsid w:val="003C5A0A"/>
    <w:rsid w:val="003C5C34"/>
    <w:rsid w:val="003C5DF8"/>
    <w:rsid w:val="003C6395"/>
    <w:rsid w:val="003C7148"/>
    <w:rsid w:val="003C761C"/>
    <w:rsid w:val="003C7F31"/>
    <w:rsid w:val="003D05B4"/>
    <w:rsid w:val="003D1281"/>
    <w:rsid w:val="003D137F"/>
    <w:rsid w:val="003D156A"/>
    <w:rsid w:val="003D1578"/>
    <w:rsid w:val="003D26CB"/>
    <w:rsid w:val="003D27F0"/>
    <w:rsid w:val="003D2B5C"/>
    <w:rsid w:val="003D403F"/>
    <w:rsid w:val="003D59C4"/>
    <w:rsid w:val="003D5AFA"/>
    <w:rsid w:val="003D6101"/>
    <w:rsid w:val="003D61D2"/>
    <w:rsid w:val="003D6D7D"/>
    <w:rsid w:val="003D774E"/>
    <w:rsid w:val="003D7B50"/>
    <w:rsid w:val="003E043C"/>
    <w:rsid w:val="003E0CFC"/>
    <w:rsid w:val="003E0DEF"/>
    <w:rsid w:val="003E1076"/>
    <w:rsid w:val="003E1502"/>
    <w:rsid w:val="003E24E3"/>
    <w:rsid w:val="003E31B6"/>
    <w:rsid w:val="003E36CD"/>
    <w:rsid w:val="003E3BE0"/>
    <w:rsid w:val="003E498C"/>
    <w:rsid w:val="003E4BA9"/>
    <w:rsid w:val="003E4D5F"/>
    <w:rsid w:val="003E5155"/>
    <w:rsid w:val="003E538E"/>
    <w:rsid w:val="003E589B"/>
    <w:rsid w:val="003E592F"/>
    <w:rsid w:val="003E5A78"/>
    <w:rsid w:val="003E5DF5"/>
    <w:rsid w:val="003E5F2A"/>
    <w:rsid w:val="003E6CA1"/>
    <w:rsid w:val="003E771A"/>
    <w:rsid w:val="003F0853"/>
    <w:rsid w:val="003F1058"/>
    <w:rsid w:val="003F13C2"/>
    <w:rsid w:val="003F227D"/>
    <w:rsid w:val="003F22CD"/>
    <w:rsid w:val="003F22DA"/>
    <w:rsid w:val="003F3314"/>
    <w:rsid w:val="003F43EA"/>
    <w:rsid w:val="003F4CCE"/>
    <w:rsid w:val="003F50CE"/>
    <w:rsid w:val="003F6133"/>
    <w:rsid w:val="003F639F"/>
    <w:rsid w:val="003F6C2C"/>
    <w:rsid w:val="003F7072"/>
    <w:rsid w:val="003F73FD"/>
    <w:rsid w:val="00400046"/>
    <w:rsid w:val="00400B49"/>
    <w:rsid w:val="00401036"/>
    <w:rsid w:val="00401876"/>
    <w:rsid w:val="00402497"/>
    <w:rsid w:val="00402885"/>
    <w:rsid w:val="00402913"/>
    <w:rsid w:val="00402FBF"/>
    <w:rsid w:val="00403062"/>
    <w:rsid w:val="0040377C"/>
    <w:rsid w:val="00403839"/>
    <w:rsid w:val="00404EA1"/>
    <w:rsid w:val="0040501C"/>
    <w:rsid w:val="004053FC"/>
    <w:rsid w:val="00407A6D"/>
    <w:rsid w:val="0041017A"/>
    <w:rsid w:val="0041018F"/>
    <w:rsid w:val="00410827"/>
    <w:rsid w:val="00410AB1"/>
    <w:rsid w:val="004119B9"/>
    <w:rsid w:val="00412178"/>
    <w:rsid w:val="00412274"/>
    <w:rsid w:val="0041262E"/>
    <w:rsid w:val="004128F3"/>
    <w:rsid w:val="00413187"/>
    <w:rsid w:val="004132DF"/>
    <w:rsid w:val="004149EF"/>
    <w:rsid w:val="004155F0"/>
    <w:rsid w:val="00415606"/>
    <w:rsid w:val="004156B3"/>
    <w:rsid w:val="00415C33"/>
    <w:rsid w:val="00416325"/>
    <w:rsid w:val="00416473"/>
    <w:rsid w:val="00417169"/>
    <w:rsid w:val="004202F6"/>
    <w:rsid w:val="00420354"/>
    <w:rsid w:val="00420465"/>
    <w:rsid w:val="00421E47"/>
    <w:rsid w:val="00421E57"/>
    <w:rsid w:val="004227BC"/>
    <w:rsid w:val="00422EAB"/>
    <w:rsid w:val="0042333C"/>
    <w:rsid w:val="00423779"/>
    <w:rsid w:val="004237C6"/>
    <w:rsid w:val="00423C15"/>
    <w:rsid w:val="00423C5E"/>
    <w:rsid w:val="00423F72"/>
    <w:rsid w:val="00424387"/>
    <w:rsid w:val="004245BA"/>
    <w:rsid w:val="00424F5E"/>
    <w:rsid w:val="004250E1"/>
    <w:rsid w:val="00425235"/>
    <w:rsid w:val="00425823"/>
    <w:rsid w:val="00426D83"/>
    <w:rsid w:val="00426F5B"/>
    <w:rsid w:val="0042707A"/>
    <w:rsid w:val="00427BFD"/>
    <w:rsid w:val="004303F5"/>
    <w:rsid w:val="0043057A"/>
    <w:rsid w:val="00431155"/>
    <w:rsid w:val="00431361"/>
    <w:rsid w:val="00431AB9"/>
    <w:rsid w:val="004328EE"/>
    <w:rsid w:val="00432A00"/>
    <w:rsid w:val="00432DEE"/>
    <w:rsid w:val="00432EE3"/>
    <w:rsid w:val="00432FFC"/>
    <w:rsid w:val="00433D2B"/>
    <w:rsid w:val="00433D9D"/>
    <w:rsid w:val="0043420C"/>
    <w:rsid w:val="00434665"/>
    <w:rsid w:val="00434B50"/>
    <w:rsid w:val="0043615D"/>
    <w:rsid w:val="004362F1"/>
    <w:rsid w:val="004366BD"/>
    <w:rsid w:val="00436B45"/>
    <w:rsid w:val="004376FC"/>
    <w:rsid w:val="0044155D"/>
    <w:rsid w:val="00441FA4"/>
    <w:rsid w:val="004422AF"/>
    <w:rsid w:val="00443374"/>
    <w:rsid w:val="00443BAE"/>
    <w:rsid w:val="00443C5C"/>
    <w:rsid w:val="0044445E"/>
    <w:rsid w:val="00444F98"/>
    <w:rsid w:val="004452D4"/>
    <w:rsid w:val="00445940"/>
    <w:rsid w:val="00445C3E"/>
    <w:rsid w:val="004468B2"/>
    <w:rsid w:val="00446AF6"/>
    <w:rsid w:val="00447692"/>
    <w:rsid w:val="004476DC"/>
    <w:rsid w:val="00447AAB"/>
    <w:rsid w:val="004505B8"/>
    <w:rsid w:val="00451499"/>
    <w:rsid w:val="00451C62"/>
    <w:rsid w:val="00452239"/>
    <w:rsid w:val="004525B4"/>
    <w:rsid w:val="0045444A"/>
    <w:rsid w:val="0045444F"/>
    <w:rsid w:val="00455EA3"/>
    <w:rsid w:val="004565C6"/>
    <w:rsid w:val="004601E9"/>
    <w:rsid w:val="004605BE"/>
    <w:rsid w:val="0046190F"/>
    <w:rsid w:val="00461DD5"/>
    <w:rsid w:val="00461E94"/>
    <w:rsid w:val="00463524"/>
    <w:rsid w:val="004639BC"/>
    <w:rsid w:val="00464211"/>
    <w:rsid w:val="00464CD8"/>
    <w:rsid w:val="00464DD4"/>
    <w:rsid w:val="0046523A"/>
    <w:rsid w:val="00465748"/>
    <w:rsid w:val="00465D23"/>
    <w:rsid w:val="00465D7D"/>
    <w:rsid w:val="00465F0C"/>
    <w:rsid w:val="004662DD"/>
    <w:rsid w:val="0046657D"/>
    <w:rsid w:val="004665C5"/>
    <w:rsid w:val="004670E0"/>
    <w:rsid w:val="0046733F"/>
    <w:rsid w:val="0046773D"/>
    <w:rsid w:val="00467CDC"/>
    <w:rsid w:val="004706DE"/>
    <w:rsid w:val="00470AC7"/>
    <w:rsid w:val="00470E31"/>
    <w:rsid w:val="0047101F"/>
    <w:rsid w:val="00471DB4"/>
    <w:rsid w:val="00471F4C"/>
    <w:rsid w:val="00472322"/>
    <w:rsid w:val="00472B0C"/>
    <w:rsid w:val="00473982"/>
    <w:rsid w:val="00473B53"/>
    <w:rsid w:val="00474A2C"/>
    <w:rsid w:val="00474EF9"/>
    <w:rsid w:val="004762DA"/>
    <w:rsid w:val="004764F1"/>
    <w:rsid w:val="00476797"/>
    <w:rsid w:val="00477A4C"/>
    <w:rsid w:val="00477BBE"/>
    <w:rsid w:val="0048084D"/>
    <w:rsid w:val="004810CA"/>
    <w:rsid w:val="00481647"/>
    <w:rsid w:val="00481736"/>
    <w:rsid w:val="00481C22"/>
    <w:rsid w:val="004822A8"/>
    <w:rsid w:val="00482611"/>
    <w:rsid w:val="00483018"/>
    <w:rsid w:val="00483320"/>
    <w:rsid w:val="0048339E"/>
    <w:rsid w:val="00483719"/>
    <w:rsid w:val="00483722"/>
    <w:rsid w:val="00483CDA"/>
    <w:rsid w:val="0048423B"/>
    <w:rsid w:val="00484254"/>
    <w:rsid w:val="0048489C"/>
    <w:rsid w:val="00485D7C"/>
    <w:rsid w:val="00486E2C"/>
    <w:rsid w:val="00487046"/>
    <w:rsid w:val="00487DC4"/>
    <w:rsid w:val="00487EB8"/>
    <w:rsid w:val="00490339"/>
    <w:rsid w:val="004910CB"/>
    <w:rsid w:val="00491D70"/>
    <w:rsid w:val="004922F4"/>
    <w:rsid w:val="00492FF7"/>
    <w:rsid w:val="00493A52"/>
    <w:rsid w:val="00494365"/>
    <w:rsid w:val="00494670"/>
    <w:rsid w:val="00494877"/>
    <w:rsid w:val="00494982"/>
    <w:rsid w:val="004950AC"/>
    <w:rsid w:val="00495E58"/>
    <w:rsid w:val="004969E9"/>
    <w:rsid w:val="004977DF"/>
    <w:rsid w:val="004A02CD"/>
    <w:rsid w:val="004A05A9"/>
    <w:rsid w:val="004A0782"/>
    <w:rsid w:val="004A0A90"/>
    <w:rsid w:val="004A0AD4"/>
    <w:rsid w:val="004A0E10"/>
    <w:rsid w:val="004A0F95"/>
    <w:rsid w:val="004A109D"/>
    <w:rsid w:val="004A1A08"/>
    <w:rsid w:val="004A1DC9"/>
    <w:rsid w:val="004A2181"/>
    <w:rsid w:val="004A315B"/>
    <w:rsid w:val="004A31B4"/>
    <w:rsid w:val="004A332C"/>
    <w:rsid w:val="004A35F2"/>
    <w:rsid w:val="004A3E21"/>
    <w:rsid w:val="004A3F66"/>
    <w:rsid w:val="004A4A7C"/>
    <w:rsid w:val="004A7534"/>
    <w:rsid w:val="004B00E2"/>
    <w:rsid w:val="004B0B3D"/>
    <w:rsid w:val="004B0EB9"/>
    <w:rsid w:val="004B0F9E"/>
    <w:rsid w:val="004B1705"/>
    <w:rsid w:val="004B21FB"/>
    <w:rsid w:val="004B226F"/>
    <w:rsid w:val="004B3641"/>
    <w:rsid w:val="004B4AE3"/>
    <w:rsid w:val="004B4FCE"/>
    <w:rsid w:val="004B526B"/>
    <w:rsid w:val="004B6126"/>
    <w:rsid w:val="004B6B00"/>
    <w:rsid w:val="004B6F78"/>
    <w:rsid w:val="004B7320"/>
    <w:rsid w:val="004B7327"/>
    <w:rsid w:val="004B77FE"/>
    <w:rsid w:val="004B7C0C"/>
    <w:rsid w:val="004B7C9D"/>
    <w:rsid w:val="004C005E"/>
    <w:rsid w:val="004C00CA"/>
    <w:rsid w:val="004C03C0"/>
    <w:rsid w:val="004C0E34"/>
    <w:rsid w:val="004C11EA"/>
    <w:rsid w:val="004C1A51"/>
    <w:rsid w:val="004C1B8E"/>
    <w:rsid w:val="004C2B8B"/>
    <w:rsid w:val="004C413B"/>
    <w:rsid w:val="004C4179"/>
    <w:rsid w:val="004C4624"/>
    <w:rsid w:val="004C4788"/>
    <w:rsid w:val="004C4FA7"/>
    <w:rsid w:val="004C5182"/>
    <w:rsid w:val="004C55F1"/>
    <w:rsid w:val="004C5745"/>
    <w:rsid w:val="004C5A98"/>
    <w:rsid w:val="004C5D3A"/>
    <w:rsid w:val="004C60A8"/>
    <w:rsid w:val="004C6507"/>
    <w:rsid w:val="004C6978"/>
    <w:rsid w:val="004C6AA2"/>
    <w:rsid w:val="004C6AB2"/>
    <w:rsid w:val="004C7C05"/>
    <w:rsid w:val="004C7D36"/>
    <w:rsid w:val="004C7D9C"/>
    <w:rsid w:val="004C7FCE"/>
    <w:rsid w:val="004D00B1"/>
    <w:rsid w:val="004D0245"/>
    <w:rsid w:val="004D03EE"/>
    <w:rsid w:val="004D1190"/>
    <w:rsid w:val="004D138B"/>
    <w:rsid w:val="004D145D"/>
    <w:rsid w:val="004D211F"/>
    <w:rsid w:val="004D27AC"/>
    <w:rsid w:val="004D4103"/>
    <w:rsid w:val="004D4470"/>
    <w:rsid w:val="004D45EC"/>
    <w:rsid w:val="004D4FD5"/>
    <w:rsid w:val="004D5AA8"/>
    <w:rsid w:val="004D5C6B"/>
    <w:rsid w:val="004D5E21"/>
    <w:rsid w:val="004D66B6"/>
    <w:rsid w:val="004D6A6D"/>
    <w:rsid w:val="004D72BF"/>
    <w:rsid w:val="004D7744"/>
    <w:rsid w:val="004D787C"/>
    <w:rsid w:val="004D7F40"/>
    <w:rsid w:val="004E062B"/>
    <w:rsid w:val="004E0D32"/>
    <w:rsid w:val="004E143F"/>
    <w:rsid w:val="004E1519"/>
    <w:rsid w:val="004E1EEC"/>
    <w:rsid w:val="004E225F"/>
    <w:rsid w:val="004E2F0C"/>
    <w:rsid w:val="004E33E7"/>
    <w:rsid w:val="004E3838"/>
    <w:rsid w:val="004E3B34"/>
    <w:rsid w:val="004E4831"/>
    <w:rsid w:val="004E50B9"/>
    <w:rsid w:val="004E5CA2"/>
    <w:rsid w:val="004E646F"/>
    <w:rsid w:val="004E6BE8"/>
    <w:rsid w:val="004F0F28"/>
    <w:rsid w:val="004F1361"/>
    <w:rsid w:val="004F148F"/>
    <w:rsid w:val="004F1DD2"/>
    <w:rsid w:val="004F1E5D"/>
    <w:rsid w:val="004F2483"/>
    <w:rsid w:val="004F2C44"/>
    <w:rsid w:val="004F2C49"/>
    <w:rsid w:val="004F315C"/>
    <w:rsid w:val="004F3699"/>
    <w:rsid w:val="004F3710"/>
    <w:rsid w:val="004F3C08"/>
    <w:rsid w:val="004F4220"/>
    <w:rsid w:val="004F5C60"/>
    <w:rsid w:val="004F65E9"/>
    <w:rsid w:val="004F6957"/>
    <w:rsid w:val="004F6C0E"/>
    <w:rsid w:val="004F6FBF"/>
    <w:rsid w:val="005009AE"/>
    <w:rsid w:val="00500AE9"/>
    <w:rsid w:val="0050222A"/>
    <w:rsid w:val="005027B8"/>
    <w:rsid w:val="00503023"/>
    <w:rsid w:val="00503A7F"/>
    <w:rsid w:val="00504437"/>
    <w:rsid w:val="0050489C"/>
    <w:rsid w:val="00505548"/>
    <w:rsid w:val="00505B3A"/>
    <w:rsid w:val="00505B84"/>
    <w:rsid w:val="00506033"/>
    <w:rsid w:val="00506439"/>
    <w:rsid w:val="0050730E"/>
    <w:rsid w:val="0051015A"/>
    <w:rsid w:val="005104F4"/>
    <w:rsid w:val="00510A92"/>
    <w:rsid w:val="00511408"/>
    <w:rsid w:val="0051179D"/>
    <w:rsid w:val="00511C81"/>
    <w:rsid w:val="00511F4E"/>
    <w:rsid w:val="00512063"/>
    <w:rsid w:val="00512B9F"/>
    <w:rsid w:val="005134CB"/>
    <w:rsid w:val="00513E68"/>
    <w:rsid w:val="00514169"/>
    <w:rsid w:val="005142B9"/>
    <w:rsid w:val="0051470C"/>
    <w:rsid w:val="005148FA"/>
    <w:rsid w:val="00514E3A"/>
    <w:rsid w:val="00515543"/>
    <w:rsid w:val="00515634"/>
    <w:rsid w:val="005156D5"/>
    <w:rsid w:val="005168E4"/>
    <w:rsid w:val="0051691A"/>
    <w:rsid w:val="00516F05"/>
    <w:rsid w:val="00517795"/>
    <w:rsid w:val="005179BA"/>
    <w:rsid w:val="00517BC6"/>
    <w:rsid w:val="00520EE7"/>
    <w:rsid w:val="00521550"/>
    <w:rsid w:val="005216D5"/>
    <w:rsid w:val="005218F4"/>
    <w:rsid w:val="00521907"/>
    <w:rsid w:val="005226BD"/>
    <w:rsid w:val="00523A38"/>
    <w:rsid w:val="005244EB"/>
    <w:rsid w:val="00524B92"/>
    <w:rsid w:val="00524C32"/>
    <w:rsid w:val="00524E29"/>
    <w:rsid w:val="0052503F"/>
    <w:rsid w:val="005254CE"/>
    <w:rsid w:val="00525C40"/>
    <w:rsid w:val="00526D7E"/>
    <w:rsid w:val="0052708C"/>
    <w:rsid w:val="005272E7"/>
    <w:rsid w:val="005276A7"/>
    <w:rsid w:val="00530411"/>
    <w:rsid w:val="005317C3"/>
    <w:rsid w:val="00531E3C"/>
    <w:rsid w:val="005325F9"/>
    <w:rsid w:val="005327F2"/>
    <w:rsid w:val="00532FE6"/>
    <w:rsid w:val="00533BDE"/>
    <w:rsid w:val="00533D6F"/>
    <w:rsid w:val="00534E98"/>
    <w:rsid w:val="0053510F"/>
    <w:rsid w:val="00535B2F"/>
    <w:rsid w:val="00535E76"/>
    <w:rsid w:val="005363BC"/>
    <w:rsid w:val="0053680C"/>
    <w:rsid w:val="00536BA5"/>
    <w:rsid w:val="00537843"/>
    <w:rsid w:val="00540220"/>
    <w:rsid w:val="00540F25"/>
    <w:rsid w:val="00541060"/>
    <w:rsid w:val="00541EBE"/>
    <w:rsid w:val="005424F7"/>
    <w:rsid w:val="00543EBD"/>
    <w:rsid w:val="005442E0"/>
    <w:rsid w:val="00544B6E"/>
    <w:rsid w:val="00544F82"/>
    <w:rsid w:val="005453C5"/>
    <w:rsid w:val="005457CE"/>
    <w:rsid w:val="00546012"/>
    <w:rsid w:val="00546715"/>
    <w:rsid w:val="00547161"/>
    <w:rsid w:val="00547427"/>
    <w:rsid w:val="0054788C"/>
    <w:rsid w:val="005479C7"/>
    <w:rsid w:val="005479DF"/>
    <w:rsid w:val="00550217"/>
    <w:rsid w:val="005508E0"/>
    <w:rsid w:val="00550CF5"/>
    <w:rsid w:val="005517AA"/>
    <w:rsid w:val="00551E43"/>
    <w:rsid w:val="0055285D"/>
    <w:rsid w:val="005529B1"/>
    <w:rsid w:val="00552D94"/>
    <w:rsid w:val="00552F5C"/>
    <w:rsid w:val="00553024"/>
    <w:rsid w:val="00553EDB"/>
    <w:rsid w:val="00554762"/>
    <w:rsid w:val="005547BB"/>
    <w:rsid w:val="00554A05"/>
    <w:rsid w:val="005554B4"/>
    <w:rsid w:val="005559F9"/>
    <w:rsid w:val="00555F5A"/>
    <w:rsid w:val="0055690B"/>
    <w:rsid w:val="00556BBD"/>
    <w:rsid w:val="00557FB1"/>
    <w:rsid w:val="005602CA"/>
    <w:rsid w:val="00560358"/>
    <w:rsid w:val="005609B4"/>
    <w:rsid w:val="00560DB9"/>
    <w:rsid w:val="0056182D"/>
    <w:rsid w:val="005619F0"/>
    <w:rsid w:val="00562257"/>
    <w:rsid w:val="00562B46"/>
    <w:rsid w:val="00562BEA"/>
    <w:rsid w:val="005638BC"/>
    <w:rsid w:val="00564299"/>
    <w:rsid w:val="00564560"/>
    <w:rsid w:val="00564628"/>
    <w:rsid w:val="00564B68"/>
    <w:rsid w:val="00564DAE"/>
    <w:rsid w:val="00566178"/>
    <w:rsid w:val="0056664A"/>
    <w:rsid w:val="00567475"/>
    <w:rsid w:val="00567CD8"/>
    <w:rsid w:val="00567DF2"/>
    <w:rsid w:val="005703DB"/>
    <w:rsid w:val="005709DF"/>
    <w:rsid w:val="005717EE"/>
    <w:rsid w:val="00571E2D"/>
    <w:rsid w:val="00572A08"/>
    <w:rsid w:val="005735EF"/>
    <w:rsid w:val="0057363B"/>
    <w:rsid w:val="005739E1"/>
    <w:rsid w:val="00573CC5"/>
    <w:rsid w:val="005743A2"/>
    <w:rsid w:val="00574C59"/>
    <w:rsid w:val="00575255"/>
    <w:rsid w:val="005752A0"/>
    <w:rsid w:val="00575788"/>
    <w:rsid w:val="00576A54"/>
    <w:rsid w:val="00576C23"/>
    <w:rsid w:val="0057712B"/>
    <w:rsid w:val="0057775C"/>
    <w:rsid w:val="00577DB9"/>
    <w:rsid w:val="00580FF4"/>
    <w:rsid w:val="0058104D"/>
    <w:rsid w:val="0058138E"/>
    <w:rsid w:val="00581559"/>
    <w:rsid w:val="00581FA6"/>
    <w:rsid w:val="00582107"/>
    <w:rsid w:val="00582E36"/>
    <w:rsid w:val="00584F49"/>
    <w:rsid w:val="005852E4"/>
    <w:rsid w:val="005852F6"/>
    <w:rsid w:val="005855E4"/>
    <w:rsid w:val="00585684"/>
    <w:rsid w:val="0058634D"/>
    <w:rsid w:val="0058695D"/>
    <w:rsid w:val="00586FC9"/>
    <w:rsid w:val="005870EC"/>
    <w:rsid w:val="0058730F"/>
    <w:rsid w:val="00587313"/>
    <w:rsid w:val="00587CE2"/>
    <w:rsid w:val="00587D94"/>
    <w:rsid w:val="00591B73"/>
    <w:rsid w:val="00592641"/>
    <w:rsid w:val="0059323E"/>
    <w:rsid w:val="00593691"/>
    <w:rsid w:val="0059395A"/>
    <w:rsid w:val="00593ACB"/>
    <w:rsid w:val="0059439F"/>
    <w:rsid w:val="005944C9"/>
    <w:rsid w:val="00594625"/>
    <w:rsid w:val="00594F0C"/>
    <w:rsid w:val="00595CD2"/>
    <w:rsid w:val="00595FC8"/>
    <w:rsid w:val="00596333"/>
    <w:rsid w:val="00597583"/>
    <w:rsid w:val="005978DA"/>
    <w:rsid w:val="005A025D"/>
    <w:rsid w:val="005A0BA1"/>
    <w:rsid w:val="005A144F"/>
    <w:rsid w:val="005A1AD4"/>
    <w:rsid w:val="005A1B14"/>
    <w:rsid w:val="005A1BA5"/>
    <w:rsid w:val="005A25E7"/>
    <w:rsid w:val="005A2769"/>
    <w:rsid w:val="005A2E4D"/>
    <w:rsid w:val="005A2F28"/>
    <w:rsid w:val="005A3E20"/>
    <w:rsid w:val="005A4B8C"/>
    <w:rsid w:val="005A6E1B"/>
    <w:rsid w:val="005A77DC"/>
    <w:rsid w:val="005B054E"/>
    <w:rsid w:val="005B0F27"/>
    <w:rsid w:val="005B1CC3"/>
    <w:rsid w:val="005B2668"/>
    <w:rsid w:val="005B292D"/>
    <w:rsid w:val="005B3DA0"/>
    <w:rsid w:val="005B3E5D"/>
    <w:rsid w:val="005B470A"/>
    <w:rsid w:val="005B5290"/>
    <w:rsid w:val="005B6FFF"/>
    <w:rsid w:val="005B79FF"/>
    <w:rsid w:val="005C1599"/>
    <w:rsid w:val="005C166D"/>
    <w:rsid w:val="005C2622"/>
    <w:rsid w:val="005C303E"/>
    <w:rsid w:val="005C3655"/>
    <w:rsid w:val="005C397D"/>
    <w:rsid w:val="005C471A"/>
    <w:rsid w:val="005C4F49"/>
    <w:rsid w:val="005C528D"/>
    <w:rsid w:val="005C54CC"/>
    <w:rsid w:val="005C57BA"/>
    <w:rsid w:val="005C5E4F"/>
    <w:rsid w:val="005C6BDA"/>
    <w:rsid w:val="005C74E5"/>
    <w:rsid w:val="005C7C93"/>
    <w:rsid w:val="005C7CC2"/>
    <w:rsid w:val="005D0906"/>
    <w:rsid w:val="005D0A2D"/>
    <w:rsid w:val="005D0D49"/>
    <w:rsid w:val="005D12D2"/>
    <w:rsid w:val="005D260A"/>
    <w:rsid w:val="005D2AD4"/>
    <w:rsid w:val="005D2AF4"/>
    <w:rsid w:val="005D2DC4"/>
    <w:rsid w:val="005D2DD3"/>
    <w:rsid w:val="005D3104"/>
    <w:rsid w:val="005D3229"/>
    <w:rsid w:val="005D36BD"/>
    <w:rsid w:val="005D3B5F"/>
    <w:rsid w:val="005D5670"/>
    <w:rsid w:val="005D5929"/>
    <w:rsid w:val="005D6871"/>
    <w:rsid w:val="005D7B94"/>
    <w:rsid w:val="005E05DA"/>
    <w:rsid w:val="005E1180"/>
    <w:rsid w:val="005E1824"/>
    <w:rsid w:val="005E1826"/>
    <w:rsid w:val="005E2E89"/>
    <w:rsid w:val="005E36B0"/>
    <w:rsid w:val="005E3E58"/>
    <w:rsid w:val="005E406D"/>
    <w:rsid w:val="005E4CDB"/>
    <w:rsid w:val="005E5378"/>
    <w:rsid w:val="005E5434"/>
    <w:rsid w:val="005E598D"/>
    <w:rsid w:val="005E59FE"/>
    <w:rsid w:val="005E5CCE"/>
    <w:rsid w:val="005E64D5"/>
    <w:rsid w:val="005E6FBF"/>
    <w:rsid w:val="005E75AF"/>
    <w:rsid w:val="005E7B8F"/>
    <w:rsid w:val="005E7CD6"/>
    <w:rsid w:val="005E7CF2"/>
    <w:rsid w:val="005F00EC"/>
    <w:rsid w:val="005F0576"/>
    <w:rsid w:val="005F123A"/>
    <w:rsid w:val="005F1679"/>
    <w:rsid w:val="005F17F5"/>
    <w:rsid w:val="005F23F2"/>
    <w:rsid w:val="005F24E5"/>
    <w:rsid w:val="005F3973"/>
    <w:rsid w:val="005F444C"/>
    <w:rsid w:val="005F45D7"/>
    <w:rsid w:val="005F4856"/>
    <w:rsid w:val="005F6FE3"/>
    <w:rsid w:val="005F7029"/>
    <w:rsid w:val="005F7785"/>
    <w:rsid w:val="005F77F7"/>
    <w:rsid w:val="005F7A05"/>
    <w:rsid w:val="0060035F"/>
    <w:rsid w:val="006003BE"/>
    <w:rsid w:val="006008B9"/>
    <w:rsid w:val="00600EBC"/>
    <w:rsid w:val="006020D1"/>
    <w:rsid w:val="0060216D"/>
    <w:rsid w:val="0060252B"/>
    <w:rsid w:val="0060284B"/>
    <w:rsid w:val="006030A1"/>
    <w:rsid w:val="006041EF"/>
    <w:rsid w:val="0060468A"/>
    <w:rsid w:val="00604A3C"/>
    <w:rsid w:val="00605625"/>
    <w:rsid w:val="00605673"/>
    <w:rsid w:val="00605700"/>
    <w:rsid w:val="00605C98"/>
    <w:rsid w:val="006075B4"/>
    <w:rsid w:val="00607B00"/>
    <w:rsid w:val="006113D1"/>
    <w:rsid w:val="00611796"/>
    <w:rsid w:val="00611A47"/>
    <w:rsid w:val="00611F9D"/>
    <w:rsid w:val="00612FD2"/>
    <w:rsid w:val="00614074"/>
    <w:rsid w:val="00614FB8"/>
    <w:rsid w:val="00614FE8"/>
    <w:rsid w:val="006152D2"/>
    <w:rsid w:val="0061620A"/>
    <w:rsid w:val="00616695"/>
    <w:rsid w:val="00616C0A"/>
    <w:rsid w:val="00616CF8"/>
    <w:rsid w:val="00616D7D"/>
    <w:rsid w:val="0061748F"/>
    <w:rsid w:val="0062084B"/>
    <w:rsid w:val="00620E5E"/>
    <w:rsid w:val="00620FBE"/>
    <w:rsid w:val="00621009"/>
    <w:rsid w:val="00621121"/>
    <w:rsid w:val="006212E6"/>
    <w:rsid w:val="00622389"/>
    <w:rsid w:val="006232CD"/>
    <w:rsid w:val="006235EA"/>
    <w:rsid w:val="006242EA"/>
    <w:rsid w:val="006244F0"/>
    <w:rsid w:val="0062535B"/>
    <w:rsid w:val="00625432"/>
    <w:rsid w:val="00625F6A"/>
    <w:rsid w:val="006265B5"/>
    <w:rsid w:val="00626814"/>
    <w:rsid w:val="00626EA9"/>
    <w:rsid w:val="00627EA5"/>
    <w:rsid w:val="0063036F"/>
    <w:rsid w:val="00630C61"/>
    <w:rsid w:val="00632391"/>
    <w:rsid w:val="0063251F"/>
    <w:rsid w:val="00633C6C"/>
    <w:rsid w:val="00634526"/>
    <w:rsid w:val="00634726"/>
    <w:rsid w:val="00635D10"/>
    <w:rsid w:val="00635E15"/>
    <w:rsid w:val="0063602A"/>
    <w:rsid w:val="00636534"/>
    <w:rsid w:val="00637142"/>
    <w:rsid w:val="00640F96"/>
    <w:rsid w:val="0064104D"/>
    <w:rsid w:val="0064121B"/>
    <w:rsid w:val="00641897"/>
    <w:rsid w:val="0064209F"/>
    <w:rsid w:val="006421E9"/>
    <w:rsid w:val="006438F1"/>
    <w:rsid w:val="00643ABB"/>
    <w:rsid w:val="006444D8"/>
    <w:rsid w:val="00644CD5"/>
    <w:rsid w:val="006450A9"/>
    <w:rsid w:val="00645418"/>
    <w:rsid w:val="006454A2"/>
    <w:rsid w:val="006463D1"/>
    <w:rsid w:val="00646CB9"/>
    <w:rsid w:val="00647096"/>
    <w:rsid w:val="0064769B"/>
    <w:rsid w:val="0065020E"/>
    <w:rsid w:val="006506DD"/>
    <w:rsid w:val="00650C0A"/>
    <w:rsid w:val="006510E3"/>
    <w:rsid w:val="0065175C"/>
    <w:rsid w:val="006518FC"/>
    <w:rsid w:val="00651C42"/>
    <w:rsid w:val="00651E1B"/>
    <w:rsid w:val="00651E3F"/>
    <w:rsid w:val="00653025"/>
    <w:rsid w:val="006537FA"/>
    <w:rsid w:val="006541A6"/>
    <w:rsid w:val="00654F98"/>
    <w:rsid w:val="00656169"/>
    <w:rsid w:val="0065718F"/>
    <w:rsid w:val="00657309"/>
    <w:rsid w:val="00657B17"/>
    <w:rsid w:val="00657DE6"/>
    <w:rsid w:val="006604AB"/>
    <w:rsid w:val="0066220C"/>
    <w:rsid w:val="006622A1"/>
    <w:rsid w:val="006625FA"/>
    <w:rsid w:val="00663279"/>
    <w:rsid w:val="0066368B"/>
    <w:rsid w:val="00663798"/>
    <w:rsid w:val="00663B75"/>
    <w:rsid w:val="00663D3F"/>
    <w:rsid w:val="00663D81"/>
    <w:rsid w:val="00665594"/>
    <w:rsid w:val="006663AE"/>
    <w:rsid w:val="00666BC4"/>
    <w:rsid w:val="00666F66"/>
    <w:rsid w:val="0066798E"/>
    <w:rsid w:val="006712DA"/>
    <w:rsid w:val="00671ED3"/>
    <w:rsid w:val="006720C9"/>
    <w:rsid w:val="00672523"/>
    <w:rsid w:val="0067259E"/>
    <w:rsid w:val="006725D8"/>
    <w:rsid w:val="0067389D"/>
    <w:rsid w:val="006739C8"/>
    <w:rsid w:val="00673A58"/>
    <w:rsid w:val="00673B2E"/>
    <w:rsid w:val="00673C29"/>
    <w:rsid w:val="006740DE"/>
    <w:rsid w:val="00674728"/>
    <w:rsid w:val="00674D55"/>
    <w:rsid w:val="00675EC0"/>
    <w:rsid w:val="00675EEB"/>
    <w:rsid w:val="006761DB"/>
    <w:rsid w:val="00676471"/>
    <w:rsid w:val="00676500"/>
    <w:rsid w:val="00676706"/>
    <w:rsid w:val="0067695E"/>
    <w:rsid w:val="00676C6D"/>
    <w:rsid w:val="00677DE6"/>
    <w:rsid w:val="006801E8"/>
    <w:rsid w:val="006803AD"/>
    <w:rsid w:val="006818AE"/>
    <w:rsid w:val="0068199A"/>
    <w:rsid w:val="00681D65"/>
    <w:rsid w:val="00681E44"/>
    <w:rsid w:val="00683AC2"/>
    <w:rsid w:val="00683D99"/>
    <w:rsid w:val="00683DA8"/>
    <w:rsid w:val="00683E8A"/>
    <w:rsid w:val="0068433C"/>
    <w:rsid w:val="0068496F"/>
    <w:rsid w:val="00685166"/>
    <w:rsid w:val="0068646C"/>
    <w:rsid w:val="006864E0"/>
    <w:rsid w:val="006864EF"/>
    <w:rsid w:val="006865CA"/>
    <w:rsid w:val="00687084"/>
    <w:rsid w:val="0068709D"/>
    <w:rsid w:val="0068714E"/>
    <w:rsid w:val="0068775F"/>
    <w:rsid w:val="00687A5D"/>
    <w:rsid w:val="00690851"/>
    <w:rsid w:val="00690FEB"/>
    <w:rsid w:val="006914B3"/>
    <w:rsid w:val="0069169D"/>
    <w:rsid w:val="00691FDF"/>
    <w:rsid w:val="00692378"/>
    <w:rsid w:val="006927B3"/>
    <w:rsid w:val="00692977"/>
    <w:rsid w:val="006929DF"/>
    <w:rsid w:val="006942E3"/>
    <w:rsid w:val="006944C8"/>
    <w:rsid w:val="00695493"/>
    <w:rsid w:val="00695F04"/>
    <w:rsid w:val="0069608F"/>
    <w:rsid w:val="006963F8"/>
    <w:rsid w:val="0069699F"/>
    <w:rsid w:val="0069714B"/>
    <w:rsid w:val="00697E30"/>
    <w:rsid w:val="006A0265"/>
    <w:rsid w:val="006A03A4"/>
    <w:rsid w:val="006A0A41"/>
    <w:rsid w:val="006A0C8B"/>
    <w:rsid w:val="006A1FFB"/>
    <w:rsid w:val="006A29EA"/>
    <w:rsid w:val="006A437D"/>
    <w:rsid w:val="006A449A"/>
    <w:rsid w:val="006A51D2"/>
    <w:rsid w:val="006A53B7"/>
    <w:rsid w:val="006A5852"/>
    <w:rsid w:val="006A5E6B"/>
    <w:rsid w:val="006A5FC7"/>
    <w:rsid w:val="006A6053"/>
    <w:rsid w:val="006A7592"/>
    <w:rsid w:val="006A7780"/>
    <w:rsid w:val="006A7CB3"/>
    <w:rsid w:val="006B07D5"/>
    <w:rsid w:val="006B0BAA"/>
    <w:rsid w:val="006B0C58"/>
    <w:rsid w:val="006B0DC3"/>
    <w:rsid w:val="006B167C"/>
    <w:rsid w:val="006B195D"/>
    <w:rsid w:val="006B1C9C"/>
    <w:rsid w:val="006B257F"/>
    <w:rsid w:val="006B262A"/>
    <w:rsid w:val="006B264D"/>
    <w:rsid w:val="006B3A40"/>
    <w:rsid w:val="006B4D3C"/>
    <w:rsid w:val="006B4EF7"/>
    <w:rsid w:val="006B5035"/>
    <w:rsid w:val="006B593D"/>
    <w:rsid w:val="006B5EFF"/>
    <w:rsid w:val="006B6526"/>
    <w:rsid w:val="006B6C59"/>
    <w:rsid w:val="006B6D07"/>
    <w:rsid w:val="006B7C28"/>
    <w:rsid w:val="006C1344"/>
    <w:rsid w:val="006C18CC"/>
    <w:rsid w:val="006C2AEA"/>
    <w:rsid w:val="006C32AB"/>
    <w:rsid w:val="006C3DDB"/>
    <w:rsid w:val="006C5593"/>
    <w:rsid w:val="006C58A0"/>
    <w:rsid w:val="006C5F7A"/>
    <w:rsid w:val="006C6090"/>
    <w:rsid w:val="006C68FE"/>
    <w:rsid w:val="006C6915"/>
    <w:rsid w:val="006C700C"/>
    <w:rsid w:val="006C7A25"/>
    <w:rsid w:val="006C7EAE"/>
    <w:rsid w:val="006D0B6B"/>
    <w:rsid w:val="006D10D1"/>
    <w:rsid w:val="006D12AC"/>
    <w:rsid w:val="006D18E7"/>
    <w:rsid w:val="006D2756"/>
    <w:rsid w:val="006D2FC2"/>
    <w:rsid w:val="006D3083"/>
    <w:rsid w:val="006D34C0"/>
    <w:rsid w:val="006D368F"/>
    <w:rsid w:val="006D4166"/>
    <w:rsid w:val="006D523A"/>
    <w:rsid w:val="006D6E76"/>
    <w:rsid w:val="006D741C"/>
    <w:rsid w:val="006D75E2"/>
    <w:rsid w:val="006D775A"/>
    <w:rsid w:val="006D7773"/>
    <w:rsid w:val="006E0EF3"/>
    <w:rsid w:val="006E0F01"/>
    <w:rsid w:val="006E0F8A"/>
    <w:rsid w:val="006E1B95"/>
    <w:rsid w:val="006E34CE"/>
    <w:rsid w:val="006E3BAA"/>
    <w:rsid w:val="006E4641"/>
    <w:rsid w:val="006E4A3E"/>
    <w:rsid w:val="006E53AA"/>
    <w:rsid w:val="006E5926"/>
    <w:rsid w:val="006E5EC9"/>
    <w:rsid w:val="006E6FAC"/>
    <w:rsid w:val="006E7758"/>
    <w:rsid w:val="006E7797"/>
    <w:rsid w:val="006F03D3"/>
    <w:rsid w:val="006F1474"/>
    <w:rsid w:val="006F1D6D"/>
    <w:rsid w:val="006F1FA0"/>
    <w:rsid w:val="006F2FF5"/>
    <w:rsid w:val="006F388B"/>
    <w:rsid w:val="006F3E5F"/>
    <w:rsid w:val="006F40B4"/>
    <w:rsid w:val="006F495F"/>
    <w:rsid w:val="006F52B1"/>
    <w:rsid w:val="006F5698"/>
    <w:rsid w:val="006F569A"/>
    <w:rsid w:val="006F5B7A"/>
    <w:rsid w:val="006F64D4"/>
    <w:rsid w:val="006F6BCC"/>
    <w:rsid w:val="006F6E79"/>
    <w:rsid w:val="006F74BD"/>
    <w:rsid w:val="006F757E"/>
    <w:rsid w:val="006F79BA"/>
    <w:rsid w:val="00701B08"/>
    <w:rsid w:val="0070229F"/>
    <w:rsid w:val="007028B1"/>
    <w:rsid w:val="00702BC9"/>
    <w:rsid w:val="00702F3F"/>
    <w:rsid w:val="00703662"/>
    <w:rsid w:val="0070387B"/>
    <w:rsid w:val="00703B22"/>
    <w:rsid w:val="0070431A"/>
    <w:rsid w:val="007044D1"/>
    <w:rsid w:val="00704865"/>
    <w:rsid w:val="00704B22"/>
    <w:rsid w:val="00705536"/>
    <w:rsid w:val="00705544"/>
    <w:rsid w:val="007056C7"/>
    <w:rsid w:val="00705743"/>
    <w:rsid w:val="00706126"/>
    <w:rsid w:val="00707706"/>
    <w:rsid w:val="00710454"/>
    <w:rsid w:val="0071198F"/>
    <w:rsid w:val="00711CFF"/>
    <w:rsid w:val="00712718"/>
    <w:rsid w:val="007128BF"/>
    <w:rsid w:val="00712A09"/>
    <w:rsid w:val="00712ADA"/>
    <w:rsid w:val="00714B64"/>
    <w:rsid w:val="00714C2E"/>
    <w:rsid w:val="00715040"/>
    <w:rsid w:val="00715D54"/>
    <w:rsid w:val="0071768D"/>
    <w:rsid w:val="00720184"/>
    <w:rsid w:val="00720423"/>
    <w:rsid w:val="007204F8"/>
    <w:rsid w:val="007207D8"/>
    <w:rsid w:val="0072091A"/>
    <w:rsid w:val="0072195A"/>
    <w:rsid w:val="00722356"/>
    <w:rsid w:val="00722416"/>
    <w:rsid w:val="007227DD"/>
    <w:rsid w:val="007236A0"/>
    <w:rsid w:val="00723D19"/>
    <w:rsid w:val="00724918"/>
    <w:rsid w:val="00725381"/>
    <w:rsid w:val="00726466"/>
    <w:rsid w:val="007264E7"/>
    <w:rsid w:val="007271C4"/>
    <w:rsid w:val="007306D1"/>
    <w:rsid w:val="00730B57"/>
    <w:rsid w:val="00730FC5"/>
    <w:rsid w:val="00731B84"/>
    <w:rsid w:val="00732E4D"/>
    <w:rsid w:val="00733236"/>
    <w:rsid w:val="00733436"/>
    <w:rsid w:val="00733E6A"/>
    <w:rsid w:val="00734079"/>
    <w:rsid w:val="007340B4"/>
    <w:rsid w:val="007342EF"/>
    <w:rsid w:val="00735565"/>
    <w:rsid w:val="007355EC"/>
    <w:rsid w:val="007355F0"/>
    <w:rsid w:val="00735644"/>
    <w:rsid w:val="00735747"/>
    <w:rsid w:val="0073595E"/>
    <w:rsid w:val="00735E08"/>
    <w:rsid w:val="0073680F"/>
    <w:rsid w:val="00736A3E"/>
    <w:rsid w:val="00736D9D"/>
    <w:rsid w:val="00736F53"/>
    <w:rsid w:val="00737968"/>
    <w:rsid w:val="00740279"/>
    <w:rsid w:val="00740954"/>
    <w:rsid w:val="007421CB"/>
    <w:rsid w:val="00742E03"/>
    <w:rsid w:val="007441BE"/>
    <w:rsid w:val="007447A7"/>
    <w:rsid w:val="00744CAE"/>
    <w:rsid w:val="00744D82"/>
    <w:rsid w:val="00744DF5"/>
    <w:rsid w:val="00744F63"/>
    <w:rsid w:val="007451C5"/>
    <w:rsid w:val="0074699B"/>
    <w:rsid w:val="00746BE3"/>
    <w:rsid w:val="00747945"/>
    <w:rsid w:val="00750158"/>
    <w:rsid w:val="007514DC"/>
    <w:rsid w:val="00751844"/>
    <w:rsid w:val="007519C5"/>
    <w:rsid w:val="007521DD"/>
    <w:rsid w:val="00752CF5"/>
    <w:rsid w:val="00753190"/>
    <w:rsid w:val="007539D1"/>
    <w:rsid w:val="007539D2"/>
    <w:rsid w:val="00754885"/>
    <w:rsid w:val="00755824"/>
    <w:rsid w:val="0075615A"/>
    <w:rsid w:val="00756A5F"/>
    <w:rsid w:val="00757A0C"/>
    <w:rsid w:val="00760752"/>
    <w:rsid w:val="0076147D"/>
    <w:rsid w:val="007621B8"/>
    <w:rsid w:val="007624A9"/>
    <w:rsid w:val="007628BA"/>
    <w:rsid w:val="00762BE7"/>
    <w:rsid w:val="00764756"/>
    <w:rsid w:val="0076584C"/>
    <w:rsid w:val="00766C4E"/>
    <w:rsid w:val="00766FF0"/>
    <w:rsid w:val="00767079"/>
    <w:rsid w:val="0076721B"/>
    <w:rsid w:val="007675DB"/>
    <w:rsid w:val="00770BA1"/>
    <w:rsid w:val="007712D4"/>
    <w:rsid w:val="007716ED"/>
    <w:rsid w:val="00771ACB"/>
    <w:rsid w:val="00772496"/>
    <w:rsid w:val="00772842"/>
    <w:rsid w:val="00772B8A"/>
    <w:rsid w:val="00772CEC"/>
    <w:rsid w:val="00772FC6"/>
    <w:rsid w:val="00773707"/>
    <w:rsid w:val="00773ABB"/>
    <w:rsid w:val="00774142"/>
    <w:rsid w:val="00774A3E"/>
    <w:rsid w:val="00774B57"/>
    <w:rsid w:val="00774B7D"/>
    <w:rsid w:val="0077500B"/>
    <w:rsid w:val="00775024"/>
    <w:rsid w:val="007751BF"/>
    <w:rsid w:val="007752E7"/>
    <w:rsid w:val="00775812"/>
    <w:rsid w:val="00775C25"/>
    <w:rsid w:val="00775EE4"/>
    <w:rsid w:val="007763CA"/>
    <w:rsid w:val="0077670C"/>
    <w:rsid w:val="00776BE7"/>
    <w:rsid w:val="00776F11"/>
    <w:rsid w:val="0077720A"/>
    <w:rsid w:val="00777D1B"/>
    <w:rsid w:val="00782911"/>
    <w:rsid w:val="007829AE"/>
    <w:rsid w:val="00783821"/>
    <w:rsid w:val="00783E57"/>
    <w:rsid w:val="00783ECB"/>
    <w:rsid w:val="00784706"/>
    <w:rsid w:val="00785A9C"/>
    <w:rsid w:val="00787790"/>
    <w:rsid w:val="00787B4B"/>
    <w:rsid w:val="00787BAB"/>
    <w:rsid w:val="00787DCA"/>
    <w:rsid w:val="00790759"/>
    <w:rsid w:val="00790E3F"/>
    <w:rsid w:val="0079104D"/>
    <w:rsid w:val="00791B94"/>
    <w:rsid w:val="00791BFD"/>
    <w:rsid w:val="00791F29"/>
    <w:rsid w:val="00792CC3"/>
    <w:rsid w:val="00793073"/>
    <w:rsid w:val="00793147"/>
    <w:rsid w:val="00793208"/>
    <w:rsid w:val="007934F3"/>
    <w:rsid w:val="00793AF7"/>
    <w:rsid w:val="00793E2A"/>
    <w:rsid w:val="007952CC"/>
    <w:rsid w:val="007955E1"/>
    <w:rsid w:val="007958D4"/>
    <w:rsid w:val="007959D6"/>
    <w:rsid w:val="00796562"/>
    <w:rsid w:val="007969FE"/>
    <w:rsid w:val="007A039B"/>
    <w:rsid w:val="007A0628"/>
    <w:rsid w:val="007A06DF"/>
    <w:rsid w:val="007A0994"/>
    <w:rsid w:val="007A10E8"/>
    <w:rsid w:val="007A1207"/>
    <w:rsid w:val="007A351F"/>
    <w:rsid w:val="007A3E90"/>
    <w:rsid w:val="007A4002"/>
    <w:rsid w:val="007A40A5"/>
    <w:rsid w:val="007A46F2"/>
    <w:rsid w:val="007A4DDC"/>
    <w:rsid w:val="007A5180"/>
    <w:rsid w:val="007A5B70"/>
    <w:rsid w:val="007A65D8"/>
    <w:rsid w:val="007A6F59"/>
    <w:rsid w:val="007A79A9"/>
    <w:rsid w:val="007A7B1A"/>
    <w:rsid w:val="007A7DFC"/>
    <w:rsid w:val="007A7E5D"/>
    <w:rsid w:val="007A7F9A"/>
    <w:rsid w:val="007B0116"/>
    <w:rsid w:val="007B01B4"/>
    <w:rsid w:val="007B01DD"/>
    <w:rsid w:val="007B193D"/>
    <w:rsid w:val="007B1CA5"/>
    <w:rsid w:val="007B205A"/>
    <w:rsid w:val="007B238A"/>
    <w:rsid w:val="007B3534"/>
    <w:rsid w:val="007B3CB4"/>
    <w:rsid w:val="007B53C2"/>
    <w:rsid w:val="007B695D"/>
    <w:rsid w:val="007B7209"/>
    <w:rsid w:val="007B755A"/>
    <w:rsid w:val="007B7858"/>
    <w:rsid w:val="007B7C0D"/>
    <w:rsid w:val="007C07C5"/>
    <w:rsid w:val="007C0D69"/>
    <w:rsid w:val="007C1B85"/>
    <w:rsid w:val="007C3062"/>
    <w:rsid w:val="007C3C27"/>
    <w:rsid w:val="007C52BF"/>
    <w:rsid w:val="007C5820"/>
    <w:rsid w:val="007C5854"/>
    <w:rsid w:val="007C5A54"/>
    <w:rsid w:val="007C71F2"/>
    <w:rsid w:val="007C743D"/>
    <w:rsid w:val="007C77D4"/>
    <w:rsid w:val="007D01FA"/>
    <w:rsid w:val="007D079B"/>
    <w:rsid w:val="007D080A"/>
    <w:rsid w:val="007D1011"/>
    <w:rsid w:val="007D1673"/>
    <w:rsid w:val="007D19FB"/>
    <w:rsid w:val="007D233A"/>
    <w:rsid w:val="007D30DE"/>
    <w:rsid w:val="007D3C90"/>
    <w:rsid w:val="007D3EE4"/>
    <w:rsid w:val="007D4B91"/>
    <w:rsid w:val="007D4C3C"/>
    <w:rsid w:val="007D5528"/>
    <w:rsid w:val="007D6211"/>
    <w:rsid w:val="007D624F"/>
    <w:rsid w:val="007D6EC0"/>
    <w:rsid w:val="007D7497"/>
    <w:rsid w:val="007D7D82"/>
    <w:rsid w:val="007E0496"/>
    <w:rsid w:val="007E04C6"/>
    <w:rsid w:val="007E0677"/>
    <w:rsid w:val="007E0D2C"/>
    <w:rsid w:val="007E1DA7"/>
    <w:rsid w:val="007E254F"/>
    <w:rsid w:val="007E2A5C"/>
    <w:rsid w:val="007E43AC"/>
    <w:rsid w:val="007E452E"/>
    <w:rsid w:val="007E4969"/>
    <w:rsid w:val="007E4BAA"/>
    <w:rsid w:val="007E4F94"/>
    <w:rsid w:val="007E58D0"/>
    <w:rsid w:val="007E664A"/>
    <w:rsid w:val="007E6E36"/>
    <w:rsid w:val="007E7343"/>
    <w:rsid w:val="007E76E5"/>
    <w:rsid w:val="007E7ED8"/>
    <w:rsid w:val="007F02D1"/>
    <w:rsid w:val="007F068A"/>
    <w:rsid w:val="007F1692"/>
    <w:rsid w:val="007F1D6E"/>
    <w:rsid w:val="007F2655"/>
    <w:rsid w:val="007F2E32"/>
    <w:rsid w:val="007F45A9"/>
    <w:rsid w:val="007F52D0"/>
    <w:rsid w:val="007F56FA"/>
    <w:rsid w:val="007F5FF0"/>
    <w:rsid w:val="007F6059"/>
    <w:rsid w:val="007F6670"/>
    <w:rsid w:val="007F67B6"/>
    <w:rsid w:val="007F706D"/>
    <w:rsid w:val="007F727E"/>
    <w:rsid w:val="007F7835"/>
    <w:rsid w:val="007F7DC3"/>
    <w:rsid w:val="007F7E0F"/>
    <w:rsid w:val="00800D41"/>
    <w:rsid w:val="00800F41"/>
    <w:rsid w:val="00801119"/>
    <w:rsid w:val="0080188C"/>
    <w:rsid w:val="00801D89"/>
    <w:rsid w:val="00802127"/>
    <w:rsid w:val="00802EF9"/>
    <w:rsid w:val="00804DE5"/>
    <w:rsid w:val="0080597D"/>
    <w:rsid w:val="00805D86"/>
    <w:rsid w:val="00805EFE"/>
    <w:rsid w:val="00806127"/>
    <w:rsid w:val="008062F7"/>
    <w:rsid w:val="00806C6F"/>
    <w:rsid w:val="00806D11"/>
    <w:rsid w:val="00806DD5"/>
    <w:rsid w:val="00806E96"/>
    <w:rsid w:val="00807395"/>
    <w:rsid w:val="00807745"/>
    <w:rsid w:val="008079D8"/>
    <w:rsid w:val="0081083F"/>
    <w:rsid w:val="00810960"/>
    <w:rsid w:val="00810D4C"/>
    <w:rsid w:val="008110D9"/>
    <w:rsid w:val="00811E55"/>
    <w:rsid w:val="00811E8F"/>
    <w:rsid w:val="0081206E"/>
    <w:rsid w:val="0081229B"/>
    <w:rsid w:val="00812361"/>
    <w:rsid w:val="00812F8E"/>
    <w:rsid w:val="008137C7"/>
    <w:rsid w:val="008149D1"/>
    <w:rsid w:val="00814FBA"/>
    <w:rsid w:val="0081518B"/>
    <w:rsid w:val="0081587B"/>
    <w:rsid w:val="00816CF2"/>
    <w:rsid w:val="00816E6D"/>
    <w:rsid w:val="008171B9"/>
    <w:rsid w:val="008177E1"/>
    <w:rsid w:val="00820382"/>
    <w:rsid w:val="00820633"/>
    <w:rsid w:val="00820B85"/>
    <w:rsid w:val="00820BFE"/>
    <w:rsid w:val="00821B69"/>
    <w:rsid w:val="00821F4E"/>
    <w:rsid w:val="008222B2"/>
    <w:rsid w:val="00822AFF"/>
    <w:rsid w:val="00822C87"/>
    <w:rsid w:val="00822E92"/>
    <w:rsid w:val="00823E69"/>
    <w:rsid w:val="00824405"/>
    <w:rsid w:val="0082441E"/>
    <w:rsid w:val="0082583B"/>
    <w:rsid w:val="00825CD1"/>
    <w:rsid w:val="00826446"/>
    <w:rsid w:val="00826B90"/>
    <w:rsid w:val="00831233"/>
    <w:rsid w:val="008315A8"/>
    <w:rsid w:val="008327E0"/>
    <w:rsid w:val="00832ACE"/>
    <w:rsid w:val="00832DA4"/>
    <w:rsid w:val="0083319C"/>
    <w:rsid w:val="0083366D"/>
    <w:rsid w:val="0083397A"/>
    <w:rsid w:val="008355F4"/>
    <w:rsid w:val="00835ECA"/>
    <w:rsid w:val="0083607C"/>
    <w:rsid w:val="0083636E"/>
    <w:rsid w:val="00836489"/>
    <w:rsid w:val="00836716"/>
    <w:rsid w:val="0083700F"/>
    <w:rsid w:val="008370D2"/>
    <w:rsid w:val="00837409"/>
    <w:rsid w:val="008377F5"/>
    <w:rsid w:val="0084120F"/>
    <w:rsid w:val="00841989"/>
    <w:rsid w:val="00841AD1"/>
    <w:rsid w:val="00841EBE"/>
    <w:rsid w:val="00843899"/>
    <w:rsid w:val="0084447B"/>
    <w:rsid w:val="0084495B"/>
    <w:rsid w:val="008452CE"/>
    <w:rsid w:val="00846581"/>
    <w:rsid w:val="008468A7"/>
    <w:rsid w:val="008468C7"/>
    <w:rsid w:val="008468C8"/>
    <w:rsid w:val="00846AAA"/>
    <w:rsid w:val="00847609"/>
    <w:rsid w:val="008479E8"/>
    <w:rsid w:val="00847E5D"/>
    <w:rsid w:val="00850119"/>
    <w:rsid w:val="00851BAB"/>
    <w:rsid w:val="008520B0"/>
    <w:rsid w:val="00853B3C"/>
    <w:rsid w:val="00853F41"/>
    <w:rsid w:val="00854018"/>
    <w:rsid w:val="00854099"/>
    <w:rsid w:val="00855646"/>
    <w:rsid w:val="00855B30"/>
    <w:rsid w:val="008566DB"/>
    <w:rsid w:val="00856718"/>
    <w:rsid w:val="008567AE"/>
    <w:rsid w:val="00856989"/>
    <w:rsid w:val="008578C3"/>
    <w:rsid w:val="008602F0"/>
    <w:rsid w:val="00860F22"/>
    <w:rsid w:val="00861092"/>
    <w:rsid w:val="00862A6E"/>
    <w:rsid w:val="008635A6"/>
    <w:rsid w:val="0086387E"/>
    <w:rsid w:val="008645B8"/>
    <w:rsid w:val="00864D47"/>
    <w:rsid w:val="0086535D"/>
    <w:rsid w:val="00867024"/>
    <w:rsid w:val="0086790C"/>
    <w:rsid w:val="0086794B"/>
    <w:rsid w:val="00867FE5"/>
    <w:rsid w:val="00870281"/>
    <w:rsid w:val="008704FB"/>
    <w:rsid w:val="008707EF"/>
    <w:rsid w:val="00871ADE"/>
    <w:rsid w:val="00871B4A"/>
    <w:rsid w:val="00871E93"/>
    <w:rsid w:val="00872BE4"/>
    <w:rsid w:val="00873927"/>
    <w:rsid w:val="00874409"/>
    <w:rsid w:val="00874B6E"/>
    <w:rsid w:val="00874B82"/>
    <w:rsid w:val="008755DC"/>
    <w:rsid w:val="00876A2C"/>
    <w:rsid w:val="0087751B"/>
    <w:rsid w:val="00877B4B"/>
    <w:rsid w:val="00877E22"/>
    <w:rsid w:val="00877F2D"/>
    <w:rsid w:val="00880B57"/>
    <w:rsid w:val="00880D3F"/>
    <w:rsid w:val="00880ECE"/>
    <w:rsid w:val="00881702"/>
    <w:rsid w:val="00881910"/>
    <w:rsid w:val="00881D2A"/>
    <w:rsid w:val="00882C21"/>
    <w:rsid w:val="008831B9"/>
    <w:rsid w:val="0088422C"/>
    <w:rsid w:val="008849AB"/>
    <w:rsid w:val="00884A54"/>
    <w:rsid w:val="00885020"/>
    <w:rsid w:val="00885352"/>
    <w:rsid w:val="00885A38"/>
    <w:rsid w:val="00886829"/>
    <w:rsid w:val="0088698D"/>
    <w:rsid w:val="00886B90"/>
    <w:rsid w:val="00887DBC"/>
    <w:rsid w:val="00890270"/>
    <w:rsid w:val="008914BC"/>
    <w:rsid w:val="00891EC4"/>
    <w:rsid w:val="008922F5"/>
    <w:rsid w:val="008933AF"/>
    <w:rsid w:val="00894087"/>
    <w:rsid w:val="008943C3"/>
    <w:rsid w:val="00894939"/>
    <w:rsid w:val="00895F36"/>
    <w:rsid w:val="00897B89"/>
    <w:rsid w:val="00897D19"/>
    <w:rsid w:val="00897E23"/>
    <w:rsid w:val="00897FB3"/>
    <w:rsid w:val="008A0D6F"/>
    <w:rsid w:val="008A1ED8"/>
    <w:rsid w:val="008A3197"/>
    <w:rsid w:val="008A33FC"/>
    <w:rsid w:val="008A356A"/>
    <w:rsid w:val="008A3F09"/>
    <w:rsid w:val="008A4D07"/>
    <w:rsid w:val="008A501A"/>
    <w:rsid w:val="008A5145"/>
    <w:rsid w:val="008A51A8"/>
    <w:rsid w:val="008A54CE"/>
    <w:rsid w:val="008A5571"/>
    <w:rsid w:val="008A5643"/>
    <w:rsid w:val="008A5A1E"/>
    <w:rsid w:val="008A5DE1"/>
    <w:rsid w:val="008A5F83"/>
    <w:rsid w:val="008A6622"/>
    <w:rsid w:val="008A6A8B"/>
    <w:rsid w:val="008A6FEC"/>
    <w:rsid w:val="008A70B8"/>
    <w:rsid w:val="008A716E"/>
    <w:rsid w:val="008A797C"/>
    <w:rsid w:val="008A7EE0"/>
    <w:rsid w:val="008B0024"/>
    <w:rsid w:val="008B0979"/>
    <w:rsid w:val="008B1029"/>
    <w:rsid w:val="008B11C3"/>
    <w:rsid w:val="008B1460"/>
    <w:rsid w:val="008B15EA"/>
    <w:rsid w:val="008B16AD"/>
    <w:rsid w:val="008B2B90"/>
    <w:rsid w:val="008B3379"/>
    <w:rsid w:val="008B34EA"/>
    <w:rsid w:val="008B3A71"/>
    <w:rsid w:val="008B4AB8"/>
    <w:rsid w:val="008B4ADF"/>
    <w:rsid w:val="008B51A4"/>
    <w:rsid w:val="008B583F"/>
    <w:rsid w:val="008B5D7B"/>
    <w:rsid w:val="008B6019"/>
    <w:rsid w:val="008B6597"/>
    <w:rsid w:val="008B6758"/>
    <w:rsid w:val="008B69CD"/>
    <w:rsid w:val="008B6FC3"/>
    <w:rsid w:val="008B7670"/>
    <w:rsid w:val="008B768C"/>
    <w:rsid w:val="008B793F"/>
    <w:rsid w:val="008B7B0F"/>
    <w:rsid w:val="008B7B14"/>
    <w:rsid w:val="008B7E9C"/>
    <w:rsid w:val="008C1646"/>
    <w:rsid w:val="008C2DC7"/>
    <w:rsid w:val="008C2EA8"/>
    <w:rsid w:val="008C2FAA"/>
    <w:rsid w:val="008C3741"/>
    <w:rsid w:val="008C40B0"/>
    <w:rsid w:val="008C4FE1"/>
    <w:rsid w:val="008C5287"/>
    <w:rsid w:val="008C5EBF"/>
    <w:rsid w:val="008C67E6"/>
    <w:rsid w:val="008C7031"/>
    <w:rsid w:val="008C7721"/>
    <w:rsid w:val="008C79DE"/>
    <w:rsid w:val="008C7D04"/>
    <w:rsid w:val="008D0657"/>
    <w:rsid w:val="008D0C12"/>
    <w:rsid w:val="008D0C54"/>
    <w:rsid w:val="008D1826"/>
    <w:rsid w:val="008D1FF7"/>
    <w:rsid w:val="008D2671"/>
    <w:rsid w:val="008D2EDE"/>
    <w:rsid w:val="008D43A8"/>
    <w:rsid w:val="008D4660"/>
    <w:rsid w:val="008D4C79"/>
    <w:rsid w:val="008D4E11"/>
    <w:rsid w:val="008D574C"/>
    <w:rsid w:val="008D591A"/>
    <w:rsid w:val="008D5A9B"/>
    <w:rsid w:val="008D5D02"/>
    <w:rsid w:val="008D676D"/>
    <w:rsid w:val="008D6C31"/>
    <w:rsid w:val="008D7936"/>
    <w:rsid w:val="008E0002"/>
    <w:rsid w:val="008E0A70"/>
    <w:rsid w:val="008E1368"/>
    <w:rsid w:val="008E1502"/>
    <w:rsid w:val="008E16A7"/>
    <w:rsid w:val="008E26F9"/>
    <w:rsid w:val="008E2AD9"/>
    <w:rsid w:val="008E2EF7"/>
    <w:rsid w:val="008E4390"/>
    <w:rsid w:val="008E4C70"/>
    <w:rsid w:val="008E5936"/>
    <w:rsid w:val="008E5B1C"/>
    <w:rsid w:val="008E645D"/>
    <w:rsid w:val="008E6DCA"/>
    <w:rsid w:val="008E70B6"/>
    <w:rsid w:val="008E72FE"/>
    <w:rsid w:val="008E7D79"/>
    <w:rsid w:val="008F0040"/>
    <w:rsid w:val="008F0708"/>
    <w:rsid w:val="008F0E22"/>
    <w:rsid w:val="008F1A64"/>
    <w:rsid w:val="008F1EB1"/>
    <w:rsid w:val="008F2070"/>
    <w:rsid w:val="008F2BAA"/>
    <w:rsid w:val="008F3B0E"/>
    <w:rsid w:val="008F4229"/>
    <w:rsid w:val="008F433E"/>
    <w:rsid w:val="008F456D"/>
    <w:rsid w:val="008F49A9"/>
    <w:rsid w:val="008F5302"/>
    <w:rsid w:val="008F57F4"/>
    <w:rsid w:val="008F5815"/>
    <w:rsid w:val="008F5CA6"/>
    <w:rsid w:val="008F5CE1"/>
    <w:rsid w:val="008F6011"/>
    <w:rsid w:val="008F65B5"/>
    <w:rsid w:val="008F6B2E"/>
    <w:rsid w:val="008F7430"/>
    <w:rsid w:val="008F74D0"/>
    <w:rsid w:val="008F7BF5"/>
    <w:rsid w:val="008F7C87"/>
    <w:rsid w:val="008F7F1A"/>
    <w:rsid w:val="00900085"/>
    <w:rsid w:val="00902476"/>
    <w:rsid w:val="00902D38"/>
    <w:rsid w:val="00903A84"/>
    <w:rsid w:val="00904751"/>
    <w:rsid w:val="00904D4D"/>
    <w:rsid w:val="009052C9"/>
    <w:rsid w:val="0090628A"/>
    <w:rsid w:val="00906D75"/>
    <w:rsid w:val="0090761F"/>
    <w:rsid w:val="00907672"/>
    <w:rsid w:val="00907EE0"/>
    <w:rsid w:val="00910131"/>
    <w:rsid w:val="00910F7A"/>
    <w:rsid w:val="00911142"/>
    <w:rsid w:val="0091151C"/>
    <w:rsid w:val="0091187D"/>
    <w:rsid w:val="00912319"/>
    <w:rsid w:val="009130B6"/>
    <w:rsid w:val="0091328A"/>
    <w:rsid w:val="00913A18"/>
    <w:rsid w:val="0091408D"/>
    <w:rsid w:val="00914204"/>
    <w:rsid w:val="0091477C"/>
    <w:rsid w:val="00914DDF"/>
    <w:rsid w:val="00915FFD"/>
    <w:rsid w:val="0091717D"/>
    <w:rsid w:val="00917501"/>
    <w:rsid w:val="00917980"/>
    <w:rsid w:val="00917ACA"/>
    <w:rsid w:val="00917DBB"/>
    <w:rsid w:val="00917FD0"/>
    <w:rsid w:val="00920191"/>
    <w:rsid w:val="009205DA"/>
    <w:rsid w:val="00920616"/>
    <w:rsid w:val="009215AF"/>
    <w:rsid w:val="00921B18"/>
    <w:rsid w:val="009221EC"/>
    <w:rsid w:val="00923636"/>
    <w:rsid w:val="0092446A"/>
    <w:rsid w:val="00925345"/>
    <w:rsid w:val="009259CB"/>
    <w:rsid w:val="00925B81"/>
    <w:rsid w:val="00925EC7"/>
    <w:rsid w:val="00926575"/>
    <w:rsid w:val="00926587"/>
    <w:rsid w:val="00926706"/>
    <w:rsid w:val="00927128"/>
    <w:rsid w:val="009273B4"/>
    <w:rsid w:val="00930014"/>
    <w:rsid w:val="00930184"/>
    <w:rsid w:val="00930221"/>
    <w:rsid w:val="009305F6"/>
    <w:rsid w:val="0093077D"/>
    <w:rsid w:val="0093083B"/>
    <w:rsid w:val="00931200"/>
    <w:rsid w:val="009312CB"/>
    <w:rsid w:val="00932A56"/>
    <w:rsid w:val="009339EB"/>
    <w:rsid w:val="00934700"/>
    <w:rsid w:val="00936C78"/>
    <w:rsid w:val="00940557"/>
    <w:rsid w:val="009410C0"/>
    <w:rsid w:val="00941B22"/>
    <w:rsid w:val="009423C3"/>
    <w:rsid w:val="0094286F"/>
    <w:rsid w:val="00942E85"/>
    <w:rsid w:val="00942FA1"/>
    <w:rsid w:val="00943A94"/>
    <w:rsid w:val="00945B5D"/>
    <w:rsid w:val="00945C90"/>
    <w:rsid w:val="00945D6A"/>
    <w:rsid w:val="00946805"/>
    <w:rsid w:val="00946A68"/>
    <w:rsid w:val="00947363"/>
    <w:rsid w:val="00947738"/>
    <w:rsid w:val="00947F42"/>
    <w:rsid w:val="0095003B"/>
    <w:rsid w:val="00950412"/>
    <w:rsid w:val="00950E36"/>
    <w:rsid w:val="009513D3"/>
    <w:rsid w:val="00951805"/>
    <w:rsid w:val="009521D6"/>
    <w:rsid w:val="009529D6"/>
    <w:rsid w:val="00952DC5"/>
    <w:rsid w:val="00952E22"/>
    <w:rsid w:val="00953474"/>
    <w:rsid w:val="00953894"/>
    <w:rsid w:val="00953A1B"/>
    <w:rsid w:val="00953C55"/>
    <w:rsid w:val="00953EDA"/>
    <w:rsid w:val="00954277"/>
    <w:rsid w:val="00954908"/>
    <w:rsid w:val="009559DD"/>
    <w:rsid w:val="00956397"/>
    <w:rsid w:val="009567CF"/>
    <w:rsid w:val="0095748D"/>
    <w:rsid w:val="00957ED6"/>
    <w:rsid w:val="00957F21"/>
    <w:rsid w:val="0096070B"/>
    <w:rsid w:val="00960774"/>
    <w:rsid w:val="009607BD"/>
    <w:rsid w:val="00961A06"/>
    <w:rsid w:val="00962BF7"/>
    <w:rsid w:val="00962E7C"/>
    <w:rsid w:val="00962F00"/>
    <w:rsid w:val="00963A40"/>
    <w:rsid w:val="00963F4D"/>
    <w:rsid w:val="0096478C"/>
    <w:rsid w:val="00964EA9"/>
    <w:rsid w:val="00965A5F"/>
    <w:rsid w:val="00965C6B"/>
    <w:rsid w:val="009662D2"/>
    <w:rsid w:val="009707C8"/>
    <w:rsid w:val="00971283"/>
    <w:rsid w:val="009727FF"/>
    <w:rsid w:val="00973014"/>
    <w:rsid w:val="009735A5"/>
    <w:rsid w:val="00973DFD"/>
    <w:rsid w:val="00974272"/>
    <w:rsid w:val="0097480E"/>
    <w:rsid w:val="00974BCA"/>
    <w:rsid w:val="00976185"/>
    <w:rsid w:val="00977925"/>
    <w:rsid w:val="00980112"/>
    <w:rsid w:val="0098132B"/>
    <w:rsid w:val="0098190A"/>
    <w:rsid w:val="00981B1F"/>
    <w:rsid w:val="00982295"/>
    <w:rsid w:val="0098385F"/>
    <w:rsid w:val="00983F63"/>
    <w:rsid w:val="00984816"/>
    <w:rsid w:val="009854B1"/>
    <w:rsid w:val="009855E3"/>
    <w:rsid w:val="009860E8"/>
    <w:rsid w:val="009863CA"/>
    <w:rsid w:val="0098650A"/>
    <w:rsid w:val="009868B1"/>
    <w:rsid w:val="00987803"/>
    <w:rsid w:val="00987B2F"/>
    <w:rsid w:val="00990032"/>
    <w:rsid w:val="00991055"/>
    <w:rsid w:val="00991B63"/>
    <w:rsid w:val="009932B5"/>
    <w:rsid w:val="00993A4E"/>
    <w:rsid w:val="009941E4"/>
    <w:rsid w:val="00994A90"/>
    <w:rsid w:val="009961AC"/>
    <w:rsid w:val="0099659C"/>
    <w:rsid w:val="00996677"/>
    <w:rsid w:val="009967C9"/>
    <w:rsid w:val="00996FD7"/>
    <w:rsid w:val="009970A8"/>
    <w:rsid w:val="0099757F"/>
    <w:rsid w:val="009976C0"/>
    <w:rsid w:val="00997A54"/>
    <w:rsid w:val="00997D82"/>
    <w:rsid w:val="009A1339"/>
    <w:rsid w:val="009A17B9"/>
    <w:rsid w:val="009A1A6B"/>
    <w:rsid w:val="009A207C"/>
    <w:rsid w:val="009A24D6"/>
    <w:rsid w:val="009A38EA"/>
    <w:rsid w:val="009A3D3C"/>
    <w:rsid w:val="009A3E0E"/>
    <w:rsid w:val="009A4905"/>
    <w:rsid w:val="009A4954"/>
    <w:rsid w:val="009A4B15"/>
    <w:rsid w:val="009A5063"/>
    <w:rsid w:val="009A605D"/>
    <w:rsid w:val="009A6FD5"/>
    <w:rsid w:val="009A7041"/>
    <w:rsid w:val="009A7A3E"/>
    <w:rsid w:val="009B0475"/>
    <w:rsid w:val="009B1276"/>
    <w:rsid w:val="009B12E5"/>
    <w:rsid w:val="009B1CEE"/>
    <w:rsid w:val="009B25A1"/>
    <w:rsid w:val="009B26F0"/>
    <w:rsid w:val="009B2726"/>
    <w:rsid w:val="009B2B27"/>
    <w:rsid w:val="009B3A55"/>
    <w:rsid w:val="009B3C98"/>
    <w:rsid w:val="009B3D52"/>
    <w:rsid w:val="009B4485"/>
    <w:rsid w:val="009B4555"/>
    <w:rsid w:val="009B4C14"/>
    <w:rsid w:val="009B5477"/>
    <w:rsid w:val="009B5738"/>
    <w:rsid w:val="009B5E0E"/>
    <w:rsid w:val="009B6CB6"/>
    <w:rsid w:val="009B7881"/>
    <w:rsid w:val="009B7AB8"/>
    <w:rsid w:val="009C0529"/>
    <w:rsid w:val="009C075E"/>
    <w:rsid w:val="009C084B"/>
    <w:rsid w:val="009C0A29"/>
    <w:rsid w:val="009C0C5E"/>
    <w:rsid w:val="009C123B"/>
    <w:rsid w:val="009C1614"/>
    <w:rsid w:val="009C1BD3"/>
    <w:rsid w:val="009C1D03"/>
    <w:rsid w:val="009C1DA7"/>
    <w:rsid w:val="009C218C"/>
    <w:rsid w:val="009C2A5E"/>
    <w:rsid w:val="009C4480"/>
    <w:rsid w:val="009C44A1"/>
    <w:rsid w:val="009C44CA"/>
    <w:rsid w:val="009C4522"/>
    <w:rsid w:val="009C4CEA"/>
    <w:rsid w:val="009C57D4"/>
    <w:rsid w:val="009C7EA1"/>
    <w:rsid w:val="009D06D2"/>
    <w:rsid w:val="009D1761"/>
    <w:rsid w:val="009D1CAA"/>
    <w:rsid w:val="009D201A"/>
    <w:rsid w:val="009D34C3"/>
    <w:rsid w:val="009D35CB"/>
    <w:rsid w:val="009D3981"/>
    <w:rsid w:val="009D41A5"/>
    <w:rsid w:val="009D4F4D"/>
    <w:rsid w:val="009D51E3"/>
    <w:rsid w:val="009D56BF"/>
    <w:rsid w:val="009D600A"/>
    <w:rsid w:val="009D6152"/>
    <w:rsid w:val="009D689B"/>
    <w:rsid w:val="009D7116"/>
    <w:rsid w:val="009D7400"/>
    <w:rsid w:val="009D7F90"/>
    <w:rsid w:val="009E0E3A"/>
    <w:rsid w:val="009E0EED"/>
    <w:rsid w:val="009E151E"/>
    <w:rsid w:val="009E1764"/>
    <w:rsid w:val="009E17E2"/>
    <w:rsid w:val="009E2C67"/>
    <w:rsid w:val="009E3DA2"/>
    <w:rsid w:val="009E42FE"/>
    <w:rsid w:val="009E43C7"/>
    <w:rsid w:val="009E5582"/>
    <w:rsid w:val="009E5960"/>
    <w:rsid w:val="009E6F48"/>
    <w:rsid w:val="009E7E43"/>
    <w:rsid w:val="009E7F1C"/>
    <w:rsid w:val="009F0087"/>
    <w:rsid w:val="009F0329"/>
    <w:rsid w:val="009F03A7"/>
    <w:rsid w:val="009F1838"/>
    <w:rsid w:val="009F1ED0"/>
    <w:rsid w:val="009F279C"/>
    <w:rsid w:val="009F3034"/>
    <w:rsid w:val="009F3EE1"/>
    <w:rsid w:val="009F410E"/>
    <w:rsid w:val="009F44B8"/>
    <w:rsid w:val="009F45B4"/>
    <w:rsid w:val="009F4FCE"/>
    <w:rsid w:val="009F76C1"/>
    <w:rsid w:val="009F79C8"/>
    <w:rsid w:val="009F7FC2"/>
    <w:rsid w:val="00A0069F"/>
    <w:rsid w:val="00A00DB4"/>
    <w:rsid w:val="00A014C3"/>
    <w:rsid w:val="00A01BFD"/>
    <w:rsid w:val="00A02F83"/>
    <w:rsid w:val="00A03045"/>
    <w:rsid w:val="00A04091"/>
    <w:rsid w:val="00A0417B"/>
    <w:rsid w:val="00A05058"/>
    <w:rsid w:val="00A0527D"/>
    <w:rsid w:val="00A05320"/>
    <w:rsid w:val="00A055B7"/>
    <w:rsid w:val="00A056E8"/>
    <w:rsid w:val="00A05A8F"/>
    <w:rsid w:val="00A05BCB"/>
    <w:rsid w:val="00A069F1"/>
    <w:rsid w:val="00A07713"/>
    <w:rsid w:val="00A07A39"/>
    <w:rsid w:val="00A07E98"/>
    <w:rsid w:val="00A11AE6"/>
    <w:rsid w:val="00A1275F"/>
    <w:rsid w:val="00A12805"/>
    <w:rsid w:val="00A12E8E"/>
    <w:rsid w:val="00A1329A"/>
    <w:rsid w:val="00A133BD"/>
    <w:rsid w:val="00A1385B"/>
    <w:rsid w:val="00A13A46"/>
    <w:rsid w:val="00A14830"/>
    <w:rsid w:val="00A14D3A"/>
    <w:rsid w:val="00A1508A"/>
    <w:rsid w:val="00A15790"/>
    <w:rsid w:val="00A15922"/>
    <w:rsid w:val="00A172FF"/>
    <w:rsid w:val="00A17C22"/>
    <w:rsid w:val="00A20318"/>
    <w:rsid w:val="00A20618"/>
    <w:rsid w:val="00A21736"/>
    <w:rsid w:val="00A2214C"/>
    <w:rsid w:val="00A225BC"/>
    <w:rsid w:val="00A235E2"/>
    <w:rsid w:val="00A23B6D"/>
    <w:rsid w:val="00A23E56"/>
    <w:rsid w:val="00A24F01"/>
    <w:rsid w:val="00A25A4A"/>
    <w:rsid w:val="00A25C23"/>
    <w:rsid w:val="00A25EE8"/>
    <w:rsid w:val="00A260FB"/>
    <w:rsid w:val="00A26230"/>
    <w:rsid w:val="00A271C7"/>
    <w:rsid w:val="00A27432"/>
    <w:rsid w:val="00A30DC4"/>
    <w:rsid w:val="00A31DA6"/>
    <w:rsid w:val="00A3258B"/>
    <w:rsid w:val="00A331D9"/>
    <w:rsid w:val="00A34618"/>
    <w:rsid w:val="00A34E60"/>
    <w:rsid w:val="00A350E1"/>
    <w:rsid w:val="00A35194"/>
    <w:rsid w:val="00A35AB1"/>
    <w:rsid w:val="00A35E50"/>
    <w:rsid w:val="00A3632F"/>
    <w:rsid w:val="00A369E9"/>
    <w:rsid w:val="00A37200"/>
    <w:rsid w:val="00A374DD"/>
    <w:rsid w:val="00A37598"/>
    <w:rsid w:val="00A37793"/>
    <w:rsid w:val="00A378B6"/>
    <w:rsid w:val="00A407AF"/>
    <w:rsid w:val="00A40913"/>
    <w:rsid w:val="00A41741"/>
    <w:rsid w:val="00A4189E"/>
    <w:rsid w:val="00A43393"/>
    <w:rsid w:val="00A45205"/>
    <w:rsid w:val="00A456F2"/>
    <w:rsid w:val="00A462B2"/>
    <w:rsid w:val="00A47357"/>
    <w:rsid w:val="00A47986"/>
    <w:rsid w:val="00A50602"/>
    <w:rsid w:val="00A50635"/>
    <w:rsid w:val="00A50F26"/>
    <w:rsid w:val="00A50F98"/>
    <w:rsid w:val="00A5157A"/>
    <w:rsid w:val="00A518BC"/>
    <w:rsid w:val="00A51C72"/>
    <w:rsid w:val="00A523F0"/>
    <w:rsid w:val="00A52409"/>
    <w:rsid w:val="00A52943"/>
    <w:rsid w:val="00A53758"/>
    <w:rsid w:val="00A53A7B"/>
    <w:rsid w:val="00A53F7B"/>
    <w:rsid w:val="00A5436B"/>
    <w:rsid w:val="00A5449E"/>
    <w:rsid w:val="00A54935"/>
    <w:rsid w:val="00A54C0E"/>
    <w:rsid w:val="00A55BBF"/>
    <w:rsid w:val="00A560D1"/>
    <w:rsid w:val="00A565EA"/>
    <w:rsid w:val="00A56ADB"/>
    <w:rsid w:val="00A575D1"/>
    <w:rsid w:val="00A5779C"/>
    <w:rsid w:val="00A57C9C"/>
    <w:rsid w:val="00A61BBF"/>
    <w:rsid w:val="00A6201E"/>
    <w:rsid w:val="00A62971"/>
    <w:rsid w:val="00A65229"/>
    <w:rsid w:val="00A65FC2"/>
    <w:rsid w:val="00A660AC"/>
    <w:rsid w:val="00A66AA0"/>
    <w:rsid w:val="00A66EA2"/>
    <w:rsid w:val="00A67CFB"/>
    <w:rsid w:val="00A67FD5"/>
    <w:rsid w:val="00A70047"/>
    <w:rsid w:val="00A704DB"/>
    <w:rsid w:val="00A70D49"/>
    <w:rsid w:val="00A716CC"/>
    <w:rsid w:val="00A71F87"/>
    <w:rsid w:val="00A71FA3"/>
    <w:rsid w:val="00A72243"/>
    <w:rsid w:val="00A729E4"/>
    <w:rsid w:val="00A72A99"/>
    <w:rsid w:val="00A72FA2"/>
    <w:rsid w:val="00A7305E"/>
    <w:rsid w:val="00A73FC7"/>
    <w:rsid w:val="00A7518E"/>
    <w:rsid w:val="00A75FDB"/>
    <w:rsid w:val="00A764CC"/>
    <w:rsid w:val="00A76C52"/>
    <w:rsid w:val="00A76DA4"/>
    <w:rsid w:val="00A77D8B"/>
    <w:rsid w:val="00A77F17"/>
    <w:rsid w:val="00A80095"/>
    <w:rsid w:val="00A8131B"/>
    <w:rsid w:val="00A813AE"/>
    <w:rsid w:val="00A816A5"/>
    <w:rsid w:val="00A819C3"/>
    <w:rsid w:val="00A81A0E"/>
    <w:rsid w:val="00A81AD2"/>
    <w:rsid w:val="00A82356"/>
    <w:rsid w:val="00A8249F"/>
    <w:rsid w:val="00A82681"/>
    <w:rsid w:val="00A82904"/>
    <w:rsid w:val="00A83108"/>
    <w:rsid w:val="00A83605"/>
    <w:rsid w:val="00A8366C"/>
    <w:rsid w:val="00A8374E"/>
    <w:rsid w:val="00A853F8"/>
    <w:rsid w:val="00A85658"/>
    <w:rsid w:val="00A857CF"/>
    <w:rsid w:val="00A86B3F"/>
    <w:rsid w:val="00A872E8"/>
    <w:rsid w:val="00A87363"/>
    <w:rsid w:val="00A9051A"/>
    <w:rsid w:val="00A92666"/>
    <w:rsid w:val="00A926CC"/>
    <w:rsid w:val="00A9280C"/>
    <w:rsid w:val="00A936A1"/>
    <w:rsid w:val="00A9399B"/>
    <w:rsid w:val="00A93A93"/>
    <w:rsid w:val="00A93B1A"/>
    <w:rsid w:val="00A93C66"/>
    <w:rsid w:val="00A94075"/>
    <w:rsid w:val="00A94525"/>
    <w:rsid w:val="00A950FB"/>
    <w:rsid w:val="00A957AB"/>
    <w:rsid w:val="00A964AC"/>
    <w:rsid w:val="00A96609"/>
    <w:rsid w:val="00A971BF"/>
    <w:rsid w:val="00A978C9"/>
    <w:rsid w:val="00A978F3"/>
    <w:rsid w:val="00A979D7"/>
    <w:rsid w:val="00AA035A"/>
    <w:rsid w:val="00AA09F8"/>
    <w:rsid w:val="00AA132A"/>
    <w:rsid w:val="00AA18FE"/>
    <w:rsid w:val="00AA1BB8"/>
    <w:rsid w:val="00AA2479"/>
    <w:rsid w:val="00AA2A9F"/>
    <w:rsid w:val="00AA2F4B"/>
    <w:rsid w:val="00AA3D56"/>
    <w:rsid w:val="00AA42E0"/>
    <w:rsid w:val="00AA4398"/>
    <w:rsid w:val="00AA4547"/>
    <w:rsid w:val="00AA64CF"/>
    <w:rsid w:val="00AA64F3"/>
    <w:rsid w:val="00AA67F2"/>
    <w:rsid w:val="00AA6BFD"/>
    <w:rsid w:val="00AB01C4"/>
    <w:rsid w:val="00AB062D"/>
    <w:rsid w:val="00AB0DFF"/>
    <w:rsid w:val="00AB109C"/>
    <w:rsid w:val="00AB115B"/>
    <w:rsid w:val="00AB1216"/>
    <w:rsid w:val="00AB131B"/>
    <w:rsid w:val="00AB19FC"/>
    <w:rsid w:val="00AB229A"/>
    <w:rsid w:val="00AB23C3"/>
    <w:rsid w:val="00AB23EA"/>
    <w:rsid w:val="00AB2930"/>
    <w:rsid w:val="00AB30CB"/>
    <w:rsid w:val="00AB36C1"/>
    <w:rsid w:val="00AB38AB"/>
    <w:rsid w:val="00AB3E7F"/>
    <w:rsid w:val="00AB3F62"/>
    <w:rsid w:val="00AB41D6"/>
    <w:rsid w:val="00AB49D0"/>
    <w:rsid w:val="00AB575B"/>
    <w:rsid w:val="00AB5A0D"/>
    <w:rsid w:val="00AB610A"/>
    <w:rsid w:val="00AB66A7"/>
    <w:rsid w:val="00AB729D"/>
    <w:rsid w:val="00AB7A33"/>
    <w:rsid w:val="00AB7D04"/>
    <w:rsid w:val="00AC0AE4"/>
    <w:rsid w:val="00AC1341"/>
    <w:rsid w:val="00AC1954"/>
    <w:rsid w:val="00AC2754"/>
    <w:rsid w:val="00AC2894"/>
    <w:rsid w:val="00AC395A"/>
    <w:rsid w:val="00AC5170"/>
    <w:rsid w:val="00AC5A27"/>
    <w:rsid w:val="00AC5DC0"/>
    <w:rsid w:val="00AC6500"/>
    <w:rsid w:val="00AC66A9"/>
    <w:rsid w:val="00AC6F5A"/>
    <w:rsid w:val="00AC76D2"/>
    <w:rsid w:val="00AC78BF"/>
    <w:rsid w:val="00AD0A71"/>
    <w:rsid w:val="00AD0ABA"/>
    <w:rsid w:val="00AD1B99"/>
    <w:rsid w:val="00AD30CF"/>
    <w:rsid w:val="00AD324B"/>
    <w:rsid w:val="00AD3881"/>
    <w:rsid w:val="00AD48BF"/>
    <w:rsid w:val="00AD4AD3"/>
    <w:rsid w:val="00AD4D1A"/>
    <w:rsid w:val="00AD5660"/>
    <w:rsid w:val="00AD585A"/>
    <w:rsid w:val="00AD60A4"/>
    <w:rsid w:val="00AD63F0"/>
    <w:rsid w:val="00AD695B"/>
    <w:rsid w:val="00AD6CBA"/>
    <w:rsid w:val="00AD6D37"/>
    <w:rsid w:val="00AD6EA7"/>
    <w:rsid w:val="00AD7412"/>
    <w:rsid w:val="00AE0061"/>
    <w:rsid w:val="00AE0065"/>
    <w:rsid w:val="00AE063A"/>
    <w:rsid w:val="00AE1D5C"/>
    <w:rsid w:val="00AE3FA4"/>
    <w:rsid w:val="00AE4CD1"/>
    <w:rsid w:val="00AE6350"/>
    <w:rsid w:val="00AE768D"/>
    <w:rsid w:val="00AF1127"/>
    <w:rsid w:val="00AF14FD"/>
    <w:rsid w:val="00AF15E4"/>
    <w:rsid w:val="00AF1853"/>
    <w:rsid w:val="00AF2A5F"/>
    <w:rsid w:val="00AF3457"/>
    <w:rsid w:val="00AF3C1F"/>
    <w:rsid w:val="00AF3CFD"/>
    <w:rsid w:val="00AF3E62"/>
    <w:rsid w:val="00AF45FE"/>
    <w:rsid w:val="00AF4AAE"/>
    <w:rsid w:val="00AF4BA7"/>
    <w:rsid w:val="00AF4FD3"/>
    <w:rsid w:val="00AF5408"/>
    <w:rsid w:val="00AF55AC"/>
    <w:rsid w:val="00AF6526"/>
    <w:rsid w:val="00AF7DF6"/>
    <w:rsid w:val="00B003ED"/>
    <w:rsid w:val="00B0073C"/>
    <w:rsid w:val="00B0087C"/>
    <w:rsid w:val="00B00A81"/>
    <w:rsid w:val="00B011D7"/>
    <w:rsid w:val="00B012AB"/>
    <w:rsid w:val="00B01507"/>
    <w:rsid w:val="00B017E7"/>
    <w:rsid w:val="00B019D3"/>
    <w:rsid w:val="00B01EEE"/>
    <w:rsid w:val="00B01F31"/>
    <w:rsid w:val="00B02162"/>
    <w:rsid w:val="00B03581"/>
    <w:rsid w:val="00B045C2"/>
    <w:rsid w:val="00B04765"/>
    <w:rsid w:val="00B06088"/>
    <w:rsid w:val="00B06605"/>
    <w:rsid w:val="00B06DE3"/>
    <w:rsid w:val="00B0756C"/>
    <w:rsid w:val="00B107FA"/>
    <w:rsid w:val="00B11257"/>
    <w:rsid w:val="00B112CF"/>
    <w:rsid w:val="00B11422"/>
    <w:rsid w:val="00B11E37"/>
    <w:rsid w:val="00B133A8"/>
    <w:rsid w:val="00B137AD"/>
    <w:rsid w:val="00B13A2B"/>
    <w:rsid w:val="00B13CB2"/>
    <w:rsid w:val="00B1406F"/>
    <w:rsid w:val="00B15768"/>
    <w:rsid w:val="00B15E6C"/>
    <w:rsid w:val="00B1660F"/>
    <w:rsid w:val="00B1668E"/>
    <w:rsid w:val="00B16942"/>
    <w:rsid w:val="00B16D64"/>
    <w:rsid w:val="00B17845"/>
    <w:rsid w:val="00B20117"/>
    <w:rsid w:val="00B20229"/>
    <w:rsid w:val="00B21540"/>
    <w:rsid w:val="00B21626"/>
    <w:rsid w:val="00B220F1"/>
    <w:rsid w:val="00B22B02"/>
    <w:rsid w:val="00B22CBB"/>
    <w:rsid w:val="00B23330"/>
    <w:rsid w:val="00B236D2"/>
    <w:rsid w:val="00B23872"/>
    <w:rsid w:val="00B23E8B"/>
    <w:rsid w:val="00B259BC"/>
    <w:rsid w:val="00B2637B"/>
    <w:rsid w:val="00B27384"/>
    <w:rsid w:val="00B2740C"/>
    <w:rsid w:val="00B276BD"/>
    <w:rsid w:val="00B27731"/>
    <w:rsid w:val="00B27767"/>
    <w:rsid w:val="00B279A7"/>
    <w:rsid w:val="00B27DC2"/>
    <w:rsid w:val="00B30543"/>
    <w:rsid w:val="00B305F8"/>
    <w:rsid w:val="00B30AAE"/>
    <w:rsid w:val="00B30ACB"/>
    <w:rsid w:val="00B31BE5"/>
    <w:rsid w:val="00B32012"/>
    <w:rsid w:val="00B321AD"/>
    <w:rsid w:val="00B32244"/>
    <w:rsid w:val="00B324D0"/>
    <w:rsid w:val="00B329E9"/>
    <w:rsid w:val="00B32D44"/>
    <w:rsid w:val="00B33128"/>
    <w:rsid w:val="00B33520"/>
    <w:rsid w:val="00B335D0"/>
    <w:rsid w:val="00B342FC"/>
    <w:rsid w:val="00B351CB"/>
    <w:rsid w:val="00B35467"/>
    <w:rsid w:val="00B35803"/>
    <w:rsid w:val="00B35E17"/>
    <w:rsid w:val="00B36D90"/>
    <w:rsid w:val="00B37FA6"/>
    <w:rsid w:val="00B40086"/>
    <w:rsid w:val="00B40399"/>
    <w:rsid w:val="00B406E7"/>
    <w:rsid w:val="00B40751"/>
    <w:rsid w:val="00B413EC"/>
    <w:rsid w:val="00B41414"/>
    <w:rsid w:val="00B414D0"/>
    <w:rsid w:val="00B4158F"/>
    <w:rsid w:val="00B41D9B"/>
    <w:rsid w:val="00B41F7F"/>
    <w:rsid w:val="00B42129"/>
    <w:rsid w:val="00B428E2"/>
    <w:rsid w:val="00B43610"/>
    <w:rsid w:val="00B4590C"/>
    <w:rsid w:val="00B4667F"/>
    <w:rsid w:val="00B46981"/>
    <w:rsid w:val="00B46A81"/>
    <w:rsid w:val="00B46FB9"/>
    <w:rsid w:val="00B47A20"/>
    <w:rsid w:val="00B47B77"/>
    <w:rsid w:val="00B47D49"/>
    <w:rsid w:val="00B501D6"/>
    <w:rsid w:val="00B504F2"/>
    <w:rsid w:val="00B506F7"/>
    <w:rsid w:val="00B507F6"/>
    <w:rsid w:val="00B5133E"/>
    <w:rsid w:val="00B51FE8"/>
    <w:rsid w:val="00B5206D"/>
    <w:rsid w:val="00B52090"/>
    <w:rsid w:val="00B5237B"/>
    <w:rsid w:val="00B5245F"/>
    <w:rsid w:val="00B52986"/>
    <w:rsid w:val="00B5389F"/>
    <w:rsid w:val="00B540F7"/>
    <w:rsid w:val="00B54D64"/>
    <w:rsid w:val="00B550D1"/>
    <w:rsid w:val="00B55BEA"/>
    <w:rsid w:val="00B55CFD"/>
    <w:rsid w:val="00B56292"/>
    <w:rsid w:val="00B56990"/>
    <w:rsid w:val="00B56F91"/>
    <w:rsid w:val="00B57515"/>
    <w:rsid w:val="00B603C7"/>
    <w:rsid w:val="00B604F0"/>
    <w:rsid w:val="00B6050E"/>
    <w:rsid w:val="00B61D5C"/>
    <w:rsid w:val="00B62231"/>
    <w:rsid w:val="00B6234E"/>
    <w:rsid w:val="00B6494B"/>
    <w:rsid w:val="00B6590F"/>
    <w:rsid w:val="00B66A0A"/>
    <w:rsid w:val="00B670B9"/>
    <w:rsid w:val="00B679A6"/>
    <w:rsid w:val="00B701C4"/>
    <w:rsid w:val="00B70308"/>
    <w:rsid w:val="00B72139"/>
    <w:rsid w:val="00B7291E"/>
    <w:rsid w:val="00B731FC"/>
    <w:rsid w:val="00B7436B"/>
    <w:rsid w:val="00B75019"/>
    <w:rsid w:val="00B7563C"/>
    <w:rsid w:val="00B762A4"/>
    <w:rsid w:val="00B766D1"/>
    <w:rsid w:val="00B769FA"/>
    <w:rsid w:val="00B772A7"/>
    <w:rsid w:val="00B7751F"/>
    <w:rsid w:val="00B80100"/>
    <w:rsid w:val="00B804BB"/>
    <w:rsid w:val="00B80609"/>
    <w:rsid w:val="00B80685"/>
    <w:rsid w:val="00B81860"/>
    <w:rsid w:val="00B82466"/>
    <w:rsid w:val="00B838DA"/>
    <w:rsid w:val="00B83AF6"/>
    <w:rsid w:val="00B84061"/>
    <w:rsid w:val="00B842F4"/>
    <w:rsid w:val="00B852B9"/>
    <w:rsid w:val="00B861DE"/>
    <w:rsid w:val="00B867A8"/>
    <w:rsid w:val="00B86825"/>
    <w:rsid w:val="00B86BB6"/>
    <w:rsid w:val="00B86DD7"/>
    <w:rsid w:val="00B87744"/>
    <w:rsid w:val="00B87A7C"/>
    <w:rsid w:val="00B87AB3"/>
    <w:rsid w:val="00B900AB"/>
    <w:rsid w:val="00B92CB0"/>
    <w:rsid w:val="00B9311B"/>
    <w:rsid w:val="00B935A6"/>
    <w:rsid w:val="00B9366D"/>
    <w:rsid w:val="00B93AB6"/>
    <w:rsid w:val="00B94B2A"/>
    <w:rsid w:val="00B963AD"/>
    <w:rsid w:val="00B97132"/>
    <w:rsid w:val="00B97265"/>
    <w:rsid w:val="00BA0682"/>
    <w:rsid w:val="00BA0E06"/>
    <w:rsid w:val="00BA0E25"/>
    <w:rsid w:val="00BA0EBA"/>
    <w:rsid w:val="00BA123F"/>
    <w:rsid w:val="00BA1657"/>
    <w:rsid w:val="00BA1DAD"/>
    <w:rsid w:val="00BA2077"/>
    <w:rsid w:val="00BA2337"/>
    <w:rsid w:val="00BA240E"/>
    <w:rsid w:val="00BA249C"/>
    <w:rsid w:val="00BA2F25"/>
    <w:rsid w:val="00BA3580"/>
    <w:rsid w:val="00BA368D"/>
    <w:rsid w:val="00BA395E"/>
    <w:rsid w:val="00BA3B3C"/>
    <w:rsid w:val="00BA4464"/>
    <w:rsid w:val="00BA523B"/>
    <w:rsid w:val="00BA5341"/>
    <w:rsid w:val="00BA555B"/>
    <w:rsid w:val="00BA58ED"/>
    <w:rsid w:val="00BA62C0"/>
    <w:rsid w:val="00BA71AF"/>
    <w:rsid w:val="00BA7238"/>
    <w:rsid w:val="00BA74D0"/>
    <w:rsid w:val="00BA7D20"/>
    <w:rsid w:val="00BB0C97"/>
    <w:rsid w:val="00BB18A5"/>
    <w:rsid w:val="00BB21A0"/>
    <w:rsid w:val="00BB25A3"/>
    <w:rsid w:val="00BB2786"/>
    <w:rsid w:val="00BB3369"/>
    <w:rsid w:val="00BB3A1B"/>
    <w:rsid w:val="00BB3BB6"/>
    <w:rsid w:val="00BB4395"/>
    <w:rsid w:val="00BB4939"/>
    <w:rsid w:val="00BB4ED9"/>
    <w:rsid w:val="00BB4F21"/>
    <w:rsid w:val="00BB5DD5"/>
    <w:rsid w:val="00BB65C2"/>
    <w:rsid w:val="00BB6767"/>
    <w:rsid w:val="00BB67C4"/>
    <w:rsid w:val="00BB7048"/>
    <w:rsid w:val="00BC002D"/>
    <w:rsid w:val="00BC07D6"/>
    <w:rsid w:val="00BC2DF3"/>
    <w:rsid w:val="00BC364E"/>
    <w:rsid w:val="00BC37F2"/>
    <w:rsid w:val="00BC3986"/>
    <w:rsid w:val="00BC3C28"/>
    <w:rsid w:val="00BC40AC"/>
    <w:rsid w:val="00BC4173"/>
    <w:rsid w:val="00BC4368"/>
    <w:rsid w:val="00BC4BF0"/>
    <w:rsid w:val="00BC55AC"/>
    <w:rsid w:val="00BC55C4"/>
    <w:rsid w:val="00BC60C9"/>
    <w:rsid w:val="00BC66D2"/>
    <w:rsid w:val="00BC6FF0"/>
    <w:rsid w:val="00BC7D19"/>
    <w:rsid w:val="00BD02A6"/>
    <w:rsid w:val="00BD07C3"/>
    <w:rsid w:val="00BD0D5E"/>
    <w:rsid w:val="00BD0DFE"/>
    <w:rsid w:val="00BD12C9"/>
    <w:rsid w:val="00BD1FA5"/>
    <w:rsid w:val="00BD36D8"/>
    <w:rsid w:val="00BD43B5"/>
    <w:rsid w:val="00BD43DC"/>
    <w:rsid w:val="00BD5D82"/>
    <w:rsid w:val="00BD66A8"/>
    <w:rsid w:val="00BE0733"/>
    <w:rsid w:val="00BE076D"/>
    <w:rsid w:val="00BE08E5"/>
    <w:rsid w:val="00BE0A1F"/>
    <w:rsid w:val="00BE15A1"/>
    <w:rsid w:val="00BE19B1"/>
    <w:rsid w:val="00BE2914"/>
    <w:rsid w:val="00BE3095"/>
    <w:rsid w:val="00BE3272"/>
    <w:rsid w:val="00BE3E3C"/>
    <w:rsid w:val="00BE4583"/>
    <w:rsid w:val="00BE4A84"/>
    <w:rsid w:val="00BE4F44"/>
    <w:rsid w:val="00BE529F"/>
    <w:rsid w:val="00BE57C7"/>
    <w:rsid w:val="00BE600D"/>
    <w:rsid w:val="00BE6177"/>
    <w:rsid w:val="00BF0541"/>
    <w:rsid w:val="00BF1C08"/>
    <w:rsid w:val="00BF1CEA"/>
    <w:rsid w:val="00BF31F5"/>
    <w:rsid w:val="00BF4445"/>
    <w:rsid w:val="00BF474E"/>
    <w:rsid w:val="00BF5101"/>
    <w:rsid w:val="00BF5269"/>
    <w:rsid w:val="00BF5FAB"/>
    <w:rsid w:val="00BF68A4"/>
    <w:rsid w:val="00BF6A60"/>
    <w:rsid w:val="00BF7450"/>
    <w:rsid w:val="00C006CD"/>
    <w:rsid w:val="00C00A66"/>
    <w:rsid w:val="00C016F5"/>
    <w:rsid w:val="00C0178B"/>
    <w:rsid w:val="00C01C91"/>
    <w:rsid w:val="00C01F86"/>
    <w:rsid w:val="00C02488"/>
    <w:rsid w:val="00C0252D"/>
    <w:rsid w:val="00C02902"/>
    <w:rsid w:val="00C02CA8"/>
    <w:rsid w:val="00C038DF"/>
    <w:rsid w:val="00C042DE"/>
    <w:rsid w:val="00C04F8B"/>
    <w:rsid w:val="00C05105"/>
    <w:rsid w:val="00C05667"/>
    <w:rsid w:val="00C068F2"/>
    <w:rsid w:val="00C06CCB"/>
    <w:rsid w:val="00C06F66"/>
    <w:rsid w:val="00C07BE8"/>
    <w:rsid w:val="00C105EC"/>
    <w:rsid w:val="00C10EF8"/>
    <w:rsid w:val="00C11D75"/>
    <w:rsid w:val="00C11D9B"/>
    <w:rsid w:val="00C13587"/>
    <w:rsid w:val="00C135FA"/>
    <w:rsid w:val="00C147AC"/>
    <w:rsid w:val="00C14E20"/>
    <w:rsid w:val="00C1526A"/>
    <w:rsid w:val="00C155BF"/>
    <w:rsid w:val="00C15F13"/>
    <w:rsid w:val="00C16060"/>
    <w:rsid w:val="00C175B8"/>
    <w:rsid w:val="00C17F37"/>
    <w:rsid w:val="00C215D2"/>
    <w:rsid w:val="00C21C55"/>
    <w:rsid w:val="00C21E79"/>
    <w:rsid w:val="00C22145"/>
    <w:rsid w:val="00C22A29"/>
    <w:rsid w:val="00C22F1A"/>
    <w:rsid w:val="00C23676"/>
    <w:rsid w:val="00C23E55"/>
    <w:rsid w:val="00C23EE6"/>
    <w:rsid w:val="00C2464D"/>
    <w:rsid w:val="00C24CC2"/>
    <w:rsid w:val="00C24E18"/>
    <w:rsid w:val="00C25189"/>
    <w:rsid w:val="00C251FE"/>
    <w:rsid w:val="00C265C2"/>
    <w:rsid w:val="00C26802"/>
    <w:rsid w:val="00C26F0C"/>
    <w:rsid w:val="00C27C1F"/>
    <w:rsid w:val="00C3035E"/>
    <w:rsid w:val="00C31A5E"/>
    <w:rsid w:val="00C32201"/>
    <w:rsid w:val="00C324FB"/>
    <w:rsid w:val="00C3284F"/>
    <w:rsid w:val="00C33FD4"/>
    <w:rsid w:val="00C34582"/>
    <w:rsid w:val="00C35348"/>
    <w:rsid w:val="00C360DD"/>
    <w:rsid w:val="00C36350"/>
    <w:rsid w:val="00C367D0"/>
    <w:rsid w:val="00C3717D"/>
    <w:rsid w:val="00C37C54"/>
    <w:rsid w:val="00C37D6D"/>
    <w:rsid w:val="00C40012"/>
    <w:rsid w:val="00C401EE"/>
    <w:rsid w:val="00C4098F"/>
    <w:rsid w:val="00C415D7"/>
    <w:rsid w:val="00C418B9"/>
    <w:rsid w:val="00C419C2"/>
    <w:rsid w:val="00C41A0F"/>
    <w:rsid w:val="00C42814"/>
    <w:rsid w:val="00C433F5"/>
    <w:rsid w:val="00C440D7"/>
    <w:rsid w:val="00C44147"/>
    <w:rsid w:val="00C44451"/>
    <w:rsid w:val="00C4465B"/>
    <w:rsid w:val="00C44C61"/>
    <w:rsid w:val="00C451B7"/>
    <w:rsid w:val="00C468DA"/>
    <w:rsid w:val="00C46ED0"/>
    <w:rsid w:val="00C50872"/>
    <w:rsid w:val="00C508F9"/>
    <w:rsid w:val="00C509A4"/>
    <w:rsid w:val="00C51990"/>
    <w:rsid w:val="00C5199A"/>
    <w:rsid w:val="00C51BFC"/>
    <w:rsid w:val="00C5207E"/>
    <w:rsid w:val="00C52604"/>
    <w:rsid w:val="00C52F3B"/>
    <w:rsid w:val="00C53432"/>
    <w:rsid w:val="00C55A89"/>
    <w:rsid w:val="00C55A96"/>
    <w:rsid w:val="00C55AF4"/>
    <w:rsid w:val="00C55C45"/>
    <w:rsid w:val="00C5675B"/>
    <w:rsid w:val="00C56CAF"/>
    <w:rsid w:val="00C575F8"/>
    <w:rsid w:val="00C5791D"/>
    <w:rsid w:val="00C60183"/>
    <w:rsid w:val="00C60323"/>
    <w:rsid w:val="00C60369"/>
    <w:rsid w:val="00C6090C"/>
    <w:rsid w:val="00C609DF"/>
    <w:rsid w:val="00C60BC8"/>
    <w:rsid w:val="00C60D72"/>
    <w:rsid w:val="00C60E9E"/>
    <w:rsid w:val="00C6163D"/>
    <w:rsid w:val="00C6242E"/>
    <w:rsid w:val="00C625EB"/>
    <w:rsid w:val="00C63DF0"/>
    <w:rsid w:val="00C63E8F"/>
    <w:rsid w:val="00C6441D"/>
    <w:rsid w:val="00C66614"/>
    <w:rsid w:val="00C667D8"/>
    <w:rsid w:val="00C66C53"/>
    <w:rsid w:val="00C66E47"/>
    <w:rsid w:val="00C6775E"/>
    <w:rsid w:val="00C679D3"/>
    <w:rsid w:val="00C67A3B"/>
    <w:rsid w:val="00C70E69"/>
    <w:rsid w:val="00C712D0"/>
    <w:rsid w:val="00C71458"/>
    <w:rsid w:val="00C7202C"/>
    <w:rsid w:val="00C722FA"/>
    <w:rsid w:val="00C72D5E"/>
    <w:rsid w:val="00C74699"/>
    <w:rsid w:val="00C74B03"/>
    <w:rsid w:val="00C74B89"/>
    <w:rsid w:val="00C74D80"/>
    <w:rsid w:val="00C74FF0"/>
    <w:rsid w:val="00C76212"/>
    <w:rsid w:val="00C7674E"/>
    <w:rsid w:val="00C767C3"/>
    <w:rsid w:val="00C772B2"/>
    <w:rsid w:val="00C778ED"/>
    <w:rsid w:val="00C80A03"/>
    <w:rsid w:val="00C8182F"/>
    <w:rsid w:val="00C83101"/>
    <w:rsid w:val="00C834CD"/>
    <w:rsid w:val="00C83B95"/>
    <w:rsid w:val="00C845DC"/>
    <w:rsid w:val="00C852BD"/>
    <w:rsid w:val="00C859AC"/>
    <w:rsid w:val="00C86093"/>
    <w:rsid w:val="00C864FF"/>
    <w:rsid w:val="00C867A0"/>
    <w:rsid w:val="00C86C0F"/>
    <w:rsid w:val="00C86EB5"/>
    <w:rsid w:val="00C87243"/>
    <w:rsid w:val="00C90118"/>
    <w:rsid w:val="00C916AE"/>
    <w:rsid w:val="00C91EF9"/>
    <w:rsid w:val="00C9227C"/>
    <w:rsid w:val="00C924D3"/>
    <w:rsid w:val="00C92699"/>
    <w:rsid w:val="00C92F26"/>
    <w:rsid w:val="00C93F96"/>
    <w:rsid w:val="00C94500"/>
    <w:rsid w:val="00C97838"/>
    <w:rsid w:val="00C97CAE"/>
    <w:rsid w:val="00CA0BD1"/>
    <w:rsid w:val="00CA0EE7"/>
    <w:rsid w:val="00CA0F53"/>
    <w:rsid w:val="00CA208E"/>
    <w:rsid w:val="00CA27A0"/>
    <w:rsid w:val="00CA285D"/>
    <w:rsid w:val="00CA2C35"/>
    <w:rsid w:val="00CA39C1"/>
    <w:rsid w:val="00CA3A32"/>
    <w:rsid w:val="00CA3C4A"/>
    <w:rsid w:val="00CA448F"/>
    <w:rsid w:val="00CA727F"/>
    <w:rsid w:val="00CA7B9B"/>
    <w:rsid w:val="00CA7BC5"/>
    <w:rsid w:val="00CA7BD7"/>
    <w:rsid w:val="00CB037C"/>
    <w:rsid w:val="00CB0887"/>
    <w:rsid w:val="00CB1ED4"/>
    <w:rsid w:val="00CB20B5"/>
    <w:rsid w:val="00CB2498"/>
    <w:rsid w:val="00CB24FC"/>
    <w:rsid w:val="00CB4DD9"/>
    <w:rsid w:val="00CB58C0"/>
    <w:rsid w:val="00CB6803"/>
    <w:rsid w:val="00CB78CD"/>
    <w:rsid w:val="00CB79A1"/>
    <w:rsid w:val="00CC007A"/>
    <w:rsid w:val="00CC02B9"/>
    <w:rsid w:val="00CC066D"/>
    <w:rsid w:val="00CC1188"/>
    <w:rsid w:val="00CC15CF"/>
    <w:rsid w:val="00CC1BA6"/>
    <w:rsid w:val="00CC291D"/>
    <w:rsid w:val="00CC300D"/>
    <w:rsid w:val="00CC3844"/>
    <w:rsid w:val="00CC490B"/>
    <w:rsid w:val="00CC4F8C"/>
    <w:rsid w:val="00CC5FA2"/>
    <w:rsid w:val="00CC5FBE"/>
    <w:rsid w:val="00CC5FF0"/>
    <w:rsid w:val="00CC6847"/>
    <w:rsid w:val="00CC73F5"/>
    <w:rsid w:val="00CC7A57"/>
    <w:rsid w:val="00CD0062"/>
    <w:rsid w:val="00CD00AD"/>
    <w:rsid w:val="00CD05C9"/>
    <w:rsid w:val="00CD0E35"/>
    <w:rsid w:val="00CD11A8"/>
    <w:rsid w:val="00CD186B"/>
    <w:rsid w:val="00CD1C68"/>
    <w:rsid w:val="00CD1C9E"/>
    <w:rsid w:val="00CD272A"/>
    <w:rsid w:val="00CD3147"/>
    <w:rsid w:val="00CD3CC9"/>
    <w:rsid w:val="00CD4671"/>
    <w:rsid w:val="00CD5104"/>
    <w:rsid w:val="00CD5430"/>
    <w:rsid w:val="00CD66E3"/>
    <w:rsid w:val="00CD6985"/>
    <w:rsid w:val="00CD710C"/>
    <w:rsid w:val="00CD71C2"/>
    <w:rsid w:val="00CE0405"/>
    <w:rsid w:val="00CE0607"/>
    <w:rsid w:val="00CE0681"/>
    <w:rsid w:val="00CE13B6"/>
    <w:rsid w:val="00CE1BFA"/>
    <w:rsid w:val="00CE216A"/>
    <w:rsid w:val="00CE2591"/>
    <w:rsid w:val="00CE2804"/>
    <w:rsid w:val="00CE2B3A"/>
    <w:rsid w:val="00CE2EA9"/>
    <w:rsid w:val="00CE32AC"/>
    <w:rsid w:val="00CE33AD"/>
    <w:rsid w:val="00CE3AB5"/>
    <w:rsid w:val="00CE41F3"/>
    <w:rsid w:val="00CE4C4B"/>
    <w:rsid w:val="00CE4E80"/>
    <w:rsid w:val="00CE51B5"/>
    <w:rsid w:val="00CE5BD6"/>
    <w:rsid w:val="00CE5CA2"/>
    <w:rsid w:val="00CE691E"/>
    <w:rsid w:val="00CE7183"/>
    <w:rsid w:val="00CE77FE"/>
    <w:rsid w:val="00CE7BCD"/>
    <w:rsid w:val="00CF0175"/>
    <w:rsid w:val="00CF02D7"/>
    <w:rsid w:val="00CF0F26"/>
    <w:rsid w:val="00CF15FD"/>
    <w:rsid w:val="00CF1DB2"/>
    <w:rsid w:val="00CF391F"/>
    <w:rsid w:val="00CF482E"/>
    <w:rsid w:val="00CF4B0D"/>
    <w:rsid w:val="00CF4CF8"/>
    <w:rsid w:val="00CF55FF"/>
    <w:rsid w:val="00CF5826"/>
    <w:rsid w:val="00CF5A6B"/>
    <w:rsid w:val="00CF5D8E"/>
    <w:rsid w:val="00CF6669"/>
    <w:rsid w:val="00CF6B4B"/>
    <w:rsid w:val="00CF6EF5"/>
    <w:rsid w:val="00CF7406"/>
    <w:rsid w:val="00CF767C"/>
    <w:rsid w:val="00CF793F"/>
    <w:rsid w:val="00CF7DE8"/>
    <w:rsid w:val="00D00D9C"/>
    <w:rsid w:val="00D00F56"/>
    <w:rsid w:val="00D014D7"/>
    <w:rsid w:val="00D01942"/>
    <w:rsid w:val="00D01962"/>
    <w:rsid w:val="00D02370"/>
    <w:rsid w:val="00D023A4"/>
    <w:rsid w:val="00D02989"/>
    <w:rsid w:val="00D035E3"/>
    <w:rsid w:val="00D04564"/>
    <w:rsid w:val="00D04DB9"/>
    <w:rsid w:val="00D05B69"/>
    <w:rsid w:val="00D06651"/>
    <w:rsid w:val="00D06D96"/>
    <w:rsid w:val="00D06E7A"/>
    <w:rsid w:val="00D0711E"/>
    <w:rsid w:val="00D07676"/>
    <w:rsid w:val="00D07C0E"/>
    <w:rsid w:val="00D07C1B"/>
    <w:rsid w:val="00D07D36"/>
    <w:rsid w:val="00D10723"/>
    <w:rsid w:val="00D10B02"/>
    <w:rsid w:val="00D10C5C"/>
    <w:rsid w:val="00D10F45"/>
    <w:rsid w:val="00D11088"/>
    <w:rsid w:val="00D11294"/>
    <w:rsid w:val="00D11459"/>
    <w:rsid w:val="00D11888"/>
    <w:rsid w:val="00D11C3A"/>
    <w:rsid w:val="00D1213E"/>
    <w:rsid w:val="00D12311"/>
    <w:rsid w:val="00D12857"/>
    <w:rsid w:val="00D128A4"/>
    <w:rsid w:val="00D12C0D"/>
    <w:rsid w:val="00D13028"/>
    <w:rsid w:val="00D1364C"/>
    <w:rsid w:val="00D138BA"/>
    <w:rsid w:val="00D13DC2"/>
    <w:rsid w:val="00D146DA"/>
    <w:rsid w:val="00D14B07"/>
    <w:rsid w:val="00D15EDC"/>
    <w:rsid w:val="00D16E2E"/>
    <w:rsid w:val="00D2069D"/>
    <w:rsid w:val="00D208CA"/>
    <w:rsid w:val="00D2186A"/>
    <w:rsid w:val="00D223E9"/>
    <w:rsid w:val="00D2266E"/>
    <w:rsid w:val="00D22CBB"/>
    <w:rsid w:val="00D230B3"/>
    <w:rsid w:val="00D23EA4"/>
    <w:rsid w:val="00D23FAA"/>
    <w:rsid w:val="00D2471D"/>
    <w:rsid w:val="00D24DA5"/>
    <w:rsid w:val="00D25029"/>
    <w:rsid w:val="00D25965"/>
    <w:rsid w:val="00D25D01"/>
    <w:rsid w:val="00D26379"/>
    <w:rsid w:val="00D269B4"/>
    <w:rsid w:val="00D26E56"/>
    <w:rsid w:val="00D26E57"/>
    <w:rsid w:val="00D27369"/>
    <w:rsid w:val="00D275AD"/>
    <w:rsid w:val="00D27B4E"/>
    <w:rsid w:val="00D27BB5"/>
    <w:rsid w:val="00D30B03"/>
    <w:rsid w:val="00D31003"/>
    <w:rsid w:val="00D31296"/>
    <w:rsid w:val="00D3143C"/>
    <w:rsid w:val="00D32088"/>
    <w:rsid w:val="00D32157"/>
    <w:rsid w:val="00D3240F"/>
    <w:rsid w:val="00D32720"/>
    <w:rsid w:val="00D33253"/>
    <w:rsid w:val="00D33294"/>
    <w:rsid w:val="00D34555"/>
    <w:rsid w:val="00D34623"/>
    <w:rsid w:val="00D357B6"/>
    <w:rsid w:val="00D35D91"/>
    <w:rsid w:val="00D378B8"/>
    <w:rsid w:val="00D37A75"/>
    <w:rsid w:val="00D40219"/>
    <w:rsid w:val="00D40500"/>
    <w:rsid w:val="00D4158B"/>
    <w:rsid w:val="00D4195D"/>
    <w:rsid w:val="00D41DB2"/>
    <w:rsid w:val="00D422D2"/>
    <w:rsid w:val="00D423C1"/>
    <w:rsid w:val="00D42662"/>
    <w:rsid w:val="00D4267A"/>
    <w:rsid w:val="00D42AD0"/>
    <w:rsid w:val="00D42D1D"/>
    <w:rsid w:val="00D43731"/>
    <w:rsid w:val="00D43B14"/>
    <w:rsid w:val="00D44263"/>
    <w:rsid w:val="00D444C4"/>
    <w:rsid w:val="00D44613"/>
    <w:rsid w:val="00D44719"/>
    <w:rsid w:val="00D454BF"/>
    <w:rsid w:val="00D456C7"/>
    <w:rsid w:val="00D45707"/>
    <w:rsid w:val="00D45AFC"/>
    <w:rsid w:val="00D4641C"/>
    <w:rsid w:val="00D46A58"/>
    <w:rsid w:val="00D46CC8"/>
    <w:rsid w:val="00D477EB"/>
    <w:rsid w:val="00D47919"/>
    <w:rsid w:val="00D47E7C"/>
    <w:rsid w:val="00D47FAB"/>
    <w:rsid w:val="00D501AF"/>
    <w:rsid w:val="00D504EF"/>
    <w:rsid w:val="00D509FF"/>
    <w:rsid w:val="00D50D2B"/>
    <w:rsid w:val="00D50EA8"/>
    <w:rsid w:val="00D51163"/>
    <w:rsid w:val="00D52274"/>
    <w:rsid w:val="00D526BC"/>
    <w:rsid w:val="00D52D29"/>
    <w:rsid w:val="00D52DA0"/>
    <w:rsid w:val="00D533D4"/>
    <w:rsid w:val="00D5367F"/>
    <w:rsid w:val="00D53C9F"/>
    <w:rsid w:val="00D54E93"/>
    <w:rsid w:val="00D558D1"/>
    <w:rsid w:val="00D561B8"/>
    <w:rsid w:val="00D5724C"/>
    <w:rsid w:val="00D57E94"/>
    <w:rsid w:val="00D610DF"/>
    <w:rsid w:val="00D61381"/>
    <w:rsid w:val="00D62424"/>
    <w:rsid w:val="00D62564"/>
    <w:rsid w:val="00D62E6C"/>
    <w:rsid w:val="00D631EE"/>
    <w:rsid w:val="00D63792"/>
    <w:rsid w:val="00D63C45"/>
    <w:rsid w:val="00D66CC2"/>
    <w:rsid w:val="00D67839"/>
    <w:rsid w:val="00D7000D"/>
    <w:rsid w:val="00D702AF"/>
    <w:rsid w:val="00D722E1"/>
    <w:rsid w:val="00D729C0"/>
    <w:rsid w:val="00D73CCE"/>
    <w:rsid w:val="00D741FA"/>
    <w:rsid w:val="00D7438D"/>
    <w:rsid w:val="00D743FC"/>
    <w:rsid w:val="00D747BF"/>
    <w:rsid w:val="00D75C82"/>
    <w:rsid w:val="00D75F81"/>
    <w:rsid w:val="00D77243"/>
    <w:rsid w:val="00D777E7"/>
    <w:rsid w:val="00D77BB2"/>
    <w:rsid w:val="00D77CAD"/>
    <w:rsid w:val="00D8017F"/>
    <w:rsid w:val="00D80F58"/>
    <w:rsid w:val="00D8146A"/>
    <w:rsid w:val="00D81B91"/>
    <w:rsid w:val="00D81BFE"/>
    <w:rsid w:val="00D82184"/>
    <w:rsid w:val="00D8304A"/>
    <w:rsid w:val="00D836FA"/>
    <w:rsid w:val="00D83A5B"/>
    <w:rsid w:val="00D83BF4"/>
    <w:rsid w:val="00D83F9F"/>
    <w:rsid w:val="00D84A80"/>
    <w:rsid w:val="00D856BA"/>
    <w:rsid w:val="00D861CA"/>
    <w:rsid w:val="00D866B5"/>
    <w:rsid w:val="00D86D23"/>
    <w:rsid w:val="00D87CF4"/>
    <w:rsid w:val="00D907BC"/>
    <w:rsid w:val="00D90879"/>
    <w:rsid w:val="00D90CA5"/>
    <w:rsid w:val="00D91AC0"/>
    <w:rsid w:val="00D91DC3"/>
    <w:rsid w:val="00D91E52"/>
    <w:rsid w:val="00D91F38"/>
    <w:rsid w:val="00D92D8E"/>
    <w:rsid w:val="00D9320F"/>
    <w:rsid w:val="00D936CA"/>
    <w:rsid w:val="00D93B7A"/>
    <w:rsid w:val="00D947D0"/>
    <w:rsid w:val="00D9598E"/>
    <w:rsid w:val="00D963B3"/>
    <w:rsid w:val="00DA04BF"/>
    <w:rsid w:val="00DA161C"/>
    <w:rsid w:val="00DA1A0A"/>
    <w:rsid w:val="00DA230B"/>
    <w:rsid w:val="00DA2498"/>
    <w:rsid w:val="00DA2554"/>
    <w:rsid w:val="00DA2701"/>
    <w:rsid w:val="00DA2934"/>
    <w:rsid w:val="00DA3697"/>
    <w:rsid w:val="00DA3753"/>
    <w:rsid w:val="00DA389B"/>
    <w:rsid w:val="00DA3CF4"/>
    <w:rsid w:val="00DA3CF6"/>
    <w:rsid w:val="00DA4320"/>
    <w:rsid w:val="00DA437D"/>
    <w:rsid w:val="00DA43E3"/>
    <w:rsid w:val="00DA4506"/>
    <w:rsid w:val="00DA477F"/>
    <w:rsid w:val="00DA48C3"/>
    <w:rsid w:val="00DA4B24"/>
    <w:rsid w:val="00DA4D36"/>
    <w:rsid w:val="00DA4EAD"/>
    <w:rsid w:val="00DA58C4"/>
    <w:rsid w:val="00DA687D"/>
    <w:rsid w:val="00DA7C04"/>
    <w:rsid w:val="00DA7F1B"/>
    <w:rsid w:val="00DB063D"/>
    <w:rsid w:val="00DB08B3"/>
    <w:rsid w:val="00DB0D71"/>
    <w:rsid w:val="00DB1E45"/>
    <w:rsid w:val="00DB3D12"/>
    <w:rsid w:val="00DB3E04"/>
    <w:rsid w:val="00DB48F0"/>
    <w:rsid w:val="00DB54F5"/>
    <w:rsid w:val="00DB59DF"/>
    <w:rsid w:val="00DB679F"/>
    <w:rsid w:val="00DB6A22"/>
    <w:rsid w:val="00DB7073"/>
    <w:rsid w:val="00DB72A8"/>
    <w:rsid w:val="00DC1A05"/>
    <w:rsid w:val="00DC1D04"/>
    <w:rsid w:val="00DC2869"/>
    <w:rsid w:val="00DC3EA2"/>
    <w:rsid w:val="00DC4332"/>
    <w:rsid w:val="00DC5B9F"/>
    <w:rsid w:val="00DC61EF"/>
    <w:rsid w:val="00DC63FF"/>
    <w:rsid w:val="00DC6C5C"/>
    <w:rsid w:val="00DC6CD0"/>
    <w:rsid w:val="00DC6DFA"/>
    <w:rsid w:val="00DC6F03"/>
    <w:rsid w:val="00DC7A75"/>
    <w:rsid w:val="00DC7FBF"/>
    <w:rsid w:val="00DD0453"/>
    <w:rsid w:val="00DD0A83"/>
    <w:rsid w:val="00DD1443"/>
    <w:rsid w:val="00DD1518"/>
    <w:rsid w:val="00DD1C39"/>
    <w:rsid w:val="00DD2C28"/>
    <w:rsid w:val="00DD2D93"/>
    <w:rsid w:val="00DD2F60"/>
    <w:rsid w:val="00DD3574"/>
    <w:rsid w:val="00DD3666"/>
    <w:rsid w:val="00DD37DE"/>
    <w:rsid w:val="00DD38F4"/>
    <w:rsid w:val="00DD3CB9"/>
    <w:rsid w:val="00DD422C"/>
    <w:rsid w:val="00DD427E"/>
    <w:rsid w:val="00DD46AC"/>
    <w:rsid w:val="00DD4EE4"/>
    <w:rsid w:val="00DD5739"/>
    <w:rsid w:val="00DD6988"/>
    <w:rsid w:val="00DD6A14"/>
    <w:rsid w:val="00DD6AD1"/>
    <w:rsid w:val="00DD7E12"/>
    <w:rsid w:val="00DE00FD"/>
    <w:rsid w:val="00DE078C"/>
    <w:rsid w:val="00DE0B39"/>
    <w:rsid w:val="00DE0E5D"/>
    <w:rsid w:val="00DE0F78"/>
    <w:rsid w:val="00DE22AF"/>
    <w:rsid w:val="00DE2910"/>
    <w:rsid w:val="00DE3850"/>
    <w:rsid w:val="00DE3AAD"/>
    <w:rsid w:val="00DE3B35"/>
    <w:rsid w:val="00DE4DA9"/>
    <w:rsid w:val="00DE4F01"/>
    <w:rsid w:val="00DE50D7"/>
    <w:rsid w:val="00DE560C"/>
    <w:rsid w:val="00DE6412"/>
    <w:rsid w:val="00DE65B0"/>
    <w:rsid w:val="00DE66EB"/>
    <w:rsid w:val="00DE682A"/>
    <w:rsid w:val="00DE6AB0"/>
    <w:rsid w:val="00DE6AD6"/>
    <w:rsid w:val="00DE7121"/>
    <w:rsid w:val="00DF0CC1"/>
    <w:rsid w:val="00DF1171"/>
    <w:rsid w:val="00DF158F"/>
    <w:rsid w:val="00DF1ADA"/>
    <w:rsid w:val="00DF1C6F"/>
    <w:rsid w:val="00DF222D"/>
    <w:rsid w:val="00DF3875"/>
    <w:rsid w:val="00DF4186"/>
    <w:rsid w:val="00DF5C12"/>
    <w:rsid w:val="00DF5C2F"/>
    <w:rsid w:val="00DF6B2B"/>
    <w:rsid w:val="00DF7831"/>
    <w:rsid w:val="00E016FD"/>
    <w:rsid w:val="00E01864"/>
    <w:rsid w:val="00E01AB5"/>
    <w:rsid w:val="00E01DD0"/>
    <w:rsid w:val="00E02318"/>
    <w:rsid w:val="00E02933"/>
    <w:rsid w:val="00E02A4E"/>
    <w:rsid w:val="00E0414F"/>
    <w:rsid w:val="00E041CB"/>
    <w:rsid w:val="00E049B0"/>
    <w:rsid w:val="00E05573"/>
    <w:rsid w:val="00E05E1B"/>
    <w:rsid w:val="00E0606D"/>
    <w:rsid w:val="00E0630B"/>
    <w:rsid w:val="00E071EA"/>
    <w:rsid w:val="00E0794D"/>
    <w:rsid w:val="00E07B80"/>
    <w:rsid w:val="00E10BB1"/>
    <w:rsid w:val="00E10D0C"/>
    <w:rsid w:val="00E112FF"/>
    <w:rsid w:val="00E11CE1"/>
    <w:rsid w:val="00E1221A"/>
    <w:rsid w:val="00E1239E"/>
    <w:rsid w:val="00E131A4"/>
    <w:rsid w:val="00E133F7"/>
    <w:rsid w:val="00E13515"/>
    <w:rsid w:val="00E14662"/>
    <w:rsid w:val="00E15002"/>
    <w:rsid w:val="00E1573D"/>
    <w:rsid w:val="00E164CB"/>
    <w:rsid w:val="00E16C06"/>
    <w:rsid w:val="00E16EF3"/>
    <w:rsid w:val="00E17A1C"/>
    <w:rsid w:val="00E200FE"/>
    <w:rsid w:val="00E201CF"/>
    <w:rsid w:val="00E202BC"/>
    <w:rsid w:val="00E204E2"/>
    <w:rsid w:val="00E205CB"/>
    <w:rsid w:val="00E2090D"/>
    <w:rsid w:val="00E20B49"/>
    <w:rsid w:val="00E21D50"/>
    <w:rsid w:val="00E21F28"/>
    <w:rsid w:val="00E22B5F"/>
    <w:rsid w:val="00E22D23"/>
    <w:rsid w:val="00E23C90"/>
    <w:rsid w:val="00E24559"/>
    <w:rsid w:val="00E2570C"/>
    <w:rsid w:val="00E260BB"/>
    <w:rsid w:val="00E26A71"/>
    <w:rsid w:val="00E276CE"/>
    <w:rsid w:val="00E27FA7"/>
    <w:rsid w:val="00E30076"/>
    <w:rsid w:val="00E314D0"/>
    <w:rsid w:val="00E3195E"/>
    <w:rsid w:val="00E323C4"/>
    <w:rsid w:val="00E332E0"/>
    <w:rsid w:val="00E33486"/>
    <w:rsid w:val="00E334CA"/>
    <w:rsid w:val="00E338A9"/>
    <w:rsid w:val="00E338E4"/>
    <w:rsid w:val="00E33E15"/>
    <w:rsid w:val="00E340B1"/>
    <w:rsid w:val="00E34214"/>
    <w:rsid w:val="00E34B1F"/>
    <w:rsid w:val="00E34B42"/>
    <w:rsid w:val="00E353E3"/>
    <w:rsid w:val="00E355D4"/>
    <w:rsid w:val="00E35ABD"/>
    <w:rsid w:val="00E35B46"/>
    <w:rsid w:val="00E360DC"/>
    <w:rsid w:val="00E36D23"/>
    <w:rsid w:val="00E373AF"/>
    <w:rsid w:val="00E375BE"/>
    <w:rsid w:val="00E4025A"/>
    <w:rsid w:val="00E40666"/>
    <w:rsid w:val="00E40FDF"/>
    <w:rsid w:val="00E4154C"/>
    <w:rsid w:val="00E415D4"/>
    <w:rsid w:val="00E41664"/>
    <w:rsid w:val="00E41843"/>
    <w:rsid w:val="00E41F81"/>
    <w:rsid w:val="00E421E1"/>
    <w:rsid w:val="00E42B5F"/>
    <w:rsid w:val="00E42EBD"/>
    <w:rsid w:val="00E4406A"/>
    <w:rsid w:val="00E44138"/>
    <w:rsid w:val="00E44644"/>
    <w:rsid w:val="00E44EA1"/>
    <w:rsid w:val="00E465B0"/>
    <w:rsid w:val="00E469F6"/>
    <w:rsid w:val="00E46CF0"/>
    <w:rsid w:val="00E471E4"/>
    <w:rsid w:val="00E474A5"/>
    <w:rsid w:val="00E47544"/>
    <w:rsid w:val="00E47B7E"/>
    <w:rsid w:val="00E50753"/>
    <w:rsid w:val="00E5091E"/>
    <w:rsid w:val="00E5129B"/>
    <w:rsid w:val="00E525FC"/>
    <w:rsid w:val="00E528DB"/>
    <w:rsid w:val="00E53030"/>
    <w:rsid w:val="00E53069"/>
    <w:rsid w:val="00E54936"/>
    <w:rsid w:val="00E55164"/>
    <w:rsid w:val="00E55960"/>
    <w:rsid w:val="00E5698B"/>
    <w:rsid w:val="00E56ED3"/>
    <w:rsid w:val="00E60116"/>
    <w:rsid w:val="00E612A7"/>
    <w:rsid w:val="00E61B9D"/>
    <w:rsid w:val="00E61C5E"/>
    <w:rsid w:val="00E61EC2"/>
    <w:rsid w:val="00E6214F"/>
    <w:rsid w:val="00E63D18"/>
    <w:rsid w:val="00E63D56"/>
    <w:rsid w:val="00E63D6F"/>
    <w:rsid w:val="00E643D2"/>
    <w:rsid w:val="00E648A2"/>
    <w:rsid w:val="00E6504E"/>
    <w:rsid w:val="00E67DFE"/>
    <w:rsid w:val="00E706E2"/>
    <w:rsid w:val="00E707B2"/>
    <w:rsid w:val="00E7099D"/>
    <w:rsid w:val="00E70A39"/>
    <w:rsid w:val="00E70D50"/>
    <w:rsid w:val="00E717E2"/>
    <w:rsid w:val="00E72906"/>
    <w:rsid w:val="00E72ECF"/>
    <w:rsid w:val="00E72F8B"/>
    <w:rsid w:val="00E738D4"/>
    <w:rsid w:val="00E74999"/>
    <w:rsid w:val="00E768B2"/>
    <w:rsid w:val="00E76ACE"/>
    <w:rsid w:val="00E77683"/>
    <w:rsid w:val="00E77C88"/>
    <w:rsid w:val="00E77C8B"/>
    <w:rsid w:val="00E80145"/>
    <w:rsid w:val="00E80600"/>
    <w:rsid w:val="00E80E96"/>
    <w:rsid w:val="00E81147"/>
    <w:rsid w:val="00E8151F"/>
    <w:rsid w:val="00E81DDD"/>
    <w:rsid w:val="00E81FA2"/>
    <w:rsid w:val="00E825D2"/>
    <w:rsid w:val="00E8276F"/>
    <w:rsid w:val="00E828D2"/>
    <w:rsid w:val="00E83282"/>
    <w:rsid w:val="00E832A3"/>
    <w:rsid w:val="00E8335E"/>
    <w:rsid w:val="00E8355E"/>
    <w:rsid w:val="00E839A8"/>
    <w:rsid w:val="00E83AE8"/>
    <w:rsid w:val="00E83C42"/>
    <w:rsid w:val="00E83D8C"/>
    <w:rsid w:val="00E8519D"/>
    <w:rsid w:val="00E85427"/>
    <w:rsid w:val="00E85790"/>
    <w:rsid w:val="00E862C4"/>
    <w:rsid w:val="00E8677C"/>
    <w:rsid w:val="00E86811"/>
    <w:rsid w:val="00E878BD"/>
    <w:rsid w:val="00E90101"/>
    <w:rsid w:val="00E90563"/>
    <w:rsid w:val="00E91145"/>
    <w:rsid w:val="00E9181B"/>
    <w:rsid w:val="00E91D20"/>
    <w:rsid w:val="00E9288A"/>
    <w:rsid w:val="00E92AF1"/>
    <w:rsid w:val="00E93147"/>
    <w:rsid w:val="00E93CA4"/>
    <w:rsid w:val="00E94E22"/>
    <w:rsid w:val="00E9668D"/>
    <w:rsid w:val="00E96DC1"/>
    <w:rsid w:val="00E971D5"/>
    <w:rsid w:val="00E971E9"/>
    <w:rsid w:val="00E97713"/>
    <w:rsid w:val="00E97AEA"/>
    <w:rsid w:val="00E97B67"/>
    <w:rsid w:val="00E97E84"/>
    <w:rsid w:val="00EA0E42"/>
    <w:rsid w:val="00EA155D"/>
    <w:rsid w:val="00EA1A33"/>
    <w:rsid w:val="00EA1B66"/>
    <w:rsid w:val="00EA2687"/>
    <w:rsid w:val="00EA2C2D"/>
    <w:rsid w:val="00EA2CAA"/>
    <w:rsid w:val="00EA2D5A"/>
    <w:rsid w:val="00EA3A13"/>
    <w:rsid w:val="00EA40AA"/>
    <w:rsid w:val="00EA4800"/>
    <w:rsid w:val="00EA5D5C"/>
    <w:rsid w:val="00EA6560"/>
    <w:rsid w:val="00EA73B2"/>
    <w:rsid w:val="00EB0710"/>
    <w:rsid w:val="00EB0A24"/>
    <w:rsid w:val="00EB2085"/>
    <w:rsid w:val="00EB2184"/>
    <w:rsid w:val="00EB3671"/>
    <w:rsid w:val="00EB460E"/>
    <w:rsid w:val="00EB4B09"/>
    <w:rsid w:val="00EB55B5"/>
    <w:rsid w:val="00EB5685"/>
    <w:rsid w:val="00EB6603"/>
    <w:rsid w:val="00EB6688"/>
    <w:rsid w:val="00EB68B4"/>
    <w:rsid w:val="00EB6A21"/>
    <w:rsid w:val="00EB6DE2"/>
    <w:rsid w:val="00EB6EF8"/>
    <w:rsid w:val="00EB74AE"/>
    <w:rsid w:val="00EB7710"/>
    <w:rsid w:val="00EC0476"/>
    <w:rsid w:val="00EC1353"/>
    <w:rsid w:val="00EC29C1"/>
    <w:rsid w:val="00EC2B13"/>
    <w:rsid w:val="00EC2B88"/>
    <w:rsid w:val="00EC3BD3"/>
    <w:rsid w:val="00EC3E2D"/>
    <w:rsid w:val="00EC3F37"/>
    <w:rsid w:val="00EC48A4"/>
    <w:rsid w:val="00EC4B4C"/>
    <w:rsid w:val="00EC4F8F"/>
    <w:rsid w:val="00EC5404"/>
    <w:rsid w:val="00EC5599"/>
    <w:rsid w:val="00EC6689"/>
    <w:rsid w:val="00EC7D92"/>
    <w:rsid w:val="00ED0146"/>
    <w:rsid w:val="00ED03E2"/>
    <w:rsid w:val="00ED04DF"/>
    <w:rsid w:val="00ED0FA3"/>
    <w:rsid w:val="00ED13AF"/>
    <w:rsid w:val="00ED1826"/>
    <w:rsid w:val="00ED2EEC"/>
    <w:rsid w:val="00ED2EF5"/>
    <w:rsid w:val="00ED364C"/>
    <w:rsid w:val="00ED3B8D"/>
    <w:rsid w:val="00ED3FC4"/>
    <w:rsid w:val="00ED4CD7"/>
    <w:rsid w:val="00ED4ECE"/>
    <w:rsid w:val="00ED5908"/>
    <w:rsid w:val="00ED6A72"/>
    <w:rsid w:val="00ED6F2C"/>
    <w:rsid w:val="00ED73FF"/>
    <w:rsid w:val="00EE05D3"/>
    <w:rsid w:val="00EE2684"/>
    <w:rsid w:val="00EE2B67"/>
    <w:rsid w:val="00EE3A3C"/>
    <w:rsid w:val="00EE3ADC"/>
    <w:rsid w:val="00EE3B90"/>
    <w:rsid w:val="00EE4341"/>
    <w:rsid w:val="00EE44E4"/>
    <w:rsid w:val="00EE44ED"/>
    <w:rsid w:val="00EE459D"/>
    <w:rsid w:val="00EE4DC3"/>
    <w:rsid w:val="00EE51E5"/>
    <w:rsid w:val="00EE5479"/>
    <w:rsid w:val="00EE5584"/>
    <w:rsid w:val="00EE5BB8"/>
    <w:rsid w:val="00EE5D60"/>
    <w:rsid w:val="00EE60D3"/>
    <w:rsid w:val="00EE6C9B"/>
    <w:rsid w:val="00EE7789"/>
    <w:rsid w:val="00EF11EB"/>
    <w:rsid w:val="00EF15FB"/>
    <w:rsid w:val="00EF1D20"/>
    <w:rsid w:val="00EF221A"/>
    <w:rsid w:val="00EF2778"/>
    <w:rsid w:val="00EF2DB0"/>
    <w:rsid w:val="00EF2E7F"/>
    <w:rsid w:val="00EF32B8"/>
    <w:rsid w:val="00EF442A"/>
    <w:rsid w:val="00EF5B3B"/>
    <w:rsid w:val="00EF5C17"/>
    <w:rsid w:val="00EF6385"/>
    <w:rsid w:val="00EF6406"/>
    <w:rsid w:val="00EF64AB"/>
    <w:rsid w:val="00EF6C02"/>
    <w:rsid w:val="00EF7BCE"/>
    <w:rsid w:val="00F00086"/>
    <w:rsid w:val="00F01269"/>
    <w:rsid w:val="00F01542"/>
    <w:rsid w:val="00F0185C"/>
    <w:rsid w:val="00F0192C"/>
    <w:rsid w:val="00F02304"/>
    <w:rsid w:val="00F024AD"/>
    <w:rsid w:val="00F02572"/>
    <w:rsid w:val="00F028C4"/>
    <w:rsid w:val="00F02B36"/>
    <w:rsid w:val="00F03585"/>
    <w:rsid w:val="00F03D33"/>
    <w:rsid w:val="00F0547D"/>
    <w:rsid w:val="00F05D95"/>
    <w:rsid w:val="00F071FF"/>
    <w:rsid w:val="00F07A24"/>
    <w:rsid w:val="00F100CA"/>
    <w:rsid w:val="00F101C4"/>
    <w:rsid w:val="00F1073A"/>
    <w:rsid w:val="00F109A2"/>
    <w:rsid w:val="00F109ED"/>
    <w:rsid w:val="00F10E86"/>
    <w:rsid w:val="00F11D4E"/>
    <w:rsid w:val="00F11D8A"/>
    <w:rsid w:val="00F12BF7"/>
    <w:rsid w:val="00F14082"/>
    <w:rsid w:val="00F141D2"/>
    <w:rsid w:val="00F146C3"/>
    <w:rsid w:val="00F1480B"/>
    <w:rsid w:val="00F15E3B"/>
    <w:rsid w:val="00F16026"/>
    <w:rsid w:val="00F16216"/>
    <w:rsid w:val="00F167CB"/>
    <w:rsid w:val="00F16F5E"/>
    <w:rsid w:val="00F17F36"/>
    <w:rsid w:val="00F2071B"/>
    <w:rsid w:val="00F21331"/>
    <w:rsid w:val="00F22668"/>
    <w:rsid w:val="00F22C56"/>
    <w:rsid w:val="00F22E5A"/>
    <w:rsid w:val="00F23225"/>
    <w:rsid w:val="00F23226"/>
    <w:rsid w:val="00F23B32"/>
    <w:rsid w:val="00F23BC5"/>
    <w:rsid w:val="00F2513A"/>
    <w:rsid w:val="00F251E9"/>
    <w:rsid w:val="00F25582"/>
    <w:rsid w:val="00F25AEF"/>
    <w:rsid w:val="00F25D63"/>
    <w:rsid w:val="00F26F89"/>
    <w:rsid w:val="00F275A2"/>
    <w:rsid w:val="00F27666"/>
    <w:rsid w:val="00F2786C"/>
    <w:rsid w:val="00F278ED"/>
    <w:rsid w:val="00F30151"/>
    <w:rsid w:val="00F30532"/>
    <w:rsid w:val="00F30828"/>
    <w:rsid w:val="00F309F2"/>
    <w:rsid w:val="00F30CAF"/>
    <w:rsid w:val="00F317B3"/>
    <w:rsid w:val="00F31B4D"/>
    <w:rsid w:val="00F32AF0"/>
    <w:rsid w:val="00F3305B"/>
    <w:rsid w:val="00F3331E"/>
    <w:rsid w:val="00F33442"/>
    <w:rsid w:val="00F33CCA"/>
    <w:rsid w:val="00F33E45"/>
    <w:rsid w:val="00F343E4"/>
    <w:rsid w:val="00F35BDA"/>
    <w:rsid w:val="00F36953"/>
    <w:rsid w:val="00F370B4"/>
    <w:rsid w:val="00F37419"/>
    <w:rsid w:val="00F37479"/>
    <w:rsid w:val="00F379F9"/>
    <w:rsid w:val="00F37D02"/>
    <w:rsid w:val="00F37D6A"/>
    <w:rsid w:val="00F37DD8"/>
    <w:rsid w:val="00F40454"/>
    <w:rsid w:val="00F404AE"/>
    <w:rsid w:val="00F40A4E"/>
    <w:rsid w:val="00F40ADF"/>
    <w:rsid w:val="00F41761"/>
    <w:rsid w:val="00F41F95"/>
    <w:rsid w:val="00F41FAA"/>
    <w:rsid w:val="00F426FE"/>
    <w:rsid w:val="00F42CCA"/>
    <w:rsid w:val="00F43D05"/>
    <w:rsid w:val="00F449FB"/>
    <w:rsid w:val="00F44AE7"/>
    <w:rsid w:val="00F44CE1"/>
    <w:rsid w:val="00F452A5"/>
    <w:rsid w:val="00F45739"/>
    <w:rsid w:val="00F45C41"/>
    <w:rsid w:val="00F45D8D"/>
    <w:rsid w:val="00F47643"/>
    <w:rsid w:val="00F47B2E"/>
    <w:rsid w:val="00F47C5B"/>
    <w:rsid w:val="00F5027B"/>
    <w:rsid w:val="00F51510"/>
    <w:rsid w:val="00F51ABF"/>
    <w:rsid w:val="00F51AC2"/>
    <w:rsid w:val="00F51B45"/>
    <w:rsid w:val="00F51F5D"/>
    <w:rsid w:val="00F52777"/>
    <w:rsid w:val="00F52796"/>
    <w:rsid w:val="00F5287D"/>
    <w:rsid w:val="00F53324"/>
    <w:rsid w:val="00F53E58"/>
    <w:rsid w:val="00F55320"/>
    <w:rsid w:val="00F5556A"/>
    <w:rsid w:val="00F55629"/>
    <w:rsid w:val="00F5644E"/>
    <w:rsid w:val="00F56B99"/>
    <w:rsid w:val="00F5716F"/>
    <w:rsid w:val="00F57419"/>
    <w:rsid w:val="00F57DE5"/>
    <w:rsid w:val="00F6008B"/>
    <w:rsid w:val="00F60352"/>
    <w:rsid w:val="00F610F4"/>
    <w:rsid w:val="00F61B3F"/>
    <w:rsid w:val="00F622BE"/>
    <w:rsid w:val="00F62745"/>
    <w:rsid w:val="00F63086"/>
    <w:rsid w:val="00F63D25"/>
    <w:rsid w:val="00F640EF"/>
    <w:rsid w:val="00F64582"/>
    <w:rsid w:val="00F65822"/>
    <w:rsid w:val="00F65B26"/>
    <w:rsid w:val="00F6610F"/>
    <w:rsid w:val="00F66807"/>
    <w:rsid w:val="00F66EF9"/>
    <w:rsid w:val="00F66EFE"/>
    <w:rsid w:val="00F67021"/>
    <w:rsid w:val="00F67564"/>
    <w:rsid w:val="00F67A67"/>
    <w:rsid w:val="00F704A8"/>
    <w:rsid w:val="00F70522"/>
    <w:rsid w:val="00F70AA3"/>
    <w:rsid w:val="00F71340"/>
    <w:rsid w:val="00F718FF"/>
    <w:rsid w:val="00F72186"/>
    <w:rsid w:val="00F731C2"/>
    <w:rsid w:val="00F73B17"/>
    <w:rsid w:val="00F74B5D"/>
    <w:rsid w:val="00F74F0B"/>
    <w:rsid w:val="00F74FC4"/>
    <w:rsid w:val="00F769D3"/>
    <w:rsid w:val="00F76A15"/>
    <w:rsid w:val="00F77115"/>
    <w:rsid w:val="00F778E2"/>
    <w:rsid w:val="00F77DE3"/>
    <w:rsid w:val="00F77EDB"/>
    <w:rsid w:val="00F8004F"/>
    <w:rsid w:val="00F80FCC"/>
    <w:rsid w:val="00F81061"/>
    <w:rsid w:val="00F8160A"/>
    <w:rsid w:val="00F827B6"/>
    <w:rsid w:val="00F84033"/>
    <w:rsid w:val="00F8464A"/>
    <w:rsid w:val="00F86A4B"/>
    <w:rsid w:val="00F86B66"/>
    <w:rsid w:val="00F871E7"/>
    <w:rsid w:val="00F900D7"/>
    <w:rsid w:val="00F902AC"/>
    <w:rsid w:val="00F903E6"/>
    <w:rsid w:val="00F91157"/>
    <w:rsid w:val="00F911C7"/>
    <w:rsid w:val="00F91AD9"/>
    <w:rsid w:val="00F91C71"/>
    <w:rsid w:val="00F92931"/>
    <w:rsid w:val="00F92C6B"/>
    <w:rsid w:val="00F94217"/>
    <w:rsid w:val="00F943DB"/>
    <w:rsid w:val="00F94B7E"/>
    <w:rsid w:val="00F95073"/>
    <w:rsid w:val="00F952FB"/>
    <w:rsid w:val="00F962D9"/>
    <w:rsid w:val="00F96547"/>
    <w:rsid w:val="00F97A19"/>
    <w:rsid w:val="00F97B6C"/>
    <w:rsid w:val="00F97E56"/>
    <w:rsid w:val="00FA0563"/>
    <w:rsid w:val="00FA1EC0"/>
    <w:rsid w:val="00FA1FBC"/>
    <w:rsid w:val="00FA23D2"/>
    <w:rsid w:val="00FA274E"/>
    <w:rsid w:val="00FA2A17"/>
    <w:rsid w:val="00FA328A"/>
    <w:rsid w:val="00FA35A5"/>
    <w:rsid w:val="00FA3899"/>
    <w:rsid w:val="00FA4206"/>
    <w:rsid w:val="00FA424B"/>
    <w:rsid w:val="00FA44DA"/>
    <w:rsid w:val="00FA4836"/>
    <w:rsid w:val="00FA4E76"/>
    <w:rsid w:val="00FA50A3"/>
    <w:rsid w:val="00FA544F"/>
    <w:rsid w:val="00FA6DDB"/>
    <w:rsid w:val="00FA734C"/>
    <w:rsid w:val="00FA780A"/>
    <w:rsid w:val="00FA7A22"/>
    <w:rsid w:val="00FA7C56"/>
    <w:rsid w:val="00FB06AB"/>
    <w:rsid w:val="00FB0B4D"/>
    <w:rsid w:val="00FB20FA"/>
    <w:rsid w:val="00FB2CAB"/>
    <w:rsid w:val="00FB2F40"/>
    <w:rsid w:val="00FB3A5E"/>
    <w:rsid w:val="00FB3AB6"/>
    <w:rsid w:val="00FB437E"/>
    <w:rsid w:val="00FB4430"/>
    <w:rsid w:val="00FB4BBF"/>
    <w:rsid w:val="00FB56D9"/>
    <w:rsid w:val="00FB591F"/>
    <w:rsid w:val="00FB59B6"/>
    <w:rsid w:val="00FB6910"/>
    <w:rsid w:val="00FB6D3C"/>
    <w:rsid w:val="00FB6DBB"/>
    <w:rsid w:val="00FB7226"/>
    <w:rsid w:val="00FB74D7"/>
    <w:rsid w:val="00FB7740"/>
    <w:rsid w:val="00FB7B1E"/>
    <w:rsid w:val="00FB7F5D"/>
    <w:rsid w:val="00FC0316"/>
    <w:rsid w:val="00FC05C6"/>
    <w:rsid w:val="00FC07DB"/>
    <w:rsid w:val="00FC134D"/>
    <w:rsid w:val="00FC1C6D"/>
    <w:rsid w:val="00FC2120"/>
    <w:rsid w:val="00FC239F"/>
    <w:rsid w:val="00FC3280"/>
    <w:rsid w:val="00FC35E8"/>
    <w:rsid w:val="00FC3C88"/>
    <w:rsid w:val="00FC3D7E"/>
    <w:rsid w:val="00FC3F26"/>
    <w:rsid w:val="00FC4574"/>
    <w:rsid w:val="00FC463B"/>
    <w:rsid w:val="00FC48E0"/>
    <w:rsid w:val="00FC4D60"/>
    <w:rsid w:val="00FC5737"/>
    <w:rsid w:val="00FC58DA"/>
    <w:rsid w:val="00FC5A7E"/>
    <w:rsid w:val="00FC5D28"/>
    <w:rsid w:val="00FC633A"/>
    <w:rsid w:val="00FC663B"/>
    <w:rsid w:val="00FC6C25"/>
    <w:rsid w:val="00FC6CB6"/>
    <w:rsid w:val="00FC6F0D"/>
    <w:rsid w:val="00FC7CC0"/>
    <w:rsid w:val="00FD02C1"/>
    <w:rsid w:val="00FD02ED"/>
    <w:rsid w:val="00FD0746"/>
    <w:rsid w:val="00FD0BED"/>
    <w:rsid w:val="00FD221A"/>
    <w:rsid w:val="00FD2727"/>
    <w:rsid w:val="00FD2EA8"/>
    <w:rsid w:val="00FD3756"/>
    <w:rsid w:val="00FD3E1B"/>
    <w:rsid w:val="00FD47FB"/>
    <w:rsid w:val="00FD58DF"/>
    <w:rsid w:val="00FD658F"/>
    <w:rsid w:val="00FD677B"/>
    <w:rsid w:val="00FD698D"/>
    <w:rsid w:val="00FD6A55"/>
    <w:rsid w:val="00FD6F23"/>
    <w:rsid w:val="00FD6F83"/>
    <w:rsid w:val="00FD75CF"/>
    <w:rsid w:val="00FD7AF2"/>
    <w:rsid w:val="00FE029B"/>
    <w:rsid w:val="00FE03C8"/>
    <w:rsid w:val="00FE1917"/>
    <w:rsid w:val="00FE1D7E"/>
    <w:rsid w:val="00FE25C4"/>
    <w:rsid w:val="00FE2D96"/>
    <w:rsid w:val="00FE2E08"/>
    <w:rsid w:val="00FE38F0"/>
    <w:rsid w:val="00FE42DB"/>
    <w:rsid w:val="00FE6077"/>
    <w:rsid w:val="00FE696D"/>
    <w:rsid w:val="00FE7175"/>
    <w:rsid w:val="00FE7625"/>
    <w:rsid w:val="00FE7D6A"/>
    <w:rsid w:val="00FF0101"/>
    <w:rsid w:val="00FF0919"/>
    <w:rsid w:val="00FF097F"/>
    <w:rsid w:val="00FF1181"/>
    <w:rsid w:val="00FF1D54"/>
    <w:rsid w:val="00FF2D03"/>
    <w:rsid w:val="00FF2FAA"/>
    <w:rsid w:val="00FF3232"/>
    <w:rsid w:val="00FF3AB1"/>
    <w:rsid w:val="00FF43D4"/>
    <w:rsid w:val="00FF45BD"/>
    <w:rsid w:val="00FF5670"/>
    <w:rsid w:val="00FF6070"/>
    <w:rsid w:val="00FF6128"/>
    <w:rsid w:val="00FF62BC"/>
    <w:rsid w:val="00FF66C3"/>
    <w:rsid w:val="00FF67B0"/>
    <w:rsid w:val="00FF680E"/>
    <w:rsid w:val="00FF6B55"/>
    <w:rsid w:val="00FF6F60"/>
    <w:rsid w:val="00FF7900"/>
    <w:rsid w:val="08161CD1"/>
    <w:rsid w:val="11C0052E"/>
    <w:rsid w:val="1E1C1FB6"/>
    <w:rsid w:val="3F503942"/>
    <w:rsid w:val="4C226976"/>
    <w:rsid w:val="4CC50393"/>
    <w:rsid w:val="51293641"/>
    <w:rsid w:val="5F3913F3"/>
    <w:rsid w:val="67C57AA3"/>
    <w:rsid w:val="682F47C8"/>
    <w:rsid w:val="6B5862AA"/>
    <w:rsid w:val="7CB835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qFormat="1" w:unhideWhenUsed="0" w:uiPriority="0" w:semiHidden="0" w:name="Body Text"/>
    <w:lsdException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iPriority="0"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99" w:semiHidden="0" w:name="Document Map"/>
    <w:lsdException w:qFormat="1" w:uiPriority="99"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黑体"/>
      <w:kern w:val="2"/>
      <w:sz w:val="21"/>
      <w:szCs w:val="22"/>
      <w:lang w:val="en-US" w:eastAsia="zh-CN" w:bidi="ar-SA"/>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1"/>
    <w:qFormat/>
    <w:uiPriority w:val="0"/>
    <w:pPr>
      <w:adjustRightInd w:val="0"/>
      <w:spacing w:line="312" w:lineRule="atLeast"/>
      <w:ind w:firstLine="420" w:firstLineChars="200"/>
      <w:textAlignment w:val="baseline"/>
    </w:pPr>
    <w:rPr>
      <w:rFonts w:cs="Times New Roman"/>
      <w:kern w:val="0"/>
      <w:sz w:val="20"/>
      <w:szCs w:val="20"/>
    </w:rPr>
  </w:style>
  <w:style w:type="paragraph" w:styleId="3">
    <w:name w:val="Document Map"/>
    <w:basedOn w:val="1"/>
    <w:link w:val="22"/>
    <w:unhideWhenUsed/>
    <w:uiPriority w:val="99"/>
    <w:rPr>
      <w:rFonts w:ascii="宋体"/>
      <w:sz w:val="18"/>
      <w:szCs w:val="18"/>
    </w:rPr>
  </w:style>
  <w:style w:type="paragraph" w:styleId="4">
    <w:name w:val="annotation text"/>
    <w:basedOn w:val="1"/>
    <w:link w:val="20"/>
    <w:unhideWhenUsed/>
    <w:uiPriority w:val="99"/>
    <w:pPr>
      <w:jc w:val="left"/>
    </w:pPr>
  </w:style>
  <w:style w:type="paragraph" w:styleId="5">
    <w:name w:val="Body Text"/>
    <w:basedOn w:val="1"/>
    <w:link w:val="23"/>
    <w:qFormat/>
    <w:uiPriority w:val="0"/>
    <w:pPr>
      <w:spacing w:after="120"/>
    </w:pPr>
    <w:rPr>
      <w:rFonts w:cs="Times New Roman"/>
      <w:kern w:val="0"/>
      <w:sz w:val="20"/>
      <w:szCs w:val="24"/>
    </w:rPr>
  </w:style>
  <w:style w:type="paragraph" w:styleId="6">
    <w:name w:val="Body Text Indent"/>
    <w:basedOn w:val="1"/>
    <w:link w:val="24"/>
    <w:unhideWhenUsed/>
    <w:uiPriority w:val="99"/>
    <w:pPr>
      <w:spacing w:after="120"/>
      <w:ind w:left="420" w:leftChars="200"/>
    </w:pPr>
  </w:style>
  <w:style w:type="paragraph" w:styleId="7">
    <w:name w:val="Plain Text"/>
    <w:basedOn w:val="1"/>
    <w:link w:val="38"/>
    <w:semiHidden/>
    <w:unhideWhenUsed/>
    <w:qFormat/>
    <w:uiPriority w:val="99"/>
    <w:rPr>
      <w:rFonts w:ascii="宋体" w:hAnsi="Courier New" w:cs="Courier New"/>
      <w:szCs w:val="21"/>
    </w:rPr>
  </w:style>
  <w:style w:type="paragraph" w:styleId="8">
    <w:name w:val="Balloon Text"/>
    <w:basedOn w:val="1"/>
    <w:link w:val="25"/>
    <w:unhideWhenUsed/>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Body Text Indent 3"/>
    <w:basedOn w:val="1"/>
    <w:link w:val="44"/>
    <w:unhideWhenUsed/>
    <w:qFormat/>
    <w:uiPriority w:val="0"/>
    <w:pPr>
      <w:spacing w:after="120"/>
      <w:ind w:left="420" w:leftChars="200"/>
    </w:pPr>
    <w:rPr>
      <w:rFonts w:cs="Times New Roman"/>
      <w:sz w:val="16"/>
      <w:szCs w:val="16"/>
      <w:lang w:val="zh-CN"/>
    </w:rPr>
  </w:style>
  <w:style w:type="paragraph" w:styleId="13">
    <w:name w:val="toc 2"/>
    <w:basedOn w:val="1"/>
    <w:next w:val="1"/>
    <w:unhideWhenUsed/>
    <w:qFormat/>
    <w:uiPriority w:val="39"/>
    <w:pPr>
      <w:ind w:left="420" w:leftChars="200"/>
    </w:pPr>
    <w:rPr>
      <w:rFonts w:cstheme="minorBidi"/>
    </w:rPr>
  </w:style>
  <w:style w:type="paragraph" w:styleId="14">
    <w:name w:val="annotation subject"/>
    <w:basedOn w:val="4"/>
    <w:next w:val="4"/>
    <w:link w:val="21"/>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styleId="19">
    <w:name w:val="annotation reference"/>
    <w:unhideWhenUsed/>
    <w:qFormat/>
    <w:uiPriority w:val="99"/>
    <w:rPr>
      <w:sz w:val="21"/>
      <w:szCs w:val="21"/>
    </w:rPr>
  </w:style>
  <w:style w:type="character" w:customStyle="1" w:styleId="20">
    <w:name w:val="批注文字 字符"/>
    <w:basedOn w:val="17"/>
    <w:link w:val="4"/>
    <w:qFormat/>
    <w:uiPriority w:val="99"/>
  </w:style>
  <w:style w:type="character" w:customStyle="1" w:styleId="21">
    <w:name w:val="批注主题 字符"/>
    <w:link w:val="14"/>
    <w:qFormat/>
    <w:uiPriority w:val="99"/>
    <w:rPr>
      <w:b/>
      <w:bCs/>
    </w:rPr>
  </w:style>
  <w:style w:type="character" w:customStyle="1" w:styleId="22">
    <w:name w:val="文档结构图 字符"/>
    <w:link w:val="3"/>
    <w:qFormat/>
    <w:uiPriority w:val="99"/>
    <w:rPr>
      <w:rFonts w:ascii="宋体" w:eastAsia="宋体"/>
      <w:sz w:val="18"/>
      <w:szCs w:val="18"/>
    </w:rPr>
  </w:style>
  <w:style w:type="character" w:customStyle="1" w:styleId="23">
    <w:name w:val="正文文本 字符"/>
    <w:link w:val="5"/>
    <w:qFormat/>
    <w:uiPriority w:val="0"/>
    <w:rPr>
      <w:szCs w:val="24"/>
    </w:rPr>
  </w:style>
  <w:style w:type="character" w:customStyle="1" w:styleId="24">
    <w:name w:val="正文文本缩进 字符"/>
    <w:basedOn w:val="17"/>
    <w:link w:val="6"/>
    <w:qFormat/>
    <w:uiPriority w:val="99"/>
  </w:style>
  <w:style w:type="character" w:customStyle="1" w:styleId="25">
    <w:name w:val="批注框文本 字符"/>
    <w:link w:val="8"/>
    <w:qFormat/>
    <w:uiPriority w:val="99"/>
    <w:rPr>
      <w:sz w:val="18"/>
      <w:szCs w:val="18"/>
    </w:rPr>
  </w:style>
  <w:style w:type="character" w:customStyle="1" w:styleId="26">
    <w:name w:val="页脚 字符"/>
    <w:link w:val="9"/>
    <w:qFormat/>
    <w:uiPriority w:val="99"/>
    <w:rPr>
      <w:sz w:val="18"/>
      <w:szCs w:val="18"/>
    </w:rPr>
  </w:style>
  <w:style w:type="character" w:customStyle="1" w:styleId="27">
    <w:name w:val="页眉 字符"/>
    <w:link w:val="10"/>
    <w:qFormat/>
    <w:uiPriority w:val="99"/>
    <w:rPr>
      <w:sz w:val="18"/>
      <w:szCs w:val="18"/>
    </w:rPr>
  </w:style>
  <w:style w:type="paragraph" w:customStyle="1" w:styleId="28">
    <w:name w:val="表格文字2"/>
    <w:basedOn w:val="1"/>
    <w:qFormat/>
    <w:uiPriority w:val="0"/>
    <w:pPr>
      <w:adjustRightInd w:val="0"/>
      <w:spacing w:before="60"/>
      <w:jc w:val="center"/>
      <w:textAlignment w:val="baseline"/>
    </w:pPr>
    <w:rPr>
      <w:rFonts w:ascii="宋体" w:cs="Times New Roman"/>
      <w:kern w:val="0"/>
      <w:sz w:val="24"/>
      <w:szCs w:val="20"/>
    </w:rPr>
  </w:style>
  <w:style w:type="paragraph" w:customStyle="1" w:styleId="29">
    <w:name w:val="表"/>
    <w:basedOn w:val="1"/>
    <w:qFormat/>
    <w:uiPriority w:val="0"/>
    <w:pPr>
      <w:spacing w:line="240" w:lineRule="exact"/>
    </w:pPr>
    <w:rPr>
      <w:rFonts w:ascii="仿宋_GB2312" w:hAnsi="宋体" w:eastAsia="仿宋_GB2312" w:cs="Times New Roman"/>
      <w:sz w:val="18"/>
      <w:szCs w:val="20"/>
    </w:rPr>
  </w:style>
  <w:style w:type="paragraph" w:customStyle="1" w:styleId="30">
    <w:name w:val="表格内容"/>
    <w:basedOn w:val="1"/>
    <w:link w:val="31"/>
    <w:qFormat/>
    <w:uiPriority w:val="0"/>
    <w:pPr>
      <w:jc w:val="center"/>
    </w:pPr>
    <w:rPr>
      <w:rFonts w:eastAsia="Times New Roman" w:cs="Times New Roman"/>
      <w:kern w:val="0"/>
      <w:szCs w:val="21"/>
    </w:rPr>
  </w:style>
  <w:style w:type="character" w:customStyle="1" w:styleId="31">
    <w:name w:val="表格内容 Char"/>
    <w:link w:val="30"/>
    <w:qFormat/>
    <w:uiPriority w:val="0"/>
    <w:rPr>
      <w:rFonts w:eastAsia="Times New Roman"/>
      <w:sz w:val="21"/>
      <w:szCs w:val="21"/>
    </w:rPr>
  </w:style>
  <w:style w:type="paragraph" w:customStyle="1" w:styleId="32">
    <w:name w:val="表格首行"/>
    <w:basedOn w:val="1"/>
    <w:next w:val="1"/>
    <w:qFormat/>
    <w:uiPriority w:val="0"/>
    <w:pPr>
      <w:jc w:val="center"/>
    </w:pPr>
    <w:rPr>
      <w:rFonts w:cs="宋体"/>
      <w:b/>
      <w:szCs w:val="20"/>
    </w:rPr>
  </w:style>
  <w:style w:type="paragraph" w:customStyle="1" w:styleId="33">
    <w:name w:val="正文-欣欣"/>
    <w:basedOn w:val="1"/>
    <w:qFormat/>
    <w:uiPriority w:val="0"/>
    <w:pPr>
      <w:adjustRightInd w:val="0"/>
      <w:spacing w:line="360" w:lineRule="auto"/>
      <w:ind w:firstLine="200" w:firstLineChars="200"/>
    </w:pPr>
    <w:rPr>
      <w:rFonts w:cs="Times New Roman"/>
      <w:sz w:val="24"/>
      <w:szCs w:val="30"/>
    </w:rPr>
  </w:style>
  <w:style w:type="character" w:customStyle="1" w:styleId="34">
    <w:name w:val="正文文本 Char1"/>
    <w:basedOn w:val="17"/>
    <w:semiHidden/>
    <w:qFormat/>
    <w:uiPriority w:val="99"/>
  </w:style>
  <w:style w:type="character" w:customStyle="1" w:styleId="35">
    <w:name w:val="占位符文本1"/>
    <w:semiHidden/>
    <w:qFormat/>
    <w:uiPriority w:val="99"/>
    <w:rPr>
      <w:color w:val="808080"/>
    </w:rPr>
  </w:style>
  <w:style w:type="table" w:customStyle="1" w:styleId="36">
    <w:name w:val="网格型1"/>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网格型2"/>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8">
    <w:name w:val="纯文本 字符"/>
    <w:link w:val="7"/>
    <w:semiHidden/>
    <w:qFormat/>
    <w:uiPriority w:val="99"/>
    <w:rPr>
      <w:rFonts w:ascii="宋体" w:hAnsi="Courier New" w:cs="Courier New"/>
      <w:kern w:val="2"/>
      <w:sz w:val="21"/>
      <w:szCs w:val="21"/>
    </w:rPr>
  </w:style>
  <w:style w:type="paragraph" w:customStyle="1" w:styleId="39">
    <w:name w:val="章节目录"/>
    <w:basedOn w:val="1"/>
    <w:link w:val="40"/>
    <w:qFormat/>
    <w:uiPriority w:val="0"/>
    <w:pPr>
      <w:spacing w:line="360" w:lineRule="auto"/>
      <w:outlineLvl w:val="0"/>
    </w:pPr>
    <w:rPr>
      <w:b/>
      <w:sz w:val="28"/>
      <w:szCs w:val="28"/>
    </w:rPr>
  </w:style>
  <w:style w:type="character" w:customStyle="1" w:styleId="40">
    <w:name w:val="章节目录 Char"/>
    <w:link w:val="39"/>
    <w:qFormat/>
    <w:uiPriority w:val="0"/>
    <w:rPr>
      <w:rFonts w:cs="黑体"/>
      <w:b/>
      <w:kern w:val="2"/>
      <w:sz w:val="28"/>
      <w:szCs w:val="28"/>
    </w:rPr>
  </w:style>
  <w:style w:type="paragraph" w:customStyle="1" w:styleId="41">
    <w:name w:val="Char4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42">
    <w:name w:val="表头"/>
    <w:basedOn w:val="1"/>
    <w:link w:val="43"/>
    <w:qFormat/>
    <w:uiPriority w:val="0"/>
    <w:pPr>
      <w:spacing w:line="360" w:lineRule="auto"/>
      <w:jc w:val="center"/>
    </w:pPr>
    <w:rPr>
      <w:rFonts w:eastAsia="黑体" w:cs="Times New Roman"/>
      <w:color w:val="FF0000"/>
      <w:szCs w:val="21"/>
    </w:rPr>
  </w:style>
  <w:style w:type="character" w:customStyle="1" w:styleId="43">
    <w:name w:val="表头 Char"/>
    <w:link w:val="42"/>
    <w:qFormat/>
    <w:uiPriority w:val="0"/>
    <w:rPr>
      <w:rFonts w:eastAsia="黑体"/>
      <w:color w:val="FF0000"/>
      <w:kern w:val="2"/>
      <w:sz w:val="21"/>
      <w:szCs w:val="21"/>
    </w:rPr>
  </w:style>
  <w:style w:type="character" w:customStyle="1" w:styleId="44">
    <w:name w:val="正文文本缩进 3 字符"/>
    <w:link w:val="12"/>
    <w:qFormat/>
    <w:uiPriority w:val="0"/>
    <w:rPr>
      <w:kern w:val="2"/>
      <w:sz w:val="16"/>
      <w:szCs w:val="16"/>
      <w:lang w:val="zh-CN" w:eastAsia="zh-CN"/>
    </w:rPr>
  </w:style>
  <w:style w:type="paragraph" w:customStyle="1" w:styleId="45">
    <w:name w:val="四级标题"/>
    <w:basedOn w:val="1"/>
    <w:link w:val="46"/>
    <w:qFormat/>
    <w:uiPriority w:val="0"/>
    <w:pPr>
      <w:spacing w:line="360" w:lineRule="auto"/>
      <w:ind w:firstLine="200" w:firstLineChars="200"/>
      <w:outlineLvl w:val="3"/>
    </w:pPr>
    <w:rPr>
      <w:rFonts w:cs="Times New Roman"/>
      <w:b/>
      <w:sz w:val="24"/>
      <w:szCs w:val="24"/>
    </w:rPr>
  </w:style>
  <w:style w:type="character" w:customStyle="1" w:styleId="46">
    <w:name w:val="四级标题 Char"/>
    <w:link w:val="45"/>
    <w:qFormat/>
    <w:uiPriority w:val="0"/>
    <w:rPr>
      <w:b/>
      <w:kern w:val="2"/>
      <w:sz w:val="24"/>
      <w:szCs w:val="24"/>
    </w:rPr>
  </w:style>
  <w:style w:type="paragraph" w:customStyle="1" w:styleId="47">
    <w:name w:val="报告表格"/>
    <w:basedOn w:val="1"/>
    <w:link w:val="48"/>
    <w:qFormat/>
    <w:uiPriority w:val="0"/>
    <w:pPr>
      <w:autoSpaceDE w:val="0"/>
      <w:autoSpaceDN w:val="0"/>
      <w:adjustRightInd w:val="0"/>
      <w:spacing w:before="40" w:after="40"/>
      <w:jc w:val="center"/>
      <w:textAlignment w:val="bottom"/>
    </w:pPr>
    <w:rPr>
      <w:rFonts w:cs="Times New Roman"/>
      <w:kern w:val="0"/>
      <w:szCs w:val="20"/>
    </w:rPr>
  </w:style>
  <w:style w:type="character" w:customStyle="1" w:styleId="48">
    <w:name w:val="报告表格 Char"/>
    <w:link w:val="47"/>
    <w:qFormat/>
    <w:uiPriority w:val="0"/>
    <w:rPr>
      <w:sz w:val="21"/>
    </w:rPr>
  </w:style>
  <w:style w:type="paragraph" w:customStyle="1" w:styleId="4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0">
    <w:name w:val="List Paragraph"/>
    <w:basedOn w:val="1"/>
    <w:qFormat/>
    <w:uiPriority w:val="34"/>
    <w:pPr>
      <w:ind w:firstLine="420" w:firstLineChars="200"/>
    </w:pPr>
  </w:style>
  <w:style w:type="character" w:customStyle="1" w:styleId="51">
    <w:name w:val="正文缩进 字符"/>
    <w:basedOn w:val="17"/>
    <w:link w:val="2"/>
    <w:qFormat/>
    <w:uiPriority w:val="0"/>
  </w:style>
  <w:style w:type="paragraph" w:customStyle="1" w:styleId="52">
    <w:name w:val="二级标题"/>
    <w:basedOn w:val="1"/>
    <w:link w:val="53"/>
    <w:qFormat/>
    <w:uiPriority w:val="0"/>
    <w:pPr>
      <w:outlineLvl w:val="1"/>
    </w:pPr>
    <w:rPr>
      <w:rFonts w:eastAsia="黑体" w:asciiTheme="minorHAnsi" w:hAnsiTheme="minorHAnsi" w:cstheme="minorBidi"/>
      <w:sz w:val="30"/>
    </w:rPr>
  </w:style>
  <w:style w:type="character" w:customStyle="1" w:styleId="53">
    <w:name w:val="二级标题 Char"/>
    <w:basedOn w:val="17"/>
    <w:link w:val="52"/>
    <w:qFormat/>
    <w:uiPriority w:val="0"/>
    <w:rPr>
      <w:rFonts w:eastAsia="黑体" w:asciiTheme="minorHAnsi" w:hAnsiTheme="minorHAnsi" w:cstheme="minorBidi"/>
      <w:kern w:val="2"/>
      <w:sz w:val="30"/>
      <w:szCs w:val="22"/>
    </w:rPr>
  </w:style>
  <w:style w:type="paragraph" w:customStyle="1" w:styleId="54">
    <w:name w:val="图表标题"/>
    <w:basedOn w:val="1"/>
    <w:link w:val="55"/>
    <w:qFormat/>
    <w:uiPriority w:val="0"/>
    <w:pPr>
      <w:spacing w:line="360" w:lineRule="auto"/>
      <w:jc w:val="center"/>
    </w:pPr>
    <w:rPr>
      <w:rFonts w:eastAsia="黑体" w:cs="Times New Roman"/>
      <w:szCs w:val="21"/>
    </w:rPr>
  </w:style>
  <w:style w:type="character" w:customStyle="1" w:styleId="55">
    <w:name w:val="图表标题 Char"/>
    <w:basedOn w:val="17"/>
    <w:link w:val="54"/>
    <w:qFormat/>
    <w:uiPriority w:val="0"/>
    <w:rPr>
      <w:rFonts w:eastAsia="黑体"/>
      <w:kern w:val="2"/>
      <w:sz w:val="21"/>
      <w:szCs w:val="21"/>
    </w:rPr>
  </w:style>
  <w:style w:type="paragraph" w:customStyle="1" w:styleId="56">
    <w:name w:val="样式 正文文本 + 首行缩进:  2 字符"/>
    <w:basedOn w:val="1"/>
    <w:qFormat/>
    <w:uiPriority w:val="0"/>
    <w:pPr>
      <w:widowControl/>
      <w:spacing w:before="100" w:beforeAutospacing="1" w:after="200" w:line="480" w:lineRule="exact"/>
      <w:ind w:firstLine="480" w:firstLineChars="200"/>
      <w:jc w:val="left"/>
    </w:pPr>
    <w:rPr>
      <w:rFonts w:eastAsia="微软雅黑" w:cs="Times New Roman"/>
      <w:kern w:val="0"/>
      <w:sz w:val="24"/>
      <w:szCs w:val="24"/>
    </w:rPr>
  </w:style>
  <w:style w:type="paragraph" w:customStyle="1" w:styleId="57">
    <w:name w:val="正文标题"/>
    <w:basedOn w:val="1"/>
    <w:link w:val="58"/>
    <w:qFormat/>
    <w:uiPriority w:val="0"/>
    <w:pPr>
      <w:spacing w:line="360" w:lineRule="auto"/>
      <w:ind w:firstLine="200" w:firstLineChars="200"/>
      <w:outlineLvl w:val="4"/>
    </w:pPr>
    <w:rPr>
      <w:rFonts w:cs="Times New Roman" w:eastAsiaTheme="minorEastAsia"/>
      <w:b/>
      <w:sz w:val="24"/>
      <w:szCs w:val="24"/>
    </w:rPr>
  </w:style>
  <w:style w:type="character" w:customStyle="1" w:styleId="58">
    <w:name w:val="正文标题 Char"/>
    <w:link w:val="57"/>
    <w:qFormat/>
    <w:uiPriority w:val="0"/>
    <w:rPr>
      <w:rFonts w:eastAsiaTheme="minorEastAsia"/>
      <w:b/>
      <w:kern w:val="2"/>
      <w:sz w:val="24"/>
      <w:szCs w:val="24"/>
    </w:rPr>
  </w:style>
  <w:style w:type="paragraph" w:customStyle="1" w:styleId="59">
    <w:name w:val="一级标题"/>
    <w:basedOn w:val="1"/>
    <w:link w:val="60"/>
    <w:qFormat/>
    <w:uiPriority w:val="0"/>
    <w:pPr>
      <w:spacing w:line="360" w:lineRule="auto"/>
      <w:ind w:left="425" w:hanging="425"/>
      <w:outlineLvl w:val="0"/>
    </w:pPr>
    <w:rPr>
      <w:rFonts w:eastAsia="黑体" w:cstheme="minorBidi"/>
      <w:sz w:val="32"/>
      <w:szCs w:val="24"/>
    </w:rPr>
  </w:style>
  <w:style w:type="character" w:customStyle="1" w:styleId="60">
    <w:name w:val="一级标题 Char"/>
    <w:basedOn w:val="17"/>
    <w:link w:val="59"/>
    <w:qFormat/>
    <w:uiPriority w:val="0"/>
    <w:rPr>
      <w:rFonts w:eastAsia="黑体" w:cstheme="minorBidi"/>
      <w:kern w:val="2"/>
      <w:sz w:val="32"/>
      <w:szCs w:val="24"/>
    </w:rPr>
  </w:style>
  <w:style w:type="paragraph" w:customStyle="1" w:styleId="61">
    <w:name w:val="三级标题"/>
    <w:basedOn w:val="1"/>
    <w:link w:val="62"/>
    <w:qFormat/>
    <w:uiPriority w:val="0"/>
    <w:pPr>
      <w:spacing w:line="360" w:lineRule="auto"/>
      <w:ind w:left="425" w:hanging="425"/>
      <w:outlineLvl w:val="2"/>
    </w:pPr>
    <w:rPr>
      <w:rFonts w:eastAsia="黑体" w:cstheme="minorBidi"/>
      <w:sz w:val="28"/>
      <w:szCs w:val="24"/>
    </w:rPr>
  </w:style>
  <w:style w:type="character" w:customStyle="1" w:styleId="62">
    <w:name w:val="三级标题 Char"/>
    <w:basedOn w:val="17"/>
    <w:link w:val="61"/>
    <w:qFormat/>
    <w:uiPriority w:val="0"/>
    <w:rPr>
      <w:rFonts w:eastAsia="黑体" w:cstheme="minorBidi"/>
      <w:kern w:val="2"/>
      <w:sz w:val="28"/>
      <w:szCs w:val="24"/>
    </w:rPr>
  </w:style>
  <w:style w:type="paragraph" w:customStyle="1" w:styleId="63">
    <w:name w:val="表格"/>
    <w:basedOn w:val="1"/>
    <w:link w:val="64"/>
    <w:qFormat/>
    <w:uiPriority w:val="0"/>
    <w:pPr>
      <w:jc w:val="center"/>
    </w:pPr>
    <w:rPr>
      <w:rFonts w:asciiTheme="minorHAnsi" w:hAnsiTheme="minorHAnsi" w:eastAsiaTheme="minorEastAsia" w:cstheme="minorHAnsi"/>
      <w:color w:val="FF0000"/>
      <w:szCs w:val="21"/>
    </w:rPr>
  </w:style>
  <w:style w:type="character" w:customStyle="1" w:styleId="64">
    <w:name w:val="表格 Char"/>
    <w:basedOn w:val="17"/>
    <w:link w:val="63"/>
    <w:qFormat/>
    <w:uiPriority w:val="0"/>
    <w:rPr>
      <w:rFonts w:asciiTheme="minorHAnsi" w:hAnsiTheme="minorHAnsi" w:eastAsiaTheme="minorEastAsia" w:cstheme="minorHAnsi"/>
      <w:color w:val="FF0000"/>
      <w:kern w:val="2"/>
      <w:sz w:val="21"/>
      <w:szCs w:val="21"/>
    </w:rPr>
  </w:style>
  <w:style w:type="paragraph" w:customStyle="1" w:styleId="65">
    <w:name w:val="Other|1"/>
    <w:basedOn w:val="1"/>
    <w:qFormat/>
    <w:uiPriority w:val="0"/>
    <w:pPr>
      <w:spacing w:line="259" w:lineRule="exact"/>
      <w:jc w:val="center"/>
    </w:pPr>
    <w:rPr>
      <w:rFonts w:ascii="宋体" w:hAnsi="宋体" w:cs="宋体"/>
      <w:sz w:val="19"/>
      <w:szCs w:val="19"/>
      <w:lang w:val="zh-TW" w:eastAsia="zh-TW" w:bidi="zh-TW"/>
    </w:rPr>
  </w:style>
  <w:style w:type="paragraph" w:customStyle="1" w:styleId="66">
    <w:name w:val="Char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6.wmf"/><Relationship Id="rId51" Type="http://schemas.openxmlformats.org/officeDocument/2006/relationships/oleObject" Target="embeddings/oleObject7.bin"/><Relationship Id="rId50" Type="http://schemas.openxmlformats.org/officeDocument/2006/relationships/image" Target="media/image35.png"/><Relationship Id="rId5" Type="http://schemas.openxmlformats.org/officeDocument/2006/relationships/image" Target="media/image1.jpeg"/><Relationship Id="rId49" Type="http://schemas.openxmlformats.org/officeDocument/2006/relationships/image" Target="media/image34.wmf"/><Relationship Id="rId48" Type="http://schemas.openxmlformats.org/officeDocument/2006/relationships/oleObject" Target="embeddings/oleObject6.bin"/><Relationship Id="rId47" Type="http://schemas.openxmlformats.org/officeDocument/2006/relationships/image" Target="media/image33.wmf"/><Relationship Id="rId46" Type="http://schemas.openxmlformats.org/officeDocument/2006/relationships/oleObject" Target="embeddings/oleObject5.bin"/><Relationship Id="rId45" Type="http://schemas.openxmlformats.org/officeDocument/2006/relationships/image" Target="media/image32.wmf"/><Relationship Id="rId44" Type="http://schemas.openxmlformats.org/officeDocument/2006/relationships/oleObject" Target="embeddings/oleObject4.bin"/><Relationship Id="rId43" Type="http://schemas.openxmlformats.org/officeDocument/2006/relationships/image" Target="media/image31.wmf"/><Relationship Id="rId42" Type="http://schemas.openxmlformats.org/officeDocument/2006/relationships/oleObject" Target="embeddings/oleObject3.bin"/><Relationship Id="rId41" Type="http://schemas.openxmlformats.org/officeDocument/2006/relationships/image" Target="media/image30.png"/><Relationship Id="rId40" Type="http://schemas.openxmlformats.org/officeDocument/2006/relationships/image" Target="media/image29.wmf"/><Relationship Id="rId4" Type="http://schemas.openxmlformats.org/officeDocument/2006/relationships/theme" Target="theme/theme1.xml"/><Relationship Id="rId39" Type="http://schemas.openxmlformats.org/officeDocument/2006/relationships/oleObject" Target="embeddings/oleObject2.bin"/><Relationship Id="rId38" Type="http://schemas.openxmlformats.org/officeDocument/2006/relationships/image" Target="media/image28.wmf"/><Relationship Id="rId37" Type="http://schemas.openxmlformats.org/officeDocument/2006/relationships/oleObject" Target="embeddings/oleObject1.bin"/><Relationship Id="rId36" Type="http://schemas.openxmlformats.org/officeDocument/2006/relationships/image" Target="media/image27.png"/><Relationship Id="rId35" Type="http://schemas.openxmlformats.org/officeDocument/2006/relationships/image" Target="media/image26.emf"/><Relationship Id="rId34" Type="http://schemas.openxmlformats.org/officeDocument/2006/relationships/image" Target="media/image25.emf"/><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package" Target="embeddings/Microsoft_Visio___5.vsdx"/><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emf"/><Relationship Id="rId15" Type="http://schemas.openxmlformats.org/officeDocument/2006/relationships/package" Target="embeddings/Microsoft_Visio___4.vsdx"/><Relationship Id="rId14" Type="http://schemas.openxmlformats.org/officeDocument/2006/relationships/image" Target="media/image7.emf"/><Relationship Id="rId13" Type="http://schemas.openxmlformats.org/officeDocument/2006/relationships/package" Target="embeddings/Microsoft_Visio___3.vsdx"/><Relationship Id="rId12" Type="http://schemas.openxmlformats.org/officeDocument/2006/relationships/image" Target="media/image6.emf"/><Relationship Id="rId11" Type="http://schemas.openxmlformats.org/officeDocument/2006/relationships/package" Target="embeddings/Microsoft_Visio___2.vsdx"/><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4A4132-93A2-42F5-B2C4-CA1C6732E35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84</Pages>
  <Words>52109</Words>
  <Characters>59825</Characters>
  <Lines>466</Lines>
  <Paragraphs>131</Paragraphs>
  <TotalTime>4532</TotalTime>
  <ScaleCrop>false</ScaleCrop>
  <LinksUpToDate>false</LinksUpToDate>
  <CharactersWithSpaces>60098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2015-06-30T08:58:00Z</dcterms:created>
  <dc:creator>Yc.</dc:creator>
  <cp:lastModifiedBy>Lenovo</cp:lastModifiedBy>
  <cp:lastPrinted>2024-07-23T15:47:00Z</cp:lastPrinted>
  <dcterms:modified xsi:type="dcterms:W3CDTF">2024-08-01T07:10:52Z</dcterms:modified>
  <dc:title>建设项目环境影响报告表</dc:title>
  <cp:revision>396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1F42194F328C4FFEA7DDC873D3ED83D3</vt:lpwstr>
  </property>
</Properties>
</file>