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77425"/>
      <w:bookmarkStart w:id="3" w:name="_Toc15377193"/>
      <w:bookmarkStart w:id="4" w:name="_Toc15378441"/>
      <w:bookmarkStart w:id="5" w:name="_Toc15396597"/>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78442"/>
      <w:bookmarkStart w:id="8" w:name="_Toc15377426"/>
      <w:bookmarkStart w:id="9" w:name="_Toc15396476"/>
      <w:bookmarkStart w:id="10" w:name="_Toc15396598"/>
      <w:r>
        <w:rPr>
          <w:rFonts w:hint="eastAsia" w:ascii="方正小标宋简体" w:hAnsi="方正小标宋简体" w:eastAsia="方正小标宋简体" w:cs="方正小标宋简体"/>
          <w:sz w:val="72"/>
          <w:szCs w:val="72"/>
        </w:rPr>
        <w:t>大竹县</w:t>
      </w:r>
      <w:bookmarkEnd w:id="0"/>
      <w:bookmarkStart w:id="11" w:name="_Toc15306268"/>
      <w:r>
        <w:rPr>
          <w:rFonts w:hint="eastAsia" w:ascii="方正小标宋简体" w:hAnsi="方正小标宋简体" w:eastAsia="方正小标宋简体" w:cs="方正小标宋简体"/>
          <w:sz w:val="72"/>
          <w:szCs w:val="72"/>
        </w:rPr>
        <w:t>石桥铺镇新生小学单位决算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公开时间：2024年10月18日</w:t>
      </w:r>
    </w:p>
    <w:p/>
    <w:p>
      <w:pPr>
        <w:pStyle w:val="10"/>
        <w:adjustRightInd w:val="0"/>
        <w:snapToGrid w:val="0"/>
        <w:spacing w:before="0" w:line="440" w:lineRule="exact"/>
        <w:jc w:val="both"/>
        <w:rPr>
          <w:rFonts w:cstheme="minorBidi"/>
          <w:sz w:val="24"/>
          <w:szCs w:val="24"/>
        </w:rPr>
      </w:pPr>
      <w:r>
        <w:rPr>
          <w:rFonts w:hint="eastAsia"/>
          <w:sz w:val="24"/>
        </w:rPr>
        <w:t>第一部分单位概况</w:t>
      </w:r>
      <w:r>
        <w:rPr>
          <w:rFonts w:hint="eastAsia"/>
          <w:sz w:val="21"/>
          <w:szCs w:val="21"/>
        </w:rPr>
        <w:t xml:space="preserve">                                                           </w:t>
      </w:r>
      <w:r>
        <w:rPr>
          <w:rFonts w:hint="eastAsia"/>
          <w:sz w:val="24"/>
        </w:rPr>
        <w:t>4</w:t>
      </w:r>
    </w:p>
    <w:p>
      <w:pPr>
        <w:pStyle w:val="11"/>
        <w:adjustRightInd w:val="0"/>
        <w:snapToGrid w:val="0"/>
        <w:spacing w:line="440" w:lineRule="exact"/>
        <w:rPr>
          <w:sz w:val="24"/>
        </w:rPr>
      </w:pPr>
      <w:r>
        <w:rPr>
          <w:rFonts w:hint="eastAsia"/>
          <w:sz w:val="24"/>
        </w:rPr>
        <w:t>一、主要职责                                                    4</w:t>
      </w:r>
    </w:p>
    <w:p>
      <w:pPr>
        <w:pStyle w:val="11"/>
        <w:adjustRightInd w:val="0"/>
        <w:snapToGrid w:val="0"/>
        <w:spacing w:line="440" w:lineRule="exact"/>
      </w:pPr>
      <w:r>
        <w:rPr>
          <w:rFonts w:hint="eastAsia"/>
          <w:sz w:val="24"/>
        </w:rPr>
        <w:t>二、机构设置                                                    4</w:t>
      </w:r>
    </w:p>
    <w:p>
      <w:pPr>
        <w:pStyle w:val="10"/>
        <w:adjustRightInd w:val="0"/>
        <w:snapToGrid w:val="0"/>
        <w:spacing w:before="0" w:line="440" w:lineRule="exact"/>
        <w:jc w:val="both"/>
        <w:rPr>
          <w:sz w:val="24"/>
          <w:szCs w:val="24"/>
        </w:rPr>
      </w:pPr>
      <w:r>
        <w:rPr>
          <w:rFonts w:hint="eastAsia"/>
          <w:sz w:val="24"/>
        </w:rPr>
        <w:t>第二部分 2023年度单位决算情况说明                                  5</w:t>
      </w:r>
    </w:p>
    <w:p>
      <w:pPr>
        <w:pStyle w:val="11"/>
        <w:adjustRightInd w:val="0"/>
        <w:snapToGrid w:val="0"/>
        <w:spacing w:line="440" w:lineRule="exact"/>
        <w:rPr>
          <w:rFonts w:ascii="仿宋" w:hAnsi="仿宋" w:cstheme="minorBidi"/>
          <w:sz w:val="24"/>
        </w:rPr>
      </w:pPr>
      <w:r>
        <w:rPr>
          <w:rFonts w:hint="eastAsia"/>
          <w:sz w:val="24"/>
        </w:rPr>
        <w:t>一、收入支出决算总体情况说明                                    5</w:t>
      </w:r>
    </w:p>
    <w:p>
      <w:pPr>
        <w:pStyle w:val="11"/>
        <w:adjustRightInd w:val="0"/>
        <w:snapToGrid w:val="0"/>
        <w:spacing w:line="440" w:lineRule="exact"/>
        <w:rPr>
          <w:rFonts w:ascii="仿宋" w:hAnsi="仿宋" w:cstheme="minorBidi"/>
          <w:sz w:val="24"/>
        </w:rPr>
      </w:pPr>
      <w:r>
        <w:rPr>
          <w:rFonts w:hint="eastAsia"/>
          <w:sz w:val="24"/>
        </w:rPr>
        <w:t>二、收入决算情况说明                                            5</w:t>
      </w:r>
    </w:p>
    <w:p>
      <w:pPr>
        <w:pStyle w:val="11"/>
        <w:adjustRightInd w:val="0"/>
        <w:snapToGrid w:val="0"/>
        <w:spacing w:line="440" w:lineRule="exact"/>
        <w:rPr>
          <w:rFonts w:ascii="仿宋" w:hAnsi="仿宋" w:cstheme="minorBidi"/>
          <w:sz w:val="24"/>
        </w:rPr>
      </w:pPr>
      <w:r>
        <w:rPr>
          <w:rFonts w:hint="eastAsia"/>
          <w:sz w:val="24"/>
        </w:rPr>
        <w:t>三、支出决算情况说明                                            6</w:t>
      </w:r>
    </w:p>
    <w:p>
      <w:pPr>
        <w:pStyle w:val="11"/>
        <w:adjustRightInd w:val="0"/>
        <w:snapToGrid w:val="0"/>
        <w:spacing w:line="440" w:lineRule="exact"/>
        <w:rPr>
          <w:rFonts w:ascii="仿宋" w:hAnsi="仿宋" w:cstheme="minorBidi"/>
          <w:sz w:val="24"/>
        </w:rPr>
      </w:pPr>
      <w:r>
        <w:rPr>
          <w:rFonts w:hint="eastAsia"/>
          <w:sz w:val="24"/>
        </w:rPr>
        <w:t>四、财政拨款收入支出决算总体情况说明                            7</w:t>
      </w:r>
    </w:p>
    <w:p>
      <w:pPr>
        <w:pStyle w:val="11"/>
        <w:adjustRightInd w:val="0"/>
        <w:snapToGrid w:val="0"/>
        <w:spacing w:line="440" w:lineRule="exact"/>
        <w:rPr>
          <w:rFonts w:ascii="仿宋" w:hAnsi="仿宋" w:cstheme="minorBidi"/>
          <w:sz w:val="24"/>
        </w:rPr>
      </w:pPr>
      <w:r>
        <w:rPr>
          <w:rFonts w:hint="eastAsia"/>
          <w:sz w:val="24"/>
        </w:rPr>
        <w:t>五、一般公共预算财政拨款支出决算情况说明                        7</w:t>
      </w:r>
    </w:p>
    <w:p>
      <w:pPr>
        <w:pStyle w:val="11"/>
        <w:adjustRightInd w:val="0"/>
        <w:snapToGrid w:val="0"/>
        <w:spacing w:line="440" w:lineRule="exact"/>
        <w:rPr>
          <w:rFonts w:ascii="仿宋" w:hAnsi="仿宋" w:cstheme="minorBidi"/>
          <w:sz w:val="24"/>
        </w:rPr>
      </w:pPr>
      <w:r>
        <w:rPr>
          <w:rFonts w:hint="eastAsia"/>
          <w:sz w:val="24"/>
        </w:rPr>
        <w:t>六、一般公共预算财政拨款基本支出决算情况说明                    10</w:t>
      </w:r>
    </w:p>
    <w:p>
      <w:pPr>
        <w:pStyle w:val="11"/>
        <w:adjustRightInd w:val="0"/>
        <w:snapToGrid w:val="0"/>
        <w:spacing w:line="440" w:lineRule="exact"/>
        <w:rPr>
          <w:rFonts w:ascii="仿宋" w:hAnsi="仿宋" w:cstheme="minorBidi"/>
          <w:sz w:val="24"/>
        </w:rPr>
      </w:pPr>
      <w:r>
        <w:rPr>
          <w:rFonts w:hint="eastAsia"/>
          <w:sz w:val="24"/>
        </w:rPr>
        <w:t>七、财政拨款“三公”经费支出决算情况说明</w:t>
      </w:r>
      <w:r>
        <w:rPr>
          <w:rFonts w:hint="eastAsia"/>
          <w:szCs w:val="21"/>
        </w:rPr>
        <w:t xml:space="preserve">                           </w:t>
      </w:r>
      <w:r>
        <w:rPr>
          <w:rFonts w:hint="eastAsia"/>
          <w:sz w:val="24"/>
        </w:rPr>
        <w:t>11</w:t>
      </w:r>
    </w:p>
    <w:p>
      <w:pPr>
        <w:pStyle w:val="11"/>
        <w:adjustRightInd w:val="0"/>
        <w:snapToGrid w:val="0"/>
        <w:spacing w:line="440" w:lineRule="exact"/>
        <w:rPr>
          <w:rFonts w:ascii="仿宋" w:hAnsi="仿宋" w:cstheme="minorBidi"/>
          <w:sz w:val="24"/>
        </w:rPr>
      </w:pPr>
      <w:r>
        <w:rPr>
          <w:rFonts w:hint="eastAsia"/>
          <w:sz w:val="24"/>
        </w:rPr>
        <w:t>八、政府性基金预算支出决算情况说明                              11</w:t>
      </w:r>
    </w:p>
    <w:p>
      <w:pPr>
        <w:pStyle w:val="11"/>
        <w:adjustRightInd w:val="0"/>
        <w:snapToGrid w:val="0"/>
        <w:spacing w:line="440" w:lineRule="exact"/>
        <w:rPr>
          <w:sz w:val="24"/>
        </w:rPr>
      </w:pPr>
      <w:r>
        <w:rPr>
          <w:rFonts w:hint="eastAsia"/>
          <w:sz w:val="24"/>
        </w:rPr>
        <w:t>九、国有资本经营预算支出决算情况说明                            12</w:t>
      </w:r>
    </w:p>
    <w:p>
      <w:pPr>
        <w:pStyle w:val="11"/>
        <w:adjustRightInd w:val="0"/>
        <w:snapToGrid w:val="0"/>
        <w:spacing w:line="440" w:lineRule="exact"/>
        <w:rPr>
          <w:sz w:val="24"/>
        </w:rPr>
      </w:pPr>
      <w:r>
        <w:rPr>
          <w:rFonts w:hint="eastAsia"/>
          <w:sz w:val="24"/>
        </w:rPr>
        <w:t>十、其他重要事项的情况说明                                      12</w:t>
      </w:r>
    </w:p>
    <w:p>
      <w:pPr>
        <w:pStyle w:val="10"/>
        <w:adjustRightInd w:val="0"/>
        <w:snapToGrid w:val="0"/>
        <w:spacing w:before="0" w:line="440" w:lineRule="exact"/>
        <w:jc w:val="both"/>
      </w:pPr>
      <w:r>
        <w:rPr>
          <w:rFonts w:hint="eastAsia"/>
          <w:sz w:val="24"/>
        </w:rPr>
        <w:t>第三部分 名词解释</w:t>
      </w:r>
      <w:r>
        <w:rPr>
          <w:rFonts w:hint="eastAsia"/>
          <w:sz w:val="21"/>
          <w:szCs w:val="21"/>
        </w:rPr>
        <w:t xml:space="preserve">                                                         </w:t>
      </w:r>
      <w:r>
        <w:rPr>
          <w:rFonts w:hint="eastAsia"/>
          <w:sz w:val="24"/>
        </w:rPr>
        <w:t>14</w:t>
      </w:r>
    </w:p>
    <w:p>
      <w:pPr>
        <w:pStyle w:val="10"/>
        <w:adjustRightInd w:val="0"/>
        <w:snapToGrid w:val="0"/>
        <w:spacing w:before="0" w:line="440" w:lineRule="exact"/>
        <w:jc w:val="both"/>
        <w:rPr>
          <w:rFonts w:cstheme="minorBidi"/>
          <w:sz w:val="24"/>
          <w:szCs w:val="24"/>
        </w:rPr>
      </w:pPr>
      <w:r>
        <w:rPr>
          <w:rFonts w:hint="eastAsia"/>
          <w:sz w:val="24"/>
        </w:rPr>
        <w:t>第四部分</w:t>
      </w:r>
      <w:r>
        <w:rPr>
          <w:sz w:val="24"/>
        </w:rPr>
        <w:t xml:space="preserve"> </w:t>
      </w:r>
      <w:r>
        <w:rPr>
          <w:rFonts w:hint="eastAsia"/>
          <w:sz w:val="24"/>
        </w:rPr>
        <w:t>附件                                                      16</w:t>
      </w:r>
    </w:p>
    <w:p>
      <w:pPr>
        <w:pStyle w:val="10"/>
        <w:adjustRightInd w:val="0"/>
        <w:snapToGrid w:val="0"/>
        <w:spacing w:before="0" w:line="440" w:lineRule="exact"/>
        <w:jc w:val="both"/>
        <w:rPr>
          <w:rFonts w:cstheme="minorBidi"/>
          <w:sz w:val="24"/>
          <w:szCs w:val="24"/>
        </w:rPr>
      </w:pPr>
      <w:r>
        <w:rPr>
          <w:rFonts w:hint="eastAsia"/>
          <w:sz w:val="24"/>
        </w:rPr>
        <w:t>第五部分</w:t>
      </w:r>
      <w:r>
        <w:rPr>
          <w:sz w:val="24"/>
        </w:rPr>
        <w:t xml:space="preserve"> </w:t>
      </w:r>
      <w:r>
        <w:rPr>
          <w:rFonts w:hint="eastAsia"/>
          <w:sz w:val="24"/>
        </w:rPr>
        <w:t>附表                                                      43</w:t>
      </w:r>
    </w:p>
    <w:p>
      <w:pPr>
        <w:pStyle w:val="11"/>
        <w:adjustRightInd w:val="0"/>
        <w:snapToGrid w:val="0"/>
        <w:spacing w:line="440" w:lineRule="exact"/>
        <w:rPr>
          <w:sz w:val="24"/>
        </w:rPr>
      </w:pPr>
      <w:r>
        <w:rPr>
          <w:rFonts w:hint="eastAsia"/>
          <w:sz w:val="24"/>
        </w:rPr>
        <w:t>一、收入支出决算总表                                            43</w:t>
      </w:r>
    </w:p>
    <w:p>
      <w:pPr>
        <w:pStyle w:val="11"/>
        <w:adjustRightInd w:val="0"/>
        <w:snapToGrid w:val="0"/>
        <w:spacing w:line="440" w:lineRule="exact"/>
        <w:rPr>
          <w:sz w:val="24"/>
        </w:rPr>
      </w:pPr>
      <w:r>
        <w:rPr>
          <w:rFonts w:hint="eastAsia"/>
          <w:sz w:val="24"/>
        </w:rPr>
        <w:t>二、收入决算表                                                  43</w:t>
      </w:r>
    </w:p>
    <w:p>
      <w:pPr>
        <w:pStyle w:val="11"/>
        <w:adjustRightInd w:val="0"/>
        <w:snapToGrid w:val="0"/>
        <w:spacing w:line="440" w:lineRule="exact"/>
        <w:rPr>
          <w:sz w:val="24"/>
        </w:rPr>
      </w:pPr>
      <w:r>
        <w:rPr>
          <w:rFonts w:hint="eastAsia"/>
          <w:sz w:val="24"/>
        </w:rPr>
        <w:t>三、支出决算表                                                  43</w:t>
      </w:r>
    </w:p>
    <w:p>
      <w:pPr>
        <w:pStyle w:val="11"/>
        <w:adjustRightInd w:val="0"/>
        <w:snapToGrid w:val="0"/>
        <w:spacing w:line="440" w:lineRule="exact"/>
        <w:rPr>
          <w:sz w:val="24"/>
        </w:rPr>
      </w:pPr>
      <w:r>
        <w:rPr>
          <w:rFonts w:hint="eastAsia"/>
          <w:sz w:val="24"/>
        </w:rPr>
        <w:t>四、财政拨款收入支出决算总表                                    43</w:t>
      </w:r>
    </w:p>
    <w:p>
      <w:pPr>
        <w:pStyle w:val="11"/>
        <w:adjustRightInd w:val="0"/>
        <w:snapToGrid w:val="0"/>
        <w:spacing w:line="440" w:lineRule="exact"/>
        <w:rPr>
          <w:sz w:val="24"/>
        </w:rPr>
      </w:pPr>
      <w:r>
        <w:rPr>
          <w:rFonts w:hint="eastAsia"/>
          <w:sz w:val="24"/>
        </w:rPr>
        <w:t>五、财政拨款支出决算明细表                                      43</w:t>
      </w:r>
    </w:p>
    <w:p>
      <w:pPr>
        <w:pStyle w:val="11"/>
        <w:adjustRightInd w:val="0"/>
        <w:snapToGrid w:val="0"/>
        <w:spacing w:line="440" w:lineRule="exact"/>
        <w:rPr>
          <w:sz w:val="24"/>
        </w:rPr>
      </w:pPr>
      <w:r>
        <w:rPr>
          <w:rFonts w:hint="eastAsia"/>
          <w:sz w:val="24"/>
        </w:rPr>
        <w:t>六、一般公共预算财政拨款支出决算表                              43</w:t>
      </w:r>
    </w:p>
    <w:p>
      <w:pPr>
        <w:pStyle w:val="11"/>
        <w:adjustRightInd w:val="0"/>
        <w:snapToGrid w:val="0"/>
        <w:spacing w:line="440" w:lineRule="exact"/>
        <w:rPr>
          <w:sz w:val="24"/>
        </w:rPr>
      </w:pPr>
      <w:r>
        <w:rPr>
          <w:rFonts w:hint="eastAsia"/>
          <w:sz w:val="24"/>
        </w:rPr>
        <w:t>七、一般公共预算财政拨款支出决算明细表                          43</w:t>
      </w:r>
    </w:p>
    <w:p>
      <w:pPr>
        <w:pStyle w:val="11"/>
        <w:adjustRightInd w:val="0"/>
        <w:snapToGrid w:val="0"/>
        <w:spacing w:line="440" w:lineRule="exact"/>
        <w:rPr>
          <w:sz w:val="24"/>
        </w:rPr>
      </w:pPr>
      <w:r>
        <w:rPr>
          <w:rFonts w:hint="eastAsia"/>
          <w:sz w:val="24"/>
        </w:rPr>
        <w:t>八、一般公共预算财政拨款基本支出决算明细表                      43</w:t>
      </w:r>
    </w:p>
    <w:p>
      <w:pPr>
        <w:pStyle w:val="11"/>
        <w:adjustRightInd w:val="0"/>
        <w:snapToGrid w:val="0"/>
        <w:spacing w:line="440" w:lineRule="exact"/>
        <w:rPr>
          <w:sz w:val="24"/>
        </w:rPr>
      </w:pPr>
      <w:r>
        <w:rPr>
          <w:rFonts w:hint="eastAsia"/>
          <w:sz w:val="24"/>
        </w:rPr>
        <w:t>九、一般公共预算财政拨款项目支出决算表                          43</w:t>
      </w:r>
    </w:p>
    <w:p>
      <w:pPr>
        <w:pStyle w:val="11"/>
        <w:adjustRightInd w:val="0"/>
        <w:snapToGrid w:val="0"/>
        <w:spacing w:line="440" w:lineRule="exact"/>
        <w:jc w:val="left"/>
        <w:rPr>
          <w:sz w:val="24"/>
        </w:rPr>
      </w:pPr>
      <w:r>
        <w:rPr>
          <w:rFonts w:hint="eastAsia"/>
          <w:sz w:val="24"/>
        </w:rPr>
        <w:t>十、政府性基金预算财政拨款收入支出决算表                       43</w:t>
      </w:r>
    </w:p>
    <w:p>
      <w:pPr>
        <w:pStyle w:val="11"/>
        <w:adjustRightInd w:val="0"/>
        <w:snapToGrid w:val="0"/>
        <w:spacing w:line="440" w:lineRule="exact"/>
        <w:jc w:val="left"/>
        <w:rPr>
          <w:sz w:val="24"/>
        </w:rPr>
      </w:pPr>
      <w:r>
        <w:rPr>
          <w:rFonts w:hint="eastAsia"/>
          <w:sz w:val="24"/>
        </w:rPr>
        <w:t>十一、国有资本经营预算财政拨款收入支出决算表                   43</w:t>
      </w:r>
    </w:p>
    <w:p>
      <w:pPr>
        <w:pStyle w:val="11"/>
        <w:adjustRightInd w:val="0"/>
        <w:snapToGrid w:val="0"/>
        <w:spacing w:line="440" w:lineRule="exact"/>
        <w:jc w:val="left"/>
        <w:rPr>
          <w:sz w:val="24"/>
        </w:rPr>
      </w:pPr>
      <w:r>
        <w:rPr>
          <w:rFonts w:hint="eastAsia"/>
          <w:sz w:val="24"/>
        </w:rPr>
        <w:t>十二、国有资本经营预算财政拨款支出决算表                       43</w:t>
      </w:r>
    </w:p>
    <w:p>
      <w:pPr>
        <w:pStyle w:val="11"/>
        <w:adjustRightInd w:val="0"/>
        <w:snapToGrid w:val="0"/>
        <w:spacing w:line="440" w:lineRule="exact"/>
        <w:jc w:val="left"/>
        <w:rPr>
          <w:rFonts w:ascii="仿宋" w:hAnsi="仿宋" w:eastAsia="仿宋"/>
          <w:sz w:val="24"/>
        </w:rPr>
      </w:pPr>
      <w:r>
        <w:rPr>
          <w:rFonts w:hint="eastAsia"/>
          <w:sz w:val="24"/>
        </w:rPr>
        <w:t>十三、财政拨款“三公”经费支出决算表                           43</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4"/>
          <w:rFonts w:ascii="黑体" w:hAnsi="黑体" w:eastAsia="黑体"/>
          <w:b/>
          <w:bCs w:val="0"/>
        </w:rPr>
      </w:pPr>
      <w:r>
        <w:rPr>
          <w:rFonts w:hint="eastAsia" w:ascii="黑体" w:hAnsi="黑体" w:eastAsia="黑体"/>
          <w:b w:val="0"/>
        </w:rPr>
        <w:t>第一部分 单位</w:t>
      </w:r>
      <w:r>
        <w:rPr>
          <w:rStyle w:val="24"/>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1"/>
        </w:numPr>
        <w:rPr>
          <w:rStyle w:val="25"/>
          <w:rFonts w:ascii="黑体" w:hAnsi="黑体" w:eastAsia="黑体"/>
          <w:b w:val="0"/>
          <w:bCs w:val="0"/>
        </w:rPr>
      </w:pPr>
      <w:bookmarkStart w:id="14" w:name="_Toc15396600"/>
      <w:bookmarkStart w:id="15" w:name="_Toc15377197"/>
      <w:r>
        <w:rPr>
          <w:rStyle w:val="25"/>
          <w:rFonts w:hint="eastAsia" w:ascii="黑体" w:hAnsi="黑体" w:eastAsia="黑体"/>
          <w:b w:val="0"/>
          <w:bCs w:val="0"/>
        </w:rPr>
        <w:t>主要职责</w:t>
      </w:r>
    </w:p>
    <w:p>
      <w:pPr>
        <w:pStyle w:val="2"/>
        <w:adjustRightInd w:val="0"/>
        <w:snapToGrid w:val="0"/>
        <w:spacing w:before="93" w:line="560" w:lineRule="exact"/>
        <w:ind w:firstLine="640" w:firstLineChars="200"/>
        <w:rPr>
          <w:rFonts w:ascii="仿宋" w:hAnsi="仿宋" w:eastAsia="仿宋"/>
          <w:kern w:val="2"/>
          <w:sz w:val="32"/>
          <w:szCs w:val="32"/>
        </w:rPr>
      </w:pPr>
      <w:r>
        <w:rPr>
          <w:rFonts w:hint="eastAsia" w:ascii="仿宋" w:hAnsi="仿宋" w:eastAsia="仿宋"/>
          <w:kern w:val="2"/>
          <w:sz w:val="32"/>
          <w:szCs w:val="32"/>
        </w:rPr>
        <w:t>继续大力宣传贯彻执行党和国家的教育方针、教育政策、教育法律和教育法规，贯彻执行上级教育行政部门的行政规章。根据县委、县政府制定的教育事业发展规划，结合我校实际制定并组织实施本校的教育事业发展规划。在县委、县政府的领导下实施九年义务教育，扫除新文盲，巩固提高教育成果。按照上级有关部门的规定，负责对学校教育的财务和基建进行管理。按照九年义务教育计划要求开齐课程开足课时，认真实施小学的教育教学管理，全面推进素质教育，全面提高教育教学质量。</w:t>
      </w:r>
    </w:p>
    <w:p>
      <w:pPr>
        <w:pStyle w:val="4"/>
        <w:rPr>
          <w:rFonts w:ascii="黑体" w:hAnsi="黑体" w:eastAsia="黑体"/>
          <w:b w:val="0"/>
        </w:rPr>
      </w:pPr>
      <w:r>
        <w:rPr>
          <w:rFonts w:hint="eastAsia" w:ascii="黑体" w:hAnsi="黑体" w:eastAsia="黑体"/>
          <w:b w:val="0"/>
        </w:rPr>
        <w:t>二、机构设置</w:t>
      </w:r>
    </w:p>
    <w:bookmarkEnd w:id="14"/>
    <w:bookmarkEnd w:id="15"/>
    <w:p>
      <w:pPr>
        <w:pStyle w:val="2"/>
        <w:adjustRightInd w:val="0"/>
        <w:snapToGrid w:val="0"/>
        <w:spacing w:before="93" w:line="560" w:lineRule="exact"/>
        <w:ind w:firstLine="640" w:firstLineChars="200"/>
        <w:rPr>
          <w:rFonts w:ascii="仿宋" w:hAnsi="仿宋" w:eastAsia="仿宋"/>
          <w:kern w:val="2"/>
          <w:sz w:val="32"/>
          <w:szCs w:val="32"/>
        </w:rPr>
      </w:pPr>
      <w:r>
        <w:rPr>
          <w:rFonts w:hint="eastAsia" w:ascii="仿宋" w:hAnsi="仿宋" w:eastAsia="仿宋"/>
          <w:kern w:val="2"/>
          <w:sz w:val="32"/>
          <w:szCs w:val="32"/>
        </w:rPr>
        <w:t>大竹县石桥铺镇新生小学下属二级预算单位0个，其中行政单位0个，参照公务员法管理的事业单位0个，其他事业单位0个。</w:t>
      </w:r>
    </w:p>
    <w:p>
      <w:pPr>
        <w:pStyle w:val="2"/>
        <w:adjustRightInd w:val="0"/>
        <w:snapToGrid w:val="0"/>
        <w:spacing w:before="93" w:line="560" w:lineRule="exact"/>
        <w:ind w:firstLine="640" w:firstLineChars="200"/>
        <w:rPr>
          <w:rFonts w:ascii="仿宋" w:hAnsi="仿宋" w:eastAsia="仿宋"/>
          <w:kern w:val="2"/>
          <w:sz w:val="32"/>
          <w:szCs w:val="32"/>
        </w:rPr>
      </w:pPr>
      <w:r>
        <w:rPr>
          <w:rFonts w:hint="eastAsia" w:ascii="仿宋" w:hAnsi="仿宋" w:eastAsia="仿宋"/>
          <w:kern w:val="2"/>
          <w:sz w:val="32"/>
          <w:szCs w:val="32"/>
        </w:rPr>
        <w:t>纳入大竹县石桥铺镇新生小学2023年度部门决算编制范围的二级预算单位：无。</w:t>
      </w:r>
    </w:p>
    <w:p>
      <w:pPr>
        <w:pStyle w:val="2"/>
        <w:adjustRightInd w:val="0"/>
        <w:snapToGrid w:val="0"/>
        <w:spacing w:before="93" w:line="560" w:lineRule="exact"/>
        <w:ind w:firstLine="640" w:firstLineChars="200"/>
        <w:rPr>
          <w:rFonts w:ascii="仿宋" w:hAnsi="仿宋" w:eastAsia="仿宋"/>
          <w:kern w:val="2"/>
          <w:sz w:val="32"/>
          <w:szCs w:val="32"/>
        </w:rPr>
      </w:pPr>
      <w:r>
        <w:rPr>
          <w:rFonts w:hint="eastAsia" w:ascii="仿宋" w:hAnsi="仿宋" w:eastAsia="仿宋"/>
          <w:kern w:val="2"/>
          <w:sz w:val="32"/>
          <w:szCs w:val="32"/>
        </w:rPr>
        <w:br w:type="page"/>
      </w:r>
    </w:p>
    <w:p>
      <w:pPr>
        <w:pStyle w:val="3"/>
        <w:ind w:right="440"/>
        <w:jc w:val="center"/>
      </w:pPr>
      <w:bookmarkStart w:id="16" w:name="_Toc15377204"/>
      <w:bookmarkStart w:id="17" w:name="_Toc15396602"/>
      <w:r>
        <w:rPr>
          <w:rFonts w:hint="eastAsia" w:ascii="黑体" w:hAnsi="黑体" w:eastAsia="黑体"/>
          <w:b w:val="0"/>
        </w:rPr>
        <w:t>第二部分 2023年度</w:t>
      </w:r>
      <w:r>
        <w:rPr>
          <w:rStyle w:val="24"/>
          <w:rFonts w:hint="eastAsia" w:ascii="黑体" w:hAnsi="黑体" w:eastAsia="黑体"/>
          <w:b w:val="0"/>
          <w:bCs/>
        </w:rPr>
        <w:t>单位决算情况说明</w:t>
      </w:r>
      <w:bookmarkEnd w:id="16"/>
      <w:bookmarkEnd w:id="17"/>
    </w:p>
    <w:p>
      <w:pPr>
        <w:pStyle w:val="23"/>
        <w:numPr>
          <w:ilvl w:val="0"/>
          <w:numId w:val="2"/>
        </w:numPr>
        <w:spacing w:line="600" w:lineRule="exact"/>
        <w:ind w:firstLineChars="0"/>
        <w:outlineLvl w:val="1"/>
        <w:rPr>
          <w:rStyle w:val="25"/>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5"/>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2023年度收、支总计670.67万元。与2022年相比，收、支总计各增加121.06万元，增长22</w:t>
      </w:r>
      <w:r>
        <w:rPr>
          <w:rFonts w:ascii="仿宋" w:hAnsi="仿宋" w:eastAsia="仿宋"/>
          <w:sz w:val="32"/>
          <w:szCs w:val="32"/>
        </w:rPr>
        <w:t>%</w:t>
      </w:r>
      <w:r>
        <w:rPr>
          <w:rFonts w:hint="eastAsia" w:ascii="仿宋" w:hAnsi="仿宋" w:eastAsia="仿宋"/>
          <w:sz w:val="32"/>
          <w:szCs w:val="32"/>
        </w:rPr>
        <w:t>。主要变动原因是：工资福利，五险一金等人员经费相应增加。</w:t>
      </w:r>
    </w:p>
    <w:p>
      <w:pPr>
        <w:pStyle w:val="2"/>
        <w:spacing w:before="93"/>
        <w:rPr>
          <w:rFonts w:ascii="仿宋" w:hAnsi="仿宋" w:eastAsia="仿宋"/>
          <w:sz w:val="32"/>
          <w:szCs w:val="32"/>
        </w:rPr>
      </w:pPr>
      <w:r>
        <w:rPr>
          <w:rFonts w:hint="eastAsia"/>
        </w:rPr>
        <w:t xml:space="preserve">   </w:t>
      </w:r>
      <w:r>
        <w:drawing>
          <wp:inline distT="0" distB="0" distL="114300" distR="114300">
            <wp:extent cx="4572000" cy="2828925"/>
            <wp:effectExtent l="4445" t="4445" r="14605" b="508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960" w:firstLineChars="300"/>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3"/>
        <w:numPr>
          <w:ilvl w:val="0"/>
          <w:numId w:val="2"/>
        </w:numPr>
        <w:spacing w:line="600" w:lineRule="exact"/>
        <w:ind w:firstLineChars="0"/>
        <w:outlineLvl w:val="1"/>
        <w:rPr>
          <w:rStyle w:val="25"/>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5"/>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23年本年收入合计658.71万元，其中：一般公共预算财政拨款收入658.71万元，占100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pPr>
        <w:pStyle w:val="2"/>
        <w:spacing w:before="93"/>
        <w:rPr>
          <w:rFonts w:ascii="仿宋" w:hAnsi="仿宋" w:eastAsia="仿宋"/>
          <w:sz w:val="32"/>
          <w:szCs w:val="32"/>
        </w:rPr>
      </w:pPr>
      <w:r>
        <w:drawing>
          <wp:inline distT="0" distB="0" distL="114300" distR="114300">
            <wp:extent cx="5219065" cy="3018790"/>
            <wp:effectExtent l="4445" t="4445" r="15240" b="571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1600" w:firstLineChars="500"/>
        <w:rPr>
          <w:rFonts w:ascii="仿宋_GB2312" w:eastAsia="仿宋_GB2312"/>
          <w:sz w:val="32"/>
          <w:szCs w:val="32"/>
        </w:rPr>
      </w:pPr>
      <w:r>
        <w:rPr>
          <w:rFonts w:hint="eastAsia" w:ascii="仿宋" w:hAnsi="仿宋" w:eastAsia="仿宋"/>
          <w:sz w:val="32"/>
          <w:szCs w:val="32"/>
        </w:rPr>
        <w:t>（图2：收入决算结构图）</w:t>
      </w:r>
    </w:p>
    <w:p>
      <w:pPr>
        <w:pStyle w:val="23"/>
        <w:numPr>
          <w:ilvl w:val="0"/>
          <w:numId w:val="2"/>
        </w:numPr>
        <w:spacing w:line="600" w:lineRule="exact"/>
        <w:ind w:firstLineChars="0"/>
        <w:outlineLvl w:val="1"/>
        <w:rPr>
          <w:rStyle w:val="25"/>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5"/>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23年本年支出合计670.67万元，其中：基本支出637.36万元，占95.03</w:t>
      </w:r>
      <w:r>
        <w:rPr>
          <w:rFonts w:ascii="仿宋" w:hAnsi="仿宋" w:eastAsia="仿宋"/>
          <w:sz w:val="32"/>
          <w:szCs w:val="32"/>
        </w:rPr>
        <w:t>%</w:t>
      </w:r>
      <w:r>
        <w:rPr>
          <w:rFonts w:hint="eastAsia" w:ascii="仿宋" w:hAnsi="仿宋" w:eastAsia="仿宋"/>
          <w:sz w:val="32"/>
          <w:szCs w:val="32"/>
        </w:rPr>
        <w:t>；项目支出33.31万元，占4.97</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pStyle w:val="2"/>
        <w:spacing w:before="93"/>
        <w:rPr>
          <w:rFonts w:ascii="仿宋" w:hAnsi="仿宋" w:eastAsia="仿宋"/>
          <w:sz w:val="32"/>
          <w:szCs w:val="32"/>
        </w:rPr>
      </w:pPr>
      <w:r>
        <w:drawing>
          <wp:inline distT="0" distB="0" distL="114300" distR="114300">
            <wp:extent cx="4572000" cy="2743200"/>
            <wp:effectExtent l="4445" t="4445" r="14605" b="1460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1920" w:firstLineChars="600"/>
        <w:outlineLvl w:val="1"/>
        <w:rPr>
          <w:rFonts w:ascii="黑体" w:hAnsi="黑体" w:eastAsia="黑体"/>
          <w:sz w:val="32"/>
          <w:szCs w:val="32"/>
        </w:rPr>
      </w:pPr>
      <w:r>
        <w:rPr>
          <w:rFonts w:hint="eastAsia" w:ascii="仿宋" w:hAnsi="仿宋" w:eastAsia="仿宋"/>
          <w:sz w:val="32"/>
          <w:szCs w:val="32"/>
        </w:rPr>
        <w:t>（图3：支出决算结构图）</w:t>
      </w:r>
      <w:bookmarkStart w:id="24" w:name="_Toc15377208"/>
      <w:bookmarkStart w:id="25" w:name="_Toc15396606"/>
    </w:p>
    <w:p>
      <w:pPr>
        <w:spacing w:line="600" w:lineRule="exact"/>
        <w:ind w:firstLine="640" w:firstLineChars="200"/>
        <w:outlineLvl w:val="1"/>
        <w:rPr>
          <w:rStyle w:val="25"/>
          <w:rFonts w:ascii="黑体" w:hAnsi="黑体" w:eastAsia="黑体"/>
          <w:b w:val="0"/>
        </w:rPr>
      </w:pPr>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sz w:val="32"/>
          <w:szCs w:val="32"/>
        </w:rPr>
      </w:pPr>
      <w:r>
        <w:rPr>
          <w:rFonts w:hint="eastAsia" w:ascii="仿宋" w:hAnsi="仿宋" w:eastAsia="仿宋"/>
          <w:sz w:val="32"/>
          <w:szCs w:val="32"/>
        </w:rPr>
        <w:t>本年度财政拨款收、支总计670.67万元。与</w:t>
      </w:r>
      <w:r>
        <w:rPr>
          <w:rFonts w:ascii="仿宋" w:hAnsi="仿宋" w:eastAsia="仿宋"/>
          <w:sz w:val="32"/>
          <w:szCs w:val="32"/>
        </w:rPr>
        <w:t>20</w:t>
      </w:r>
      <w:r>
        <w:rPr>
          <w:rFonts w:hint="eastAsia" w:ascii="仿宋" w:hAnsi="仿宋" w:eastAsia="仿宋"/>
          <w:sz w:val="32"/>
          <w:szCs w:val="32"/>
        </w:rPr>
        <w:t>22年相比，财政拨款收、支总计各增加121.06万元，增长22</w:t>
      </w:r>
      <w:r>
        <w:rPr>
          <w:rFonts w:ascii="仿宋" w:hAnsi="仿宋" w:eastAsia="仿宋"/>
          <w:sz w:val="32"/>
          <w:szCs w:val="32"/>
        </w:rPr>
        <w:t>%</w:t>
      </w:r>
      <w:r>
        <w:rPr>
          <w:rFonts w:hint="eastAsia" w:ascii="仿宋" w:hAnsi="仿宋" w:eastAsia="仿宋"/>
          <w:sz w:val="32"/>
          <w:szCs w:val="32"/>
        </w:rPr>
        <w:t>。主要变动原因是：工资福利，五险一金等人员经费相应增加。</w:t>
      </w:r>
    </w:p>
    <w:p>
      <w:pPr>
        <w:spacing w:line="600" w:lineRule="exact"/>
        <w:ind w:firstLine="640"/>
        <w:rPr>
          <w:rFonts w:ascii="仿宋" w:hAnsi="仿宋" w:eastAsia="仿宋"/>
          <w:b/>
          <w:sz w:val="32"/>
          <w:szCs w:val="32"/>
        </w:rPr>
      </w:pPr>
    </w:p>
    <w:p>
      <w:pPr>
        <w:pStyle w:val="2"/>
        <w:spacing w:before="93"/>
        <w:rPr>
          <w:rFonts w:ascii="仿宋" w:hAnsi="仿宋" w:eastAsia="仿宋"/>
          <w:sz w:val="32"/>
          <w:szCs w:val="32"/>
        </w:rPr>
      </w:pPr>
      <w:r>
        <w:rPr>
          <w:rFonts w:hint="eastAsia"/>
        </w:rPr>
        <w:t xml:space="preserve">    </w:t>
      </w: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b/>
          <w:sz w:val="32"/>
          <w:szCs w:val="32"/>
        </w:rPr>
      </w:pPr>
      <w:r>
        <w:rPr>
          <w:rFonts w:hint="eastAsia" w:ascii="仿宋" w:hAnsi="仿宋" w:eastAsia="仿宋"/>
          <w:sz w:val="32"/>
          <w:szCs w:val="32"/>
        </w:rPr>
        <w:t>（图4：财政拨款收、支决算总计变动情况）</w:t>
      </w:r>
    </w:p>
    <w:p>
      <w:pPr>
        <w:spacing w:line="600" w:lineRule="exact"/>
        <w:ind w:firstLine="640" w:firstLineChars="200"/>
        <w:outlineLvl w:val="1"/>
        <w:rPr>
          <w:rStyle w:val="25"/>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napToGrid w:val="0"/>
        <w:spacing w:line="52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23年一般公共预算财政拨款支出670.67万元，占本年支出合计的100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22年相比，一般公共预算财政拨款支出增加121.06万元，增长22</w:t>
      </w:r>
      <w:r>
        <w:rPr>
          <w:rFonts w:ascii="仿宋" w:hAnsi="仿宋" w:eastAsia="仿宋"/>
          <w:sz w:val="32"/>
          <w:szCs w:val="32"/>
        </w:rPr>
        <w:t>%</w:t>
      </w:r>
      <w:r>
        <w:rPr>
          <w:rFonts w:hint="eastAsia" w:ascii="仿宋" w:hAnsi="仿宋" w:eastAsia="仿宋"/>
          <w:sz w:val="32"/>
          <w:szCs w:val="32"/>
        </w:rPr>
        <w:t>。主要变动原因是：工资福利，五险一金等人员经费相应增加。</w:t>
      </w:r>
    </w:p>
    <w:p>
      <w:pPr>
        <w:pStyle w:val="2"/>
        <w:spacing w:before="93"/>
        <w:rPr>
          <w:rFonts w:ascii="仿宋" w:hAnsi="仿宋" w:eastAsia="仿宋"/>
          <w:sz w:val="32"/>
          <w:szCs w:val="32"/>
        </w:rPr>
      </w:pPr>
    </w:p>
    <w:p>
      <w:pPr>
        <w:pStyle w:val="2"/>
        <w:spacing w:before="93"/>
        <w:rPr>
          <w:rFonts w:ascii="仿宋" w:hAnsi="仿宋" w:eastAsia="仿宋"/>
          <w:sz w:val="32"/>
          <w:szCs w:val="32"/>
        </w:rPr>
      </w:pPr>
      <w:r>
        <w:rPr>
          <w:rFonts w:hint="eastAsia"/>
        </w:rPr>
        <w:t xml:space="preserve">   </w:t>
      </w:r>
      <w:r>
        <w:drawing>
          <wp:inline distT="0" distB="0" distL="114300" distR="114300">
            <wp:extent cx="4572000" cy="2743200"/>
            <wp:effectExtent l="4445" t="4445" r="1460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23年一般公共预算财政拨款支出670.67万元，主要用于以下方面</w:t>
      </w:r>
      <w:r>
        <w:rPr>
          <w:rFonts w:ascii="仿宋" w:hAnsi="仿宋" w:eastAsia="仿宋"/>
          <w:sz w:val="32"/>
          <w:szCs w:val="32"/>
        </w:rPr>
        <w:t>:</w:t>
      </w:r>
      <w:r>
        <w:rPr>
          <w:rFonts w:hint="eastAsia" w:ascii="仿宋" w:hAnsi="仿宋" w:eastAsia="仿宋"/>
          <w:sz w:val="32"/>
          <w:szCs w:val="32"/>
        </w:rPr>
        <w:t>教育支出470.92万元，占70.22</w:t>
      </w:r>
      <w:r>
        <w:rPr>
          <w:rFonts w:ascii="仿宋" w:hAnsi="仿宋" w:eastAsia="仿宋"/>
          <w:sz w:val="32"/>
          <w:szCs w:val="32"/>
        </w:rPr>
        <w:t>%</w:t>
      </w:r>
      <w:r>
        <w:rPr>
          <w:rFonts w:hint="eastAsia" w:ascii="仿宋" w:hAnsi="仿宋" w:eastAsia="仿宋"/>
          <w:sz w:val="32"/>
          <w:szCs w:val="32"/>
        </w:rPr>
        <w:t>；社会保障和就业支出131.86万元，占19.66</w:t>
      </w:r>
      <w:r>
        <w:rPr>
          <w:rFonts w:ascii="仿宋" w:hAnsi="仿宋" w:eastAsia="仿宋"/>
          <w:sz w:val="32"/>
          <w:szCs w:val="32"/>
        </w:rPr>
        <w:t>%</w:t>
      </w:r>
      <w:r>
        <w:rPr>
          <w:rFonts w:hint="eastAsia" w:ascii="仿宋" w:hAnsi="仿宋" w:eastAsia="仿宋"/>
          <w:sz w:val="32"/>
          <w:szCs w:val="32"/>
        </w:rPr>
        <w:t>；卫生健康支出26.37万元，占3.93</w:t>
      </w:r>
      <w:r>
        <w:rPr>
          <w:rFonts w:ascii="仿宋" w:hAnsi="仿宋" w:eastAsia="仿宋"/>
          <w:sz w:val="32"/>
          <w:szCs w:val="32"/>
        </w:rPr>
        <w:t>%</w:t>
      </w:r>
      <w:r>
        <w:rPr>
          <w:rFonts w:hint="eastAsia" w:ascii="仿宋" w:hAnsi="仿宋" w:eastAsia="仿宋"/>
          <w:sz w:val="32"/>
          <w:szCs w:val="32"/>
        </w:rPr>
        <w:t>；住房保障支出41.52万元，占6.19</w:t>
      </w:r>
      <w:r>
        <w:rPr>
          <w:rFonts w:ascii="仿宋" w:hAnsi="仿宋" w:eastAsia="仿宋"/>
          <w:sz w:val="32"/>
          <w:szCs w:val="32"/>
        </w:rPr>
        <w:t>%</w:t>
      </w:r>
      <w:r>
        <w:rPr>
          <w:rFonts w:hint="eastAsia" w:ascii="仿宋" w:hAnsi="仿宋" w:eastAsia="仿宋"/>
          <w:sz w:val="32"/>
          <w:szCs w:val="32"/>
        </w:rPr>
        <w:t>。</w:t>
      </w:r>
    </w:p>
    <w:p>
      <w:pPr>
        <w:pStyle w:val="2"/>
        <w:spacing w:before="93"/>
        <w:ind w:left="900" w:hanging="900" w:hangingChars="300"/>
        <w:rPr>
          <w:rFonts w:ascii="仿宋" w:hAnsi="仿宋" w:eastAsia="仿宋"/>
          <w:sz w:val="32"/>
          <w:szCs w:val="32"/>
        </w:rPr>
      </w:pPr>
      <w:r>
        <w:rPr>
          <w:rFonts w:hint="eastAsia"/>
        </w:rPr>
        <w:t xml:space="preserve">   </w:t>
      </w:r>
      <w:r>
        <w:drawing>
          <wp:inline distT="0" distB="0" distL="114300" distR="114300">
            <wp:extent cx="4495800" cy="3191510"/>
            <wp:effectExtent l="4445" t="4445" r="14605" b="23495"/>
            <wp:docPr id="16"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hint="eastAsia"/>
        </w:rPr>
        <w:t xml:space="preserve">  </w:t>
      </w:r>
      <w:r>
        <w:rPr>
          <w:rFonts w:hint="eastAsia" w:ascii="仿宋" w:hAnsi="仿宋" w:eastAsia="仿宋"/>
          <w:sz w:val="32"/>
          <w:szCs w:val="32"/>
        </w:rPr>
        <w:t>（图6：一般公共预算财政拨款支出决算结构）</w:t>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0"/>
        <w:rPr>
          <w:rFonts w:ascii="仿宋" w:hAnsi="仿宋" w:eastAsia="仿宋"/>
          <w:sz w:val="32"/>
          <w:szCs w:val="32"/>
        </w:rPr>
      </w:pPr>
      <w:bookmarkStart w:id="31" w:name="_Toc15377444"/>
      <w:bookmarkStart w:id="32" w:name="_Toc15378460"/>
      <w:bookmarkStart w:id="33" w:name="_Toc15377213"/>
      <w:r>
        <w:rPr>
          <w:rFonts w:hint="eastAsia" w:ascii="仿宋" w:hAnsi="仿宋" w:eastAsia="仿宋"/>
          <w:sz w:val="32"/>
          <w:szCs w:val="32"/>
        </w:rPr>
        <w:t>2023年一般公共预算支出决算数为670.67万元，完成预算100%。其中：</w:t>
      </w:r>
      <w:bookmarkEnd w:id="31"/>
      <w:bookmarkEnd w:id="32"/>
      <w:bookmarkEnd w:id="33"/>
    </w:p>
    <w:p>
      <w:pPr>
        <w:spacing w:line="600" w:lineRule="exact"/>
        <w:ind w:firstLine="640"/>
        <w:rPr>
          <w:rFonts w:ascii="仿宋" w:hAnsi="仿宋" w:eastAsia="仿宋"/>
          <w:sz w:val="32"/>
          <w:szCs w:val="32"/>
        </w:rPr>
      </w:pPr>
      <w:r>
        <w:rPr>
          <w:rFonts w:hint="eastAsia" w:ascii="仿宋" w:hAnsi="仿宋" w:eastAsia="仿宋"/>
          <w:sz w:val="32"/>
          <w:szCs w:val="32"/>
        </w:rPr>
        <w:t>1.教育（205）普通教育（02）学前教育（01）:支出决算为0.55万元，完成预算100%。</w:t>
      </w:r>
    </w:p>
    <w:p>
      <w:pPr>
        <w:spacing w:line="600" w:lineRule="exact"/>
        <w:ind w:firstLine="640"/>
        <w:rPr>
          <w:rFonts w:ascii="仿宋" w:hAnsi="仿宋" w:eastAsia="仿宋"/>
          <w:sz w:val="32"/>
          <w:szCs w:val="32"/>
        </w:rPr>
      </w:pPr>
      <w:r>
        <w:rPr>
          <w:rFonts w:hint="eastAsia" w:ascii="仿宋" w:hAnsi="仿宋" w:eastAsia="仿宋"/>
          <w:sz w:val="32"/>
          <w:szCs w:val="32"/>
        </w:rPr>
        <w:t>2.教育（205）普通教育（02）小学教育（02）:支出决算为55.75万元，完成预算100%。</w:t>
      </w:r>
    </w:p>
    <w:p>
      <w:pPr>
        <w:spacing w:line="600" w:lineRule="exact"/>
        <w:ind w:firstLine="640"/>
        <w:rPr>
          <w:rFonts w:ascii="仿宋" w:hAnsi="仿宋" w:eastAsia="仿宋"/>
          <w:sz w:val="32"/>
          <w:szCs w:val="32"/>
        </w:rPr>
      </w:pPr>
      <w:r>
        <w:rPr>
          <w:rFonts w:hint="eastAsia" w:ascii="仿宋" w:hAnsi="仿宋" w:eastAsia="仿宋"/>
          <w:sz w:val="32"/>
          <w:szCs w:val="32"/>
        </w:rPr>
        <w:t>3.教育（205）普通教育（02）初中教育（03）:支出决算为414.62万元，完成预算100%。</w:t>
      </w:r>
    </w:p>
    <w:p>
      <w:pPr>
        <w:spacing w:line="600" w:lineRule="exact"/>
        <w:ind w:firstLine="640"/>
        <w:rPr>
          <w:rFonts w:ascii="仿宋" w:hAnsi="仿宋" w:eastAsia="仿宋"/>
          <w:sz w:val="32"/>
          <w:szCs w:val="32"/>
        </w:rPr>
      </w:pPr>
      <w:r>
        <w:rPr>
          <w:rFonts w:hint="eastAsia" w:ascii="仿宋" w:hAnsi="仿宋" w:eastAsia="仿宋"/>
          <w:sz w:val="32"/>
          <w:szCs w:val="32"/>
        </w:rPr>
        <w:t>4.社会保障和就业（208）行政事业单位养老支出（05）事业单位离退休支出（02）:支出决算为13.14万元，完成预算100%。</w:t>
      </w:r>
    </w:p>
    <w:p>
      <w:pPr>
        <w:spacing w:line="600" w:lineRule="exact"/>
        <w:ind w:firstLine="640"/>
        <w:rPr>
          <w:rFonts w:ascii="仿宋" w:hAnsi="仿宋" w:eastAsia="仿宋"/>
          <w:sz w:val="32"/>
          <w:szCs w:val="32"/>
        </w:rPr>
      </w:pPr>
      <w:r>
        <w:rPr>
          <w:rFonts w:hint="eastAsia" w:ascii="仿宋" w:hAnsi="仿宋" w:eastAsia="仿宋"/>
          <w:sz w:val="32"/>
          <w:szCs w:val="32"/>
        </w:rPr>
        <w:t>5.社会保障和就业（208）行政事业单位养老支出（05）机关事业单位基本养老保险缴费支出（05）:支出决算为26.99万元，完成预算100%。</w:t>
      </w:r>
    </w:p>
    <w:p>
      <w:pPr>
        <w:spacing w:line="600" w:lineRule="exact"/>
        <w:ind w:firstLine="640"/>
        <w:rPr>
          <w:rFonts w:ascii="仿宋" w:hAnsi="仿宋" w:eastAsia="仿宋"/>
          <w:sz w:val="32"/>
          <w:szCs w:val="32"/>
        </w:rPr>
      </w:pPr>
      <w:r>
        <w:rPr>
          <w:rFonts w:hint="eastAsia" w:ascii="仿宋" w:hAnsi="仿宋" w:eastAsia="仿宋"/>
          <w:sz w:val="32"/>
          <w:szCs w:val="32"/>
        </w:rPr>
        <w:t>6.社会保障和就业（208）行政事业单位养老支出（05）机关事业单位职业年金缴费支出（06）:支出决算为11.73万元，完成预算100%。</w:t>
      </w:r>
    </w:p>
    <w:p>
      <w:pPr>
        <w:spacing w:line="600" w:lineRule="exact"/>
        <w:ind w:firstLine="640"/>
        <w:rPr>
          <w:rFonts w:ascii="仿宋" w:hAnsi="仿宋" w:eastAsia="仿宋"/>
          <w:sz w:val="32"/>
          <w:szCs w:val="32"/>
        </w:rPr>
      </w:pPr>
      <w:r>
        <w:rPr>
          <w:rFonts w:hint="eastAsia" w:ascii="仿宋" w:hAnsi="仿宋" w:eastAsia="仿宋"/>
          <w:sz w:val="32"/>
          <w:szCs w:val="32"/>
        </w:rPr>
        <w:t>7.社会保障和就业（208）行政事业单位养老支出（05）其他行政事业单位养老支出（99）：支出决算数为77.62万元，完成预算100%。</w:t>
      </w:r>
    </w:p>
    <w:p>
      <w:pPr>
        <w:spacing w:line="600" w:lineRule="exact"/>
        <w:ind w:firstLine="640"/>
        <w:rPr>
          <w:rFonts w:ascii="仿宋" w:hAnsi="仿宋" w:eastAsia="仿宋"/>
          <w:sz w:val="32"/>
          <w:szCs w:val="32"/>
        </w:rPr>
      </w:pPr>
      <w:r>
        <w:rPr>
          <w:rFonts w:hint="eastAsia" w:ascii="仿宋" w:hAnsi="仿宋" w:eastAsia="仿宋"/>
          <w:sz w:val="32"/>
          <w:szCs w:val="32"/>
        </w:rPr>
        <w:t>8.社会保障和就业（208）抚恤（08）死亡抚恤支出（01）：支出决算数为1.85万元，完成预算100%。</w:t>
      </w:r>
    </w:p>
    <w:p>
      <w:pPr>
        <w:spacing w:line="600" w:lineRule="exact"/>
        <w:ind w:firstLine="640"/>
        <w:rPr>
          <w:rFonts w:ascii="仿宋" w:hAnsi="仿宋" w:eastAsia="仿宋"/>
          <w:sz w:val="32"/>
          <w:szCs w:val="32"/>
        </w:rPr>
      </w:pPr>
      <w:r>
        <w:rPr>
          <w:rFonts w:hint="eastAsia" w:ascii="仿宋" w:hAnsi="仿宋" w:eastAsia="仿宋"/>
          <w:sz w:val="32"/>
          <w:szCs w:val="32"/>
        </w:rPr>
        <w:t>9.社会保障和就业（208）其他（99）其他社会保障和就业支出（99）：支出决算数为0.53万元，完成预算100%。</w:t>
      </w:r>
    </w:p>
    <w:p>
      <w:pPr>
        <w:spacing w:line="600" w:lineRule="exact"/>
        <w:ind w:firstLine="640"/>
        <w:rPr>
          <w:rFonts w:ascii="仿宋" w:hAnsi="仿宋" w:eastAsia="仿宋"/>
          <w:sz w:val="32"/>
          <w:szCs w:val="32"/>
        </w:rPr>
      </w:pPr>
      <w:r>
        <w:rPr>
          <w:rFonts w:hint="eastAsia" w:ascii="仿宋" w:hAnsi="仿宋" w:eastAsia="仿宋"/>
          <w:sz w:val="32"/>
          <w:szCs w:val="32"/>
        </w:rPr>
        <w:t>10.卫生健康（210）行政事业单位医疗（11）事业单位医疗（02）:支出决算为26.37万元，完成预算100%</w:t>
      </w:r>
    </w:p>
    <w:p>
      <w:pPr>
        <w:spacing w:line="600" w:lineRule="exact"/>
        <w:ind w:firstLine="640"/>
        <w:rPr>
          <w:rFonts w:ascii="仿宋" w:hAnsi="仿宋" w:eastAsia="仿宋"/>
          <w:sz w:val="32"/>
          <w:szCs w:val="32"/>
        </w:rPr>
      </w:pPr>
      <w:r>
        <w:rPr>
          <w:rFonts w:hint="eastAsia" w:ascii="仿宋" w:hAnsi="仿宋" w:eastAsia="仿宋"/>
          <w:sz w:val="32"/>
          <w:szCs w:val="32"/>
        </w:rPr>
        <w:t>11.住房保障支出（221）住房改革支出（02）住房公积金（01）：支出决算为41.53万元，完成预算100%。</w:t>
      </w:r>
    </w:p>
    <w:p>
      <w:pPr>
        <w:tabs>
          <w:tab w:val="right" w:pos="8306"/>
        </w:tabs>
        <w:spacing w:line="600" w:lineRule="exact"/>
        <w:ind w:firstLine="640"/>
        <w:outlineLvl w:val="1"/>
        <w:rPr>
          <w:rStyle w:val="25"/>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23年一般公共预算财政拨款基本支出637.36万元，其中：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570.08万元，主要包括：基本工资158.18万元、津贴补贴20.98万元、绩效工资87.73万元、机关事业单位基本养老保险缴费26.99万元、职业年金缴费11.73万元、职工基本医疗保险缴费24.77万元、其他社会保障缴费2.13万元、住房公积金41.53万元、其他工资福利支出103.41万元、退休费13.14万元、抚恤金1.85万元、生活补助77.62万元、奖励金0.02万元。</w:t>
      </w:r>
    </w:p>
    <w:p>
      <w:pPr>
        <w:spacing w:line="600" w:lineRule="exact"/>
        <w:ind w:firstLine="645"/>
        <w:rPr>
          <w:rFonts w:ascii="仿宋" w:hAnsi="仿宋" w:eastAsia="仿宋"/>
          <w:sz w:val="32"/>
          <w:szCs w:val="32"/>
        </w:rPr>
      </w:pPr>
      <w:r>
        <w:rPr>
          <w:rFonts w:hint="eastAsia" w:ascii="仿宋" w:hAnsi="仿宋" w:eastAsia="仿宋"/>
          <w:sz w:val="32"/>
          <w:szCs w:val="32"/>
        </w:rPr>
        <w:t>公用经费67.28万元，主要包括：办公费20.88万元、水费1.06万元、电费2.23万元、邮电费2.63万元、物业管理费0.84万元、差旅费3.70万元、维修（护）费1.34万元、会议费1.36万元、培训费1.76万元、公务接待费0.04万元、劳务费0.2万元、委托业务费0.59万元、工会经费7.95万元、福利费12.74万元、其他商品和服务支出9.96万元。</w:t>
      </w:r>
    </w:p>
    <w:p>
      <w:pPr>
        <w:spacing w:line="600" w:lineRule="exact"/>
        <w:ind w:firstLine="640"/>
        <w:outlineLvl w:val="1"/>
        <w:rPr>
          <w:rStyle w:val="25"/>
          <w:rFonts w:ascii="黑体" w:hAnsi="黑体" w:eastAsia="黑体"/>
          <w:b w:val="0"/>
        </w:rPr>
      </w:pPr>
      <w:bookmarkStart w:id="36" w:name="_Toc15396609"/>
      <w:bookmarkStart w:id="37" w:name="_Toc15377215"/>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23年“三公”经费财政拨款支出决算为0.04万元，完成预算100</w:t>
      </w:r>
      <w:r>
        <w:rPr>
          <w:rFonts w:ascii="仿宋" w:hAnsi="仿宋" w:eastAsia="仿宋"/>
          <w:sz w:val="32"/>
          <w:szCs w:val="32"/>
        </w:rPr>
        <w:t>%</w:t>
      </w:r>
      <w:r>
        <w:rPr>
          <w:rFonts w:hint="eastAsia" w:ascii="仿宋" w:hAnsi="仿宋" w:eastAsia="仿宋"/>
          <w:sz w:val="32"/>
          <w:szCs w:val="32"/>
        </w:rPr>
        <w:t>，较上年减少0.08万元，下降66.67%。</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；公务接待费支出决算0.04万元，占100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320" w:firstLineChars="100"/>
        <w:rPr>
          <w:rFonts w:ascii="仿宋" w:hAnsi="仿宋" w:eastAsia="仿宋"/>
          <w:sz w:val="32"/>
          <w:szCs w:val="32"/>
        </w:rPr>
      </w:pPr>
    </w:p>
    <w:p>
      <w:pPr>
        <w:spacing w:line="600" w:lineRule="exact"/>
        <w:ind w:firstLine="320" w:firstLineChars="100"/>
        <w:rPr>
          <w:rFonts w:ascii="仿宋" w:hAnsi="仿宋" w:eastAsia="仿宋"/>
          <w:sz w:val="32"/>
          <w:szCs w:val="32"/>
        </w:rPr>
      </w:pPr>
    </w:p>
    <w:p>
      <w:pPr>
        <w:spacing w:line="600" w:lineRule="exact"/>
        <w:ind w:firstLine="320" w:firstLineChars="100"/>
        <w:rPr>
          <w:rFonts w:ascii="仿宋" w:hAnsi="仿宋" w:eastAsia="仿宋"/>
          <w:sz w:val="32"/>
          <w:szCs w:val="32"/>
        </w:rPr>
      </w:pPr>
    </w:p>
    <w:p>
      <w:pPr>
        <w:spacing w:line="600" w:lineRule="exact"/>
        <w:ind w:firstLine="210" w:firstLineChars="100"/>
        <w:rPr>
          <w:rFonts w:ascii="仿宋" w:hAnsi="仿宋" w:eastAsia="仿宋"/>
          <w:sz w:val="32"/>
          <w:szCs w:val="32"/>
        </w:rPr>
      </w:pPr>
      <w:r>
        <w:drawing>
          <wp:anchor distT="0" distB="0" distL="114300" distR="114300" simplePos="0" relativeHeight="251659264" behindDoc="0" locked="0" layoutInCell="1" allowOverlap="1">
            <wp:simplePos x="0" y="0"/>
            <wp:positionH relativeFrom="column">
              <wp:posOffset>137795</wp:posOffset>
            </wp:positionH>
            <wp:positionV relativeFrom="paragraph">
              <wp:posOffset>-2453005</wp:posOffset>
            </wp:positionV>
            <wp:extent cx="4572000" cy="2743200"/>
            <wp:effectExtent l="4445" t="4445" r="14605" b="14605"/>
            <wp:wrapSquare wrapText="bothSides"/>
            <wp:docPr id="17"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960" w:firstLineChars="300"/>
        <w:rPr>
          <w:rFonts w:ascii="仿宋" w:hAnsi="仿宋" w:eastAsia="仿宋"/>
          <w:sz w:val="32"/>
          <w:szCs w:val="32"/>
        </w:rPr>
      </w:pPr>
      <w:r>
        <w:rPr>
          <w:rFonts w:hint="eastAsia" w:ascii="仿宋" w:hAnsi="仿宋" w:eastAsia="仿宋"/>
          <w:sz w:val="32"/>
          <w:szCs w:val="32"/>
        </w:rPr>
        <w:t>（图7：“三公”经费财政拨款支出结构）</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因公出国（境）经费支出0</w:t>
      </w:r>
      <w:r>
        <w:rPr>
          <w:rFonts w:hint="eastAsia" w:ascii="仿宋" w:hAnsi="仿宋" w:eastAsia="仿宋"/>
          <w:sz w:val="32"/>
          <w:szCs w:val="32"/>
        </w:rPr>
        <w:t>万元，完成预算0%。</w:t>
      </w:r>
    </w:p>
    <w:p>
      <w:pPr>
        <w:spacing w:line="600" w:lineRule="exact"/>
        <w:ind w:firstLine="64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公务用车购置及运行维护费支出0</w:t>
      </w:r>
      <w:r>
        <w:rPr>
          <w:rFonts w:hint="eastAsia" w:ascii="仿宋" w:hAnsi="仿宋" w:eastAsia="仿宋"/>
          <w:sz w:val="32"/>
          <w:szCs w:val="32"/>
        </w:rPr>
        <w:t>万元</w:t>
      </w:r>
      <w:r>
        <w:rPr>
          <w:rFonts w:hint="eastAsia" w:ascii="仿宋_GB2312" w:eastAsia="仿宋_GB2312"/>
          <w:sz w:val="32"/>
          <w:szCs w:val="32"/>
        </w:rPr>
        <w:t>,</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0"/>
        <w:rPr>
          <w:rFonts w:ascii="仿宋" w:hAnsi="仿宋" w:eastAsia="仿宋"/>
          <w:sz w:val="32"/>
          <w:szCs w:val="32"/>
        </w:rPr>
      </w:pPr>
      <w:r>
        <w:rPr>
          <w:rFonts w:ascii="仿宋_GB2312" w:eastAsia="仿宋_GB2312"/>
          <w:b/>
          <w:sz w:val="32"/>
          <w:szCs w:val="32"/>
        </w:rPr>
        <w:t>3.</w:t>
      </w:r>
      <w:r>
        <w:rPr>
          <w:rFonts w:hint="eastAsia" w:ascii="仿宋_GB2312" w:eastAsia="仿宋_GB2312"/>
          <w:b/>
          <w:sz w:val="32"/>
          <w:szCs w:val="32"/>
        </w:rPr>
        <w:t>公务接待费支出0.04</w:t>
      </w:r>
      <w:r>
        <w:rPr>
          <w:rFonts w:hint="eastAsia" w:ascii="仿宋" w:hAnsi="仿宋" w:eastAsia="仿宋"/>
          <w:sz w:val="32"/>
          <w:szCs w:val="32"/>
        </w:rPr>
        <w:t>万元，</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 w:hAnsi="仿宋" w:eastAsia="仿宋"/>
          <w:sz w:val="32"/>
          <w:szCs w:val="32"/>
        </w:rPr>
        <w:t>公务接待费支出决算比2022年减少0.08万元，下降66.67%。主要原因是上级检查后就离开学校，没有用餐，招待费相应有所减少，其中：</w:t>
      </w:r>
    </w:p>
    <w:p>
      <w:pPr>
        <w:spacing w:line="600" w:lineRule="exact"/>
        <w:ind w:firstLine="640"/>
        <w:rPr>
          <w:rFonts w:ascii="仿宋" w:hAnsi="仿宋" w:eastAsia="仿宋"/>
          <w:sz w:val="32"/>
          <w:szCs w:val="32"/>
        </w:rPr>
      </w:pPr>
      <w:r>
        <w:rPr>
          <w:rFonts w:hint="eastAsia" w:ascii="仿宋" w:hAnsi="仿宋" w:eastAsia="仿宋"/>
          <w:sz w:val="32"/>
          <w:szCs w:val="32"/>
        </w:rPr>
        <w:t>国内公务接待支出0.04万元，主要用于执行公务、开展业务活动开支的交通费、住宿费、用餐费等。国内公务接待1批次，5人次（不包括陪同人员），共计支出0.04万元，具体内容包括上级主管部门到学校检查指导工作和本级开展业务活动开支。</w:t>
      </w:r>
    </w:p>
    <w:p>
      <w:pPr>
        <w:spacing w:line="600" w:lineRule="exact"/>
        <w:ind w:firstLine="640"/>
        <w:rPr>
          <w:rFonts w:ascii="仿宋" w:hAnsi="仿宋" w:eastAsia="仿宋"/>
          <w:sz w:val="32"/>
          <w:szCs w:val="32"/>
        </w:rPr>
      </w:pPr>
      <w:r>
        <w:rPr>
          <w:rFonts w:hint="eastAsia" w:ascii="仿宋" w:hAnsi="仿宋" w:eastAsia="仿宋"/>
          <w:sz w:val="32"/>
          <w:szCs w:val="32"/>
        </w:rPr>
        <w:t>外事接待支出0万元。</w:t>
      </w:r>
    </w:p>
    <w:p>
      <w:pPr>
        <w:spacing w:line="600" w:lineRule="exact"/>
        <w:ind w:firstLine="640"/>
        <w:outlineLvl w:val="1"/>
        <w:rPr>
          <w:rStyle w:val="25"/>
          <w:rFonts w:ascii="黑体" w:hAnsi="黑体" w:eastAsia="黑体"/>
        </w:rPr>
      </w:pPr>
      <w:bookmarkStart w:id="40" w:name="_Toc15396610"/>
      <w:bookmarkStart w:id="41" w:name="_Toc15377218"/>
      <w:r>
        <w:rPr>
          <w:rFonts w:hint="eastAsia" w:ascii="黑体" w:eastAsia="黑体"/>
          <w:sz w:val="32"/>
          <w:szCs w:val="32"/>
        </w:rPr>
        <w:t>八、</w:t>
      </w:r>
      <w:r>
        <w:rPr>
          <w:rStyle w:val="25"/>
          <w:rFonts w:hint="eastAsia" w:ascii="黑体" w:hAnsi="黑体" w:eastAsia="黑体"/>
          <w:b w:val="0"/>
        </w:rPr>
        <w:t>政府性基金预算支出决算情况说明</w:t>
      </w:r>
      <w:bookmarkEnd w:id="40"/>
      <w:bookmarkEnd w:id="41"/>
    </w:p>
    <w:p>
      <w:pPr>
        <w:spacing w:line="600" w:lineRule="exact"/>
        <w:ind w:firstLine="640"/>
        <w:rPr>
          <w:rFonts w:ascii="仿宋" w:hAnsi="仿宋" w:eastAsia="仿宋"/>
          <w:sz w:val="32"/>
          <w:szCs w:val="32"/>
        </w:rPr>
      </w:pPr>
      <w:r>
        <w:rPr>
          <w:rFonts w:hint="eastAsia" w:ascii="仿宋" w:hAnsi="仿宋" w:eastAsia="仿宋"/>
          <w:sz w:val="32"/>
          <w:szCs w:val="32"/>
        </w:rPr>
        <w:t>2022年政府性基金预算财政拨款支出0万元。</w:t>
      </w:r>
    </w:p>
    <w:p>
      <w:pPr>
        <w:numPr>
          <w:ilvl w:val="0"/>
          <w:numId w:val="3"/>
        </w:numPr>
        <w:spacing w:line="600" w:lineRule="exact"/>
        <w:ind w:firstLine="640"/>
        <w:outlineLvl w:val="1"/>
        <w:rPr>
          <w:rStyle w:val="25"/>
          <w:rFonts w:ascii="黑体" w:hAnsi="黑体" w:eastAsia="黑体"/>
          <w:b w:val="0"/>
        </w:rPr>
      </w:pPr>
      <w:bookmarkStart w:id="42" w:name="_Toc15396611"/>
      <w:bookmarkStart w:id="43" w:name="_Toc15377219"/>
      <w:r>
        <w:rPr>
          <w:rStyle w:val="25"/>
          <w:rFonts w:hint="eastAsia" w:ascii="黑体" w:hAnsi="黑体" w:eastAsia="黑体"/>
          <w:b w:val="0"/>
        </w:rPr>
        <w:t>国有资本经营预算支出决算情况说明</w:t>
      </w:r>
      <w:bookmarkEnd w:id="42"/>
      <w:bookmarkEnd w:id="43"/>
    </w:p>
    <w:p>
      <w:pPr>
        <w:spacing w:line="600" w:lineRule="exact"/>
        <w:ind w:firstLine="640"/>
        <w:rPr>
          <w:rFonts w:ascii="仿宋" w:hAnsi="仿宋" w:eastAsia="仿宋"/>
          <w:sz w:val="32"/>
          <w:szCs w:val="32"/>
        </w:rPr>
      </w:pPr>
      <w:r>
        <w:rPr>
          <w:rFonts w:hint="eastAsia" w:ascii="仿宋" w:hAnsi="仿宋" w:eastAsia="仿宋"/>
          <w:sz w:val="32"/>
          <w:szCs w:val="32"/>
        </w:rPr>
        <w:t>2023年国有资本经营预算财政拨款支出0万元。</w:t>
      </w:r>
    </w:p>
    <w:p>
      <w:pPr>
        <w:numPr>
          <w:ilvl w:val="0"/>
          <w:numId w:val="3"/>
        </w:numPr>
        <w:spacing w:line="600" w:lineRule="exact"/>
        <w:ind w:firstLine="640"/>
        <w:outlineLvl w:val="1"/>
        <w:rPr>
          <w:rStyle w:val="25"/>
          <w:rFonts w:ascii="黑体" w:hAnsi="黑体" w:eastAsia="黑体"/>
          <w:b w:val="0"/>
        </w:rPr>
      </w:pPr>
      <w:bookmarkStart w:id="44" w:name="_Toc15396612"/>
      <w:bookmarkStart w:id="45" w:name="_Toc15377221"/>
      <w:r>
        <w:rPr>
          <w:rStyle w:val="25"/>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hint="eastAsia" w:ascii="仿宋" w:hAnsi="仿宋" w:eastAsia="仿宋"/>
          <w:sz w:val="32"/>
          <w:szCs w:val="32"/>
        </w:rPr>
        <w:t>2023年，大竹县石桥铺镇新生小学无机关运行经费支出</w:t>
      </w:r>
      <w:r>
        <w:rPr>
          <w:rFonts w:hint="eastAsia" w:ascii="仿宋_GB2312" w:hAnsi="仿宋_GB2312" w:eastAsia="仿宋_GB2312" w:cs="仿宋_GB2312"/>
          <w:b/>
          <w:bCs/>
          <w:color w:val="000000" w:themeColor="text1"/>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3" w:firstLineChars="200"/>
        <w:rPr>
          <w:rFonts w:ascii="仿宋" w:hAnsi="仿宋" w:eastAsia="仿宋"/>
          <w:b/>
          <w:color w:val="000000" w:themeColor="text1"/>
          <w:sz w:val="32"/>
          <w:szCs w:val="32"/>
        </w:rPr>
      </w:pPr>
      <w:r>
        <w:rPr>
          <w:rFonts w:hint="eastAsia" w:ascii="仿宋_GB2312" w:hAnsi="仿宋_GB2312" w:eastAsia="仿宋_GB2312" w:cs="仿宋_GB2312"/>
          <w:b/>
          <w:bCs/>
          <w:color w:val="000000" w:themeColor="text1"/>
          <w:sz w:val="32"/>
          <w:szCs w:val="32"/>
        </w:rPr>
        <w:t>2023年，大竹县石桥铺镇新生小学无政府采购支出。</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spacing w:line="600" w:lineRule="exact"/>
        <w:ind w:firstLine="643" w:firstLineChars="200"/>
        <w:rPr>
          <w:rFonts w:ascii="仿宋" w:hAnsi="仿宋" w:eastAsia="仿宋"/>
          <w:b/>
          <w:sz w:val="32"/>
          <w:szCs w:val="32"/>
        </w:rPr>
      </w:pPr>
      <w:r>
        <w:rPr>
          <w:rFonts w:hint="eastAsia" w:ascii="仿宋_GB2312" w:hAnsi="仿宋_GB2312" w:eastAsia="仿宋_GB2312" w:cs="仿宋_GB2312"/>
          <w:b/>
          <w:bCs/>
          <w:color w:val="000000" w:themeColor="text1"/>
          <w:sz w:val="32"/>
          <w:szCs w:val="32"/>
        </w:rPr>
        <w:t>截至2023年12月31日，大竹县石桥铺镇新生小学共有车辆0辆，其中：主要领导干部用车0辆、机要通信用车0辆、应急保障用车0辆、其他用车0辆。单价100万元以上专用设备0台（套）。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pStyle w:val="2"/>
        <w:spacing w:before="93"/>
        <w:ind w:firstLine="640" w:firstLineChars="200"/>
        <w:rPr>
          <w:rFonts w:ascii="仿宋" w:hAnsi="仿宋" w:eastAsia="仿宋"/>
          <w:kern w:val="2"/>
          <w:sz w:val="32"/>
          <w:szCs w:val="32"/>
        </w:rPr>
      </w:pPr>
      <w:r>
        <w:rPr>
          <w:rFonts w:hint="eastAsia" w:ascii="仿宋" w:hAnsi="仿宋" w:eastAsia="仿宋"/>
          <w:kern w:val="2"/>
          <w:sz w:val="32"/>
          <w:szCs w:val="32"/>
        </w:rPr>
        <w:t>根据预算绩效管理要求，本单位在2023年度预算编制阶段，组织对0个项目开展了预算事前绩效评估，对26个项目编制了绩效目标，预算执行过程中，选取22个项目开展绩效监控，组织对26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4"/>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4"/>
          <w:rFonts w:hint="eastAsia" w:ascii="黑体" w:hAnsi="黑体" w:eastAsia="黑体"/>
          <w:b w:val="0"/>
        </w:rPr>
        <w:t>词解释</w:t>
      </w:r>
      <w:bookmarkEnd w:id="49"/>
      <w:bookmarkEnd w:id="50"/>
    </w:p>
    <w:p>
      <w:pPr>
        <w:pStyle w:val="22"/>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1.财政拨款收入：指单位从同级财政部门取得的财政预算资金。</w:t>
      </w:r>
    </w:p>
    <w:p>
      <w:pPr>
        <w:pStyle w:val="22"/>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2.事业收入：指事业单位开展专业业务活动及辅助活动取得的收入。</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3、年末结转和结余：指单位按有关规定结转到下年或以后年度继续使用的资金。</w:t>
      </w:r>
    </w:p>
    <w:p>
      <w:pPr>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color w:val="000000"/>
          <w:sz w:val="32"/>
          <w:szCs w:val="32"/>
        </w:rPr>
        <w:t>教育（205）普通教育（05）小学教育（02）：指教育支出普通教育中的小学教育取得的财政资金。</w:t>
      </w:r>
    </w:p>
    <w:p>
      <w:pPr>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color w:val="000000"/>
          <w:sz w:val="32"/>
          <w:szCs w:val="32"/>
        </w:rPr>
        <w:t>社会保障和就业（208）抚恤（08）死亡抚恤（01）：指死亡抚恤金取得的财政资金。</w:t>
      </w:r>
    </w:p>
    <w:p>
      <w:pPr>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sz w:val="32"/>
          <w:szCs w:val="32"/>
        </w:rPr>
        <w:t>6.</w:t>
      </w:r>
      <w:r>
        <w:rPr>
          <w:rFonts w:hint="eastAsia" w:ascii="仿宋_GB2312" w:hAnsi="仿宋_GB2312" w:eastAsia="仿宋_GB2312" w:cs="仿宋_GB2312"/>
          <w:b/>
          <w:bCs/>
          <w:color w:val="000000"/>
          <w:sz w:val="32"/>
          <w:szCs w:val="32"/>
        </w:rPr>
        <w:t>社会保障和就业（208）行政单位养老支出（05）机关事业单位养老费支出（05）：指机关事业单位基本养老保险费取得的财政资金。</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7.</w:t>
      </w:r>
      <w:r>
        <w:rPr>
          <w:rStyle w:val="14"/>
          <w:rFonts w:hint="eastAsia" w:ascii="仿宋_GB2312" w:hAnsi="仿宋_GB2312" w:eastAsia="仿宋_GB2312" w:cs="仿宋_GB2312"/>
          <w:bCs/>
          <w:color w:val="000000"/>
          <w:sz w:val="32"/>
          <w:szCs w:val="32"/>
        </w:rPr>
        <w:t>社会保障和就业（208）行政事业单位离退休（05）机关事业单位职业年金缴费支出（06）：</w:t>
      </w:r>
      <w:r>
        <w:rPr>
          <w:rFonts w:hint="eastAsia" w:ascii="仿宋_GB2312" w:hAnsi="仿宋_GB2312" w:eastAsia="仿宋_GB2312" w:cs="仿宋_GB2312"/>
          <w:b/>
          <w:bCs/>
          <w:color w:val="000000"/>
          <w:sz w:val="32"/>
          <w:szCs w:val="32"/>
        </w:rPr>
        <w:t>指</w:t>
      </w:r>
      <w:r>
        <w:rPr>
          <w:rStyle w:val="14"/>
          <w:rFonts w:hint="eastAsia" w:ascii="仿宋_GB2312" w:hAnsi="仿宋_GB2312" w:eastAsia="仿宋_GB2312" w:cs="仿宋_GB2312"/>
          <w:bCs/>
          <w:color w:val="000000"/>
          <w:sz w:val="32"/>
          <w:szCs w:val="32"/>
        </w:rPr>
        <w:t>机关事业单位职业年金</w:t>
      </w:r>
      <w:r>
        <w:rPr>
          <w:rFonts w:hint="eastAsia" w:ascii="仿宋_GB2312" w:hAnsi="仿宋_GB2312" w:eastAsia="仿宋_GB2312" w:cs="仿宋_GB2312"/>
          <w:b/>
          <w:bCs/>
          <w:color w:val="000000"/>
          <w:sz w:val="32"/>
          <w:szCs w:val="32"/>
        </w:rPr>
        <w:t>取得的财政资金。</w:t>
      </w:r>
    </w:p>
    <w:p>
      <w:pPr>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sz w:val="32"/>
          <w:szCs w:val="32"/>
        </w:rPr>
        <w:t>8.</w:t>
      </w:r>
      <w:r>
        <w:rPr>
          <w:rFonts w:hint="eastAsia" w:ascii="仿宋_GB2312" w:hAnsi="仿宋_GB2312" w:eastAsia="仿宋_GB2312" w:cs="仿宋_GB2312"/>
          <w:b/>
          <w:bCs/>
          <w:color w:val="000000"/>
          <w:sz w:val="32"/>
          <w:szCs w:val="32"/>
        </w:rPr>
        <w:t>住房保障（221）住房改革（02）住房公积金（01）：指住房公积金取得的财政资金。</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9.</w:t>
      </w:r>
      <w:r>
        <w:rPr>
          <w:rFonts w:hint="eastAsia" w:ascii="仿宋_GB2312" w:hAnsi="仿宋_GB2312" w:eastAsia="仿宋_GB2312" w:cs="仿宋_GB2312"/>
          <w:b/>
          <w:bCs/>
          <w:color w:val="000000" w:themeColor="text1"/>
          <w:sz w:val="32"/>
          <w:szCs w:val="32"/>
        </w:rPr>
        <w:t>卫生健康</w:t>
      </w:r>
      <w:r>
        <w:rPr>
          <w:rStyle w:val="14"/>
          <w:rFonts w:hint="eastAsia" w:ascii="仿宋_GB2312" w:hAnsi="仿宋_GB2312" w:eastAsia="仿宋_GB2312" w:cs="仿宋_GB2312"/>
          <w:bCs/>
          <w:color w:val="000000"/>
          <w:sz w:val="32"/>
          <w:szCs w:val="32"/>
        </w:rPr>
        <w:t>（210）行政事业单位医疗（11）事业单位医疗（02）:</w:t>
      </w:r>
      <w:r>
        <w:rPr>
          <w:rFonts w:hint="eastAsia" w:ascii="仿宋_GB2312" w:hAnsi="仿宋_GB2312" w:eastAsia="仿宋_GB2312" w:cs="仿宋_GB2312"/>
          <w:b/>
          <w:bCs/>
          <w:color w:val="000000"/>
          <w:sz w:val="32"/>
          <w:szCs w:val="32"/>
        </w:rPr>
        <w:t>指</w:t>
      </w:r>
      <w:r>
        <w:rPr>
          <w:rStyle w:val="14"/>
          <w:rFonts w:hint="eastAsia" w:ascii="仿宋_GB2312" w:hAnsi="仿宋_GB2312" w:eastAsia="仿宋_GB2312" w:cs="仿宋_GB2312"/>
          <w:bCs/>
          <w:color w:val="000000"/>
          <w:sz w:val="32"/>
          <w:szCs w:val="32"/>
        </w:rPr>
        <w:t>事业单位医疗</w:t>
      </w:r>
      <w:r>
        <w:rPr>
          <w:rFonts w:hint="eastAsia" w:ascii="仿宋_GB2312" w:hAnsi="仿宋_GB2312" w:eastAsia="仿宋_GB2312" w:cs="仿宋_GB2312"/>
          <w:b/>
          <w:bCs/>
          <w:color w:val="000000"/>
          <w:sz w:val="32"/>
          <w:szCs w:val="32"/>
        </w:rPr>
        <w:t>取得的财政资金。</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10.基本支出：指为保障机构正常运转、完成日常工作任务而发生的人员支出和公用支出。</w:t>
      </w:r>
    </w:p>
    <w:p>
      <w:pPr>
        <w:pStyle w:val="2"/>
        <w:spacing w:before="93"/>
        <w:ind w:firstLine="643" w:firstLineChars="200"/>
        <w:rPr>
          <w:rFonts w:hAnsi="仿宋_GB2312" w:cs="仿宋_GB2312"/>
          <w:b/>
          <w:bCs/>
          <w:kern w:val="2"/>
          <w:sz w:val="32"/>
          <w:szCs w:val="32"/>
        </w:rPr>
      </w:pPr>
      <w:r>
        <w:rPr>
          <w:rFonts w:hint="eastAsia" w:hAnsi="仿宋_GB2312" w:cs="仿宋_GB2312"/>
          <w:b/>
          <w:bCs/>
          <w:kern w:val="2"/>
          <w:sz w:val="32"/>
          <w:szCs w:val="32"/>
        </w:rPr>
        <w:t>11.项目支出：指在基本支出之外为完成特定目标和事业发展目标所发生的支出。</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开支的各类公务接待（含外宾接待）支出。</w:t>
      </w:r>
    </w:p>
    <w:p>
      <w:pPr>
        <w:spacing w:line="600" w:lineRule="exact"/>
        <w:jc w:val="left"/>
        <w:rPr>
          <w:rFonts w:ascii="宋体"/>
          <w:b/>
          <w:sz w:val="44"/>
          <w:szCs w:val="44"/>
        </w:rPr>
      </w:pPr>
    </w:p>
    <w:p>
      <w:pPr>
        <w:spacing w:line="600" w:lineRule="exact"/>
        <w:jc w:val="center"/>
        <w:outlineLvl w:val="0"/>
        <w:rPr>
          <w:rFonts w:ascii="黑体" w:hAnsi="黑体" w:eastAsia="黑体"/>
          <w:sz w:val="44"/>
          <w:szCs w:val="44"/>
        </w:rPr>
      </w:pPr>
      <w:bookmarkStart w:id="51" w:name="_Toc15396614"/>
      <w:bookmarkStart w:id="52" w:name="_Toc15377226"/>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outlineLvl w:val="0"/>
        <w:rPr>
          <w:rFonts w:ascii="黑体" w:hAnsi="黑体" w:eastAsia="黑体"/>
          <w:sz w:val="44"/>
          <w:szCs w:val="44"/>
        </w:rPr>
      </w:pPr>
    </w:p>
    <w:p>
      <w:pPr>
        <w:spacing w:line="600" w:lineRule="exact"/>
        <w:ind w:firstLine="2640" w:firstLineChars="600"/>
        <w:outlineLvl w:val="0"/>
        <w:rPr>
          <w:rStyle w:val="24"/>
          <w:rFonts w:ascii="黑体" w:hAnsi="黑体" w:eastAsia="黑体"/>
          <w:b w:val="0"/>
        </w:rPr>
      </w:pPr>
      <w:r>
        <w:rPr>
          <w:rFonts w:hint="eastAsia" w:ascii="黑体" w:hAnsi="黑体" w:eastAsia="黑体"/>
          <w:sz w:val="44"/>
          <w:szCs w:val="44"/>
        </w:rPr>
        <w:t>第</w:t>
      </w:r>
      <w:r>
        <w:rPr>
          <w:rStyle w:val="24"/>
          <w:rFonts w:hint="eastAsia" w:ascii="黑体" w:hAnsi="黑体" w:eastAsia="黑体"/>
          <w:b w:val="0"/>
        </w:rPr>
        <w:t>四部分 附件</w:t>
      </w:r>
      <w:bookmarkEnd w:id="51"/>
    </w:p>
    <w:tbl>
      <w:tblPr>
        <w:tblStyle w:val="12"/>
        <w:tblW w:w="9513" w:type="dxa"/>
        <w:tblInd w:w="93" w:type="dxa"/>
        <w:tblLayout w:type="autofit"/>
        <w:tblCellMar>
          <w:top w:w="0" w:type="dxa"/>
          <w:left w:w="108" w:type="dxa"/>
          <w:bottom w:w="0" w:type="dxa"/>
          <w:right w:w="108" w:type="dxa"/>
        </w:tblCellMar>
      </w:tblPr>
      <w:tblGrid>
        <w:gridCol w:w="929"/>
        <w:gridCol w:w="504"/>
        <w:gridCol w:w="1112"/>
        <w:gridCol w:w="322"/>
        <w:gridCol w:w="1165"/>
        <w:gridCol w:w="932"/>
        <w:gridCol w:w="1288"/>
        <w:gridCol w:w="142"/>
        <w:gridCol w:w="709"/>
        <w:gridCol w:w="639"/>
        <w:gridCol w:w="211"/>
        <w:gridCol w:w="567"/>
        <w:gridCol w:w="993"/>
      </w:tblGrid>
      <w:tr>
        <w:tblPrEx>
          <w:tblCellMar>
            <w:top w:w="0" w:type="dxa"/>
            <w:left w:w="108" w:type="dxa"/>
            <w:bottom w:w="0" w:type="dxa"/>
            <w:right w:w="108" w:type="dxa"/>
          </w:tblCellMar>
        </w:tblPrEx>
        <w:trPr>
          <w:trHeight w:val="904" w:hRule="atLeast"/>
        </w:trPr>
        <w:tc>
          <w:tcPr>
            <w:tcW w:w="929" w:type="dxa"/>
            <w:tcBorders>
              <w:top w:val="nil"/>
              <w:left w:val="nil"/>
              <w:bottom w:val="nil"/>
              <w:right w:val="nil"/>
            </w:tcBorders>
          </w:tcPr>
          <w:p>
            <w:pPr>
              <w:widowControl/>
              <w:jc w:val="center"/>
              <w:textAlignment w:val="center"/>
              <w:rPr>
                <w:rFonts w:ascii="黑体" w:hAnsi="宋体" w:eastAsia="黑体" w:cs="黑体"/>
                <w:color w:val="000000"/>
                <w:kern w:val="0"/>
                <w:sz w:val="30"/>
                <w:szCs w:val="30"/>
              </w:rPr>
            </w:pPr>
          </w:p>
        </w:tc>
        <w:tc>
          <w:tcPr>
            <w:tcW w:w="8584" w:type="dxa"/>
            <w:gridSpan w:val="12"/>
            <w:tcBorders>
              <w:top w:val="nil"/>
              <w:left w:val="nil"/>
              <w:bottom w:val="nil"/>
              <w:right w:val="nil"/>
            </w:tcBorders>
            <w:shd w:val="clear" w:color="auto" w:fill="auto"/>
            <w:vAlign w:val="center"/>
          </w:tcPr>
          <w:p>
            <w:pPr>
              <w:widowControl/>
              <w:ind w:firstLine="600" w:firstLineChars="200"/>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部门整体支出绩效目标完成情况自评表</w:t>
            </w:r>
          </w:p>
        </w:tc>
      </w:tr>
      <w:tr>
        <w:tblPrEx>
          <w:tblCellMar>
            <w:top w:w="0" w:type="dxa"/>
            <w:left w:w="108" w:type="dxa"/>
            <w:bottom w:w="0" w:type="dxa"/>
            <w:right w:w="108" w:type="dxa"/>
          </w:tblCellMar>
        </w:tblPrEx>
        <w:trPr>
          <w:trHeight w:val="286" w:hRule="atLeast"/>
        </w:trPr>
        <w:tc>
          <w:tcPr>
            <w:tcW w:w="929" w:type="dxa"/>
            <w:tcBorders>
              <w:top w:val="nil"/>
              <w:left w:val="nil"/>
              <w:bottom w:val="nil"/>
              <w:right w:val="nil"/>
            </w:tcBorders>
          </w:tcPr>
          <w:p>
            <w:pPr>
              <w:widowControl/>
              <w:jc w:val="center"/>
              <w:textAlignment w:val="center"/>
              <w:rPr>
                <w:rFonts w:ascii="宋体" w:hAnsi="宋体" w:cs="宋体"/>
                <w:color w:val="000000"/>
                <w:kern w:val="0"/>
                <w:sz w:val="18"/>
                <w:szCs w:val="18"/>
              </w:rPr>
            </w:pPr>
          </w:p>
        </w:tc>
        <w:tc>
          <w:tcPr>
            <w:tcW w:w="8584" w:type="dxa"/>
            <w:gridSpan w:val="12"/>
            <w:tcBorders>
              <w:top w:val="nil"/>
              <w:left w:val="nil"/>
              <w:bottom w:val="nil"/>
              <w:right w:val="nil"/>
            </w:tcBorders>
            <w:shd w:val="clear" w:color="auto" w:fill="auto"/>
            <w:vAlign w:val="center"/>
          </w:tcPr>
          <w:p>
            <w:pPr>
              <w:widowControl/>
              <w:ind w:firstLine="2520" w:firstLineChars="1400"/>
              <w:textAlignment w:val="center"/>
              <w:rPr>
                <w:rFonts w:ascii="宋体" w:hAnsi="宋体" w:cs="宋体"/>
                <w:color w:val="000000"/>
                <w:sz w:val="18"/>
                <w:szCs w:val="18"/>
              </w:rPr>
            </w:pPr>
            <w:r>
              <w:rPr>
                <w:rFonts w:ascii="宋体" w:hAnsi="宋体" w:cs="宋体"/>
                <w:color w:val="000000"/>
                <w:kern w:val="0"/>
                <w:sz w:val="18"/>
                <w:szCs w:val="18"/>
              </w:rPr>
              <w:t>（2023年度）</w:t>
            </w:r>
          </w:p>
        </w:tc>
      </w:tr>
      <w:tr>
        <w:tblPrEx>
          <w:tblCellMar>
            <w:top w:w="0" w:type="dxa"/>
            <w:left w:w="108" w:type="dxa"/>
            <w:bottom w:w="0" w:type="dxa"/>
            <w:right w:w="108" w:type="dxa"/>
          </w:tblCellMar>
        </w:tblPrEx>
        <w:trPr>
          <w:trHeight w:val="286" w:hRule="atLeast"/>
        </w:trPr>
        <w:tc>
          <w:tcPr>
            <w:tcW w:w="929" w:type="dxa"/>
            <w:tcBorders>
              <w:top w:val="nil"/>
              <w:left w:val="nil"/>
              <w:bottom w:val="single" w:color="000000" w:sz="4" w:space="0"/>
              <w:right w:val="nil"/>
            </w:tcBorders>
          </w:tcPr>
          <w:p>
            <w:pPr>
              <w:widowControl/>
              <w:jc w:val="right"/>
              <w:textAlignment w:val="center"/>
              <w:rPr>
                <w:rFonts w:ascii="宋体" w:hAnsi="宋体" w:cs="宋体"/>
                <w:color w:val="000000"/>
                <w:kern w:val="0"/>
                <w:sz w:val="18"/>
                <w:szCs w:val="18"/>
              </w:rPr>
            </w:pPr>
          </w:p>
        </w:tc>
        <w:tc>
          <w:tcPr>
            <w:tcW w:w="8584" w:type="dxa"/>
            <w:gridSpan w:val="12"/>
            <w:tcBorders>
              <w:top w:val="nil"/>
              <w:left w:val="nil"/>
              <w:bottom w:val="single" w:color="000000" w:sz="4" w:space="0"/>
              <w:right w:val="nil"/>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单位：万元</w:t>
            </w:r>
          </w:p>
        </w:tc>
      </w:tr>
      <w:tr>
        <w:tblPrEx>
          <w:tblCellMar>
            <w:top w:w="0" w:type="dxa"/>
            <w:left w:w="108" w:type="dxa"/>
            <w:bottom w:w="0" w:type="dxa"/>
            <w:right w:w="108" w:type="dxa"/>
          </w:tblCellMar>
        </w:tblPrEx>
        <w:trPr>
          <w:trHeight w:val="569" w:hRule="atLeast"/>
        </w:trPr>
        <w:tc>
          <w:tcPr>
            <w:tcW w:w="40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部门名称</w:t>
            </w:r>
          </w:p>
        </w:tc>
        <w:tc>
          <w:tcPr>
            <w:tcW w:w="93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18"/>
                <w:szCs w:val="18"/>
              </w:rPr>
            </w:pPr>
          </w:p>
        </w:tc>
        <w:tc>
          <w:tcPr>
            <w:tcW w:w="45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大竹县石桥铺镇新生小学部门</w:t>
            </w:r>
          </w:p>
        </w:tc>
      </w:tr>
      <w:tr>
        <w:tblPrEx>
          <w:tblCellMar>
            <w:top w:w="0" w:type="dxa"/>
            <w:left w:w="108" w:type="dxa"/>
            <w:bottom w:w="0" w:type="dxa"/>
            <w:right w:w="108" w:type="dxa"/>
          </w:tblCellMar>
        </w:tblPrEx>
        <w:trPr>
          <w:trHeight w:val="569" w:hRule="atLeast"/>
        </w:trPr>
        <w:tc>
          <w:tcPr>
            <w:tcW w:w="14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年度部门整体支出预算</w:t>
            </w:r>
          </w:p>
        </w:tc>
        <w:tc>
          <w:tcPr>
            <w:tcW w:w="25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资金总额</w:t>
            </w:r>
          </w:p>
        </w:tc>
        <w:tc>
          <w:tcPr>
            <w:tcW w:w="23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财政拨款</w:t>
            </w:r>
          </w:p>
        </w:tc>
        <w:tc>
          <w:tcPr>
            <w:tcW w:w="1348" w:type="dxa"/>
            <w:gridSpan w:val="2"/>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18"/>
                <w:szCs w:val="18"/>
              </w:rPr>
            </w:pPr>
          </w:p>
        </w:tc>
        <w:tc>
          <w:tcPr>
            <w:tcW w:w="1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r>
      <w:tr>
        <w:tblPrEx>
          <w:tblCellMar>
            <w:top w:w="0" w:type="dxa"/>
            <w:left w:w="108" w:type="dxa"/>
            <w:bottom w:w="0" w:type="dxa"/>
            <w:right w:w="108" w:type="dxa"/>
          </w:tblCellMar>
        </w:tblPrEx>
        <w:trPr>
          <w:trHeight w:val="569" w:hRule="atLeast"/>
        </w:trPr>
        <w:tc>
          <w:tcPr>
            <w:tcW w:w="14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5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545.76</w:t>
            </w:r>
          </w:p>
        </w:tc>
        <w:tc>
          <w:tcPr>
            <w:tcW w:w="23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545.76</w:t>
            </w:r>
          </w:p>
        </w:tc>
        <w:tc>
          <w:tcPr>
            <w:tcW w:w="1348" w:type="dxa"/>
            <w:gridSpan w:val="2"/>
            <w:tcBorders>
              <w:top w:val="single" w:color="000000" w:sz="4" w:space="0"/>
              <w:left w:val="single" w:color="000000" w:sz="4" w:space="0"/>
              <w:bottom w:val="single" w:color="000000" w:sz="4" w:space="0"/>
              <w:right w:val="single" w:color="000000" w:sz="4" w:space="0"/>
            </w:tcBorders>
          </w:tcPr>
          <w:p>
            <w:pPr>
              <w:widowControl/>
              <w:jc w:val="right"/>
              <w:textAlignment w:val="center"/>
              <w:rPr>
                <w:rFonts w:ascii="宋体" w:hAnsi="宋体" w:cs="宋体"/>
                <w:color w:val="000000"/>
                <w:kern w:val="0"/>
                <w:sz w:val="18"/>
                <w:szCs w:val="18"/>
              </w:rPr>
            </w:pPr>
          </w:p>
        </w:tc>
        <w:tc>
          <w:tcPr>
            <w:tcW w:w="1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0.00</w:t>
            </w:r>
          </w:p>
        </w:tc>
      </w:tr>
      <w:tr>
        <w:tblPrEx>
          <w:tblCellMar>
            <w:top w:w="0" w:type="dxa"/>
            <w:left w:w="108" w:type="dxa"/>
            <w:bottom w:w="0" w:type="dxa"/>
            <w:right w:w="108" w:type="dxa"/>
          </w:tblCellMar>
        </w:tblPrEx>
        <w:trPr>
          <w:trHeight w:val="1145" w:hRule="atLeast"/>
        </w:trPr>
        <w:tc>
          <w:tcPr>
            <w:tcW w:w="1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年度总体目标</w:t>
            </w:r>
          </w:p>
        </w:tc>
        <w:tc>
          <w:tcPr>
            <w:tcW w:w="1112"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 w:val="18"/>
                <w:szCs w:val="18"/>
              </w:rPr>
            </w:pPr>
          </w:p>
        </w:tc>
        <w:tc>
          <w:tcPr>
            <w:tcW w:w="69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保障在职33人，退休35人，遗属2人的正常经费运转；坚决执行党和国家的教育方针政策，尤其关注留守儿童，残疾 学生的成长和教育；管好用好国家的教育资金，改善和优化农村的办学条件；把教育教学质量放在首位，提高教师从教的幸福感，办人民满意的素质教育。</w:t>
            </w:r>
          </w:p>
        </w:tc>
      </w:tr>
      <w:tr>
        <w:tblPrEx>
          <w:tblCellMar>
            <w:top w:w="0" w:type="dxa"/>
            <w:left w:w="108" w:type="dxa"/>
            <w:bottom w:w="0" w:type="dxa"/>
            <w:right w:w="108" w:type="dxa"/>
          </w:tblCellMar>
        </w:tblPrEx>
        <w:trPr>
          <w:trHeight w:val="569" w:hRule="atLeast"/>
        </w:trPr>
        <w:tc>
          <w:tcPr>
            <w:tcW w:w="14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年度主要任务</w:t>
            </w:r>
          </w:p>
        </w:tc>
        <w:tc>
          <w:tcPr>
            <w:tcW w:w="25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任务名称</w:t>
            </w:r>
          </w:p>
        </w:tc>
        <w:tc>
          <w:tcPr>
            <w:tcW w:w="93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18"/>
                <w:szCs w:val="18"/>
              </w:rPr>
            </w:pPr>
          </w:p>
        </w:tc>
        <w:tc>
          <w:tcPr>
            <w:tcW w:w="45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主要内容</w:t>
            </w:r>
          </w:p>
        </w:tc>
      </w:tr>
      <w:tr>
        <w:tblPrEx>
          <w:tblCellMar>
            <w:top w:w="0" w:type="dxa"/>
            <w:left w:w="108" w:type="dxa"/>
            <w:bottom w:w="0" w:type="dxa"/>
            <w:right w:w="108" w:type="dxa"/>
          </w:tblCellMar>
        </w:tblPrEx>
        <w:trPr>
          <w:trHeight w:val="569" w:hRule="atLeast"/>
        </w:trPr>
        <w:tc>
          <w:tcPr>
            <w:tcW w:w="14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5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学校教育教学改革</w:t>
            </w:r>
          </w:p>
        </w:tc>
        <w:tc>
          <w:tcPr>
            <w:tcW w:w="932"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 w:val="18"/>
                <w:szCs w:val="18"/>
              </w:rPr>
            </w:pPr>
          </w:p>
        </w:tc>
        <w:tc>
          <w:tcPr>
            <w:tcW w:w="45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大竹县教育局的领导下，努力推进教育教学的改革发展，办人民满意的学校。</w:t>
            </w:r>
          </w:p>
        </w:tc>
      </w:tr>
      <w:tr>
        <w:tblPrEx>
          <w:tblCellMar>
            <w:top w:w="0" w:type="dxa"/>
            <w:left w:w="108" w:type="dxa"/>
            <w:bottom w:w="0" w:type="dxa"/>
            <w:right w:w="108" w:type="dxa"/>
          </w:tblCellMar>
        </w:tblPrEx>
        <w:trPr>
          <w:trHeight w:val="569" w:hRule="atLeast"/>
        </w:trPr>
        <w:tc>
          <w:tcPr>
            <w:tcW w:w="14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5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教育均衡发展</w:t>
            </w:r>
          </w:p>
        </w:tc>
        <w:tc>
          <w:tcPr>
            <w:tcW w:w="932"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 w:val="18"/>
                <w:szCs w:val="18"/>
              </w:rPr>
            </w:pPr>
          </w:p>
        </w:tc>
        <w:tc>
          <w:tcPr>
            <w:tcW w:w="45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努力推进义务教育阶段均衡发展和教育公平，保证义务教育实施工作的顺利进行。</w:t>
            </w:r>
          </w:p>
        </w:tc>
      </w:tr>
      <w:tr>
        <w:tblPrEx>
          <w:tblCellMar>
            <w:top w:w="0" w:type="dxa"/>
            <w:left w:w="108" w:type="dxa"/>
            <w:bottom w:w="0" w:type="dxa"/>
            <w:right w:w="108" w:type="dxa"/>
          </w:tblCellMar>
        </w:tblPrEx>
        <w:trPr>
          <w:trHeight w:val="569" w:hRule="atLeast"/>
        </w:trPr>
        <w:tc>
          <w:tcPr>
            <w:tcW w:w="14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5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教师队伍建设</w:t>
            </w:r>
          </w:p>
        </w:tc>
        <w:tc>
          <w:tcPr>
            <w:tcW w:w="932"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 w:val="18"/>
                <w:szCs w:val="18"/>
              </w:rPr>
            </w:pPr>
          </w:p>
        </w:tc>
        <w:tc>
          <w:tcPr>
            <w:tcW w:w="45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注重教师自身素质的培养和业务能力的提高，打造一支本领过硬的教师队伍。</w:t>
            </w:r>
          </w:p>
        </w:tc>
      </w:tr>
      <w:tr>
        <w:tblPrEx>
          <w:tblCellMar>
            <w:top w:w="0" w:type="dxa"/>
            <w:left w:w="108" w:type="dxa"/>
            <w:bottom w:w="0" w:type="dxa"/>
            <w:right w:w="108" w:type="dxa"/>
          </w:tblCellMar>
        </w:tblPrEx>
        <w:trPr>
          <w:trHeight w:val="569" w:hRule="atLeast"/>
        </w:trPr>
        <w:tc>
          <w:tcPr>
            <w:tcW w:w="14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5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学校形象提升</w:t>
            </w:r>
          </w:p>
        </w:tc>
        <w:tc>
          <w:tcPr>
            <w:tcW w:w="932"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 w:val="18"/>
                <w:szCs w:val="18"/>
              </w:rPr>
            </w:pPr>
          </w:p>
        </w:tc>
        <w:tc>
          <w:tcPr>
            <w:tcW w:w="45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严格管理，注重教学质量的稳中求进，继续抓好科技创新工作，努力提升学校在社会上的满意度。</w:t>
            </w:r>
          </w:p>
        </w:tc>
      </w:tr>
      <w:tr>
        <w:tblPrEx>
          <w:tblCellMar>
            <w:top w:w="0" w:type="dxa"/>
            <w:left w:w="108" w:type="dxa"/>
            <w:bottom w:w="0" w:type="dxa"/>
            <w:right w:w="108" w:type="dxa"/>
          </w:tblCellMar>
        </w:tblPrEx>
        <w:trPr>
          <w:trHeight w:val="569" w:hRule="atLeast"/>
        </w:trPr>
        <w:tc>
          <w:tcPr>
            <w:tcW w:w="14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年度绩效指标</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绩效指标性质</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绩效指标值</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绩效度量单位</w:t>
            </w:r>
          </w:p>
        </w:tc>
        <w:tc>
          <w:tcPr>
            <w:tcW w:w="56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权重</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实际完成指标值</w:t>
            </w:r>
          </w:p>
        </w:tc>
      </w:tr>
      <w:tr>
        <w:tblPrEx>
          <w:tblCellMar>
            <w:top w:w="0" w:type="dxa"/>
            <w:left w:w="108" w:type="dxa"/>
            <w:bottom w:w="0" w:type="dxa"/>
            <w:right w:w="108" w:type="dxa"/>
          </w:tblCellMar>
        </w:tblPrEx>
        <w:trPr>
          <w:trHeight w:val="569" w:hRule="atLeast"/>
        </w:trPr>
        <w:tc>
          <w:tcPr>
            <w:tcW w:w="14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教师培训合格率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lang w:val="en-US" w:eastAsia="zh-CN"/>
              </w:rPr>
            </w:pPr>
            <w:r>
              <w:rPr>
                <w:rFonts w:ascii="宋体" w:hAnsi="宋体" w:cs="宋体"/>
                <w:color w:val="000000"/>
                <w:kern w:val="0"/>
                <w:sz w:val="18"/>
                <w:szCs w:val="18"/>
              </w:rPr>
              <w:t>10</w:t>
            </w:r>
            <w:r>
              <w:rPr>
                <w:rFonts w:hint="eastAsia" w:ascii="宋体" w:hAnsi="宋体" w:cs="宋体"/>
                <w:color w:val="000000"/>
                <w:kern w:val="0"/>
                <w:sz w:val="18"/>
                <w:szCs w:val="18"/>
                <w:lang w:val="en-US" w:eastAsia="zh-CN"/>
              </w:rPr>
              <w:t>0</w:t>
            </w:r>
          </w:p>
        </w:tc>
      </w:tr>
      <w:tr>
        <w:tblPrEx>
          <w:tblCellMar>
            <w:top w:w="0" w:type="dxa"/>
            <w:left w:w="108" w:type="dxa"/>
            <w:bottom w:w="0" w:type="dxa"/>
            <w:right w:w="108" w:type="dxa"/>
          </w:tblCellMar>
        </w:tblPrEx>
        <w:trPr>
          <w:trHeight w:val="569" w:hRule="atLeast"/>
        </w:trPr>
        <w:tc>
          <w:tcPr>
            <w:tcW w:w="14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稳住学生人数；学生减少人数</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2</w:t>
            </w:r>
          </w:p>
        </w:tc>
      </w:tr>
      <w:tr>
        <w:tblPrEx>
          <w:tblCellMar>
            <w:top w:w="0" w:type="dxa"/>
            <w:left w:w="108" w:type="dxa"/>
            <w:bottom w:w="0" w:type="dxa"/>
            <w:right w:w="108" w:type="dxa"/>
          </w:tblCellMar>
        </w:tblPrEx>
        <w:trPr>
          <w:trHeight w:val="569" w:hRule="atLeast"/>
        </w:trPr>
        <w:tc>
          <w:tcPr>
            <w:tcW w:w="14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教学质量稳步提升，全校合格率在上学年度的基础上提高</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6</w:t>
            </w:r>
          </w:p>
        </w:tc>
      </w:tr>
      <w:tr>
        <w:tblPrEx>
          <w:tblCellMar>
            <w:top w:w="0" w:type="dxa"/>
            <w:left w:w="108" w:type="dxa"/>
            <w:bottom w:w="0" w:type="dxa"/>
            <w:right w:w="108" w:type="dxa"/>
          </w:tblCellMar>
        </w:tblPrEx>
        <w:trPr>
          <w:trHeight w:val="569" w:hRule="atLeast"/>
        </w:trPr>
        <w:tc>
          <w:tcPr>
            <w:tcW w:w="14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校园安全稳定，严重安全事故发生率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0</w:t>
            </w:r>
          </w:p>
        </w:tc>
      </w:tr>
      <w:tr>
        <w:tblPrEx>
          <w:tblCellMar>
            <w:top w:w="0" w:type="dxa"/>
            <w:left w:w="108" w:type="dxa"/>
            <w:bottom w:w="0" w:type="dxa"/>
            <w:right w:w="108" w:type="dxa"/>
          </w:tblCellMar>
        </w:tblPrEx>
        <w:trPr>
          <w:trHeight w:val="569" w:hRule="atLeast"/>
        </w:trPr>
        <w:tc>
          <w:tcPr>
            <w:tcW w:w="14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教师能力训练培训</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37</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人次</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rPr>
              <w:t>50</w:t>
            </w:r>
          </w:p>
        </w:tc>
      </w:tr>
      <w:tr>
        <w:tblPrEx>
          <w:tblCellMar>
            <w:top w:w="0" w:type="dxa"/>
            <w:left w:w="108" w:type="dxa"/>
            <w:bottom w:w="0" w:type="dxa"/>
            <w:right w:w="108" w:type="dxa"/>
          </w:tblCellMar>
        </w:tblPrEx>
        <w:trPr>
          <w:trHeight w:val="569" w:hRule="atLeast"/>
        </w:trPr>
        <w:tc>
          <w:tcPr>
            <w:tcW w:w="14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稳住学生人数，减少流失，稳住公用经费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250000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元/年</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250000</w:t>
            </w:r>
          </w:p>
        </w:tc>
      </w:tr>
      <w:tr>
        <w:tblPrEx>
          <w:tblCellMar>
            <w:top w:w="0" w:type="dxa"/>
            <w:left w:w="108" w:type="dxa"/>
            <w:bottom w:w="0" w:type="dxa"/>
            <w:right w:w="108" w:type="dxa"/>
          </w:tblCellMar>
        </w:tblPrEx>
        <w:trPr>
          <w:trHeight w:val="569" w:hRule="atLeast"/>
        </w:trPr>
        <w:tc>
          <w:tcPr>
            <w:tcW w:w="14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狠抓教学质量，力争学生水平检测合格率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90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rPr>
              <w:t>95</w:t>
            </w:r>
          </w:p>
        </w:tc>
      </w:tr>
      <w:tr>
        <w:tblPrEx>
          <w:tblCellMar>
            <w:top w:w="0" w:type="dxa"/>
            <w:left w:w="108" w:type="dxa"/>
            <w:bottom w:w="0" w:type="dxa"/>
            <w:right w:w="108" w:type="dxa"/>
          </w:tblCellMar>
        </w:tblPrEx>
        <w:trPr>
          <w:trHeight w:val="569" w:hRule="atLeast"/>
        </w:trPr>
        <w:tc>
          <w:tcPr>
            <w:tcW w:w="14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学生、家长、‘社会’认可</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95</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rPr>
              <w:t>9</w:t>
            </w:r>
            <w:r>
              <w:rPr>
                <w:rFonts w:hint="eastAsia" w:ascii="宋体" w:hAnsi="宋体" w:cs="宋体"/>
                <w:color w:val="000000"/>
                <w:kern w:val="0"/>
                <w:sz w:val="18"/>
                <w:szCs w:val="18"/>
                <w:lang w:val="en-US" w:eastAsia="zh-CN"/>
              </w:rPr>
              <w:t>5</w:t>
            </w:r>
          </w:p>
        </w:tc>
      </w:tr>
      <w:tr>
        <w:tblPrEx>
          <w:tblCellMar>
            <w:top w:w="0" w:type="dxa"/>
            <w:left w:w="108" w:type="dxa"/>
            <w:bottom w:w="0" w:type="dxa"/>
            <w:right w:w="108" w:type="dxa"/>
          </w:tblCellMar>
        </w:tblPrEx>
        <w:trPr>
          <w:trHeight w:val="569" w:hRule="atLeast"/>
        </w:trPr>
        <w:tc>
          <w:tcPr>
            <w:tcW w:w="14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经济成本指标</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节能减排，水电气等耗材逐年减少</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3</w:t>
            </w:r>
            <w:bookmarkStart w:id="67" w:name="_GoBack"/>
            <w:bookmarkEnd w:id="67"/>
          </w:p>
        </w:tc>
      </w:tr>
    </w:tbl>
    <w:p>
      <w:pPr>
        <w:spacing w:line="600" w:lineRule="exact"/>
        <w:jc w:val="center"/>
        <w:outlineLvl w:val="0"/>
        <w:rPr>
          <w:rFonts w:ascii="宋体" w:hAnsi="宋体" w:cs="宋体"/>
          <w:kern w:val="0"/>
          <w:sz w:val="32"/>
          <w:szCs w:val="32"/>
        </w:rPr>
      </w:pPr>
    </w:p>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仿宋_GB2312" w:hAnsi="Calibri" w:eastAsia="仿宋_GB2312" w:cs="仿宋"/>
          <w:kern w:val="0"/>
          <w:sz w:val="32"/>
          <w:szCs w:val="32"/>
        </w:rPr>
      </w:pPr>
      <w:bookmarkStart w:id="53" w:name="_Toc15396618"/>
      <w:r>
        <w:rPr>
          <w:rFonts w:hint="eastAsia" w:ascii="宋体" w:hAnsi="宋体" w:cs="宋体"/>
          <w:kern w:val="0"/>
          <w:sz w:val="32"/>
          <w:szCs w:val="32"/>
        </w:rPr>
        <w:t>部门预算项目支出绩效自评表（2023年度）</w:t>
      </w:r>
    </w:p>
    <w:tbl>
      <w:tblPr>
        <w:tblStyle w:val="12"/>
        <w:tblW w:w="9390" w:type="dxa"/>
        <w:tblInd w:w="93" w:type="dxa"/>
        <w:tblLayout w:type="autofit"/>
        <w:tblCellMar>
          <w:top w:w="0" w:type="dxa"/>
          <w:left w:w="108" w:type="dxa"/>
          <w:bottom w:w="0" w:type="dxa"/>
          <w:right w:w="108" w:type="dxa"/>
        </w:tblCellMar>
      </w:tblPr>
      <w:tblGrid>
        <w:gridCol w:w="683"/>
        <w:gridCol w:w="1326"/>
        <w:gridCol w:w="1506"/>
        <w:gridCol w:w="1452"/>
        <w:gridCol w:w="520"/>
        <w:gridCol w:w="554"/>
        <w:gridCol w:w="520"/>
        <w:gridCol w:w="959"/>
        <w:gridCol w:w="505"/>
        <w:gridCol w:w="486"/>
        <w:gridCol w:w="879"/>
      </w:tblGrid>
      <w:tr>
        <w:tblPrEx>
          <w:tblCellMar>
            <w:top w:w="0" w:type="dxa"/>
            <w:left w:w="108" w:type="dxa"/>
            <w:bottom w:w="0" w:type="dxa"/>
            <w:right w:w="108" w:type="dxa"/>
          </w:tblCellMar>
        </w:tblPrEx>
        <w:trPr>
          <w:trHeight w:val="286"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51172421R000000067491-离退休人员经费（大竹）</w:t>
            </w:r>
          </w:p>
        </w:tc>
      </w:tr>
      <w:tr>
        <w:tblPrEx>
          <w:tblCellMar>
            <w:top w:w="0" w:type="dxa"/>
            <w:left w:w="108" w:type="dxa"/>
            <w:bottom w:w="0" w:type="dxa"/>
            <w:right w:w="108" w:type="dxa"/>
          </w:tblCellMar>
        </w:tblPrEx>
        <w:trPr>
          <w:trHeight w:val="512"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大竹县石桥铺镇新生小学部门</w:t>
            </w:r>
          </w:p>
        </w:tc>
        <w:tc>
          <w:tcPr>
            <w:tcW w:w="959"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大竹县石桥铺镇新生小学</w:t>
            </w:r>
          </w:p>
        </w:tc>
      </w:tr>
      <w:tr>
        <w:tblPrEx>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严格执行相关政策，保障工资及时、足额发放或社保及时、足额缴纳，预算编制科学合理，减少结余资金。</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严格执行相关政策，保障工资及时、足额发放或社保及时、足额缴纳。</w:t>
            </w:r>
          </w:p>
        </w:tc>
      </w:tr>
      <w:tr>
        <w:tblPrEx>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54.67</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72.56</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72.56</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54.67</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72.56</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72.56</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发放（缴纳）覆盖率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足额保障率（参保率）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项目自评总分达到100分。通过实施，项目达到了预期目标，解决了实际问题，取得了显著成果。</w:t>
            </w:r>
          </w:p>
        </w:tc>
      </w:tr>
      <w:tr>
        <w:tblPrEx>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54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项目负责人：李瑞良</w:t>
            </w:r>
          </w:p>
        </w:tc>
        <w:tc>
          <w:tcPr>
            <w:tcW w:w="3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财务负责人：叶邦华</w:t>
            </w:r>
          </w:p>
        </w:tc>
      </w:tr>
      <w:tr>
        <w:tblPrEx>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5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5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0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79"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93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6"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51172421R000000067497-遗属人员经费</w:t>
            </w:r>
          </w:p>
        </w:tc>
      </w:tr>
      <w:tr>
        <w:tblPrEx>
          <w:tblCellMar>
            <w:top w:w="0" w:type="dxa"/>
            <w:left w:w="108" w:type="dxa"/>
            <w:bottom w:w="0" w:type="dxa"/>
            <w:right w:w="108" w:type="dxa"/>
          </w:tblCellMar>
        </w:tblPrEx>
        <w:trPr>
          <w:trHeight w:val="512"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大竹县石桥铺镇新生小学部门</w:t>
            </w:r>
          </w:p>
        </w:tc>
        <w:tc>
          <w:tcPr>
            <w:tcW w:w="959"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大竹县石桥铺镇新生小学</w:t>
            </w:r>
          </w:p>
        </w:tc>
      </w:tr>
      <w:tr>
        <w:tblPrEx>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严格执行相关政策，保障工资及时、足额发放或社保及时、足额缴纳，预算编制科学合理，减少结余资金。</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严格执行相关政策，保障工资及时、足额发放或社保及时、足额缴纳。</w:t>
            </w:r>
          </w:p>
        </w:tc>
      </w:tr>
      <w:tr>
        <w:tblPrEx>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1.85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1.85</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1.85</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1.85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1.85</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1.85</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发放（缴纳）覆盖率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足额保障率（参保率）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项目自评总分达到100分。通过实施，项目达到了预期目标，解决了实际问题，取得了显著成果。</w:t>
            </w:r>
          </w:p>
        </w:tc>
      </w:tr>
      <w:tr>
        <w:tblPrEx>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54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项目负责人：李瑞良</w:t>
            </w:r>
          </w:p>
        </w:tc>
        <w:tc>
          <w:tcPr>
            <w:tcW w:w="3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财务负责人：叶邦华</w:t>
            </w:r>
          </w:p>
        </w:tc>
      </w:tr>
      <w:tr>
        <w:tblPrEx>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5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5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0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79"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93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6"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51172421R000000068126-基本养老保险（事业）</w:t>
            </w:r>
          </w:p>
        </w:tc>
      </w:tr>
      <w:tr>
        <w:tblPrEx>
          <w:tblCellMar>
            <w:top w:w="0" w:type="dxa"/>
            <w:left w:w="108" w:type="dxa"/>
            <w:bottom w:w="0" w:type="dxa"/>
            <w:right w:w="108" w:type="dxa"/>
          </w:tblCellMar>
        </w:tblPrEx>
        <w:trPr>
          <w:trHeight w:val="512"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大竹县石桥铺镇新生小学部门</w:t>
            </w:r>
          </w:p>
        </w:tc>
        <w:tc>
          <w:tcPr>
            <w:tcW w:w="959"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大竹县石桥铺镇新生小学</w:t>
            </w:r>
          </w:p>
        </w:tc>
      </w:tr>
      <w:tr>
        <w:tblPrEx>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严格执行相关政策，保障工资及时、足额发放或社保及时、足额缴纳，预算编制科学合理，减少结余资金。</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严格执行相关政策，保障工资及时、足额发放或社保及时、足额缴纳。</w:t>
            </w:r>
          </w:p>
        </w:tc>
      </w:tr>
      <w:tr>
        <w:tblPrEx>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51.82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26.99</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26.99</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51.82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26.99</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26.99</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发放（缴纳）覆盖率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足额保障率（参保率）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项目自评总分达到100分。通过实施，项目达到了预期目标，解决了实际问题，取得了显著成果。</w:t>
            </w:r>
          </w:p>
        </w:tc>
      </w:tr>
      <w:tr>
        <w:tblPrEx>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54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项目负责人：李瑞良</w:t>
            </w:r>
          </w:p>
        </w:tc>
        <w:tc>
          <w:tcPr>
            <w:tcW w:w="3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财务负责人：叶邦华</w:t>
            </w:r>
          </w:p>
        </w:tc>
      </w:tr>
      <w:tr>
        <w:tblPrEx>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5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5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0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79"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93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6"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51172421R000000068127-基本医疗保险（含生育保险）（事业）</w:t>
            </w:r>
          </w:p>
        </w:tc>
      </w:tr>
      <w:tr>
        <w:tblPrEx>
          <w:tblCellMar>
            <w:top w:w="0" w:type="dxa"/>
            <w:left w:w="108" w:type="dxa"/>
            <w:bottom w:w="0" w:type="dxa"/>
            <w:right w:w="108" w:type="dxa"/>
          </w:tblCellMar>
        </w:tblPrEx>
        <w:trPr>
          <w:trHeight w:val="512"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大竹县石桥铺镇新生小学部门</w:t>
            </w:r>
          </w:p>
        </w:tc>
        <w:tc>
          <w:tcPr>
            <w:tcW w:w="959"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大竹县石桥铺镇新生小学</w:t>
            </w:r>
          </w:p>
        </w:tc>
      </w:tr>
      <w:tr>
        <w:tblPrEx>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严格执行相关政策，保障工资及时、足额发放或社保及时、足额缴纳，预算编制科学合理，减少结余资金。</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严格执行相关政策，保障工资及时、足额发放或社保及时、足额缴纳。</w:t>
            </w:r>
          </w:p>
        </w:tc>
      </w:tr>
      <w:tr>
        <w:tblPrEx>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18.71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24.77</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24.77</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18.71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24.77</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24.77</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发放（缴纳）覆盖率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足额保障率（参保率）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项目自评总分达到100分。通过实施，项目达到了预期目标，解决了实际问题，取得了显著成果。</w:t>
            </w:r>
          </w:p>
        </w:tc>
      </w:tr>
      <w:tr>
        <w:tblPrEx>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54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项目负责人：李瑞良</w:t>
            </w:r>
          </w:p>
        </w:tc>
        <w:tc>
          <w:tcPr>
            <w:tcW w:w="3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财务负责人：叶邦华</w:t>
            </w:r>
          </w:p>
        </w:tc>
      </w:tr>
      <w:tr>
        <w:tblPrEx>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5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5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0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79"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93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6"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51172421R000000068129-补充医疗保险（事业）</w:t>
            </w:r>
          </w:p>
        </w:tc>
      </w:tr>
      <w:tr>
        <w:tblPrEx>
          <w:tblCellMar>
            <w:top w:w="0" w:type="dxa"/>
            <w:left w:w="108" w:type="dxa"/>
            <w:bottom w:w="0" w:type="dxa"/>
            <w:right w:w="108" w:type="dxa"/>
          </w:tblCellMar>
        </w:tblPrEx>
        <w:trPr>
          <w:trHeight w:val="512"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大竹县石桥铺镇新生小学部门</w:t>
            </w:r>
          </w:p>
        </w:tc>
        <w:tc>
          <w:tcPr>
            <w:tcW w:w="959"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大竹县石桥铺镇新生小学</w:t>
            </w:r>
          </w:p>
        </w:tc>
      </w:tr>
      <w:tr>
        <w:tblPrEx>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严格执行相关政策，保障工资及时、足额发放或社保及时、足额缴纳，预算编制科学合理，减少结余资金。</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严格执行相关政策，保障工资及时、足额发放或社保及时、足额缴纳。</w:t>
            </w:r>
          </w:p>
        </w:tc>
      </w:tr>
      <w:tr>
        <w:tblPrEx>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1.60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1.60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1.60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1.60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1.60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1.60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发放（缴纳）覆盖率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足额保障率（参保率）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项目自评总分达到100分。通过实施，项目达到了预期目标，解决了实际问题，取得了显著成果。</w:t>
            </w:r>
          </w:p>
        </w:tc>
      </w:tr>
      <w:tr>
        <w:tblPrEx>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54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项目负责人：李瑞良</w:t>
            </w:r>
          </w:p>
        </w:tc>
        <w:tc>
          <w:tcPr>
            <w:tcW w:w="3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财务负责人：叶邦华</w:t>
            </w:r>
          </w:p>
        </w:tc>
      </w:tr>
      <w:tr>
        <w:tblPrEx>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5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5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0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79"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93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6"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51172421R000000068130-住房公积金（事业）</w:t>
            </w:r>
          </w:p>
        </w:tc>
      </w:tr>
      <w:tr>
        <w:tblPrEx>
          <w:tblCellMar>
            <w:top w:w="0" w:type="dxa"/>
            <w:left w:w="108" w:type="dxa"/>
            <w:bottom w:w="0" w:type="dxa"/>
            <w:right w:w="108" w:type="dxa"/>
          </w:tblCellMar>
        </w:tblPrEx>
        <w:trPr>
          <w:trHeight w:val="512"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大竹县石桥铺镇新生小学部门</w:t>
            </w:r>
          </w:p>
        </w:tc>
        <w:tc>
          <w:tcPr>
            <w:tcW w:w="959"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大竹县石桥铺镇新生小学</w:t>
            </w:r>
          </w:p>
        </w:tc>
      </w:tr>
      <w:tr>
        <w:tblPrEx>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严格执行相关政策，保障工资及时、足额发放或社保及时、足额缴纳，预算编制科学合理，减少结余资金。</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严格执行相关政策，保障工资及时、足额发放或社保及时、足额缴纳。</w:t>
            </w:r>
          </w:p>
        </w:tc>
      </w:tr>
      <w:tr>
        <w:tblPrEx>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41.72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41.53</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41.53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41.72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41.53</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41.53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发放（缴纳）覆盖率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足额保障率（参保率）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项目自评总分达到100分。通过实施，项目达到了预期目标，解决了实际问题，取得了显著成果。</w:t>
            </w:r>
          </w:p>
        </w:tc>
      </w:tr>
      <w:tr>
        <w:tblPrEx>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54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项目负责人：李瑞良</w:t>
            </w:r>
          </w:p>
        </w:tc>
        <w:tc>
          <w:tcPr>
            <w:tcW w:w="3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财务负责人：叶邦华</w:t>
            </w:r>
          </w:p>
        </w:tc>
      </w:tr>
      <w:tr>
        <w:tblPrEx>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5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5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0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79"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93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6"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51172421R000000068139-小学教育人员经费（事业）</w:t>
            </w:r>
          </w:p>
        </w:tc>
      </w:tr>
      <w:tr>
        <w:tblPrEx>
          <w:tblCellMar>
            <w:top w:w="0" w:type="dxa"/>
            <w:left w:w="108" w:type="dxa"/>
            <w:bottom w:w="0" w:type="dxa"/>
            <w:right w:w="108" w:type="dxa"/>
          </w:tblCellMar>
        </w:tblPrEx>
        <w:trPr>
          <w:trHeight w:val="512"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大竹县石桥铺镇新生小学部门</w:t>
            </w:r>
          </w:p>
        </w:tc>
        <w:tc>
          <w:tcPr>
            <w:tcW w:w="959"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大竹县石桥铺镇新生小学</w:t>
            </w:r>
          </w:p>
        </w:tc>
      </w:tr>
      <w:tr>
        <w:tblPrEx>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严格执行相关政策，保障工资及时、足额发放或社保及时、足额缴纳，预算编制科学合理，减少结余资金。</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严格执行相关政策，保障工资及时、足额发放或社保及时、足额缴纳。</w:t>
            </w:r>
          </w:p>
        </w:tc>
      </w:tr>
      <w:tr>
        <w:tblPrEx>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347.66</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322.90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322.90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347.66</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322.90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322.90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发放（缴纳）覆盖率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足额保障率（参保率）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r>
              <w:rPr>
                <w:rFonts w:hint="eastAsia" w:ascii="宋体" w:hAnsi="宋体" w:cs="宋体"/>
                <w:color w:val="000000"/>
                <w:sz w:val="18"/>
                <w:szCs w:val="18"/>
              </w:rPr>
              <w:t>100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项目自评总分达到100分。通过实施，项目达到了预期目标，解决了实际问题，取得了显著成果。</w:t>
            </w:r>
          </w:p>
        </w:tc>
      </w:tr>
      <w:tr>
        <w:tblPrEx>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54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项目负责人：李瑞良</w:t>
            </w:r>
          </w:p>
        </w:tc>
        <w:tc>
          <w:tcPr>
            <w:tcW w:w="3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财务负责人：叶邦华</w:t>
            </w:r>
          </w:p>
        </w:tc>
      </w:tr>
      <w:tr>
        <w:tblPrEx>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5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5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0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79"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93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6"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51172421R000000068140-初中教育人员经费（事业）</w:t>
            </w:r>
          </w:p>
        </w:tc>
      </w:tr>
      <w:tr>
        <w:tblPrEx>
          <w:tblCellMar>
            <w:top w:w="0" w:type="dxa"/>
            <w:left w:w="108" w:type="dxa"/>
            <w:bottom w:w="0" w:type="dxa"/>
            <w:right w:w="108" w:type="dxa"/>
          </w:tblCellMar>
        </w:tblPrEx>
        <w:trPr>
          <w:trHeight w:val="512"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大竹县石桥铺镇新生小学部门</w:t>
            </w:r>
          </w:p>
        </w:tc>
        <w:tc>
          <w:tcPr>
            <w:tcW w:w="959"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大竹县石桥铺镇新生小学</w:t>
            </w:r>
          </w:p>
        </w:tc>
      </w:tr>
      <w:tr>
        <w:tblPrEx>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严格执行相关政策，保障工资及时、足额发放或社保及时、足额缴纳，预算编制科学合理，减少结余资金</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严格执行相关政策，保障工资及时、足额发放或社保及时、足额缴纳。</w:t>
            </w:r>
          </w:p>
        </w:tc>
      </w:tr>
      <w:tr>
        <w:tblPrEx>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24.87</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24.87</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24.87</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24.87</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发放（缴纳）覆盖率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足额保障率（参保率）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项目自评总分达到100分。通过实施，项目达到了预期目标，解决了实际问题，取得了显著成果。</w:t>
            </w:r>
          </w:p>
        </w:tc>
      </w:tr>
      <w:tr>
        <w:tblPrEx>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54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项目负责人：李瑞良</w:t>
            </w:r>
          </w:p>
        </w:tc>
        <w:tc>
          <w:tcPr>
            <w:tcW w:w="3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财务负责人：叶邦华</w:t>
            </w:r>
          </w:p>
        </w:tc>
      </w:tr>
      <w:tr>
        <w:tblPrEx>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5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5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0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79"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93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6"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51172421Y000000067509-学校生均公用经费</w:t>
            </w:r>
          </w:p>
        </w:tc>
      </w:tr>
      <w:tr>
        <w:tblPrEx>
          <w:tblCellMar>
            <w:top w:w="0" w:type="dxa"/>
            <w:left w:w="108" w:type="dxa"/>
            <w:bottom w:w="0" w:type="dxa"/>
            <w:right w:w="108" w:type="dxa"/>
          </w:tblCellMar>
        </w:tblPrEx>
        <w:trPr>
          <w:trHeight w:val="512"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大竹县石桥铺镇新生小学部门</w:t>
            </w:r>
          </w:p>
        </w:tc>
        <w:tc>
          <w:tcPr>
            <w:tcW w:w="959"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大竹县石桥铺镇新生小学</w:t>
            </w:r>
          </w:p>
        </w:tc>
      </w:tr>
      <w:tr>
        <w:tblPrEx>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提高预算编制质量，严格执行预算，保障单位日常运转</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严格执行预算，保障单位日常运转，完成率100%</w:t>
            </w:r>
          </w:p>
        </w:tc>
      </w:tr>
      <w:tr>
        <w:tblPrEx>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9.98</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9.98</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9.98</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9.98</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科目调整次数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预算编制准确率（计算方法为：∣（执行数-预算数）/预算数∣）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904"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“三公经费”控制率[计算方法为：（三公经费实际支出数/预算安排数]×100%）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运转保障率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项目自评总分达到100分。通过实施，项目达到了预期目标，解决了实际问题，取得了显著成果。</w:t>
            </w:r>
          </w:p>
        </w:tc>
      </w:tr>
      <w:tr>
        <w:tblPrEx>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54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项目负责人：李瑞良</w:t>
            </w:r>
          </w:p>
        </w:tc>
        <w:tc>
          <w:tcPr>
            <w:tcW w:w="3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财务负责人：叶邦华</w:t>
            </w:r>
          </w:p>
        </w:tc>
      </w:tr>
      <w:tr>
        <w:tblPrEx>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5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5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0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79"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93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6"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51172421Y000000067526-非定额公用经费（大竹）</w:t>
            </w:r>
          </w:p>
        </w:tc>
      </w:tr>
      <w:tr>
        <w:tblPrEx>
          <w:tblCellMar>
            <w:top w:w="0" w:type="dxa"/>
            <w:left w:w="108" w:type="dxa"/>
            <w:bottom w:w="0" w:type="dxa"/>
            <w:right w:w="108" w:type="dxa"/>
          </w:tblCellMar>
        </w:tblPrEx>
        <w:trPr>
          <w:trHeight w:val="512"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大竹县石桥铺镇新生小学部门</w:t>
            </w:r>
          </w:p>
        </w:tc>
        <w:tc>
          <w:tcPr>
            <w:tcW w:w="959"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大竹县石桥铺镇新生小学</w:t>
            </w:r>
          </w:p>
        </w:tc>
      </w:tr>
      <w:tr>
        <w:tblPrEx>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提高预算编制质量，严格执行预算，保障单位日常运转</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严格执行预算，保障单位日常运转，完成率100%</w:t>
            </w:r>
          </w:p>
        </w:tc>
      </w:tr>
      <w:tr>
        <w:tblPrEx>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5.77</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5.77</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5.77</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5.77</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科目调整次数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预算编制准确率（计算方法为：∣（执行数-预算数）/预算数∣）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904"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“三公经费”控制率[计算方法为：（三公经费实际支出数/预算安排数]×100%）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运转保障率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项目自评总分达到100分。通过实施，项目达到了预期目标，解决了实际问题，取得了显著成果。</w:t>
            </w:r>
          </w:p>
        </w:tc>
      </w:tr>
      <w:tr>
        <w:tblPrEx>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54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项目负责人：李瑞良</w:t>
            </w:r>
          </w:p>
        </w:tc>
        <w:tc>
          <w:tcPr>
            <w:tcW w:w="3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财务负责人：叶邦华</w:t>
            </w:r>
          </w:p>
        </w:tc>
      </w:tr>
      <w:tr>
        <w:tblPrEx>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5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5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0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79"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93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6"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51172421Y000000067530-工会经费</w:t>
            </w:r>
          </w:p>
        </w:tc>
      </w:tr>
      <w:tr>
        <w:tblPrEx>
          <w:tblCellMar>
            <w:top w:w="0" w:type="dxa"/>
            <w:left w:w="108" w:type="dxa"/>
            <w:bottom w:w="0" w:type="dxa"/>
            <w:right w:w="108" w:type="dxa"/>
          </w:tblCellMar>
        </w:tblPrEx>
        <w:trPr>
          <w:trHeight w:val="512"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大竹县石桥铺镇新生小学部门</w:t>
            </w:r>
          </w:p>
        </w:tc>
        <w:tc>
          <w:tcPr>
            <w:tcW w:w="959"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大竹县石桥铺镇新生小学</w:t>
            </w:r>
          </w:p>
        </w:tc>
      </w:tr>
      <w:tr>
        <w:tblPrEx>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提高预算编制质量，严格执行预算，保障单位日常运转。</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严格执行预算，保障单位日常运转，完成率100%</w:t>
            </w:r>
          </w:p>
        </w:tc>
      </w:tr>
      <w:tr>
        <w:tblPrEx>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10.16</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7.95</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7.95</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10.16</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7.95</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7.95</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科目调整次数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预算编制准确率（计算方法为：∣（执行数-预算数）/预算数∣）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904"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“三公经费”控制率[计算方法为：（三公经费实际支出数/预算安排数]×100%）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运转保障率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项目自评总分达到100分。通过实施，项目达到了预期目标，解决了实际问题，取得了显著成果。</w:t>
            </w:r>
          </w:p>
        </w:tc>
      </w:tr>
      <w:tr>
        <w:tblPrEx>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54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项目负责人：李瑞良</w:t>
            </w:r>
          </w:p>
        </w:tc>
        <w:tc>
          <w:tcPr>
            <w:tcW w:w="3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财务负责人：叶邦华</w:t>
            </w:r>
          </w:p>
        </w:tc>
      </w:tr>
      <w:tr>
        <w:tblPrEx>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5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5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0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79"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93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6"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51172421Y000000067532-福利费</w:t>
            </w:r>
          </w:p>
        </w:tc>
      </w:tr>
      <w:tr>
        <w:tblPrEx>
          <w:tblCellMar>
            <w:top w:w="0" w:type="dxa"/>
            <w:left w:w="108" w:type="dxa"/>
            <w:bottom w:w="0" w:type="dxa"/>
            <w:right w:w="108" w:type="dxa"/>
          </w:tblCellMar>
        </w:tblPrEx>
        <w:trPr>
          <w:trHeight w:val="512"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大竹县石桥铺镇新生小学部门</w:t>
            </w:r>
          </w:p>
        </w:tc>
        <w:tc>
          <w:tcPr>
            <w:tcW w:w="959"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大竹县石桥铺镇新生小学</w:t>
            </w:r>
          </w:p>
        </w:tc>
      </w:tr>
      <w:tr>
        <w:tblPrEx>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提高预算编制质量，严格执行预算，保障单位日常运转。</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严格执行预算，保障单位日常运转，完成率100%</w:t>
            </w:r>
          </w:p>
        </w:tc>
      </w:tr>
      <w:tr>
        <w:tblPrEx>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10.40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12.75</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12.75</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10.40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12.75</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12.75</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科目调整次数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预算编制准确率（计算方法为：∣（执行数-预算数）/预算数∣）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904"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“三公经费”控制率[计算方法为：（三公经费实际支出数/预算安排数]×100%）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运转保障率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项目自评总分达到100分。通过实施，项目达到了预期目标，解决了实际问题，取得了显著成果。</w:t>
            </w:r>
          </w:p>
        </w:tc>
      </w:tr>
      <w:tr>
        <w:tblPrEx>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54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项目负责人：李瑞良</w:t>
            </w:r>
          </w:p>
        </w:tc>
        <w:tc>
          <w:tcPr>
            <w:tcW w:w="3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财务负责人：叶邦华</w:t>
            </w:r>
          </w:p>
        </w:tc>
      </w:tr>
      <w:tr>
        <w:tblPrEx>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5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5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0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79"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93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6"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51172421Y000000067533-党建经费</w:t>
            </w:r>
          </w:p>
        </w:tc>
      </w:tr>
      <w:tr>
        <w:tblPrEx>
          <w:tblCellMar>
            <w:top w:w="0" w:type="dxa"/>
            <w:left w:w="108" w:type="dxa"/>
            <w:bottom w:w="0" w:type="dxa"/>
            <w:right w:w="108" w:type="dxa"/>
          </w:tblCellMar>
        </w:tblPrEx>
        <w:trPr>
          <w:trHeight w:val="512"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大竹县石桥铺镇新生小学部门</w:t>
            </w:r>
          </w:p>
        </w:tc>
        <w:tc>
          <w:tcPr>
            <w:tcW w:w="959"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大竹县石桥铺镇新生小学</w:t>
            </w:r>
          </w:p>
        </w:tc>
      </w:tr>
      <w:tr>
        <w:tblPrEx>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提高预算编制质量，严格执行预算，保障单位日常运转。</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严格执行预算，保障单位日常运转，完成率100%</w:t>
            </w:r>
          </w:p>
        </w:tc>
      </w:tr>
      <w:tr>
        <w:tblPrEx>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2.50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3.50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3.50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2.50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3.50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3.50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科目调整次数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预算编制准确率（计算方法为：∣（执行数-预算数）/预算数∣）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904"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“三公经费”控制率[计算方法为：（三公经费实际支出数/预算安排数]×100%）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运转保障率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项目自评总分达到100分。通过实施，项目达到了预期目标，解决了实际问题，取得了显著成果。</w:t>
            </w:r>
          </w:p>
        </w:tc>
      </w:tr>
      <w:tr>
        <w:tblPrEx>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54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项目负责人：李瑞良</w:t>
            </w:r>
          </w:p>
        </w:tc>
        <w:tc>
          <w:tcPr>
            <w:tcW w:w="3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财务负责人：叶邦华</w:t>
            </w:r>
          </w:p>
        </w:tc>
      </w:tr>
      <w:tr>
        <w:tblPrEx>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5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5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0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79"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93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6"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51172421Y000000081906-学前教育公用经费（事业）</w:t>
            </w:r>
          </w:p>
        </w:tc>
      </w:tr>
      <w:tr>
        <w:tblPrEx>
          <w:tblCellMar>
            <w:top w:w="0" w:type="dxa"/>
            <w:left w:w="108" w:type="dxa"/>
            <w:bottom w:w="0" w:type="dxa"/>
            <w:right w:w="108" w:type="dxa"/>
          </w:tblCellMar>
        </w:tblPrEx>
        <w:trPr>
          <w:trHeight w:val="512"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大竹县石桥铺镇新生小学部门</w:t>
            </w:r>
          </w:p>
        </w:tc>
        <w:tc>
          <w:tcPr>
            <w:tcW w:w="959"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大竹县石桥铺镇新生小学</w:t>
            </w:r>
          </w:p>
        </w:tc>
      </w:tr>
      <w:tr>
        <w:tblPrEx>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提高预算编制质量，严格执行预算，保障单位日常运转。</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严格执行预算，保障单位日常运转，完成率100%</w:t>
            </w:r>
          </w:p>
        </w:tc>
      </w:tr>
      <w:tr>
        <w:tblPrEx>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0.06</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0.06</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0.06</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0.06</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0.06</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0.06</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科目调整次数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预算编制准确率（计算方法为：∣（执行数-预算数）/预算数∣）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904"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“三公经费”控制率[计算方法为：（三公经费实际支出数/预算安排数]×100%）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运转保障率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项目自评总分达到100分。通过实施，项目达到了预期目标，解决了实际问题，取得了显著成果。</w:t>
            </w:r>
          </w:p>
        </w:tc>
      </w:tr>
      <w:tr>
        <w:tblPrEx>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54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项目负责人：李瑞良</w:t>
            </w:r>
          </w:p>
        </w:tc>
        <w:tc>
          <w:tcPr>
            <w:tcW w:w="3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财务负责人：叶邦华</w:t>
            </w:r>
          </w:p>
        </w:tc>
      </w:tr>
      <w:tr>
        <w:tblPrEx>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5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5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0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79"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93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6"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51172421Y000000081908-小学教育公用经费（事业）</w:t>
            </w:r>
          </w:p>
        </w:tc>
      </w:tr>
      <w:tr>
        <w:tblPrEx>
          <w:tblCellMar>
            <w:top w:w="0" w:type="dxa"/>
            <w:left w:w="108" w:type="dxa"/>
            <w:bottom w:w="0" w:type="dxa"/>
            <w:right w:w="108" w:type="dxa"/>
          </w:tblCellMar>
        </w:tblPrEx>
        <w:trPr>
          <w:trHeight w:val="512"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大竹县石桥铺镇新生小学部门</w:t>
            </w:r>
          </w:p>
        </w:tc>
        <w:tc>
          <w:tcPr>
            <w:tcW w:w="959"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大竹县石桥铺镇新生小学</w:t>
            </w:r>
          </w:p>
        </w:tc>
      </w:tr>
      <w:tr>
        <w:tblPrEx>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提高预算编制质量，严格执行预算，保障单位日常运转。</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严格执行预算，保障单位日常运转，完成率100%</w:t>
            </w:r>
          </w:p>
        </w:tc>
      </w:tr>
      <w:tr>
        <w:tblPrEx>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1.27</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1.27</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1.27</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1.27</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1.27</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1.27</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科目调整次数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预算编制准确率（计算方法为：∣（执行数-预算数）/预算数∣）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904"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“三公经费”控制率[计算方法为：（三公经费实际支出数/预算安排数]×100%）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运转保障率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项目自评总分达到100分。通过实施，项目达到了预期目标，解决了实际问题，取得了显著成果。</w:t>
            </w:r>
          </w:p>
        </w:tc>
      </w:tr>
      <w:tr>
        <w:tblPrEx>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54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项目负责人：李瑞良</w:t>
            </w:r>
          </w:p>
        </w:tc>
        <w:tc>
          <w:tcPr>
            <w:tcW w:w="3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财务负责人：叶邦华</w:t>
            </w:r>
          </w:p>
        </w:tc>
      </w:tr>
      <w:tr>
        <w:tblPrEx>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5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5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0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79"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93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6"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51172421Y000000081910-初中教育公用经费（事业）</w:t>
            </w:r>
          </w:p>
        </w:tc>
      </w:tr>
      <w:tr>
        <w:tblPrEx>
          <w:tblCellMar>
            <w:top w:w="0" w:type="dxa"/>
            <w:left w:w="108" w:type="dxa"/>
            <w:bottom w:w="0" w:type="dxa"/>
            <w:right w:w="108" w:type="dxa"/>
          </w:tblCellMar>
        </w:tblPrEx>
        <w:trPr>
          <w:trHeight w:val="512"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大竹县石桥铺镇新生小学部门</w:t>
            </w:r>
          </w:p>
        </w:tc>
        <w:tc>
          <w:tcPr>
            <w:tcW w:w="959"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大竹县石桥铺镇新生小学</w:t>
            </w:r>
          </w:p>
        </w:tc>
      </w:tr>
      <w:tr>
        <w:tblPrEx>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提高预算编制质量，严格执行预算，保障单位日常运转</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严格执行预算，保障单位日常运转，完成率100%</w:t>
            </w:r>
          </w:p>
        </w:tc>
      </w:tr>
      <w:tr>
        <w:tblPrEx>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26.02</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26.02</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26.02</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26.02</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科目调整次数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预算编制准确率（计算方法为：∣（执行数-预算数）/预算数∣）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904"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“三公经费”控制率[计算方法为：（三公经费实际支出数/预算安排数]×100%）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运转保障率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项目自评总分达到100分。通过实施，项目达到了预期目标，解决了实际问题，取得了显著成果。</w:t>
            </w:r>
          </w:p>
        </w:tc>
      </w:tr>
      <w:tr>
        <w:tblPrEx>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54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项目负责人：李瑞良</w:t>
            </w:r>
          </w:p>
        </w:tc>
        <w:tc>
          <w:tcPr>
            <w:tcW w:w="3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财务负责人：叶邦华</w:t>
            </w:r>
          </w:p>
        </w:tc>
      </w:tr>
      <w:tr>
        <w:tblPrEx>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5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5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0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79"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93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6"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51172422R000005726291-退休人员一次性补贴</w:t>
            </w:r>
          </w:p>
        </w:tc>
      </w:tr>
      <w:tr>
        <w:tblPrEx>
          <w:tblCellMar>
            <w:top w:w="0" w:type="dxa"/>
            <w:left w:w="108" w:type="dxa"/>
            <w:bottom w:w="0" w:type="dxa"/>
            <w:right w:w="108" w:type="dxa"/>
          </w:tblCellMar>
        </w:tblPrEx>
        <w:trPr>
          <w:trHeight w:val="512"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大竹县石桥铺镇新生小学部门</w:t>
            </w:r>
          </w:p>
        </w:tc>
        <w:tc>
          <w:tcPr>
            <w:tcW w:w="959"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大竹县石桥铺镇新生小学</w:t>
            </w:r>
          </w:p>
        </w:tc>
      </w:tr>
      <w:tr>
        <w:tblPrEx>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严格执行相关政策，保障工资及时、足额发放或社保及时、足额缴纳，预算编制科学合理，减少结余资金</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严格执行预算，保障单位日常运转，完成率100%</w:t>
            </w:r>
          </w:p>
        </w:tc>
      </w:tr>
      <w:tr>
        <w:tblPrEx>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13.14</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13.14</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13.14</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13.14</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发放（缴纳）覆盖率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足额保障率（参保率）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项目自评总分达到100分。通过实施，项目达到了预期目标，解决了实际问题，取得了显著成果。</w:t>
            </w:r>
          </w:p>
        </w:tc>
      </w:tr>
      <w:tr>
        <w:tblPrEx>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54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项目负责人：李瑞良</w:t>
            </w:r>
          </w:p>
        </w:tc>
        <w:tc>
          <w:tcPr>
            <w:tcW w:w="3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财务负责人：叶邦华</w:t>
            </w:r>
          </w:p>
        </w:tc>
      </w:tr>
      <w:tr>
        <w:tblPrEx>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5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5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0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79"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93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6"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51172422R000006093521-职业年金（事业）</w:t>
            </w:r>
          </w:p>
        </w:tc>
      </w:tr>
      <w:tr>
        <w:tblPrEx>
          <w:tblCellMar>
            <w:top w:w="0" w:type="dxa"/>
            <w:left w:w="108" w:type="dxa"/>
            <w:bottom w:w="0" w:type="dxa"/>
            <w:right w:w="108" w:type="dxa"/>
          </w:tblCellMar>
        </w:tblPrEx>
        <w:trPr>
          <w:trHeight w:val="512"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大竹县石桥铺镇新生小学部门</w:t>
            </w:r>
          </w:p>
        </w:tc>
        <w:tc>
          <w:tcPr>
            <w:tcW w:w="959"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大竹县石桥铺镇新生小学</w:t>
            </w:r>
          </w:p>
        </w:tc>
      </w:tr>
      <w:tr>
        <w:tblPrEx>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严格执行相关政策，保障工资及时、足额发放或社保及时、足额缴纳，预算编制科学合理，减少结余资金</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保障工资及时、足额发放或社保及时、足额缴纳。</w:t>
            </w:r>
          </w:p>
        </w:tc>
      </w:tr>
      <w:tr>
        <w:tblPrEx>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11.73</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11.73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11.73</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11.73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发放（缴纳）覆盖率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足额保障率（参保率）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项目自评总分达到100分。通过实施，项目达到了预期目标，解决了实际问题，取得了显著成果。</w:t>
            </w:r>
          </w:p>
        </w:tc>
      </w:tr>
      <w:tr>
        <w:tblPrEx>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54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项目负责人：李瑞良</w:t>
            </w:r>
          </w:p>
        </w:tc>
        <w:tc>
          <w:tcPr>
            <w:tcW w:w="3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财务负责人：叶邦华</w:t>
            </w:r>
          </w:p>
        </w:tc>
      </w:tr>
      <w:tr>
        <w:tblPrEx>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5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5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0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79"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93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6"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51172422T000005673843-2020年屋顶防漏维修工程项目款(存量）</w:t>
            </w:r>
          </w:p>
        </w:tc>
      </w:tr>
      <w:tr>
        <w:tblPrEx>
          <w:tblCellMar>
            <w:top w:w="0" w:type="dxa"/>
            <w:left w:w="108" w:type="dxa"/>
            <w:bottom w:w="0" w:type="dxa"/>
            <w:right w:w="108" w:type="dxa"/>
          </w:tblCellMar>
        </w:tblPrEx>
        <w:trPr>
          <w:trHeight w:val="512"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大竹县石桥铺镇新生小学部门</w:t>
            </w:r>
          </w:p>
        </w:tc>
        <w:tc>
          <w:tcPr>
            <w:tcW w:w="959"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大竹县石桥铺镇新生小学</w:t>
            </w:r>
          </w:p>
        </w:tc>
      </w:tr>
      <w:tr>
        <w:tblPrEx>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严格执行相关政策，足额保障屋顶防漏维修工程款资金。</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足额保障屋顶防漏维修工程款资金。</w:t>
            </w:r>
          </w:p>
        </w:tc>
      </w:tr>
      <w:tr>
        <w:tblPrEx>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0.84</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0.84</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0.84</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0.84</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科目调整次数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预算编制准确率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经费空制率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项目自评总分达到100分。通过实施，项目达到了预期目标，解决了实际问题，取得了显著成果。</w:t>
            </w:r>
          </w:p>
        </w:tc>
      </w:tr>
      <w:tr>
        <w:tblPrEx>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54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项目负责人：李瑞良</w:t>
            </w:r>
          </w:p>
        </w:tc>
        <w:tc>
          <w:tcPr>
            <w:tcW w:w="3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财务负责人：叶邦华</w:t>
            </w:r>
          </w:p>
        </w:tc>
      </w:tr>
      <w:tr>
        <w:tblPrEx>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5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5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0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79"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93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6"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51172422T000005740878-营养餐</w:t>
            </w:r>
          </w:p>
        </w:tc>
      </w:tr>
      <w:tr>
        <w:tblPrEx>
          <w:tblCellMar>
            <w:top w:w="0" w:type="dxa"/>
            <w:left w:w="108" w:type="dxa"/>
            <w:bottom w:w="0" w:type="dxa"/>
            <w:right w:w="108" w:type="dxa"/>
          </w:tblCellMar>
        </w:tblPrEx>
        <w:trPr>
          <w:trHeight w:val="512"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大竹县石桥铺镇新生小学部门</w:t>
            </w:r>
          </w:p>
        </w:tc>
        <w:tc>
          <w:tcPr>
            <w:tcW w:w="959"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大竹县石桥铺镇新生小学</w:t>
            </w:r>
          </w:p>
        </w:tc>
      </w:tr>
      <w:tr>
        <w:tblPrEx>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让义务教育阶段学生享受营养餐，提升学生生活营养</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让义务教育阶段学生享受营养餐，提升学生生活营养，完成率100%</w:t>
            </w:r>
          </w:p>
        </w:tc>
      </w:tr>
      <w:tr>
        <w:tblPrEx>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12.92</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12.92</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12.92</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12.92</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项目自评总分达到100分。通过实施，项目达到了预期目标，解决了实际问题，取得了显著成果。</w:t>
            </w:r>
          </w:p>
        </w:tc>
      </w:tr>
      <w:tr>
        <w:tblPrEx>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54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项目负责人：李瑞良</w:t>
            </w:r>
          </w:p>
        </w:tc>
        <w:tc>
          <w:tcPr>
            <w:tcW w:w="3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财务负责人：叶邦华</w:t>
            </w:r>
          </w:p>
        </w:tc>
      </w:tr>
      <w:tr>
        <w:tblPrEx>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5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5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0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79"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93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6"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51172422Y000005163761-代管资金支出</w:t>
            </w:r>
          </w:p>
        </w:tc>
      </w:tr>
      <w:tr>
        <w:tblPrEx>
          <w:tblCellMar>
            <w:top w:w="0" w:type="dxa"/>
            <w:left w:w="108" w:type="dxa"/>
            <w:bottom w:w="0" w:type="dxa"/>
            <w:right w:w="108" w:type="dxa"/>
          </w:tblCellMar>
        </w:tblPrEx>
        <w:trPr>
          <w:trHeight w:val="512"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大竹县石桥铺镇新生小学部门</w:t>
            </w:r>
          </w:p>
        </w:tc>
        <w:tc>
          <w:tcPr>
            <w:tcW w:w="959"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大竹县石桥铺镇新生小学</w:t>
            </w:r>
          </w:p>
        </w:tc>
      </w:tr>
      <w:tr>
        <w:tblPrEx>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提高预算编制质量，严格执行预算，保障单位日常运转。</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严格执行预算，保障单位日常运转，完成率100%</w:t>
            </w:r>
          </w:p>
        </w:tc>
      </w:tr>
      <w:tr>
        <w:tblPrEx>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43.87</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43.87</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43.87</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43.87</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科目调整次数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预算编制准确率（计算方法为：∣（执行数-预算数）/预算数∣）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904"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“三公经费”控制率[计算方法为：（三公经费实际支出数/预算安排数]×100%）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运转保障率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项目自评总分达到100分。通过实施，项目达到了预期目标，解决了实际问题，取得了显著成果。</w:t>
            </w:r>
          </w:p>
        </w:tc>
      </w:tr>
      <w:tr>
        <w:tblPrEx>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54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项目负责人：李瑞良</w:t>
            </w:r>
          </w:p>
        </w:tc>
        <w:tc>
          <w:tcPr>
            <w:tcW w:w="3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财务负责人：叶邦华</w:t>
            </w:r>
          </w:p>
        </w:tc>
      </w:tr>
      <w:tr>
        <w:tblPrEx>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5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5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0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79"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93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6"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51172423R000007610789-工伤保险（事业）</w:t>
            </w:r>
          </w:p>
        </w:tc>
      </w:tr>
      <w:tr>
        <w:tblPrEx>
          <w:tblCellMar>
            <w:top w:w="0" w:type="dxa"/>
            <w:left w:w="108" w:type="dxa"/>
            <w:bottom w:w="0" w:type="dxa"/>
            <w:right w:w="108" w:type="dxa"/>
          </w:tblCellMar>
        </w:tblPrEx>
        <w:trPr>
          <w:trHeight w:val="512"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大竹县石桥铺镇新生小学部门</w:t>
            </w:r>
          </w:p>
        </w:tc>
        <w:tc>
          <w:tcPr>
            <w:tcW w:w="959"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大竹县石桥铺镇新生小学</w:t>
            </w:r>
          </w:p>
        </w:tc>
      </w:tr>
      <w:tr>
        <w:tblPrEx>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严格执行相关政策，保障工资及时、足额发放或社保及时、足额缴纳，预算编制科学合理，减少结余资金。</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足额缴纳，完成率100%。</w:t>
            </w:r>
          </w:p>
        </w:tc>
      </w:tr>
      <w:tr>
        <w:tblPrEx>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2.14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0.53</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0.53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2.14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0.53</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0.53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发放（缴纳）覆盖率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足额保障率（参保率）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项目自评总分达到100分。通过实施，项目达到了预期目标，解决了实际问题，取得了显著成果。</w:t>
            </w:r>
          </w:p>
        </w:tc>
      </w:tr>
      <w:tr>
        <w:tblPrEx>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54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项目负责人：李瑞良</w:t>
            </w:r>
          </w:p>
        </w:tc>
        <w:tc>
          <w:tcPr>
            <w:tcW w:w="3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财务负责人：叶邦华</w:t>
            </w:r>
          </w:p>
        </w:tc>
      </w:tr>
      <w:tr>
        <w:tblPrEx>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5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5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0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79"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93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6"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51172423R000007931981-年终绩效考核奖（事业）</w:t>
            </w:r>
          </w:p>
        </w:tc>
      </w:tr>
      <w:tr>
        <w:tblPrEx>
          <w:tblCellMar>
            <w:top w:w="0" w:type="dxa"/>
            <w:left w:w="108" w:type="dxa"/>
            <w:bottom w:w="0" w:type="dxa"/>
            <w:right w:w="108" w:type="dxa"/>
          </w:tblCellMar>
        </w:tblPrEx>
        <w:trPr>
          <w:trHeight w:val="512"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大竹县石桥铺镇新生小学部门</w:t>
            </w:r>
          </w:p>
        </w:tc>
        <w:tc>
          <w:tcPr>
            <w:tcW w:w="959"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大竹县石桥铺镇新生小学</w:t>
            </w:r>
          </w:p>
        </w:tc>
      </w:tr>
      <w:tr>
        <w:tblPrEx>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严格执行相关政策，保障工资及时、足额发放或社保及时、足额缴纳，预算编制科学合理，减少结余资金</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足额发放，完成率100%。</w:t>
            </w:r>
          </w:p>
        </w:tc>
      </w:tr>
      <w:tr>
        <w:tblPrEx>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15.55</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15.55</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15.55</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15.55</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发放（缴纳）覆盖率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足额保障率（参保率）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项目自评总分达到100分。通过实施，项目达到了预期目标，解决了实际问题，取得了显著成果。</w:t>
            </w:r>
          </w:p>
        </w:tc>
      </w:tr>
      <w:tr>
        <w:tblPrEx>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54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项目负责人：李瑞良</w:t>
            </w:r>
          </w:p>
        </w:tc>
        <w:tc>
          <w:tcPr>
            <w:tcW w:w="3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财务负责人：叶邦华</w:t>
            </w:r>
          </w:p>
        </w:tc>
      </w:tr>
      <w:tr>
        <w:tblPrEx>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5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5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0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79"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93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6"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51172423T000008000610-校舍维修改造</w:t>
            </w:r>
          </w:p>
        </w:tc>
      </w:tr>
      <w:tr>
        <w:tblPrEx>
          <w:tblCellMar>
            <w:top w:w="0" w:type="dxa"/>
            <w:left w:w="108" w:type="dxa"/>
            <w:bottom w:w="0" w:type="dxa"/>
            <w:right w:w="108" w:type="dxa"/>
          </w:tblCellMar>
        </w:tblPrEx>
        <w:trPr>
          <w:trHeight w:val="512"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大竹县石桥铺镇新生小学部门</w:t>
            </w:r>
          </w:p>
        </w:tc>
        <w:tc>
          <w:tcPr>
            <w:tcW w:w="959"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大竹县石桥铺镇新生小学</w:t>
            </w:r>
          </w:p>
        </w:tc>
      </w:tr>
      <w:tr>
        <w:tblPrEx>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按照相关政策，足额保障校舍维修资金。</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足额保障校舍维修资金，完成率100%。</w:t>
            </w:r>
          </w:p>
        </w:tc>
      </w:tr>
      <w:tr>
        <w:tblPrEx>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19.55</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19.55</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19.55</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19.55</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科目调剂次数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预算编制准确率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经费足额保障率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运转保障率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项目自评总分达到100分。通过实施，项目达到了预期目标，解决了实际问题，取得了显著成果。</w:t>
            </w:r>
          </w:p>
        </w:tc>
      </w:tr>
      <w:tr>
        <w:tblPrEx>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54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项目负责人：李瑞良</w:t>
            </w:r>
          </w:p>
        </w:tc>
        <w:tc>
          <w:tcPr>
            <w:tcW w:w="3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财务负责人：叶邦华</w:t>
            </w:r>
          </w:p>
        </w:tc>
      </w:tr>
      <w:tr>
        <w:tblPrEx>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5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5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0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79"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93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6"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51172424R000010291706-基础绩效奖（事业）</w:t>
            </w:r>
          </w:p>
        </w:tc>
      </w:tr>
      <w:tr>
        <w:tblPrEx>
          <w:tblCellMar>
            <w:top w:w="0" w:type="dxa"/>
            <w:left w:w="108" w:type="dxa"/>
            <w:bottom w:w="0" w:type="dxa"/>
            <w:right w:w="108" w:type="dxa"/>
          </w:tblCellMar>
        </w:tblPrEx>
        <w:trPr>
          <w:trHeight w:val="512"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大竹县石桥铺镇新生小学部门</w:t>
            </w:r>
          </w:p>
        </w:tc>
        <w:tc>
          <w:tcPr>
            <w:tcW w:w="959"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大竹县石桥铺镇新生小学</w:t>
            </w:r>
          </w:p>
        </w:tc>
      </w:tr>
      <w:tr>
        <w:tblPrEx>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严格执行相关政策，保障工资及时、足额发放，预算编制科学合理，减少结余资金</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足额发放，完成率100%。</w:t>
            </w:r>
          </w:p>
        </w:tc>
      </w:tr>
      <w:tr>
        <w:tblPrEx>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7.01</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7.01</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7.01</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7.01</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项目自评总分达到100分。通过实施，项目达到了预期目标，解决了实际问题，取得了显著成果。</w:t>
            </w:r>
          </w:p>
        </w:tc>
      </w:tr>
      <w:tr>
        <w:tblPrEx>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54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项目负责人：李瑞良</w:t>
            </w:r>
          </w:p>
        </w:tc>
        <w:tc>
          <w:tcPr>
            <w:tcW w:w="3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财务负责人：叶邦华</w:t>
            </w:r>
          </w:p>
        </w:tc>
      </w:tr>
      <w:tr>
        <w:tblPrEx>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5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5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2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5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0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79"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4" w:hRule="atLeast"/>
        </w:trPr>
        <w:tc>
          <w:tcPr>
            <w:tcW w:w="93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tblPrEx>
          <w:tblCellMar>
            <w:top w:w="0" w:type="dxa"/>
            <w:left w:w="108" w:type="dxa"/>
            <w:bottom w:w="0" w:type="dxa"/>
            <w:right w:w="108" w:type="dxa"/>
          </w:tblCellMar>
        </w:tblPrEx>
        <w:trPr>
          <w:trHeight w:val="286"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51172424R000010967554-退休</w:t>
            </w:r>
            <w:r>
              <w:rPr>
                <w:rFonts w:hint="eastAsia" w:ascii="宋体" w:hAnsi="宋体" w:cs="宋体"/>
                <w:color w:val="000000"/>
                <w:kern w:val="0"/>
                <w:sz w:val="18"/>
                <w:szCs w:val="18"/>
              </w:rPr>
              <w:t>教师生活</w:t>
            </w:r>
            <w:r>
              <w:rPr>
                <w:rFonts w:ascii="宋体" w:hAnsi="宋体" w:cs="宋体"/>
                <w:color w:val="000000"/>
                <w:kern w:val="0"/>
                <w:sz w:val="18"/>
                <w:szCs w:val="18"/>
              </w:rPr>
              <w:t>补助</w:t>
            </w:r>
          </w:p>
        </w:tc>
      </w:tr>
      <w:tr>
        <w:tblPrEx>
          <w:tblCellMar>
            <w:top w:w="0" w:type="dxa"/>
            <w:left w:w="108" w:type="dxa"/>
            <w:bottom w:w="0" w:type="dxa"/>
            <w:right w:w="108" w:type="dxa"/>
          </w:tblCellMar>
        </w:tblPrEx>
        <w:trPr>
          <w:trHeight w:val="512" w:hRule="atLeast"/>
        </w:trPr>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大竹县石桥铺镇新生小学部门</w:t>
            </w:r>
          </w:p>
        </w:tc>
        <w:tc>
          <w:tcPr>
            <w:tcW w:w="959"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大竹县石桥铺镇新生小学</w:t>
            </w:r>
          </w:p>
        </w:tc>
      </w:tr>
      <w:tr>
        <w:tblPrEx>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严格执行相关政策，保障工资及时、足额发放，预算编制科学合理，减少结余资金</w:t>
            </w:r>
          </w:p>
        </w:tc>
        <w:tc>
          <w:tcPr>
            <w:tcW w:w="2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足额发放，完成率100%。</w:t>
            </w:r>
          </w:p>
        </w:tc>
      </w:tr>
      <w:tr>
        <w:tblPrEx>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5.06</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5.06</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5.06</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5.06</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7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项目自评总分达到100分。通过实施，项目达到了预期目标，解决了实际问题，取得了显著成果。</w:t>
            </w:r>
          </w:p>
        </w:tc>
      </w:tr>
      <w:tr>
        <w:tblPrEx>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trPr>
        <w:tc>
          <w:tcPr>
            <w:tcW w:w="54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项目负责人：李瑞良</w:t>
            </w:r>
          </w:p>
        </w:tc>
        <w:tc>
          <w:tcPr>
            <w:tcW w:w="3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财务负责人：叶邦华</w:t>
            </w:r>
          </w:p>
        </w:tc>
      </w:tr>
    </w:tbl>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outlineLvl w:val="0"/>
        <w:rPr>
          <w:rFonts w:ascii="黑体" w:hAnsi="黑体" w:eastAsia="黑体"/>
          <w:sz w:val="44"/>
          <w:szCs w:val="44"/>
        </w:rPr>
      </w:pPr>
    </w:p>
    <w:p>
      <w:pPr>
        <w:spacing w:line="600" w:lineRule="exact"/>
        <w:ind w:firstLine="2200" w:firstLineChars="500"/>
        <w:outlineLvl w:val="0"/>
        <w:rPr>
          <w:rFonts w:ascii="黑体" w:hAnsi="黑体" w:eastAsia="黑体"/>
          <w:sz w:val="44"/>
          <w:szCs w:val="44"/>
        </w:rPr>
      </w:pPr>
    </w:p>
    <w:p>
      <w:pPr>
        <w:spacing w:line="600" w:lineRule="exact"/>
        <w:ind w:firstLine="2200" w:firstLineChars="500"/>
        <w:outlineLvl w:val="0"/>
        <w:rPr>
          <w:rFonts w:ascii="黑体" w:hAnsi="黑体" w:eastAsia="黑体"/>
          <w:sz w:val="44"/>
          <w:szCs w:val="44"/>
        </w:rPr>
      </w:pPr>
    </w:p>
    <w:p>
      <w:pPr>
        <w:spacing w:line="600" w:lineRule="exact"/>
        <w:ind w:firstLine="2200" w:firstLineChars="500"/>
        <w:outlineLvl w:val="0"/>
        <w:rPr>
          <w:rFonts w:ascii="黑体" w:hAnsi="黑体" w:eastAsia="黑体"/>
          <w:sz w:val="44"/>
          <w:szCs w:val="44"/>
        </w:rPr>
      </w:pPr>
    </w:p>
    <w:p>
      <w:pPr>
        <w:spacing w:line="600" w:lineRule="exact"/>
        <w:ind w:firstLine="2200" w:firstLineChars="500"/>
        <w:outlineLvl w:val="0"/>
        <w:rPr>
          <w:rFonts w:ascii="黑体" w:hAnsi="黑体" w:eastAsia="黑体"/>
          <w:sz w:val="44"/>
          <w:szCs w:val="44"/>
        </w:rPr>
      </w:pPr>
    </w:p>
    <w:p>
      <w:pPr>
        <w:spacing w:line="600" w:lineRule="exact"/>
        <w:ind w:firstLine="2200" w:firstLineChars="500"/>
        <w:outlineLvl w:val="0"/>
        <w:rPr>
          <w:rFonts w:ascii="黑体" w:hAnsi="黑体" w:eastAsia="黑体"/>
          <w:sz w:val="44"/>
          <w:szCs w:val="44"/>
        </w:rPr>
      </w:pPr>
    </w:p>
    <w:p>
      <w:pPr>
        <w:spacing w:line="600" w:lineRule="exact"/>
        <w:ind w:firstLine="2200" w:firstLineChars="500"/>
        <w:outlineLvl w:val="0"/>
        <w:rPr>
          <w:rFonts w:ascii="黑体" w:hAnsi="黑体" w:eastAsia="黑体"/>
          <w:sz w:val="44"/>
          <w:szCs w:val="44"/>
        </w:rPr>
      </w:pPr>
    </w:p>
    <w:p>
      <w:pPr>
        <w:spacing w:line="600" w:lineRule="exact"/>
        <w:ind w:firstLine="2200" w:firstLineChars="500"/>
        <w:outlineLvl w:val="0"/>
        <w:rPr>
          <w:rFonts w:ascii="黑体" w:hAnsi="黑体" w:eastAsia="黑体"/>
          <w:sz w:val="44"/>
          <w:szCs w:val="44"/>
        </w:rPr>
      </w:pPr>
    </w:p>
    <w:p>
      <w:pPr>
        <w:spacing w:line="600" w:lineRule="exact"/>
        <w:ind w:firstLine="2200" w:firstLineChars="500"/>
        <w:outlineLvl w:val="0"/>
        <w:rPr>
          <w:rFonts w:ascii="黑体" w:hAnsi="黑体" w:eastAsia="黑体"/>
          <w:sz w:val="44"/>
          <w:szCs w:val="44"/>
        </w:rPr>
      </w:pPr>
    </w:p>
    <w:p>
      <w:pPr>
        <w:spacing w:line="600" w:lineRule="exact"/>
        <w:ind w:firstLine="2200" w:firstLineChars="500"/>
        <w:outlineLvl w:val="0"/>
        <w:rPr>
          <w:rFonts w:ascii="黑体" w:hAnsi="黑体" w:eastAsia="黑体"/>
          <w:sz w:val="44"/>
          <w:szCs w:val="44"/>
        </w:rPr>
      </w:pPr>
    </w:p>
    <w:p>
      <w:pPr>
        <w:spacing w:line="600" w:lineRule="exact"/>
        <w:ind w:firstLine="2200" w:firstLineChars="500"/>
        <w:outlineLvl w:val="0"/>
        <w:rPr>
          <w:rFonts w:ascii="黑体" w:hAnsi="黑体" w:eastAsia="黑体"/>
          <w:sz w:val="44"/>
          <w:szCs w:val="44"/>
        </w:rPr>
      </w:pPr>
    </w:p>
    <w:p>
      <w:pPr>
        <w:spacing w:line="600" w:lineRule="exact"/>
        <w:ind w:firstLine="2200" w:firstLineChars="500"/>
        <w:outlineLvl w:val="0"/>
        <w:rPr>
          <w:rFonts w:ascii="黑体" w:hAnsi="黑体" w:eastAsia="黑体"/>
          <w:sz w:val="44"/>
          <w:szCs w:val="44"/>
        </w:rPr>
      </w:pPr>
    </w:p>
    <w:p>
      <w:pPr>
        <w:spacing w:line="600" w:lineRule="exact"/>
        <w:ind w:firstLine="2200" w:firstLineChars="500"/>
        <w:outlineLvl w:val="0"/>
        <w:rPr>
          <w:rFonts w:ascii="黑体" w:hAnsi="黑体" w:eastAsia="黑体"/>
          <w:sz w:val="44"/>
          <w:szCs w:val="44"/>
        </w:rPr>
      </w:pPr>
    </w:p>
    <w:p>
      <w:pPr>
        <w:spacing w:line="600" w:lineRule="exact"/>
        <w:ind w:firstLine="2200" w:firstLineChars="500"/>
        <w:outlineLvl w:val="0"/>
        <w:rPr>
          <w:rFonts w:ascii="黑体" w:hAnsi="黑体" w:eastAsia="黑体"/>
          <w:sz w:val="44"/>
          <w:szCs w:val="44"/>
        </w:rPr>
      </w:pPr>
    </w:p>
    <w:p>
      <w:pPr>
        <w:spacing w:line="600" w:lineRule="exact"/>
        <w:ind w:firstLine="2200" w:firstLineChars="500"/>
        <w:outlineLvl w:val="0"/>
        <w:rPr>
          <w:rFonts w:ascii="黑体" w:hAnsi="黑体" w:eastAsia="黑体"/>
          <w:sz w:val="44"/>
          <w:szCs w:val="44"/>
        </w:rPr>
      </w:pPr>
    </w:p>
    <w:p>
      <w:pPr>
        <w:spacing w:line="600" w:lineRule="exact"/>
        <w:ind w:firstLine="2200" w:firstLineChars="500"/>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52"/>
      <w:bookmarkEnd w:id="53"/>
      <w:bookmarkStart w:id="54" w:name="_Toc15396619"/>
    </w:p>
    <w:p>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5"/>
          <w:rFonts w:hint="eastAsia" w:ascii="仿宋" w:hAnsi="仿宋" w:eastAsia="仿宋"/>
          <w:b w:val="0"/>
          <w:bCs w:val="0"/>
        </w:rPr>
        <w:t>入决算表</w:t>
      </w:r>
      <w:bookmarkEnd w:id="55"/>
    </w:p>
    <w:p>
      <w:pPr>
        <w:pStyle w:val="4"/>
        <w:rPr>
          <w:rFonts w:ascii="仿宋" w:hAnsi="仿宋" w:eastAsia="仿宋"/>
        </w:rPr>
      </w:pPr>
      <w:bookmarkStart w:id="56"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57"/>
    </w:p>
    <w:p>
      <w:pPr>
        <w:pStyle w:val="4"/>
        <w:rPr>
          <w:rStyle w:val="25"/>
          <w:rFonts w:ascii="仿宋" w:hAnsi="仿宋" w:eastAsia="仿宋"/>
          <w:b w:val="0"/>
          <w:bCs w:val="0"/>
        </w:rPr>
      </w:pPr>
      <w:bookmarkStart w:id="58"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5"/>
          <w:rFonts w:hint="eastAsia" w:ascii="仿宋" w:hAnsi="仿宋" w:eastAsia="仿宋"/>
          <w:b w:val="0"/>
          <w:bCs w:val="0"/>
        </w:rPr>
        <w:t>十、</w:t>
      </w:r>
      <w:bookmarkEnd w:id="63"/>
      <w:r>
        <w:rPr>
          <w:rFonts w:hint="eastAsia" w:ascii="仿宋" w:hAnsi="仿宋" w:eastAsia="仿宋"/>
          <w:b w:val="0"/>
        </w:rPr>
        <w:t>政</w:t>
      </w:r>
      <w:r>
        <w:rPr>
          <w:rStyle w:val="25"/>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5"/>
          <w:rFonts w:hint="eastAsia" w:ascii="仿宋" w:hAnsi="仿宋" w:eastAsia="仿宋"/>
          <w:b w:val="0"/>
          <w:bCs w:val="0"/>
        </w:rPr>
        <w:t>十一、</w:t>
      </w:r>
      <w:bookmarkEnd w:id="64"/>
      <w:r>
        <w:rPr>
          <w:rFonts w:hint="eastAsia" w:ascii="仿宋" w:hAnsi="仿宋" w:eastAsia="仿宋"/>
          <w:b w:val="0"/>
        </w:rPr>
        <w:t>国</w:t>
      </w:r>
      <w:r>
        <w:rPr>
          <w:rStyle w:val="25"/>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5"/>
          <w:rFonts w:hint="eastAsia" w:ascii="仿宋" w:hAnsi="仿宋" w:eastAsia="仿宋"/>
          <w:b w:val="0"/>
          <w:bCs w:val="0"/>
        </w:rPr>
        <w:t>十二、</w:t>
      </w:r>
      <w:bookmarkEnd w:id="65"/>
      <w:r>
        <w:rPr>
          <w:rStyle w:val="25"/>
          <w:rFonts w:hint="eastAsia" w:ascii="仿宋" w:hAnsi="仿宋" w:eastAsia="仿宋"/>
          <w:b w:val="0"/>
          <w:bCs w:val="0"/>
        </w:rPr>
        <w:t>国有资本经营预算财政拨款支出决算表</w:t>
      </w:r>
    </w:p>
    <w:p>
      <w:pPr>
        <w:pStyle w:val="4"/>
        <w:rPr>
          <w:rFonts w:eastAsia="仿宋"/>
        </w:rPr>
      </w:pPr>
      <w:bookmarkStart w:id="66" w:name="_Toc15396631"/>
      <w:r>
        <w:rPr>
          <w:rStyle w:val="25"/>
          <w:rFonts w:hint="eastAsia" w:ascii="仿宋" w:hAnsi="仿宋" w:eastAsia="仿宋"/>
          <w:b w:val="0"/>
          <w:bCs w:val="0"/>
        </w:rPr>
        <w:t>十三、</w:t>
      </w:r>
      <w:bookmarkEnd w:id="66"/>
      <w:r>
        <w:rPr>
          <w:rStyle w:val="25"/>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16</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b w:val="0"/>
        <w:bCs w:val="0"/>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k5NGM2MzM5ZmRhNWMyYWYyYjg3NjhjOGVmOTA5MjkifQ=="/>
  </w:docVars>
  <w:rsids>
    <w:rsidRoot w:val="00F1361C"/>
    <w:rsid w:val="000222C6"/>
    <w:rsid w:val="0002549F"/>
    <w:rsid w:val="000468DB"/>
    <w:rsid w:val="0006487A"/>
    <w:rsid w:val="00065F8F"/>
    <w:rsid w:val="00070A43"/>
    <w:rsid w:val="00073798"/>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5F19"/>
    <w:rsid w:val="001877A7"/>
    <w:rsid w:val="00191536"/>
    <w:rsid w:val="00196687"/>
    <w:rsid w:val="001B5646"/>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95DC4"/>
    <w:rsid w:val="003A484F"/>
    <w:rsid w:val="003A4883"/>
    <w:rsid w:val="003B0BE0"/>
    <w:rsid w:val="003B0C1B"/>
    <w:rsid w:val="003B688C"/>
    <w:rsid w:val="003C0291"/>
    <w:rsid w:val="003C39AE"/>
    <w:rsid w:val="003C7B60"/>
    <w:rsid w:val="003D0C0F"/>
    <w:rsid w:val="003D1FB2"/>
    <w:rsid w:val="003D66DA"/>
    <w:rsid w:val="003E1310"/>
    <w:rsid w:val="003E6F55"/>
    <w:rsid w:val="00401F42"/>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683E"/>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F12408"/>
    <w:rsid w:val="053A62B5"/>
    <w:rsid w:val="071D14C8"/>
    <w:rsid w:val="0730427D"/>
    <w:rsid w:val="0A2032A3"/>
    <w:rsid w:val="0B8A37D8"/>
    <w:rsid w:val="10C055FF"/>
    <w:rsid w:val="118107EC"/>
    <w:rsid w:val="11DD6519"/>
    <w:rsid w:val="13A45739"/>
    <w:rsid w:val="16BB723D"/>
    <w:rsid w:val="174A04D3"/>
    <w:rsid w:val="18015F3F"/>
    <w:rsid w:val="1BE8440E"/>
    <w:rsid w:val="1C540DDB"/>
    <w:rsid w:val="1D155CEE"/>
    <w:rsid w:val="20F57F95"/>
    <w:rsid w:val="240371BF"/>
    <w:rsid w:val="25711CC6"/>
    <w:rsid w:val="25C741E6"/>
    <w:rsid w:val="27842671"/>
    <w:rsid w:val="290747F7"/>
    <w:rsid w:val="29FD04D3"/>
    <w:rsid w:val="2ABE7A3E"/>
    <w:rsid w:val="2CA234A8"/>
    <w:rsid w:val="2EFA178C"/>
    <w:rsid w:val="2F905C72"/>
    <w:rsid w:val="30B46D73"/>
    <w:rsid w:val="319F7F4E"/>
    <w:rsid w:val="383D272C"/>
    <w:rsid w:val="39AE70AB"/>
    <w:rsid w:val="3C0C0783"/>
    <w:rsid w:val="3D1674A6"/>
    <w:rsid w:val="3F6E4A50"/>
    <w:rsid w:val="3F9F3A96"/>
    <w:rsid w:val="41EF798E"/>
    <w:rsid w:val="48BF60AB"/>
    <w:rsid w:val="493C27E9"/>
    <w:rsid w:val="496F39ED"/>
    <w:rsid w:val="49FF41D3"/>
    <w:rsid w:val="4BE068DB"/>
    <w:rsid w:val="4BF6002B"/>
    <w:rsid w:val="4E7D659F"/>
    <w:rsid w:val="4ECE2238"/>
    <w:rsid w:val="51DB4B86"/>
    <w:rsid w:val="55333C3E"/>
    <w:rsid w:val="55EB7EF9"/>
    <w:rsid w:val="58E53799"/>
    <w:rsid w:val="612533CE"/>
    <w:rsid w:val="64CA39A1"/>
    <w:rsid w:val="69630ADE"/>
    <w:rsid w:val="6BB02D16"/>
    <w:rsid w:val="6C4A05C8"/>
    <w:rsid w:val="6D3B1A89"/>
    <w:rsid w:val="6E9E7E50"/>
    <w:rsid w:val="71BF4EC2"/>
    <w:rsid w:val="72734D90"/>
    <w:rsid w:val="7412278C"/>
    <w:rsid w:val="76BC09EF"/>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WPSOffice手动目录 2"/>
    <w:qFormat/>
    <w:uiPriority w:val="0"/>
    <w:pPr>
      <w:ind w:left="200" w:leftChars="2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3&#24180;&#20915;&#31639;&#20844;&#24320;&#33609;&#2227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cuments\2024&#24180;&#36130;&#21153;&#36164;&#26009;\2023&#24180;&#37096;&#38376;&#20915;&#31639;&#20844;&#24320;\2023&#24180;&#20915;&#31639;&#20844;&#24320;&#33609;&#22270;.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dministrator\Desktop\2023&#24180;&#20915;&#31639;&#20844;&#24320;&#33609;&#2227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23&#24180;&#20915;&#31639;&#20844;&#24320;&#33609;&#2227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23&#24180;&#20915;&#31639;&#20844;&#24320;&#33609;&#2227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23&#24180;&#20915;&#31639;&#20844;&#24320;&#33609;&#2227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23&#24180;&#20915;&#31639;&#20844;&#24320;&#33609;&#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432852143482"/>
          <c:y val="0.0678146955115458"/>
          <c:w val="0.708832458442695"/>
          <c:h val="0.794544692330127"/>
        </c:manualLayout>
      </c:layout>
      <c:barChart>
        <c:barDir val="col"/>
        <c:grouping val="clustered"/>
        <c:varyColors val="0"/>
        <c:ser>
          <c:idx val="0"/>
          <c:order val="0"/>
          <c:tx>
            <c:strRef>
              <c:f>[2023年决算公开草图.xlsx]Sheet1!$A$3</c:f>
              <c:strCache>
                <c:ptCount val="1"/>
                <c:pt idx="0">
                  <c:v>2022年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[2023年决算公开草图.xlsx]Sheet1!$B$2:$C$2</c:f>
              <c:strCache>
                <c:ptCount val="2"/>
                <c:pt idx="0">
                  <c:v>收入（万元）</c:v>
                </c:pt>
                <c:pt idx="1">
                  <c:v>支出（万元）</c:v>
                </c:pt>
              </c:strCache>
            </c:strRef>
          </c:cat>
          <c:val>
            <c:numRef>
              <c:f>[2023年决算公开草图.xlsx]Sheet1!$B$3:$C$3</c:f>
              <c:numCache>
                <c:formatCode>General</c:formatCode>
                <c:ptCount val="2"/>
                <c:pt idx="0">
                  <c:v>549.61</c:v>
                </c:pt>
                <c:pt idx="1">
                  <c:v>549.61</c:v>
                </c:pt>
              </c:numCache>
            </c:numRef>
          </c:val>
        </c:ser>
        <c:ser>
          <c:idx val="1"/>
          <c:order val="1"/>
          <c:tx>
            <c:strRef>
              <c:f>[2023年决算公开草图.xlsx]Sheet1!$A$4</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[2023年决算公开草图.xlsx]Sheet1!$B$2:$C$2</c:f>
              <c:strCache>
                <c:ptCount val="2"/>
                <c:pt idx="0">
                  <c:v>收入（万元）</c:v>
                </c:pt>
                <c:pt idx="1">
                  <c:v>支出（万元）</c:v>
                </c:pt>
              </c:strCache>
            </c:strRef>
          </c:cat>
          <c:val>
            <c:numRef>
              <c:f>[2023年决算公开草图.xlsx]Sheet1!$B$4:$C$4</c:f>
              <c:numCache>
                <c:formatCode>General</c:formatCode>
                <c:ptCount val="2"/>
                <c:pt idx="0">
                  <c:v>670.67</c:v>
                </c:pt>
                <c:pt idx="1">
                  <c:v>670.67</c:v>
                </c:pt>
              </c:numCache>
            </c:numRef>
          </c:val>
        </c:ser>
        <c:dLbls>
          <c:showLegendKey val="0"/>
          <c:showVal val="1"/>
          <c:showCatName val="0"/>
          <c:showSerName val="0"/>
          <c:showPercent val="0"/>
          <c:showBubbleSize val="0"/>
        </c:dLbls>
        <c:gapWidth val="150"/>
        <c:axId val="154049152"/>
        <c:axId val="154063232"/>
      </c:barChart>
      <c:catAx>
        <c:axId val="15404915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4063232"/>
        <c:crosses val="autoZero"/>
        <c:auto val="1"/>
        <c:lblAlgn val="ctr"/>
        <c:lblOffset val="100"/>
        <c:noMultiLvlLbl val="0"/>
      </c:catAx>
      <c:valAx>
        <c:axId val="154063232"/>
        <c:scaling>
          <c:orientation val="minMax"/>
          <c:min val="20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404915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[2023年决算公开草图.xlsx]Sheet1!$C$23</c:f>
              <c:strCache>
                <c:ptCount val="1"/>
                <c:pt idx="0">
                  <c:v/>
                </c:pt>
              </c:strCache>
            </c:strRef>
          </c:tx>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Lbls>
            <c:delete val="1"/>
          </c:dLbls>
          <c:cat>
            <c:multiLvlStrRef>
              <c:f>[2023年决算公开草图.xlsx]Sheet1!$A$24:$B$31</c:f>
              <c:multiLvlStrCache>
                <c:ptCount val="8"/>
                <c:lvl>
                  <c:pt idx="0">
                    <c:v>一般公共预算财政拨款收入658.71万元，占100%</c:v>
                  </c:pt>
                  <c:pt idx="1">
                    <c:v>政府性基金预算财政拨款收入0万元，占0%</c:v>
                  </c:pt>
                  <c:pt idx="2">
                    <c:v>国有资本经营预算财政拨款收入0万元，占0%</c:v>
                  </c:pt>
                  <c:pt idx="3">
                    <c:v>上级补助收入0万元，占0%</c:v>
                  </c:pt>
                  <c:pt idx="4">
                    <c:v>事业收入0万元，占0%</c:v>
                  </c:pt>
                  <c:pt idx="5">
                    <c:v>经营收入0万元，占0%</c:v>
                  </c:pt>
                  <c:pt idx="6">
                    <c:v>附属单位上缴收入0万元，占0%</c:v>
                  </c:pt>
                  <c:pt idx="7">
                    <c:v>其他收入0万元，占0%</c:v>
                  </c:pt>
                </c:lvl>
                <c:lvl/>
              </c:multiLvlStrCache>
            </c:multiLvlStrRef>
          </c:cat>
          <c:val>
            <c:numRef>
              <c:f>[2023年决算公开草图.xlsx]Sheet1!$C$24:$C$31</c:f>
              <c:numCache>
                <c:formatCode>General</c:formatCode>
                <c:ptCount val="8"/>
                <c:pt idx="0">
                  <c:v>658.71</c:v>
                </c:pt>
                <c:pt idx="1">
                  <c:v>0</c:v>
                </c:pt>
                <c:pt idx="2">
                  <c:v>0</c:v>
                </c:pt>
                <c:pt idx="3">
                  <c:v>0</c:v>
                </c:pt>
                <c:pt idx="4">
                  <c:v>0</c:v>
                </c:pt>
                <c:pt idx="5">
                  <c:v>0</c:v>
                </c:pt>
                <c:pt idx="6">
                  <c:v>0</c:v>
                </c:pt>
                <c:pt idx="7">
                  <c:v>0</c:v>
                </c:pt>
              </c:numCache>
            </c:numRef>
          </c:val>
        </c:ser>
        <c:ser>
          <c:idx val="1"/>
          <c:order val="1"/>
          <c:tx>
            <c:strRef>
              <c:f>[2023年决算公开草图.xlsx]Sheet1!$D$23</c:f>
              <c:strCache>
                <c:ptCount val="1"/>
                <c:pt idx="0">
                  <c:v>所占比</c:v>
                </c:pt>
              </c:strCache>
            </c:strRef>
          </c:tx>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multiLvlStrRef>
              <c:f>[2023年决算公开草图.xlsx]Sheet1!$A$24:$B$31</c:f>
              <c:multiLvlStrCache>
                <c:ptCount val="8"/>
                <c:lvl>
                  <c:pt idx="0">
                    <c:v>一般公共预算财政拨款收入658.71万元，占100%</c:v>
                  </c:pt>
                  <c:pt idx="1">
                    <c:v>政府性基金预算财政拨款收入0万元，占0%</c:v>
                  </c:pt>
                  <c:pt idx="2">
                    <c:v>国有资本经营预算财政拨款收入0万元，占0%</c:v>
                  </c:pt>
                  <c:pt idx="3">
                    <c:v>上级补助收入0万元，占0%</c:v>
                  </c:pt>
                  <c:pt idx="4">
                    <c:v>事业收入0万元，占0%</c:v>
                  </c:pt>
                  <c:pt idx="5">
                    <c:v>经营收入0万元，占0%</c:v>
                  </c:pt>
                  <c:pt idx="6">
                    <c:v>附属单位上缴收入0万元，占0%</c:v>
                  </c:pt>
                  <c:pt idx="7">
                    <c:v>其他收入0万元，占0%</c:v>
                  </c:pt>
                </c:lvl>
                <c:lvl/>
              </c:multiLvlStrCache>
            </c:multiLvlStrRef>
          </c:cat>
          <c:val>
            <c:numRef>
              <c:f>[2023年决算公开草图.xlsx]Sheet1!$D$24:$D$31</c:f>
              <c:numCache>
                <c:formatCode>0%</c:formatCode>
                <c:ptCount val="8"/>
                <c:pt idx="0">
                  <c:v>1</c:v>
                </c:pt>
                <c:pt idx="1">
                  <c:v>0</c:v>
                </c:pt>
                <c:pt idx="2">
                  <c:v>0</c:v>
                </c:pt>
                <c:pt idx="3">
                  <c:v>0</c:v>
                </c:pt>
                <c:pt idx="4">
                  <c:v>0</c:v>
                </c:pt>
                <c:pt idx="5">
                  <c:v>0</c:v>
                </c:pt>
                <c:pt idx="6">
                  <c:v>0</c:v>
                </c:pt>
                <c:pt idx="7">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11"/>
          <c:dPt>
            <c:idx val="0"/>
            <c:bubble3D val="0"/>
          </c:dPt>
          <c:dPt>
            <c:idx val="1"/>
            <c:bubble3D val="0"/>
          </c:dPt>
          <c:dPt>
            <c:idx val="2"/>
            <c:bubble3D val="0"/>
          </c:dPt>
          <c:dPt>
            <c:idx val="3"/>
            <c:bubble3D val="0"/>
          </c:dPt>
          <c:dPt>
            <c:idx val="4"/>
            <c:bubble3D val="0"/>
          </c:dPt>
          <c:dLbls>
            <c:delete val="1"/>
          </c:dLbls>
          <c:cat>
            <c:multiLvlStrRef>
              <c:f>[2023年决算公开草图.xlsx]Sheet1!$A$46:$B$50</c:f>
              <c:multiLvlStrCache>
                <c:ptCount val="5"/>
                <c:lvl>
                  <c:pt idx="0">
                    <c:v>基本支出637.36万元，占95.03%</c:v>
                  </c:pt>
                  <c:pt idx="1">
                    <c:v>项目支出33.31万元，占4.97%</c:v>
                  </c:pt>
                  <c:pt idx="2">
                    <c:v>上缴上级支出0万元，占0%</c:v>
                  </c:pt>
                  <c:pt idx="3">
                    <c:v>经营支出0万元，占0%</c:v>
                  </c:pt>
                  <c:pt idx="4">
                    <c:v>对附属单位补助支出0万元，占0%</c:v>
                  </c:pt>
                </c:lvl>
                <c:lvl/>
              </c:multiLvlStrCache>
            </c:multiLvlStrRef>
          </c:cat>
          <c:val>
            <c:numRef>
              <c:f>[2023年决算公开草图.xlsx]Sheet1!$C$46:$C$50</c:f>
              <c:numCache>
                <c:formatCode>General</c:formatCode>
                <c:ptCount val="5"/>
                <c:pt idx="0">
                  <c:v>637.36</c:v>
                </c:pt>
                <c:pt idx="1">
                  <c:v>30</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[2023年决算公开草图.xlsx]Sheet1!$A$69</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[2023年决算公开草图.xlsx]Sheet1!$B$68:$C$68</c:f>
              <c:strCache>
                <c:ptCount val="2"/>
                <c:pt idx="0">
                  <c:v>收入（万元）</c:v>
                </c:pt>
                <c:pt idx="1">
                  <c:v>支出（万元）</c:v>
                </c:pt>
              </c:strCache>
            </c:strRef>
          </c:cat>
          <c:val>
            <c:numRef>
              <c:f>[2023年决算公开草图.xlsx]Sheet1!$B$69:$C$69</c:f>
              <c:numCache>
                <c:formatCode>General</c:formatCode>
                <c:ptCount val="2"/>
                <c:pt idx="0">
                  <c:v>549.61</c:v>
                </c:pt>
                <c:pt idx="1">
                  <c:v>549.61</c:v>
                </c:pt>
              </c:numCache>
            </c:numRef>
          </c:val>
        </c:ser>
        <c:ser>
          <c:idx val="1"/>
          <c:order val="1"/>
          <c:tx>
            <c:strRef>
              <c:f>[2023年决算公开草图.xlsx]Sheet1!$A$70</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[2023年决算公开草图.xlsx]Sheet1!$B$68:$C$68</c:f>
              <c:strCache>
                <c:ptCount val="2"/>
                <c:pt idx="0">
                  <c:v>收入（万元）</c:v>
                </c:pt>
                <c:pt idx="1">
                  <c:v>支出（万元）</c:v>
                </c:pt>
              </c:strCache>
            </c:strRef>
          </c:cat>
          <c:val>
            <c:numRef>
              <c:f>[2023年决算公开草图.xlsx]Sheet1!$B$70:$C$70</c:f>
              <c:numCache>
                <c:formatCode>General</c:formatCode>
                <c:ptCount val="2"/>
                <c:pt idx="0">
                  <c:v>670.67</c:v>
                </c:pt>
                <c:pt idx="1">
                  <c:v>670.67</c:v>
                </c:pt>
              </c:numCache>
            </c:numRef>
          </c:val>
        </c:ser>
        <c:dLbls>
          <c:showLegendKey val="0"/>
          <c:showVal val="1"/>
          <c:showCatName val="0"/>
          <c:showSerName val="0"/>
          <c:showPercent val="0"/>
          <c:showBubbleSize val="0"/>
        </c:dLbls>
        <c:gapWidth val="219"/>
        <c:overlap val="-27"/>
        <c:axId val="156208128"/>
        <c:axId val="156218112"/>
      </c:barChart>
      <c:catAx>
        <c:axId val="15620812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6218112"/>
        <c:crosses val="autoZero"/>
        <c:auto val="1"/>
        <c:lblAlgn val="ctr"/>
        <c:lblOffset val="100"/>
        <c:noMultiLvlLbl val="0"/>
      </c:catAx>
      <c:valAx>
        <c:axId val="156218112"/>
        <c:scaling>
          <c:orientation val="minMax"/>
          <c:min val="20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62081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[2023年决算公开草图.xlsx]Sheet1!$A$90:$A$91</c:f>
              <c:strCache>
                <c:ptCount val="2"/>
                <c:pt idx="0">
                  <c:v>2022年(万元）</c:v>
                </c:pt>
                <c:pt idx="1">
                  <c:v>2023年（万元）</c:v>
                </c:pt>
              </c:strCache>
            </c:strRef>
          </c:cat>
          <c:val>
            <c:numRef>
              <c:f>[2023年决算公开草图.xlsx]Sheet1!$B$90:$B$91</c:f>
              <c:numCache>
                <c:formatCode>General</c:formatCode>
                <c:ptCount val="2"/>
                <c:pt idx="0">
                  <c:v>549.61</c:v>
                </c:pt>
                <c:pt idx="1">
                  <c:v>670.67</c:v>
                </c:pt>
              </c:numCache>
            </c:numRef>
          </c:val>
        </c:ser>
        <c:dLbls>
          <c:showLegendKey val="0"/>
          <c:showVal val="1"/>
          <c:showCatName val="0"/>
          <c:showSerName val="0"/>
          <c:showPercent val="0"/>
          <c:showBubbleSize val="0"/>
        </c:dLbls>
        <c:gapWidth val="219"/>
        <c:overlap val="-27"/>
        <c:axId val="49615616"/>
        <c:axId val="49617152"/>
      </c:barChart>
      <c:catAx>
        <c:axId val="4961561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617152"/>
        <c:crosses val="autoZero"/>
        <c:auto val="1"/>
        <c:lblAlgn val="ctr"/>
        <c:lblOffset val="100"/>
        <c:noMultiLvlLbl val="0"/>
      </c:catAx>
      <c:valAx>
        <c:axId val="49617152"/>
        <c:scaling>
          <c:orientation val="minMax"/>
          <c:min val="30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615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Lbls>
            <c:delete val="1"/>
          </c:dLbls>
          <c:cat>
            <c:strRef>
              <c:f>[2023年决算公开草图.xlsx]Sheet1!$B$107:$B$112</c:f>
              <c:strCache>
                <c:ptCount val="6"/>
                <c:pt idx="0">
                  <c:v>教育支出470.92万元，占70.22%</c:v>
                </c:pt>
                <c:pt idx="1">
                  <c:v>科学技术支出0万元，占0%</c:v>
                </c:pt>
                <c:pt idx="2">
                  <c:v>文化旅游体育与传媒支出0万元，占0%</c:v>
                </c:pt>
                <c:pt idx="3">
                  <c:v>社会保障和就业支出131.86万元，占19.66%</c:v>
                </c:pt>
                <c:pt idx="4">
                  <c:v>卫生健康支出26.37万元，占3.93%</c:v>
                </c:pt>
                <c:pt idx="5">
                  <c:v>住房保障支出41.52万元，占6.19%</c:v>
                </c:pt>
              </c:strCache>
            </c:strRef>
          </c:cat>
          <c:val>
            <c:numRef>
              <c:f>[2023年决算公开草图.xlsx]Sheet1!$C$107:$C$112</c:f>
              <c:numCache>
                <c:formatCode>0.00%</c:formatCode>
                <c:ptCount val="6"/>
                <c:pt idx="0">
                  <c:v>0.7022</c:v>
                </c:pt>
                <c:pt idx="1" c:formatCode="0%">
                  <c:v>0</c:v>
                </c:pt>
                <c:pt idx="2" c:formatCode="0%">
                  <c:v>0</c:v>
                </c:pt>
                <c:pt idx="3">
                  <c:v>0.1966</c:v>
                </c:pt>
                <c:pt idx="4">
                  <c:v>0.0393</c:v>
                </c:pt>
                <c:pt idx="5">
                  <c:v>0.0619</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Lbls>
            <c:delete val="1"/>
          </c:dLbls>
          <c:cat>
            <c:strRef>
              <c:f>[2023年决算公开草图.xlsx]Sheet1!$B$136:$B$138</c:f>
              <c:strCache>
                <c:ptCount val="3"/>
                <c:pt idx="0">
                  <c:v>因公出国（境）支出0万元，占0%</c:v>
                </c:pt>
                <c:pt idx="1">
                  <c:v>公务用车购置及运行维护费支出0万元，占0%</c:v>
                </c:pt>
                <c:pt idx="2">
                  <c:v>公务接待费支出0.04万元，占100%</c:v>
                </c:pt>
              </c:strCache>
            </c:strRef>
          </c:cat>
          <c:val>
            <c:numRef>
              <c:f>[2023年决算公开草图.xlsx]Sheet1!$C$136:$C$138</c:f>
              <c:numCache>
                <c:formatCode>0%</c:formatCode>
                <c:ptCount val="3"/>
                <c:pt idx="0">
                  <c:v>0</c:v>
                </c:pt>
                <c:pt idx="1">
                  <c:v>0</c:v>
                </c:pt>
                <c:pt idx="2">
                  <c:v>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0.2625</cdr:x>
      <cdr:y>0.70486</cdr:y>
    </cdr:from>
    <cdr:to>
      <cdr:x>0.48958</cdr:x>
      <cdr:y>0.86806</cdr:y>
    </cdr:to>
    <cdr:sp>
      <cdr:nvSpPr>
        <cdr:cNvPr id="2" name="矩形 1"/>
        <cdr:cNvSpPr/>
      </cdr:nvSpPr>
      <cdr:spPr xmlns:a="http://schemas.openxmlformats.org/drawingml/2006/main">
        <a:xfrm xmlns:a="http://schemas.openxmlformats.org/drawingml/2006/main">
          <a:off x="1200150" y="1933575"/>
          <a:ext cx="1038225" cy="447675"/>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endParaRPr lang="zh-CN" alt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Pages>
  <Words>3776</Words>
  <Characters>21528</Characters>
  <Lines>179</Lines>
  <Paragraphs>50</Paragraphs>
  <TotalTime>0</TotalTime>
  <ScaleCrop>false</ScaleCrop>
  <LinksUpToDate>false</LinksUpToDate>
  <CharactersWithSpaces>25254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2024-10-26T07:05:23Z</dcterms:modified>
  <dc:title>四川省***</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8BEC8F3EF2DD4AA3A098DB4A7698A35F_12</vt:lpwstr>
  </property>
</Properties>
</file>