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632C48">
      <w:pPr>
        <w:spacing w:line="600" w:lineRule="exact"/>
        <w:jc w:val="center"/>
        <w:rPr>
          <w:rFonts w:ascii="方正小标宋简体" w:hAnsi="宋体" w:eastAsia="方正小标宋简体"/>
          <w:sz w:val="72"/>
          <w:szCs w:val="72"/>
        </w:rPr>
      </w:pPr>
      <w:bookmarkStart w:id="0" w:name="_Toc15306267"/>
    </w:p>
    <w:p w14:paraId="62DB5731">
      <w:pPr>
        <w:spacing w:line="600" w:lineRule="exact"/>
        <w:jc w:val="center"/>
        <w:rPr>
          <w:rFonts w:ascii="方正小标宋简体" w:hAnsi="宋体" w:eastAsia="方正小标宋简体"/>
          <w:sz w:val="72"/>
          <w:szCs w:val="72"/>
        </w:rPr>
      </w:pPr>
    </w:p>
    <w:p w14:paraId="1A7D7E81">
      <w:pPr>
        <w:spacing w:line="600" w:lineRule="exact"/>
        <w:jc w:val="center"/>
        <w:rPr>
          <w:rFonts w:ascii="方正小标宋简体" w:hAnsi="宋体" w:eastAsia="方正小标宋简体"/>
          <w:sz w:val="72"/>
          <w:szCs w:val="72"/>
        </w:rPr>
      </w:pPr>
    </w:p>
    <w:p w14:paraId="3E4254B8">
      <w:pPr>
        <w:spacing w:line="600" w:lineRule="exact"/>
        <w:jc w:val="center"/>
        <w:rPr>
          <w:rFonts w:ascii="方正小标宋简体" w:hAnsi="宋体" w:eastAsia="方正小标宋简体"/>
          <w:sz w:val="72"/>
          <w:szCs w:val="72"/>
        </w:rPr>
      </w:pPr>
    </w:p>
    <w:p w14:paraId="2C0325BE">
      <w:pPr>
        <w:adjustRightInd w:val="0"/>
        <w:snapToGrid w:val="0"/>
        <w:spacing w:line="360" w:lineRule="auto"/>
        <w:jc w:val="center"/>
        <w:outlineLvl w:val="0"/>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2023年度</w:t>
      </w:r>
    </w:p>
    <w:bookmarkEnd w:id="0"/>
    <w:p w14:paraId="33EDAA35">
      <w:pPr>
        <w:adjustRightInd w:val="0"/>
        <w:snapToGrid w:val="0"/>
        <w:spacing w:line="360" w:lineRule="auto"/>
        <w:jc w:val="center"/>
        <w:outlineLvl w:val="0"/>
        <w:rPr>
          <w:rFonts w:ascii="方正小标宋简体" w:hAnsi="方正小标宋简体" w:eastAsia="方正小标宋简体" w:cs="方正小标宋简体"/>
          <w:b/>
          <w:bCs/>
          <w:sz w:val="72"/>
          <w:szCs w:val="72"/>
        </w:rPr>
      </w:pPr>
      <w:bookmarkStart w:id="1" w:name="_Toc30445"/>
      <w:bookmarkStart w:id="2" w:name="_Toc4274"/>
      <w:bookmarkStart w:id="3" w:name="_Toc11800"/>
      <w:bookmarkStart w:id="4" w:name="_Toc2381"/>
      <w:bookmarkStart w:id="5" w:name="_Toc15377426"/>
      <w:bookmarkStart w:id="6" w:name="_Toc15377194"/>
      <w:bookmarkStart w:id="7" w:name="_Toc15378442"/>
      <w:bookmarkStart w:id="8" w:name="_Toc15306268"/>
      <w:bookmarkStart w:id="9" w:name="_Toc15396598"/>
      <w:bookmarkStart w:id="10" w:name="_Toc15396476"/>
      <w:r>
        <w:rPr>
          <w:rFonts w:hint="eastAsia" w:ascii="方正小标宋简体" w:hAnsi="方正小标宋简体" w:eastAsia="方正小标宋简体" w:cs="方正小标宋简体"/>
          <w:sz w:val="72"/>
          <w:szCs w:val="72"/>
        </w:rPr>
        <w:t>大竹县清水镇中心小学</w:t>
      </w:r>
      <w:bookmarkEnd w:id="1"/>
      <w:bookmarkEnd w:id="2"/>
      <w:bookmarkEnd w:id="3"/>
      <w:bookmarkEnd w:id="4"/>
      <w:bookmarkStart w:id="11" w:name="_Toc252"/>
      <w:bookmarkStart w:id="12" w:name="_Toc18845"/>
      <w:bookmarkStart w:id="13" w:name="_Toc9725"/>
      <w:bookmarkStart w:id="14" w:name="_Toc10496"/>
    </w:p>
    <w:p w14:paraId="07C1D9E6">
      <w:pPr>
        <w:adjustRightInd w:val="0"/>
        <w:snapToGrid w:val="0"/>
        <w:spacing w:line="360" w:lineRule="auto"/>
        <w:jc w:val="center"/>
        <w:outlineLvl w:val="0"/>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单位决算</w:t>
      </w:r>
      <w:bookmarkEnd w:id="5"/>
      <w:bookmarkEnd w:id="6"/>
      <w:bookmarkEnd w:id="7"/>
      <w:bookmarkEnd w:id="8"/>
      <w:bookmarkEnd w:id="9"/>
      <w:bookmarkEnd w:id="10"/>
      <w:bookmarkEnd w:id="11"/>
      <w:bookmarkEnd w:id="12"/>
      <w:bookmarkEnd w:id="13"/>
      <w:bookmarkEnd w:id="14"/>
    </w:p>
    <w:p w14:paraId="3509E289">
      <w:pPr>
        <w:pStyle w:val="5"/>
        <w:spacing w:before="93"/>
      </w:pPr>
    </w:p>
    <w:p w14:paraId="5667F03A">
      <w:pPr>
        <w:widowControl/>
        <w:jc w:val="center"/>
        <w:rPr>
          <w:rFonts w:ascii="黑体" w:hAnsi="黑体" w:eastAsia="黑体"/>
          <w:sz w:val="48"/>
          <w:szCs w:val="48"/>
        </w:rPr>
        <w:sectPr>
          <w:footerReference r:id="rId5" w:type="first"/>
          <w:headerReference r:id="rId3" w:type="default"/>
          <w:footerReference r:id="rId4" w:type="default"/>
          <w:pgSz w:w="11906" w:h="16838"/>
          <w:pgMar w:top="1440" w:right="1800" w:bottom="1440" w:left="1800" w:header="851" w:footer="992" w:gutter="0"/>
          <w:pgNumType w:start="1"/>
          <w:cols w:space="0" w:num="1"/>
          <w:titlePg/>
          <w:docGrid w:type="lines" w:linePitch="312" w:charSpace="0"/>
        </w:sectPr>
      </w:pPr>
    </w:p>
    <w:p w14:paraId="3EDDD7C6">
      <w:pPr>
        <w:widowControl/>
        <w:jc w:val="center"/>
        <w:rPr>
          <w:rFonts w:ascii="黑体" w:hAnsi="黑体" w:eastAsia="黑体" w:cstheme="minorBidi"/>
          <w:sz w:val="28"/>
          <w:szCs w:val="28"/>
        </w:rPr>
      </w:pPr>
      <w:r>
        <w:rPr>
          <w:rFonts w:hint="eastAsia" w:ascii="黑体" w:hAnsi="黑体" w:eastAsia="黑体"/>
          <w:sz w:val="48"/>
          <w:szCs w:val="48"/>
        </w:rPr>
        <w:t>目录</w:t>
      </w:r>
    </w:p>
    <w:p w14:paraId="338FDB4D">
      <w:pPr>
        <w:pStyle w:val="10"/>
      </w:pPr>
      <w:r>
        <w:rPr>
          <w:rFonts w:hint="eastAsia"/>
        </w:rPr>
        <w:t>公开时间：2024年10月18日</w:t>
      </w:r>
    </w:p>
    <w:sdt>
      <w:sdtPr>
        <w:rPr>
          <w:rFonts w:ascii="宋体" w:hAnsi="宋体"/>
        </w:rPr>
        <w:id w:val="147470668"/>
        <w:docPartObj>
          <w:docPartGallery w:val="Table of Contents"/>
          <w:docPartUnique/>
        </w:docPartObj>
      </w:sdtPr>
      <w:sdtEndPr>
        <w:rPr>
          <w:rFonts w:ascii="宋体" w:hAnsi="宋体"/>
          <w:b/>
        </w:rPr>
      </w:sdtEndPr>
      <w:sdtContent>
        <w:p w14:paraId="7470EF30">
          <w:pPr>
            <w:jc w:val="cente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TOC \o "1-2" \h \u </w:instrText>
          </w:r>
          <w:r>
            <w:rPr>
              <w:rFonts w:hint="eastAsia" w:ascii="仿宋_GB2312" w:hAnsi="仿宋_GB2312" w:eastAsia="仿宋_GB2312" w:cs="仿宋_GB2312"/>
              <w:sz w:val="28"/>
              <w:szCs w:val="28"/>
            </w:rPr>
            <w:fldChar w:fldCharType="separate"/>
          </w:r>
        </w:p>
        <w:p w14:paraId="7006762E">
          <w:pPr>
            <w:pStyle w:val="10"/>
            <w:tabs>
              <w:tab w:val="right" w:leader="dot" w:pos="8306"/>
              <w:tab w:val="clear" w:pos="8296"/>
            </w:tabs>
            <w:spacing w:line="440" w:lineRule="exact"/>
            <w:rPr>
              <w:rFonts w:ascii="宋体" w:hAnsi="宋体" w:eastAsia="宋体" w:cs="宋体"/>
              <w:sz w:val="24"/>
              <w:szCs w:val="24"/>
            </w:rPr>
          </w:pPr>
          <w:r>
            <w:fldChar w:fldCharType="begin"/>
          </w:r>
          <w:r>
            <w:instrText xml:space="preserve"> HYPERLINK \l "_Toc13859" </w:instrText>
          </w:r>
          <w:r>
            <w:fldChar w:fldCharType="separate"/>
          </w:r>
          <w:r>
            <w:rPr>
              <w:rFonts w:hint="eastAsia" w:ascii="仿宋_GB2312" w:hAnsi="仿宋_GB2312" w:eastAsia="仿宋_GB2312" w:cs="仿宋_GB2312"/>
              <w:sz w:val="24"/>
              <w:szCs w:val="24"/>
            </w:rPr>
            <w:t>第一部分 单位概况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_Toc13859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0FD8F87F">
          <w:pPr>
            <w:pStyle w:val="11"/>
            <w:tabs>
              <w:tab w:val="right" w:leader="dot" w:pos="8306"/>
              <w:tab w:val="clear" w:pos="8296"/>
            </w:tabs>
            <w:spacing w:line="440" w:lineRule="exact"/>
            <w:rPr>
              <w:rFonts w:ascii="宋体" w:hAnsi="宋体" w:cs="宋体"/>
              <w:sz w:val="24"/>
            </w:rPr>
          </w:pPr>
          <w:r>
            <w:fldChar w:fldCharType="begin"/>
          </w:r>
          <w:r>
            <w:instrText xml:space="preserve"> HYPERLINK \l "_Toc28917" </w:instrText>
          </w:r>
          <w:r>
            <w:fldChar w:fldCharType="separate"/>
          </w:r>
          <w:r>
            <w:rPr>
              <w:rFonts w:hint="eastAsia" w:ascii="宋体" w:hAnsi="宋体" w:cs="宋体"/>
              <w:sz w:val="24"/>
            </w:rPr>
            <w:t>一、</w:t>
          </w:r>
          <w:r>
            <w:rPr>
              <w:rFonts w:hint="eastAsia" w:ascii="宋体" w:hAnsi="宋体" w:cs="宋体"/>
              <w:sz w:val="24"/>
              <w:lang w:val="en-US" w:eastAsia="zh-CN"/>
            </w:rPr>
            <w:t>主要职责</w:t>
          </w:r>
          <w:r>
            <w:rPr>
              <w:rFonts w:hint="eastAsia" w:ascii="宋体" w:hAnsi="宋体" w:cs="宋体"/>
              <w:sz w:val="24"/>
            </w:rPr>
            <w:tab/>
          </w:r>
          <w:r>
            <w:rPr>
              <w:rFonts w:hint="eastAsia" w:ascii="宋体" w:hAnsi="宋体" w:cs="宋体"/>
              <w:sz w:val="24"/>
            </w:rPr>
            <w:t>4</w:t>
          </w:r>
          <w:r>
            <w:rPr>
              <w:rFonts w:hint="eastAsia" w:ascii="宋体" w:hAnsi="宋体" w:cs="宋体"/>
              <w:sz w:val="24"/>
            </w:rPr>
            <w:fldChar w:fldCharType="end"/>
          </w:r>
        </w:p>
        <w:p w14:paraId="4F92C2AA">
          <w:pPr>
            <w:pStyle w:val="11"/>
            <w:tabs>
              <w:tab w:val="right" w:leader="dot" w:pos="8306"/>
              <w:tab w:val="clear" w:pos="8296"/>
            </w:tabs>
            <w:spacing w:line="440" w:lineRule="exact"/>
            <w:rPr>
              <w:rFonts w:ascii="宋体" w:hAnsi="宋体" w:cs="宋体"/>
              <w:sz w:val="24"/>
            </w:rPr>
          </w:pPr>
          <w:r>
            <w:fldChar w:fldCharType="begin"/>
          </w:r>
          <w:r>
            <w:instrText xml:space="preserve"> HYPERLINK \l "_Toc25859" </w:instrText>
          </w:r>
          <w:r>
            <w:fldChar w:fldCharType="separate"/>
          </w:r>
          <w:r>
            <w:rPr>
              <w:rFonts w:hint="eastAsia" w:ascii="宋体" w:hAnsi="宋体" w:cs="宋体"/>
              <w:sz w:val="24"/>
            </w:rPr>
            <w:t>二、机构设置</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_Toc25859 \h </w:instrText>
          </w:r>
          <w:r>
            <w:rPr>
              <w:rFonts w:hint="eastAsia" w:ascii="宋体" w:hAnsi="宋体" w:cs="宋体"/>
              <w:sz w:val="24"/>
            </w:rPr>
            <w:fldChar w:fldCharType="separate"/>
          </w:r>
          <w:r>
            <w:rPr>
              <w:rFonts w:hint="eastAsia" w:ascii="宋体" w:hAnsi="宋体" w:cs="宋体"/>
              <w:sz w:val="24"/>
            </w:rPr>
            <w:t>4</w:t>
          </w:r>
          <w:r>
            <w:rPr>
              <w:rFonts w:hint="eastAsia" w:ascii="宋体" w:hAnsi="宋体" w:cs="宋体"/>
              <w:sz w:val="24"/>
            </w:rPr>
            <w:fldChar w:fldCharType="end"/>
          </w:r>
          <w:r>
            <w:rPr>
              <w:rFonts w:hint="eastAsia" w:ascii="宋体" w:hAnsi="宋体" w:cs="宋体"/>
              <w:sz w:val="24"/>
            </w:rPr>
            <w:fldChar w:fldCharType="end"/>
          </w:r>
        </w:p>
        <w:p w14:paraId="78FCFB01">
          <w:pPr>
            <w:pStyle w:val="10"/>
            <w:tabs>
              <w:tab w:val="right" w:leader="dot" w:pos="8306"/>
              <w:tab w:val="clear" w:pos="8296"/>
            </w:tabs>
            <w:spacing w:line="440" w:lineRule="exact"/>
            <w:rPr>
              <w:rFonts w:ascii="宋体" w:hAnsi="宋体" w:eastAsia="宋体" w:cs="宋体"/>
              <w:sz w:val="24"/>
              <w:szCs w:val="24"/>
            </w:rPr>
          </w:pPr>
          <w:r>
            <w:fldChar w:fldCharType="begin"/>
          </w:r>
          <w:r>
            <w:instrText xml:space="preserve"> HYPERLINK \l "_Toc31162" </w:instrText>
          </w:r>
          <w:r>
            <w:fldChar w:fldCharType="separate"/>
          </w:r>
          <w:r>
            <w:rPr>
              <w:rFonts w:hint="eastAsia" w:ascii="仿宋_GB2312" w:hAnsi="仿宋_GB2312" w:eastAsia="仿宋_GB2312" w:cs="仿宋_GB2312"/>
              <w:bCs/>
              <w:sz w:val="24"/>
              <w:szCs w:val="24"/>
            </w:rPr>
            <w:t>第二部分 2023年度单位决算情况说明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_Toc31162 \h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5ECDA231">
          <w:pPr>
            <w:pStyle w:val="11"/>
            <w:tabs>
              <w:tab w:val="right" w:leader="dot" w:pos="8306"/>
              <w:tab w:val="clear" w:pos="8296"/>
            </w:tabs>
            <w:spacing w:line="440" w:lineRule="exact"/>
            <w:rPr>
              <w:rFonts w:ascii="宋体" w:hAnsi="宋体" w:cs="宋体"/>
              <w:sz w:val="24"/>
            </w:rPr>
          </w:pPr>
          <w:r>
            <w:fldChar w:fldCharType="begin"/>
          </w:r>
          <w:r>
            <w:instrText xml:space="preserve"> HYPERLINK \l "_Toc3488" </w:instrText>
          </w:r>
          <w:r>
            <w:fldChar w:fldCharType="separate"/>
          </w:r>
          <w:r>
            <w:rPr>
              <w:rFonts w:hint="eastAsia" w:ascii="宋体" w:hAnsi="宋体" w:cs="宋体"/>
              <w:sz w:val="24"/>
            </w:rPr>
            <w:t>一、 收入支出决算总体情况说明</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_Toc3488 \h </w:instrText>
          </w:r>
          <w:r>
            <w:rPr>
              <w:rFonts w:hint="eastAsia" w:ascii="宋体" w:hAnsi="宋体" w:cs="宋体"/>
              <w:sz w:val="24"/>
            </w:rPr>
            <w:fldChar w:fldCharType="separate"/>
          </w:r>
          <w:r>
            <w:rPr>
              <w:rFonts w:hint="eastAsia" w:ascii="宋体" w:hAnsi="宋体" w:cs="宋体"/>
              <w:sz w:val="24"/>
            </w:rPr>
            <w:t>5</w:t>
          </w:r>
          <w:r>
            <w:rPr>
              <w:rFonts w:hint="eastAsia" w:ascii="宋体" w:hAnsi="宋体" w:cs="宋体"/>
              <w:sz w:val="24"/>
            </w:rPr>
            <w:fldChar w:fldCharType="end"/>
          </w:r>
          <w:r>
            <w:rPr>
              <w:rFonts w:hint="eastAsia" w:ascii="宋体" w:hAnsi="宋体" w:cs="宋体"/>
              <w:sz w:val="24"/>
            </w:rPr>
            <w:fldChar w:fldCharType="end"/>
          </w:r>
        </w:p>
        <w:p w14:paraId="26A41A50">
          <w:pPr>
            <w:pStyle w:val="11"/>
            <w:tabs>
              <w:tab w:val="right" w:leader="dot" w:pos="8306"/>
              <w:tab w:val="clear" w:pos="8296"/>
            </w:tabs>
            <w:spacing w:line="440" w:lineRule="exact"/>
            <w:rPr>
              <w:rFonts w:ascii="宋体" w:hAnsi="宋体" w:cs="宋体"/>
              <w:sz w:val="24"/>
            </w:rPr>
          </w:pPr>
          <w:r>
            <w:fldChar w:fldCharType="begin"/>
          </w:r>
          <w:r>
            <w:instrText xml:space="preserve"> HYPERLINK \l "_Toc11707" </w:instrText>
          </w:r>
          <w:r>
            <w:fldChar w:fldCharType="separate"/>
          </w:r>
          <w:r>
            <w:rPr>
              <w:rFonts w:hint="eastAsia" w:ascii="宋体" w:hAnsi="宋体" w:cs="宋体"/>
              <w:sz w:val="24"/>
            </w:rPr>
            <w:t>二、 收入决算情况说明</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_Toc11707 \h </w:instrText>
          </w:r>
          <w:r>
            <w:rPr>
              <w:rFonts w:hint="eastAsia" w:ascii="宋体" w:hAnsi="宋体" w:cs="宋体"/>
              <w:sz w:val="24"/>
            </w:rPr>
            <w:fldChar w:fldCharType="separate"/>
          </w:r>
          <w:r>
            <w:rPr>
              <w:rFonts w:hint="eastAsia" w:ascii="宋体" w:hAnsi="宋体" w:cs="宋体"/>
              <w:sz w:val="24"/>
            </w:rPr>
            <w:t>5</w:t>
          </w:r>
          <w:r>
            <w:rPr>
              <w:rFonts w:hint="eastAsia" w:ascii="宋体" w:hAnsi="宋体" w:cs="宋体"/>
              <w:sz w:val="24"/>
            </w:rPr>
            <w:fldChar w:fldCharType="end"/>
          </w:r>
          <w:r>
            <w:rPr>
              <w:rFonts w:hint="eastAsia" w:ascii="宋体" w:hAnsi="宋体" w:cs="宋体"/>
              <w:sz w:val="24"/>
            </w:rPr>
            <w:fldChar w:fldCharType="end"/>
          </w:r>
        </w:p>
        <w:p w14:paraId="3B829610">
          <w:pPr>
            <w:pStyle w:val="11"/>
            <w:tabs>
              <w:tab w:val="right" w:leader="dot" w:pos="8306"/>
              <w:tab w:val="clear" w:pos="8296"/>
            </w:tabs>
            <w:spacing w:line="440" w:lineRule="exact"/>
            <w:rPr>
              <w:rFonts w:ascii="宋体" w:hAnsi="宋体" w:cs="宋体"/>
              <w:sz w:val="24"/>
            </w:rPr>
          </w:pPr>
          <w:r>
            <w:fldChar w:fldCharType="begin"/>
          </w:r>
          <w:r>
            <w:instrText xml:space="preserve"> HYPERLINK \l "_Toc15834" </w:instrText>
          </w:r>
          <w:r>
            <w:fldChar w:fldCharType="separate"/>
          </w:r>
          <w:r>
            <w:rPr>
              <w:rFonts w:hint="eastAsia" w:ascii="宋体" w:hAnsi="宋体" w:cs="宋体"/>
              <w:sz w:val="24"/>
            </w:rPr>
            <w:t>三、 支出决算情况说明</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_Toc15834 \h </w:instrText>
          </w:r>
          <w:r>
            <w:rPr>
              <w:rFonts w:hint="eastAsia" w:ascii="宋体" w:hAnsi="宋体" w:cs="宋体"/>
              <w:sz w:val="24"/>
            </w:rPr>
            <w:fldChar w:fldCharType="separate"/>
          </w:r>
          <w:r>
            <w:rPr>
              <w:rFonts w:hint="eastAsia" w:ascii="宋体" w:hAnsi="宋体" w:cs="宋体"/>
              <w:sz w:val="24"/>
            </w:rPr>
            <w:t>6</w:t>
          </w:r>
          <w:r>
            <w:rPr>
              <w:rFonts w:hint="eastAsia" w:ascii="宋体" w:hAnsi="宋体" w:cs="宋体"/>
              <w:sz w:val="24"/>
            </w:rPr>
            <w:fldChar w:fldCharType="end"/>
          </w:r>
          <w:r>
            <w:rPr>
              <w:rFonts w:hint="eastAsia" w:ascii="宋体" w:hAnsi="宋体" w:cs="宋体"/>
              <w:sz w:val="24"/>
            </w:rPr>
            <w:fldChar w:fldCharType="end"/>
          </w:r>
        </w:p>
        <w:p w14:paraId="3FB66C8D">
          <w:pPr>
            <w:pStyle w:val="11"/>
            <w:tabs>
              <w:tab w:val="right" w:leader="dot" w:pos="8306"/>
              <w:tab w:val="clear" w:pos="8296"/>
            </w:tabs>
            <w:spacing w:line="440" w:lineRule="exact"/>
            <w:rPr>
              <w:rFonts w:ascii="宋体" w:hAnsi="宋体" w:cs="宋体"/>
              <w:sz w:val="24"/>
            </w:rPr>
          </w:pPr>
          <w:r>
            <w:fldChar w:fldCharType="begin"/>
          </w:r>
          <w:r>
            <w:instrText xml:space="preserve"> HYPERLINK \l "_Toc3674" </w:instrText>
          </w:r>
          <w:r>
            <w:fldChar w:fldCharType="separate"/>
          </w:r>
          <w:r>
            <w:rPr>
              <w:rFonts w:hint="eastAsia" w:ascii="宋体" w:hAnsi="宋体" w:cs="宋体"/>
              <w:sz w:val="24"/>
            </w:rPr>
            <w:t>四、财政拨款收入支出决算总体情况说明</w:t>
          </w:r>
          <w:r>
            <w:rPr>
              <w:rFonts w:hint="eastAsia" w:ascii="宋体" w:hAnsi="宋体" w:cs="宋体"/>
              <w:sz w:val="24"/>
            </w:rPr>
            <w:tab/>
          </w:r>
          <w:r>
            <w:rPr>
              <w:rFonts w:hint="eastAsia" w:ascii="宋体" w:hAnsi="宋体" w:cs="宋体"/>
              <w:sz w:val="24"/>
            </w:rPr>
            <w:fldChar w:fldCharType="end"/>
          </w:r>
          <w:r>
            <w:rPr>
              <w:rFonts w:hint="eastAsia" w:ascii="宋体" w:hAnsi="宋体" w:cs="宋体"/>
              <w:sz w:val="24"/>
            </w:rPr>
            <w:t>6</w:t>
          </w:r>
        </w:p>
        <w:p w14:paraId="5CF80FF4">
          <w:pPr>
            <w:pStyle w:val="11"/>
            <w:tabs>
              <w:tab w:val="right" w:leader="dot" w:pos="8306"/>
              <w:tab w:val="clear" w:pos="8296"/>
            </w:tabs>
            <w:spacing w:line="440" w:lineRule="exact"/>
            <w:rPr>
              <w:rFonts w:ascii="宋体" w:hAnsi="宋体" w:cs="宋体"/>
              <w:sz w:val="24"/>
            </w:rPr>
          </w:pPr>
          <w:r>
            <w:fldChar w:fldCharType="begin"/>
          </w:r>
          <w:r>
            <w:instrText xml:space="preserve"> HYPERLINK \l "_Toc32249" </w:instrText>
          </w:r>
          <w:r>
            <w:fldChar w:fldCharType="separate"/>
          </w:r>
          <w:r>
            <w:rPr>
              <w:rFonts w:hint="eastAsia" w:ascii="宋体" w:hAnsi="宋体" w:cs="宋体"/>
              <w:sz w:val="24"/>
            </w:rPr>
            <w:t>五、一般公共预算财政拨款支出决算情况说明</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_Toc32249 \h </w:instrText>
          </w:r>
          <w:r>
            <w:rPr>
              <w:rFonts w:hint="eastAsia" w:ascii="宋体" w:hAnsi="宋体" w:cs="宋体"/>
              <w:sz w:val="24"/>
            </w:rPr>
            <w:fldChar w:fldCharType="separate"/>
          </w:r>
          <w:r>
            <w:rPr>
              <w:rFonts w:hint="eastAsia" w:ascii="宋体" w:hAnsi="宋体" w:cs="宋体"/>
              <w:sz w:val="24"/>
            </w:rPr>
            <w:t>7</w:t>
          </w:r>
          <w:r>
            <w:rPr>
              <w:rFonts w:hint="eastAsia" w:ascii="宋体" w:hAnsi="宋体" w:cs="宋体"/>
              <w:sz w:val="24"/>
            </w:rPr>
            <w:fldChar w:fldCharType="end"/>
          </w:r>
          <w:r>
            <w:rPr>
              <w:rFonts w:hint="eastAsia" w:ascii="宋体" w:hAnsi="宋体" w:cs="宋体"/>
              <w:sz w:val="24"/>
            </w:rPr>
            <w:fldChar w:fldCharType="end"/>
          </w:r>
        </w:p>
        <w:p w14:paraId="18B889C7">
          <w:pPr>
            <w:pStyle w:val="11"/>
            <w:tabs>
              <w:tab w:val="right" w:leader="dot" w:pos="8306"/>
              <w:tab w:val="clear" w:pos="8296"/>
            </w:tabs>
            <w:spacing w:line="440" w:lineRule="exact"/>
            <w:rPr>
              <w:rFonts w:ascii="宋体" w:hAnsi="宋体" w:cs="宋体"/>
              <w:sz w:val="24"/>
            </w:rPr>
          </w:pPr>
          <w:r>
            <w:fldChar w:fldCharType="begin"/>
          </w:r>
          <w:r>
            <w:instrText xml:space="preserve"> HYPERLINK \l "_Toc21484" </w:instrText>
          </w:r>
          <w:r>
            <w:fldChar w:fldCharType="separate"/>
          </w:r>
          <w:r>
            <w:rPr>
              <w:rFonts w:hint="eastAsia" w:ascii="宋体" w:hAnsi="宋体" w:cs="宋体"/>
              <w:sz w:val="24"/>
            </w:rPr>
            <w:t>六、一般公共预算财政拨款基本支出决算情况说明</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_Toc21484 \h </w:instrText>
          </w:r>
          <w:r>
            <w:rPr>
              <w:rFonts w:hint="eastAsia" w:ascii="宋体" w:hAnsi="宋体" w:cs="宋体"/>
              <w:sz w:val="24"/>
            </w:rPr>
            <w:fldChar w:fldCharType="separate"/>
          </w:r>
          <w:r>
            <w:rPr>
              <w:rFonts w:hint="eastAsia" w:ascii="宋体" w:hAnsi="宋体" w:cs="宋体"/>
              <w:sz w:val="24"/>
            </w:rPr>
            <w:t>10</w:t>
          </w:r>
          <w:r>
            <w:rPr>
              <w:rFonts w:hint="eastAsia" w:ascii="宋体" w:hAnsi="宋体" w:cs="宋体"/>
              <w:sz w:val="24"/>
            </w:rPr>
            <w:fldChar w:fldCharType="end"/>
          </w:r>
          <w:r>
            <w:rPr>
              <w:rFonts w:hint="eastAsia" w:ascii="宋体" w:hAnsi="宋体" w:cs="宋体"/>
              <w:sz w:val="24"/>
            </w:rPr>
            <w:fldChar w:fldCharType="end"/>
          </w:r>
        </w:p>
        <w:p w14:paraId="679691CF">
          <w:pPr>
            <w:pStyle w:val="11"/>
            <w:tabs>
              <w:tab w:val="right" w:leader="dot" w:pos="8306"/>
              <w:tab w:val="clear" w:pos="8296"/>
            </w:tabs>
            <w:spacing w:line="440" w:lineRule="exact"/>
            <w:rPr>
              <w:rFonts w:ascii="宋体" w:hAnsi="宋体" w:cs="宋体"/>
              <w:sz w:val="24"/>
            </w:rPr>
          </w:pPr>
          <w:r>
            <w:fldChar w:fldCharType="begin"/>
          </w:r>
          <w:r>
            <w:instrText xml:space="preserve"> HYPERLINK \l "_Toc9808" </w:instrText>
          </w:r>
          <w:r>
            <w:fldChar w:fldCharType="separate"/>
          </w:r>
          <w:r>
            <w:rPr>
              <w:rFonts w:hint="eastAsia" w:ascii="宋体" w:hAnsi="宋体" w:cs="宋体"/>
              <w:sz w:val="24"/>
            </w:rPr>
            <w:t>七、“三公”经费财政拨款支出决算情况说明</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_Toc9808 \h </w:instrText>
          </w:r>
          <w:r>
            <w:rPr>
              <w:rFonts w:hint="eastAsia" w:ascii="宋体" w:hAnsi="宋体" w:cs="宋体"/>
              <w:sz w:val="24"/>
            </w:rPr>
            <w:fldChar w:fldCharType="separate"/>
          </w:r>
          <w:r>
            <w:rPr>
              <w:rFonts w:hint="eastAsia" w:ascii="宋体" w:hAnsi="宋体" w:cs="宋体"/>
              <w:sz w:val="24"/>
            </w:rPr>
            <w:t>11</w:t>
          </w:r>
          <w:r>
            <w:rPr>
              <w:rFonts w:hint="eastAsia" w:ascii="宋体" w:hAnsi="宋体" w:cs="宋体"/>
              <w:sz w:val="24"/>
            </w:rPr>
            <w:fldChar w:fldCharType="end"/>
          </w:r>
          <w:r>
            <w:rPr>
              <w:rFonts w:hint="eastAsia" w:ascii="宋体" w:hAnsi="宋体" w:cs="宋体"/>
              <w:sz w:val="24"/>
            </w:rPr>
            <w:fldChar w:fldCharType="end"/>
          </w:r>
          <w:r>
            <w:rPr>
              <w:rFonts w:hint="eastAsia" w:ascii="宋体" w:hAnsi="宋体" w:cs="宋体"/>
              <w:sz w:val="24"/>
            </w:rPr>
            <w:t>1</w:t>
          </w:r>
        </w:p>
        <w:p w14:paraId="2DAB65C1">
          <w:pPr>
            <w:pStyle w:val="11"/>
            <w:tabs>
              <w:tab w:val="right" w:leader="dot" w:pos="8306"/>
              <w:tab w:val="clear" w:pos="8296"/>
            </w:tabs>
            <w:spacing w:line="440" w:lineRule="exact"/>
            <w:rPr>
              <w:rFonts w:ascii="宋体" w:hAnsi="宋体" w:cs="宋体"/>
              <w:sz w:val="24"/>
            </w:rPr>
          </w:pPr>
          <w:r>
            <w:fldChar w:fldCharType="begin"/>
          </w:r>
          <w:r>
            <w:instrText xml:space="preserve"> HYPERLINK \l "_Toc10844" </w:instrText>
          </w:r>
          <w:r>
            <w:fldChar w:fldCharType="separate"/>
          </w:r>
          <w:r>
            <w:rPr>
              <w:rFonts w:hint="eastAsia" w:ascii="宋体" w:hAnsi="宋体" w:cs="宋体"/>
              <w:sz w:val="24"/>
            </w:rPr>
            <w:t>八、政府性基金预算支出决算情况说明</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_Toc10844 \h </w:instrText>
          </w:r>
          <w:r>
            <w:rPr>
              <w:rFonts w:hint="eastAsia" w:ascii="宋体" w:hAnsi="宋体" w:cs="宋体"/>
              <w:sz w:val="24"/>
            </w:rPr>
            <w:fldChar w:fldCharType="separate"/>
          </w:r>
          <w:r>
            <w:rPr>
              <w:rFonts w:hint="eastAsia" w:ascii="宋体" w:hAnsi="宋体" w:cs="宋体"/>
              <w:sz w:val="24"/>
            </w:rPr>
            <w:t>12</w:t>
          </w:r>
          <w:r>
            <w:rPr>
              <w:rFonts w:hint="eastAsia" w:ascii="宋体" w:hAnsi="宋体" w:cs="宋体"/>
              <w:sz w:val="24"/>
            </w:rPr>
            <w:fldChar w:fldCharType="end"/>
          </w:r>
          <w:r>
            <w:rPr>
              <w:rFonts w:hint="eastAsia" w:ascii="宋体" w:hAnsi="宋体" w:cs="宋体"/>
              <w:sz w:val="24"/>
            </w:rPr>
            <w:fldChar w:fldCharType="end"/>
          </w:r>
        </w:p>
        <w:p w14:paraId="11740B6B">
          <w:pPr>
            <w:pStyle w:val="11"/>
            <w:tabs>
              <w:tab w:val="right" w:leader="dot" w:pos="8306"/>
              <w:tab w:val="clear" w:pos="8296"/>
            </w:tabs>
            <w:spacing w:line="440" w:lineRule="exact"/>
            <w:rPr>
              <w:rFonts w:ascii="宋体" w:hAnsi="宋体" w:cs="宋体"/>
              <w:sz w:val="24"/>
            </w:rPr>
          </w:pPr>
          <w:r>
            <w:fldChar w:fldCharType="begin"/>
          </w:r>
          <w:r>
            <w:instrText xml:space="preserve"> HYPERLINK \l "_Toc1214" </w:instrText>
          </w:r>
          <w:r>
            <w:fldChar w:fldCharType="separate"/>
          </w:r>
          <w:r>
            <w:rPr>
              <w:rFonts w:hint="eastAsia" w:ascii="宋体" w:hAnsi="宋体" w:cs="宋体"/>
              <w:sz w:val="24"/>
            </w:rPr>
            <w:t>九、 国有资本经营预算支出决算情况说明</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_Toc1214 \h </w:instrText>
          </w:r>
          <w:r>
            <w:rPr>
              <w:rFonts w:hint="eastAsia" w:ascii="宋体" w:hAnsi="宋体" w:cs="宋体"/>
              <w:sz w:val="24"/>
            </w:rPr>
            <w:fldChar w:fldCharType="separate"/>
          </w:r>
          <w:r>
            <w:rPr>
              <w:rFonts w:hint="eastAsia" w:ascii="宋体" w:hAnsi="宋体" w:cs="宋体"/>
              <w:sz w:val="24"/>
            </w:rPr>
            <w:t>12</w:t>
          </w:r>
          <w:r>
            <w:rPr>
              <w:rFonts w:hint="eastAsia" w:ascii="宋体" w:hAnsi="宋体" w:cs="宋体"/>
              <w:sz w:val="24"/>
            </w:rPr>
            <w:fldChar w:fldCharType="end"/>
          </w:r>
          <w:r>
            <w:rPr>
              <w:rFonts w:hint="eastAsia" w:ascii="宋体" w:hAnsi="宋体" w:cs="宋体"/>
              <w:sz w:val="24"/>
            </w:rPr>
            <w:fldChar w:fldCharType="end"/>
          </w:r>
        </w:p>
        <w:p w14:paraId="4B0F6EEB">
          <w:pPr>
            <w:pStyle w:val="11"/>
            <w:tabs>
              <w:tab w:val="right" w:leader="dot" w:pos="8306"/>
              <w:tab w:val="clear" w:pos="8296"/>
            </w:tabs>
            <w:spacing w:line="440" w:lineRule="exact"/>
            <w:rPr>
              <w:rFonts w:ascii="宋体" w:hAnsi="宋体" w:cs="宋体"/>
              <w:sz w:val="24"/>
            </w:rPr>
          </w:pPr>
          <w:r>
            <w:fldChar w:fldCharType="begin"/>
          </w:r>
          <w:r>
            <w:instrText xml:space="preserve"> HYPERLINK \l "_Toc31091" </w:instrText>
          </w:r>
          <w:r>
            <w:fldChar w:fldCharType="separate"/>
          </w:r>
          <w:r>
            <w:rPr>
              <w:rFonts w:hint="eastAsia" w:ascii="宋体" w:hAnsi="宋体" w:cs="宋体"/>
              <w:sz w:val="24"/>
            </w:rPr>
            <w:t>十、 其他重要事项的情况说明</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_Toc31091 \h </w:instrText>
          </w:r>
          <w:r>
            <w:rPr>
              <w:rFonts w:hint="eastAsia" w:ascii="宋体" w:hAnsi="宋体" w:cs="宋体"/>
              <w:sz w:val="24"/>
            </w:rPr>
            <w:fldChar w:fldCharType="separate"/>
          </w:r>
          <w:r>
            <w:rPr>
              <w:rFonts w:hint="eastAsia" w:ascii="宋体" w:hAnsi="宋体" w:cs="宋体"/>
              <w:sz w:val="24"/>
            </w:rPr>
            <w:t>12</w:t>
          </w:r>
          <w:r>
            <w:rPr>
              <w:rFonts w:hint="eastAsia" w:ascii="宋体" w:hAnsi="宋体" w:cs="宋体"/>
              <w:sz w:val="24"/>
            </w:rPr>
            <w:fldChar w:fldCharType="end"/>
          </w:r>
          <w:r>
            <w:rPr>
              <w:rFonts w:hint="eastAsia" w:ascii="宋体" w:hAnsi="宋体" w:cs="宋体"/>
              <w:sz w:val="24"/>
            </w:rPr>
            <w:fldChar w:fldCharType="end"/>
          </w:r>
        </w:p>
        <w:p w14:paraId="08E6C6F1">
          <w:pPr>
            <w:pStyle w:val="10"/>
            <w:tabs>
              <w:tab w:val="right" w:leader="dot" w:pos="8306"/>
              <w:tab w:val="clear" w:pos="8296"/>
            </w:tabs>
            <w:spacing w:line="440" w:lineRule="exact"/>
            <w:rPr>
              <w:rFonts w:ascii="宋体" w:hAnsi="宋体" w:eastAsia="宋体" w:cs="宋体"/>
              <w:sz w:val="24"/>
              <w:szCs w:val="24"/>
            </w:rPr>
          </w:pPr>
          <w:r>
            <w:fldChar w:fldCharType="begin"/>
          </w:r>
          <w:r>
            <w:instrText xml:space="preserve"> HYPERLINK \l "_Toc10613" </w:instrText>
          </w:r>
          <w:r>
            <w:fldChar w:fldCharType="separate"/>
          </w:r>
          <w:r>
            <w:rPr>
              <w:rFonts w:hint="eastAsia" w:ascii="仿宋_GB2312" w:hAnsi="仿宋_GB2312" w:eastAsia="仿宋_GB2312" w:cs="仿宋_GB2312"/>
              <w:sz w:val="24"/>
              <w:szCs w:val="24"/>
            </w:rPr>
            <w:t>第三部分 名词解释</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_Toc10613 \h </w:instrText>
          </w:r>
          <w:r>
            <w:rPr>
              <w:rFonts w:hint="eastAsia" w:ascii="宋体" w:hAnsi="宋体" w:eastAsia="宋体" w:cs="宋体"/>
              <w:sz w:val="24"/>
              <w:szCs w:val="24"/>
            </w:rPr>
            <w:fldChar w:fldCharType="separate"/>
          </w:r>
          <w:r>
            <w:rPr>
              <w:rFonts w:hint="eastAsia" w:ascii="宋体" w:hAnsi="宋体" w:eastAsia="宋体" w:cs="宋体"/>
              <w:sz w:val="24"/>
              <w:szCs w:val="24"/>
            </w:rPr>
            <w:t>14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5E37225F">
          <w:pPr>
            <w:pStyle w:val="10"/>
            <w:tabs>
              <w:tab w:val="right" w:leader="dot" w:pos="8306"/>
              <w:tab w:val="clear" w:pos="8296"/>
            </w:tabs>
            <w:spacing w:line="440" w:lineRule="exact"/>
            <w:rPr>
              <w:rFonts w:ascii="宋体" w:hAnsi="宋体" w:eastAsia="宋体" w:cs="宋体"/>
              <w:sz w:val="24"/>
              <w:szCs w:val="24"/>
            </w:rPr>
          </w:pPr>
          <w:r>
            <w:fldChar w:fldCharType="begin"/>
          </w:r>
          <w:r>
            <w:instrText xml:space="preserve"> HYPERLINK \l "_Toc25087" </w:instrText>
          </w:r>
          <w:r>
            <w:fldChar w:fldCharType="separate"/>
          </w:r>
          <w:r>
            <w:rPr>
              <w:rFonts w:hint="eastAsia" w:ascii="仿宋_GB2312" w:hAnsi="仿宋_GB2312" w:eastAsia="仿宋_GB2312" w:cs="仿宋_GB2312"/>
              <w:sz w:val="24"/>
              <w:szCs w:val="24"/>
            </w:rPr>
            <w:t>第四部分 附件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_Toc25087 \h </w:instrText>
          </w:r>
          <w:r>
            <w:rPr>
              <w:rFonts w:hint="eastAsia" w:ascii="宋体" w:hAnsi="宋体" w:eastAsia="宋体" w:cs="宋体"/>
              <w:sz w:val="24"/>
              <w:szCs w:val="24"/>
            </w:rPr>
            <w:fldChar w:fldCharType="separate"/>
          </w:r>
          <w:r>
            <w:rPr>
              <w:rFonts w:hint="eastAsia" w:ascii="宋体" w:hAnsi="宋体" w:eastAsia="宋体" w:cs="宋体"/>
              <w:sz w:val="24"/>
              <w:szCs w:val="24"/>
            </w:rPr>
            <w:t>17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26D9A8FF">
          <w:pPr>
            <w:pStyle w:val="10"/>
            <w:tabs>
              <w:tab w:val="right" w:leader="dot" w:pos="8306"/>
              <w:tab w:val="clear" w:pos="8296"/>
            </w:tabs>
            <w:spacing w:line="440" w:lineRule="exact"/>
            <w:rPr>
              <w:rFonts w:ascii="宋体" w:hAnsi="宋体" w:eastAsia="宋体" w:cs="宋体"/>
              <w:sz w:val="24"/>
              <w:szCs w:val="24"/>
            </w:rPr>
          </w:pPr>
          <w:r>
            <w:fldChar w:fldCharType="begin"/>
          </w:r>
          <w:r>
            <w:instrText xml:space="preserve"> HYPERLINK \l "_Toc31790" </w:instrText>
          </w:r>
          <w:r>
            <w:fldChar w:fldCharType="separate"/>
          </w:r>
          <w:r>
            <w:rPr>
              <w:rFonts w:hint="eastAsia" w:ascii="仿宋_GB2312" w:hAnsi="仿宋_GB2312" w:eastAsia="仿宋_GB2312" w:cs="仿宋_GB2312"/>
              <w:sz w:val="24"/>
              <w:szCs w:val="24"/>
            </w:rPr>
            <w:t>第五部分 附表</w:t>
          </w:r>
          <w:r>
            <w:rPr>
              <w:rFonts w:hint="eastAsia" w:ascii="宋体" w:hAnsi="宋体" w:eastAsia="宋体" w:cs="宋体"/>
              <w:sz w:val="24"/>
              <w:szCs w:val="24"/>
            </w:rPr>
            <w:tab/>
          </w:r>
          <w:r>
            <w:rPr>
              <w:rFonts w:hint="eastAsia" w:ascii="宋体" w:hAnsi="宋体" w:eastAsia="宋体" w:cs="宋体"/>
              <w:sz w:val="24"/>
              <w:szCs w:val="24"/>
            </w:rPr>
            <w:fldChar w:fldCharType="end"/>
          </w:r>
          <w:r>
            <w:rPr>
              <w:rFonts w:hint="eastAsia" w:ascii="宋体" w:hAnsi="宋体" w:eastAsia="宋体" w:cs="宋体"/>
              <w:sz w:val="24"/>
              <w:szCs w:val="24"/>
            </w:rPr>
            <w:t>25</w:t>
          </w:r>
        </w:p>
        <w:p w14:paraId="7641F0E8">
          <w:pPr>
            <w:pStyle w:val="11"/>
            <w:tabs>
              <w:tab w:val="right" w:leader="dot" w:pos="8306"/>
              <w:tab w:val="clear" w:pos="8296"/>
            </w:tabs>
            <w:spacing w:line="440" w:lineRule="exact"/>
            <w:rPr>
              <w:rFonts w:ascii="宋体" w:hAnsi="宋体" w:cs="宋体"/>
              <w:sz w:val="24"/>
            </w:rPr>
          </w:pPr>
          <w:r>
            <w:fldChar w:fldCharType="begin"/>
          </w:r>
          <w:r>
            <w:instrText xml:space="preserve"> HYPERLINK \l "_Toc21540" </w:instrText>
          </w:r>
          <w:r>
            <w:fldChar w:fldCharType="separate"/>
          </w:r>
          <w:r>
            <w:rPr>
              <w:rFonts w:hint="eastAsia" w:ascii="宋体" w:hAnsi="宋体" w:cs="宋体"/>
              <w:sz w:val="24"/>
            </w:rPr>
            <w:t>一、收入支出决算总表</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_Toc21540 \h </w:instrText>
          </w:r>
          <w:r>
            <w:rPr>
              <w:rFonts w:hint="eastAsia" w:ascii="宋体" w:hAnsi="宋体" w:cs="宋体"/>
              <w:sz w:val="24"/>
            </w:rPr>
            <w:fldChar w:fldCharType="separate"/>
          </w:r>
          <w:r>
            <w:rPr>
              <w:rFonts w:hint="eastAsia" w:ascii="宋体" w:hAnsi="宋体" w:cs="宋体"/>
              <w:sz w:val="24"/>
            </w:rPr>
            <w:t>26</w:t>
          </w:r>
          <w:r>
            <w:rPr>
              <w:rFonts w:hint="eastAsia" w:ascii="宋体" w:hAnsi="宋体" w:cs="宋体"/>
              <w:sz w:val="24"/>
            </w:rPr>
            <w:fldChar w:fldCharType="end"/>
          </w:r>
          <w:r>
            <w:rPr>
              <w:rFonts w:hint="eastAsia" w:ascii="宋体" w:hAnsi="宋体" w:cs="宋体"/>
              <w:sz w:val="24"/>
            </w:rPr>
            <w:fldChar w:fldCharType="end"/>
          </w:r>
        </w:p>
        <w:p w14:paraId="659B6A75">
          <w:pPr>
            <w:pStyle w:val="11"/>
            <w:tabs>
              <w:tab w:val="right" w:leader="dot" w:pos="8306"/>
              <w:tab w:val="clear" w:pos="8296"/>
            </w:tabs>
            <w:spacing w:line="440" w:lineRule="exact"/>
            <w:rPr>
              <w:rFonts w:ascii="宋体" w:hAnsi="宋体" w:cs="宋体"/>
              <w:sz w:val="24"/>
            </w:rPr>
          </w:pPr>
          <w:r>
            <w:fldChar w:fldCharType="begin"/>
          </w:r>
          <w:r>
            <w:instrText xml:space="preserve"> HYPERLINK \l "_Toc14740" </w:instrText>
          </w:r>
          <w:r>
            <w:fldChar w:fldCharType="separate"/>
          </w:r>
          <w:r>
            <w:rPr>
              <w:rFonts w:hint="eastAsia" w:ascii="宋体" w:hAnsi="宋体" w:cs="宋体"/>
              <w:sz w:val="24"/>
            </w:rPr>
            <w:t>二、收入决算表</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_Toc14740 \h </w:instrText>
          </w:r>
          <w:r>
            <w:rPr>
              <w:rFonts w:hint="eastAsia" w:ascii="宋体" w:hAnsi="宋体" w:cs="宋体"/>
              <w:sz w:val="24"/>
            </w:rPr>
            <w:fldChar w:fldCharType="separate"/>
          </w:r>
          <w:r>
            <w:rPr>
              <w:rFonts w:hint="eastAsia" w:ascii="宋体" w:hAnsi="宋体" w:cs="宋体"/>
              <w:sz w:val="24"/>
            </w:rPr>
            <w:t>26</w:t>
          </w:r>
          <w:r>
            <w:rPr>
              <w:rFonts w:hint="eastAsia" w:ascii="宋体" w:hAnsi="宋体" w:cs="宋体"/>
              <w:sz w:val="24"/>
            </w:rPr>
            <w:fldChar w:fldCharType="end"/>
          </w:r>
          <w:r>
            <w:rPr>
              <w:rFonts w:hint="eastAsia" w:ascii="宋体" w:hAnsi="宋体" w:cs="宋体"/>
              <w:sz w:val="24"/>
            </w:rPr>
            <w:fldChar w:fldCharType="end"/>
          </w:r>
        </w:p>
        <w:p w14:paraId="6199983F">
          <w:pPr>
            <w:pStyle w:val="11"/>
            <w:tabs>
              <w:tab w:val="right" w:leader="dot" w:pos="8306"/>
              <w:tab w:val="clear" w:pos="8296"/>
            </w:tabs>
            <w:spacing w:line="440" w:lineRule="exact"/>
            <w:rPr>
              <w:rFonts w:ascii="宋体" w:hAnsi="宋体" w:cs="宋体"/>
              <w:sz w:val="24"/>
            </w:rPr>
          </w:pPr>
          <w:r>
            <w:fldChar w:fldCharType="begin"/>
          </w:r>
          <w:r>
            <w:instrText xml:space="preserve"> HYPERLINK \l "_Toc26490" </w:instrText>
          </w:r>
          <w:r>
            <w:fldChar w:fldCharType="separate"/>
          </w:r>
          <w:r>
            <w:rPr>
              <w:rFonts w:hint="eastAsia" w:ascii="宋体" w:hAnsi="宋体" w:cs="宋体"/>
              <w:sz w:val="24"/>
            </w:rPr>
            <w:t>三、支出决算表</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_Toc26490 \h </w:instrText>
          </w:r>
          <w:r>
            <w:rPr>
              <w:rFonts w:hint="eastAsia" w:ascii="宋体" w:hAnsi="宋体" w:cs="宋体"/>
              <w:sz w:val="24"/>
            </w:rPr>
            <w:fldChar w:fldCharType="separate"/>
          </w:r>
          <w:r>
            <w:rPr>
              <w:rFonts w:hint="eastAsia" w:ascii="宋体" w:hAnsi="宋体" w:cs="宋体"/>
              <w:sz w:val="24"/>
            </w:rPr>
            <w:t>26</w:t>
          </w:r>
          <w:r>
            <w:rPr>
              <w:rFonts w:hint="eastAsia" w:ascii="宋体" w:hAnsi="宋体" w:cs="宋体"/>
              <w:sz w:val="24"/>
            </w:rPr>
            <w:fldChar w:fldCharType="end"/>
          </w:r>
          <w:r>
            <w:rPr>
              <w:rFonts w:hint="eastAsia" w:ascii="宋体" w:hAnsi="宋体" w:cs="宋体"/>
              <w:sz w:val="24"/>
            </w:rPr>
            <w:fldChar w:fldCharType="end"/>
          </w:r>
        </w:p>
        <w:p w14:paraId="35008D26">
          <w:pPr>
            <w:pStyle w:val="11"/>
            <w:tabs>
              <w:tab w:val="right" w:leader="dot" w:pos="8306"/>
              <w:tab w:val="clear" w:pos="8296"/>
            </w:tabs>
            <w:spacing w:line="440" w:lineRule="exact"/>
            <w:rPr>
              <w:rFonts w:ascii="宋体" w:hAnsi="宋体" w:cs="宋体"/>
              <w:sz w:val="24"/>
            </w:rPr>
          </w:pPr>
          <w:r>
            <w:fldChar w:fldCharType="begin"/>
          </w:r>
          <w:r>
            <w:instrText xml:space="preserve"> HYPERLINK \l "_Toc4249" </w:instrText>
          </w:r>
          <w:r>
            <w:fldChar w:fldCharType="separate"/>
          </w:r>
          <w:r>
            <w:rPr>
              <w:rFonts w:hint="eastAsia" w:ascii="宋体" w:hAnsi="宋体" w:cs="宋体"/>
              <w:sz w:val="24"/>
            </w:rPr>
            <w:t>四、财政拨款收入支出决算总表</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_Toc4249 \h </w:instrText>
          </w:r>
          <w:r>
            <w:rPr>
              <w:rFonts w:hint="eastAsia" w:ascii="宋体" w:hAnsi="宋体" w:cs="宋体"/>
              <w:sz w:val="24"/>
            </w:rPr>
            <w:fldChar w:fldCharType="separate"/>
          </w:r>
          <w:r>
            <w:rPr>
              <w:rFonts w:hint="eastAsia" w:ascii="宋体" w:hAnsi="宋体" w:cs="宋体"/>
              <w:sz w:val="24"/>
            </w:rPr>
            <w:t>26</w:t>
          </w:r>
          <w:r>
            <w:rPr>
              <w:rFonts w:hint="eastAsia" w:ascii="宋体" w:hAnsi="宋体" w:cs="宋体"/>
              <w:sz w:val="24"/>
            </w:rPr>
            <w:fldChar w:fldCharType="end"/>
          </w:r>
          <w:r>
            <w:rPr>
              <w:rFonts w:hint="eastAsia" w:ascii="宋体" w:hAnsi="宋体" w:cs="宋体"/>
              <w:sz w:val="24"/>
            </w:rPr>
            <w:fldChar w:fldCharType="end"/>
          </w:r>
        </w:p>
        <w:p w14:paraId="6FD7048B">
          <w:pPr>
            <w:pStyle w:val="11"/>
            <w:tabs>
              <w:tab w:val="right" w:leader="dot" w:pos="8306"/>
              <w:tab w:val="clear" w:pos="8296"/>
            </w:tabs>
            <w:spacing w:line="440" w:lineRule="exact"/>
            <w:rPr>
              <w:rFonts w:ascii="宋体" w:hAnsi="宋体" w:cs="宋体"/>
              <w:sz w:val="24"/>
            </w:rPr>
          </w:pPr>
          <w:r>
            <w:fldChar w:fldCharType="begin"/>
          </w:r>
          <w:r>
            <w:instrText xml:space="preserve"> HYPERLINK \l "_Toc21621" </w:instrText>
          </w:r>
          <w:r>
            <w:fldChar w:fldCharType="separate"/>
          </w:r>
          <w:r>
            <w:rPr>
              <w:rFonts w:hint="eastAsia" w:ascii="宋体" w:hAnsi="宋体" w:cs="宋体"/>
              <w:sz w:val="24"/>
            </w:rPr>
            <w:t>五、财政拨款支出决算明细表</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_Toc21621 \h </w:instrText>
          </w:r>
          <w:r>
            <w:rPr>
              <w:rFonts w:hint="eastAsia" w:ascii="宋体" w:hAnsi="宋体" w:cs="宋体"/>
              <w:sz w:val="24"/>
            </w:rPr>
            <w:fldChar w:fldCharType="separate"/>
          </w:r>
          <w:r>
            <w:rPr>
              <w:rFonts w:hint="eastAsia" w:ascii="宋体" w:hAnsi="宋体" w:cs="宋体"/>
              <w:sz w:val="24"/>
            </w:rPr>
            <w:t>26</w:t>
          </w:r>
          <w:r>
            <w:rPr>
              <w:rFonts w:hint="eastAsia" w:ascii="宋体" w:hAnsi="宋体" w:cs="宋体"/>
              <w:sz w:val="24"/>
            </w:rPr>
            <w:fldChar w:fldCharType="end"/>
          </w:r>
          <w:r>
            <w:rPr>
              <w:rFonts w:hint="eastAsia" w:ascii="宋体" w:hAnsi="宋体" w:cs="宋体"/>
              <w:sz w:val="24"/>
            </w:rPr>
            <w:fldChar w:fldCharType="end"/>
          </w:r>
        </w:p>
        <w:p w14:paraId="145475A3">
          <w:pPr>
            <w:pStyle w:val="11"/>
            <w:tabs>
              <w:tab w:val="right" w:leader="dot" w:pos="8306"/>
              <w:tab w:val="clear" w:pos="8296"/>
            </w:tabs>
            <w:spacing w:line="440" w:lineRule="exact"/>
            <w:rPr>
              <w:rFonts w:ascii="宋体" w:hAnsi="宋体" w:cs="宋体"/>
              <w:sz w:val="24"/>
            </w:rPr>
          </w:pPr>
          <w:r>
            <w:fldChar w:fldCharType="begin"/>
          </w:r>
          <w:r>
            <w:instrText xml:space="preserve"> HYPERLINK \l "_Toc1061" </w:instrText>
          </w:r>
          <w:r>
            <w:fldChar w:fldCharType="separate"/>
          </w:r>
          <w:r>
            <w:rPr>
              <w:rFonts w:hint="eastAsia" w:ascii="宋体" w:hAnsi="宋体" w:cs="宋体"/>
              <w:sz w:val="24"/>
            </w:rPr>
            <w:t>六、一般公共预算财政拨款支出决算表</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_Toc1061 \h </w:instrText>
          </w:r>
          <w:r>
            <w:rPr>
              <w:rFonts w:hint="eastAsia" w:ascii="宋体" w:hAnsi="宋体" w:cs="宋体"/>
              <w:sz w:val="24"/>
            </w:rPr>
            <w:fldChar w:fldCharType="separate"/>
          </w:r>
          <w:r>
            <w:rPr>
              <w:rFonts w:hint="eastAsia" w:ascii="宋体" w:hAnsi="宋体" w:cs="宋体"/>
              <w:sz w:val="24"/>
            </w:rPr>
            <w:t>26</w:t>
          </w:r>
          <w:r>
            <w:rPr>
              <w:rFonts w:hint="eastAsia" w:ascii="宋体" w:hAnsi="宋体" w:cs="宋体"/>
              <w:sz w:val="24"/>
            </w:rPr>
            <w:fldChar w:fldCharType="end"/>
          </w:r>
          <w:r>
            <w:rPr>
              <w:rFonts w:hint="eastAsia" w:ascii="宋体" w:hAnsi="宋体" w:cs="宋体"/>
              <w:sz w:val="24"/>
            </w:rPr>
            <w:fldChar w:fldCharType="end"/>
          </w:r>
        </w:p>
        <w:p w14:paraId="4C6444BE">
          <w:pPr>
            <w:pStyle w:val="11"/>
            <w:tabs>
              <w:tab w:val="right" w:leader="dot" w:pos="8306"/>
              <w:tab w:val="clear" w:pos="8296"/>
            </w:tabs>
            <w:spacing w:line="440" w:lineRule="exact"/>
            <w:rPr>
              <w:rFonts w:ascii="宋体" w:hAnsi="宋体" w:cs="宋体"/>
              <w:sz w:val="24"/>
            </w:rPr>
          </w:pPr>
          <w:r>
            <w:fldChar w:fldCharType="begin"/>
          </w:r>
          <w:r>
            <w:instrText xml:space="preserve"> HYPERLINK \l "_Toc6268" </w:instrText>
          </w:r>
          <w:r>
            <w:fldChar w:fldCharType="separate"/>
          </w:r>
          <w:r>
            <w:rPr>
              <w:rFonts w:hint="eastAsia" w:ascii="宋体" w:hAnsi="宋体" w:cs="宋体"/>
              <w:sz w:val="24"/>
            </w:rPr>
            <w:t>七、一般公共预算财政拨款支出决算明细表</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_Toc6268 \h </w:instrText>
          </w:r>
          <w:r>
            <w:rPr>
              <w:rFonts w:hint="eastAsia" w:ascii="宋体" w:hAnsi="宋体" w:cs="宋体"/>
              <w:sz w:val="24"/>
            </w:rPr>
            <w:fldChar w:fldCharType="separate"/>
          </w:r>
          <w:r>
            <w:rPr>
              <w:rFonts w:hint="eastAsia" w:ascii="宋体" w:hAnsi="宋体" w:cs="宋体"/>
              <w:sz w:val="24"/>
            </w:rPr>
            <w:t>26</w:t>
          </w:r>
          <w:r>
            <w:rPr>
              <w:rFonts w:hint="eastAsia" w:ascii="宋体" w:hAnsi="宋体" w:cs="宋体"/>
              <w:sz w:val="24"/>
            </w:rPr>
            <w:fldChar w:fldCharType="end"/>
          </w:r>
          <w:r>
            <w:rPr>
              <w:rFonts w:hint="eastAsia" w:ascii="宋体" w:hAnsi="宋体" w:cs="宋体"/>
              <w:sz w:val="24"/>
            </w:rPr>
            <w:fldChar w:fldCharType="end"/>
          </w:r>
        </w:p>
        <w:p w14:paraId="60F1646A">
          <w:pPr>
            <w:pStyle w:val="11"/>
            <w:tabs>
              <w:tab w:val="right" w:leader="dot" w:pos="8306"/>
              <w:tab w:val="clear" w:pos="8296"/>
            </w:tabs>
            <w:spacing w:line="440" w:lineRule="exact"/>
            <w:rPr>
              <w:rFonts w:ascii="宋体" w:hAnsi="宋体" w:cs="宋体"/>
              <w:sz w:val="24"/>
            </w:rPr>
          </w:pPr>
          <w:r>
            <w:fldChar w:fldCharType="begin"/>
          </w:r>
          <w:r>
            <w:instrText xml:space="preserve"> HYPERLINK \l "_Toc29111" </w:instrText>
          </w:r>
          <w:r>
            <w:fldChar w:fldCharType="separate"/>
          </w:r>
          <w:r>
            <w:rPr>
              <w:rFonts w:hint="eastAsia" w:ascii="宋体" w:hAnsi="宋体" w:cs="宋体"/>
              <w:sz w:val="24"/>
            </w:rPr>
            <w:t>八、一般公共预算财政拨款基本支出决算表</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_Toc29111 \h </w:instrText>
          </w:r>
          <w:r>
            <w:rPr>
              <w:rFonts w:hint="eastAsia" w:ascii="宋体" w:hAnsi="宋体" w:cs="宋体"/>
              <w:sz w:val="24"/>
            </w:rPr>
            <w:fldChar w:fldCharType="separate"/>
          </w:r>
          <w:r>
            <w:rPr>
              <w:rFonts w:hint="eastAsia" w:ascii="宋体" w:hAnsi="宋体" w:cs="宋体"/>
              <w:sz w:val="24"/>
            </w:rPr>
            <w:t>26</w:t>
          </w:r>
          <w:r>
            <w:rPr>
              <w:rFonts w:hint="eastAsia" w:ascii="宋体" w:hAnsi="宋体" w:cs="宋体"/>
              <w:sz w:val="24"/>
            </w:rPr>
            <w:fldChar w:fldCharType="end"/>
          </w:r>
          <w:r>
            <w:rPr>
              <w:rFonts w:hint="eastAsia" w:ascii="宋体" w:hAnsi="宋体" w:cs="宋体"/>
              <w:sz w:val="24"/>
            </w:rPr>
            <w:fldChar w:fldCharType="end"/>
          </w:r>
        </w:p>
        <w:p w14:paraId="089DD4D4">
          <w:pPr>
            <w:pStyle w:val="11"/>
            <w:tabs>
              <w:tab w:val="right" w:leader="dot" w:pos="8306"/>
              <w:tab w:val="clear" w:pos="8296"/>
            </w:tabs>
            <w:spacing w:line="440" w:lineRule="exact"/>
            <w:rPr>
              <w:rFonts w:ascii="宋体" w:hAnsi="宋体" w:cs="宋体"/>
              <w:sz w:val="24"/>
            </w:rPr>
          </w:pPr>
          <w:r>
            <w:fldChar w:fldCharType="begin"/>
          </w:r>
          <w:r>
            <w:instrText xml:space="preserve"> HYPERLINK \l "_Toc25077" </w:instrText>
          </w:r>
          <w:r>
            <w:fldChar w:fldCharType="separate"/>
          </w:r>
          <w:r>
            <w:rPr>
              <w:rFonts w:hint="eastAsia" w:ascii="宋体" w:hAnsi="宋体" w:cs="宋体"/>
              <w:sz w:val="24"/>
            </w:rPr>
            <w:t>九、一般公共预算财政拨款项目支出决算表</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_Toc25077 \h </w:instrText>
          </w:r>
          <w:r>
            <w:rPr>
              <w:rFonts w:hint="eastAsia" w:ascii="宋体" w:hAnsi="宋体" w:cs="宋体"/>
              <w:sz w:val="24"/>
            </w:rPr>
            <w:fldChar w:fldCharType="separate"/>
          </w:r>
          <w:r>
            <w:rPr>
              <w:rFonts w:hint="eastAsia" w:ascii="宋体" w:hAnsi="宋体" w:cs="宋体"/>
              <w:sz w:val="24"/>
            </w:rPr>
            <w:t>26</w:t>
          </w:r>
          <w:r>
            <w:rPr>
              <w:rFonts w:hint="eastAsia" w:ascii="宋体" w:hAnsi="宋体" w:cs="宋体"/>
              <w:sz w:val="24"/>
            </w:rPr>
            <w:fldChar w:fldCharType="end"/>
          </w:r>
          <w:r>
            <w:rPr>
              <w:rFonts w:hint="eastAsia" w:ascii="宋体" w:hAnsi="宋体" w:cs="宋体"/>
              <w:sz w:val="24"/>
            </w:rPr>
            <w:fldChar w:fldCharType="end"/>
          </w:r>
        </w:p>
        <w:p w14:paraId="7D67AE30">
          <w:pPr>
            <w:pStyle w:val="11"/>
            <w:tabs>
              <w:tab w:val="right" w:leader="dot" w:pos="8306"/>
              <w:tab w:val="clear" w:pos="8296"/>
            </w:tabs>
            <w:spacing w:line="440" w:lineRule="exact"/>
            <w:rPr>
              <w:rFonts w:ascii="宋体" w:hAnsi="宋体" w:cs="宋体"/>
              <w:sz w:val="24"/>
            </w:rPr>
          </w:pPr>
          <w:r>
            <w:fldChar w:fldCharType="begin"/>
          </w:r>
          <w:r>
            <w:instrText xml:space="preserve"> HYPERLINK \l "_Toc8538" </w:instrText>
          </w:r>
          <w:r>
            <w:fldChar w:fldCharType="separate"/>
          </w:r>
          <w:r>
            <w:rPr>
              <w:rFonts w:hint="eastAsia" w:ascii="宋体" w:hAnsi="宋体" w:cs="宋体"/>
              <w:sz w:val="24"/>
            </w:rPr>
            <w:t>十、政府性基金预算财政拨款收入支出决算表</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_Toc8538 \h </w:instrText>
          </w:r>
          <w:r>
            <w:rPr>
              <w:rFonts w:hint="eastAsia" w:ascii="宋体" w:hAnsi="宋体" w:cs="宋体"/>
              <w:sz w:val="24"/>
            </w:rPr>
            <w:fldChar w:fldCharType="separate"/>
          </w:r>
          <w:r>
            <w:rPr>
              <w:rFonts w:hint="eastAsia" w:ascii="宋体" w:hAnsi="宋体" w:cs="宋体"/>
              <w:sz w:val="24"/>
            </w:rPr>
            <w:t>26</w:t>
          </w:r>
          <w:r>
            <w:rPr>
              <w:rFonts w:hint="eastAsia" w:ascii="宋体" w:hAnsi="宋体" w:cs="宋体"/>
              <w:sz w:val="24"/>
            </w:rPr>
            <w:fldChar w:fldCharType="end"/>
          </w:r>
          <w:r>
            <w:rPr>
              <w:rFonts w:hint="eastAsia" w:ascii="宋体" w:hAnsi="宋体" w:cs="宋体"/>
              <w:sz w:val="24"/>
            </w:rPr>
            <w:fldChar w:fldCharType="end"/>
          </w:r>
        </w:p>
        <w:p w14:paraId="0B85E1EE">
          <w:pPr>
            <w:pStyle w:val="11"/>
            <w:tabs>
              <w:tab w:val="right" w:leader="dot" w:pos="8306"/>
              <w:tab w:val="clear" w:pos="8296"/>
            </w:tabs>
            <w:spacing w:line="440" w:lineRule="exact"/>
            <w:rPr>
              <w:rFonts w:ascii="宋体" w:hAnsi="宋体" w:cs="宋体"/>
              <w:sz w:val="24"/>
            </w:rPr>
          </w:pPr>
          <w:r>
            <w:fldChar w:fldCharType="begin"/>
          </w:r>
          <w:r>
            <w:instrText xml:space="preserve"> HYPERLINK \l "_Toc26365" </w:instrText>
          </w:r>
          <w:r>
            <w:fldChar w:fldCharType="separate"/>
          </w:r>
          <w:r>
            <w:rPr>
              <w:rFonts w:hint="eastAsia" w:ascii="宋体" w:hAnsi="宋体" w:cs="宋体"/>
              <w:sz w:val="24"/>
            </w:rPr>
            <w:t>十一、国有资本经营预算财政拨款收入支出决算表</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_Toc26365 \h </w:instrText>
          </w:r>
          <w:r>
            <w:rPr>
              <w:rFonts w:hint="eastAsia" w:ascii="宋体" w:hAnsi="宋体" w:cs="宋体"/>
              <w:sz w:val="24"/>
            </w:rPr>
            <w:fldChar w:fldCharType="separate"/>
          </w:r>
          <w:r>
            <w:rPr>
              <w:rFonts w:hint="eastAsia" w:ascii="宋体" w:hAnsi="宋体" w:cs="宋体"/>
              <w:sz w:val="24"/>
            </w:rPr>
            <w:t>26</w:t>
          </w:r>
          <w:r>
            <w:rPr>
              <w:rFonts w:hint="eastAsia" w:ascii="宋体" w:hAnsi="宋体" w:cs="宋体"/>
              <w:sz w:val="24"/>
            </w:rPr>
            <w:fldChar w:fldCharType="end"/>
          </w:r>
          <w:r>
            <w:rPr>
              <w:rFonts w:hint="eastAsia" w:ascii="宋体" w:hAnsi="宋体" w:cs="宋体"/>
              <w:sz w:val="24"/>
            </w:rPr>
            <w:fldChar w:fldCharType="end"/>
          </w:r>
        </w:p>
        <w:p w14:paraId="6B6F6A5C">
          <w:pPr>
            <w:pStyle w:val="11"/>
            <w:tabs>
              <w:tab w:val="right" w:leader="dot" w:pos="8306"/>
              <w:tab w:val="clear" w:pos="8296"/>
            </w:tabs>
            <w:spacing w:line="440" w:lineRule="exact"/>
            <w:rPr>
              <w:rFonts w:ascii="宋体" w:hAnsi="宋体" w:cs="宋体"/>
              <w:sz w:val="24"/>
            </w:rPr>
          </w:pPr>
          <w:r>
            <w:fldChar w:fldCharType="begin"/>
          </w:r>
          <w:r>
            <w:instrText xml:space="preserve"> HYPERLINK \l "_Toc11791" </w:instrText>
          </w:r>
          <w:r>
            <w:fldChar w:fldCharType="separate"/>
          </w:r>
          <w:r>
            <w:rPr>
              <w:rFonts w:hint="eastAsia" w:ascii="宋体" w:hAnsi="宋体" w:cs="宋体"/>
              <w:sz w:val="24"/>
            </w:rPr>
            <w:t>十二、国有资本经营预算财政拨款支出决算表</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_Toc11791 \h </w:instrText>
          </w:r>
          <w:r>
            <w:rPr>
              <w:rFonts w:hint="eastAsia" w:ascii="宋体" w:hAnsi="宋体" w:cs="宋体"/>
              <w:sz w:val="24"/>
            </w:rPr>
            <w:fldChar w:fldCharType="separate"/>
          </w:r>
          <w:r>
            <w:rPr>
              <w:rFonts w:hint="eastAsia" w:ascii="宋体" w:hAnsi="宋体" w:cs="宋体"/>
              <w:sz w:val="24"/>
            </w:rPr>
            <w:t>26</w:t>
          </w:r>
          <w:r>
            <w:rPr>
              <w:rFonts w:hint="eastAsia" w:ascii="宋体" w:hAnsi="宋体" w:cs="宋体"/>
              <w:sz w:val="24"/>
            </w:rPr>
            <w:fldChar w:fldCharType="end"/>
          </w:r>
          <w:r>
            <w:rPr>
              <w:rFonts w:hint="eastAsia" w:ascii="宋体" w:hAnsi="宋体" w:cs="宋体"/>
              <w:sz w:val="24"/>
            </w:rPr>
            <w:fldChar w:fldCharType="end"/>
          </w:r>
        </w:p>
        <w:p w14:paraId="0465E884">
          <w:pPr>
            <w:pStyle w:val="11"/>
            <w:tabs>
              <w:tab w:val="right" w:leader="dot" w:pos="8306"/>
              <w:tab w:val="clear" w:pos="8296"/>
            </w:tabs>
            <w:spacing w:line="440" w:lineRule="exact"/>
          </w:pPr>
          <w:r>
            <w:fldChar w:fldCharType="begin"/>
          </w:r>
          <w:r>
            <w:instrText xml:space="preserve"> HYPERLINK \l "_Toc26267" </w:instrText>
          </w:r>
          <w:r>
            <w:fldChar w:fldCharType="separate"/>
          </w:r>
          <w:r>
            <w:rPr>
              <w:rFonts w:hint="eastAsia" w:ascii="宋体" w:hAnsi="宋体" w:cs="宋体"/>
              <w:sz w:val="24"/>
            </w:rPr>
            <w:t>十三、财政拨款“三公”经费支出决算表</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_Toc26267 \h </w:instrText>
          </w:r>
          <w:r>
            <w:rPr>
              <w:rFonts w:hint="eastAsia" w:ascii="宋体" w:hAnsi="宋体" w:cs="宋体"/>
              <w:sz w:val="24"/>
            </w:rPr>
            <w:fldChar w:fldCharType="separate"/>
          </w:r>
          <w:r>
            <w:rPr>
              <w:rFonts w:hint="eastAsia" w:ascii="宋体" w:hAnsi="宋体" w:cs="宋体"/>
              <w:sz w:val="24"/>
            </w:rPr>
            <w:t>26</w:t>
          </w:r>
          <w:r>
            <w:rPr>
              <w:rFonts w:hint="eastAsia" w:ascii="宋体" w:hAnsi="宋体" w:cs="宋体"/>
              <w:sz w:val="24"/>
            </w:rPr>
            <w:fldChar w:fldCharType="end"/>
          </w:r>
          <w:r>
            <w:rPr>
              <w:rFonts w:hint="eastAsia" w:ascii="宋体" w:hAnsi="宋体" w:cs="宋体"/>
              <w:sz w:val="24"/>
            </w:rPr>
            <w:fldChar w:fldCharType="end"/>
          </w:r>
        </w:p>
        <w:p w14:paraId="22370DBE">
          <w:r>
            <w:rPr>
              <w:rFonts w:hint="eastAsia" w:ascii="仿宋_GB2312" w:hAnsi="仿宋_GB2312" w:eastAsia="仿宋_GB2312" w:cs="仿宋_GB2312"/>
              <w:szCs w:val="28"/>
            </w:rPr>
            <w:fldChar w:fldCharType="end"/>
          </w:r>
        </w:p>
      </w:sdtContent>
    </w:sdt>
    <w:p w14:paraId="1B821454">
      <w:pPr>
        <w:widowControl/>
        <w:spacing w:line="440" w:lineRule="exact"/>
        <w:jc w:val="left"/>
        <w:rPr>
          <w:rFonts w:ascii="仿宋" w:hAnsi="仿宋" w:eastAsia="仿宋"/>
          <w:bCs/>
          <w:kern w:val="44"/>
          <w:sz w:val="24"/>
        </w:rPr>
      </w:pPr>
      <w:r>
        <w:rPr>
          <w:rFonts w:ascii="仿宋" w:hAnsi="仿宋" w:eastAsia="仿宋"/>
          <w:b/>
          <w:sz w:val="24"/>
        </w:rPr>
        <w:br w:type="page"/>
      </w:r>
    </w:p>
    <w:p w14:paraId="1304F5E3">
      <w:pPr>
        <w:pStyle w:val="2"/>
        <w:jc w:val="center"/>
        <w:rPr>
          <w:rFonts w:ascii="黑体" w:eastAsia="黑体"/>
          <w:sz w:val="32"/>
          <w:szCs w:val="32"/>
        </w:rPr>
      </w:pPr>
      <w:bookmarkStart w:id="15" w:name="_Toc13859"/>
      <w:r>
        <w:rPr>
          <w:rFonts w:hint="eastAsia" w:ascii="黑体" w:hAnsi="黑体" w:eastAsia="黑体"/>
          <w:b w:val="0"/>
        </w:rPr>
        <w:t>第一部分 单位</w:t>
      </w:r>
      <w:r>
        <w:rPr>
          <w:rStyle w:val="25"/>
          <w:rFonts w:hint="eastAsia" w:ascii="黑体" w:hAnsi="黑体" w:eastAsia="黑体"/>
          <w:b w:val="0"/>
          <w:bCs w:val="0"/>
        </w:rPr>
        <w:t>概况</w:t>
      </w:r>
      <w:bookmarkEnd w:id="15"/>
    </w:p>
    <w:p w14:paraId="34CF1852">
      <w:pPr>
        <w:pStyle w:val="3"/>
        <w:numPr>
          <w:ilvl w:val="0"/>
          <w:numId w:val="1"/>
        </w:numPr>
        <w:rPr>
          <w:rStyle w:val="26"/>
          <w:rFonts w:ascii="黑体" w:hAnsi="黑体" w:eastAsia="黑体"/>
          <w:b w:val="0"/>
          <w:bCs w:val="0"/>
        </w:rPr>
      </w:pPr>
      <w:bookmarkStart w:id="16" w:name="_Toc15377197"/>
      <w:bookmarkStart w:id="17" w:name="_Toc15396600"/>
      <w:r>
        <w:rPr>
          <w:rStyle w:val="26"/>
          <w:rFonts w:hint="eastAsia" w:ascii="黑体" w:hAnsi="黑体" w:eastAsia="黑体"/>
          <w:b w:val="0"/>
          <w:bCs w:val="0"/>
        </w:rPr>
        <w:t>主要职责</w:t>
      </w:r>
    </w:p>
    <w:p w14:paraId="0D269918">
      <w:pPr>
        <w:ind w:firstLine="640" w:firstLineChars="200"/>
      </w:pPr>
      <w:r>
        <w:rPr>
          <w:rFonts w:hint="eastAsia" w:ascii="仿宋" w:hAnsi="仿宋" w:eastAsia="仿宋"/>
          <w:bCs/>
          <w:kern w:val="0"/>
          <w:sz w:val="32"/>
          <w:szCs w:val="32"/>
        </w:rPr>
        <w:t>大竹县大竹县清水镇中心小学是大竹县教育局举办的一所完全小学，属于全额拨款事业单位，工作职能及主要工作是贯彻执行国家教育方针政策，承担本辖区内小学1-6年级教育教学职责，实施义务教育，促进基础教育发展及学历教育。</w:t>
      </w:r>
    </w:p>
    <w:p w14:paraId="16C5A883">
      <w:pPr>
        <w:pStyle w:val="3"/>
        <w:rPr>
          <w:rFonts w:ascii="黑体" w:hAnsi="黑体" w:eastAsia="黑体"/>
          <w:b w:val="0"/>
        </w:rPr>
      </w:pPr>
      <w:bookmarkStart w:id="18" w:name="_Toc25859"/>
      <w:r>
        <w:rPr>
          <w:rFonts w:hint="eastAsia" w:ascii="黑体" w:hAnsi="黑体" w:eastAsia="黑体"/>
          <w:b w:val="0"/>
        </w:rPr>
        <w:t>二、</w:t>
      </w:r>
      <w:bookmarkEnd w:id="16"/>
      <w:bookmarkEnd w:id="17"/>
      <w:r>
        <w:rPr>
          <w:rFonts w:hint="eastAsia" w:ascii="黑体" w:hAnsi="黑体" w:eastAsia="黑体"/>
          <w:b w:val="0"/>
        </w:rPr>
        <w:t>机构设置</w:t>
      </w:r>
      <w:bookmarkEnd w:id="18"/>
    </w:p>
    <w:p w14:paraId="2F8C652A">
      <w:pPr>
        <w:ind w:firstLine="640" w:firstLineChars="200"/>
        <w:rPr>
          <w:rFonts w:ascii="仿宋" w:hAnsi="仿宋" w:eastAsia="仿宋"/>
          <w:color w:val="000000"/>
          <w:sz w:val="32"/>
          <w:szCs w:val="32"/>
        </w:rPr>
      </w:pPr>
      <w:r>
        <w:rPr>
          <w:rFonts w:hint="eastAsia" w:ascii="仿宋" w:hAnsi="仿宋" w:eastAsia="仿宋"/>
          <w:bCs/>
          <w:kern w:val="0"/>
          <w:sz w:val="32"/>
          <w:szCs w:val="32"/>
        </w:rPr>
        <w:t>大竹县大竹县清水镇中心小学</w:t>
      </w:r>
      <w:r>
        <w:rPr>
          <w:rFonts w:hint="eastAsia" w:ascii="仿宋" w:hAnsi="仿宋" w:eastAsia="仿宋"/>
          <w:color w:val="000000"/>
          <w:sz w:val="32"/>
          <w:szCs w:val="32"/>
        </w:rPr>
        <w:t>下属二级单位0个，其中行政单位0个，参照公务员法管理的事业单位0个，其他事业单位0个。</w:t>
      </w:r>
    </w:p>
    <w:p w14:paraId="5FC44367">
      <w:pPr>
        <w:ind w:firstLine="640" w:firstLineChars="200"/>
        <w:rPr>
          <w:rFonts w:ascii="仿宋" w:hAnsi="仿宋" w:eastAsia="仿宋"/>
          <w:color w:val="000000"/>
          <w:sz w:val="32"/>
          <w:szCs w:val="32"/>
        </w:rPr>
      </w:pPr>
      <w:r>
        <w:rPr>
          <w:rFonts w:hint="eastAsia" w:ascii="仿宋" w:hAnsi="仿宋" w:eastAsia="仿宋"/>
          <w:color w:val="000000"/>
          <w:sz w:val="32"/>
          <w:szCs w:val="32"/>
        </w:rPr>
        <w:t>纳入</w:t>
      </w:r>
      <w:r>
        <w:rPr>
          <w:rFonts w:hint="eastAsia" w:ascii="仿宋" w:hAnsi="仿宋" w:eastAsia="仿宋"/>
          <w:bCs/>
          <w:kern w:val="0"/>
          <w:sz w:val="32"/>
          <w:szCs w:val="32"/>
        </w:rPr>
        <w:t>大竹县大竹县清水镇中心小学</w:t>
      </w:r>
      <w:r>
        <w:rPr>
          <w:rFonts w:hint="eastAsia" w:ascii="仿宋" w:hAnsi="仿宋" w:eastAsia="仿宋"/>
          <w:color w:val="000000"/>
          <w:sz w:val="32"/>
          <w:szCs w:val="32"/>
        </w:rPr>
        <w:t>2023年度部门决算编制范围的二级预算单位包括：</w:t>
      </w:r>
    </w:p>
    <w:p w14:paraId="6907B451">
      <w:pPr>
        <w:ind w:firstLine="640" w:firstLineChars="200"/>
        <w:rPr>
          <w:rFonts w:ascii="仿宋" w:hAnsi="仿宋" w:eastAsia="仿宋"/>
          <w:color w:val="000000"/>
          <w:sz w:val="32"/>
          <w:szCs w:val="32"/>
        </w:rPr>
      </w:pPr>
      <w:r>
        <w:rPr>
          <w:rFonts w:hint="eastAsia" w:ascii="仿宋" w:hAnsi="仿宋" w:eastAsia="仿宋"/>
          <w:color w:val="000000"/>
          <w:sz w:val="32"/>
          <w:szCs w:val="32"/>
        </w:rPr>
        <w:t>无。</w:t>
      </w:r>
    </w:p>
    <w:p w14:paraId="236D363E">
      <w:pPr>
        <w:ind w:firstLine="420" w:firstLineChars="200"/>
      </w:pPr>
    </w:p>
    <w:p w14:paraId="7B57AA8B">
      <w:pPr>
        <w:widowControl/>
        <w:jc w:val="left"/>
        <w:rPr>
          <w:rFonts w:ascii="仿宋" w:hAnsi="仿宋" w:eastAsia="仿宋"/>
          <w:kern w:val="0"/>
          <w:sz w:val="32"/>
          <w:szCs w:val="32"/>
        </w:rPr>
      </w:pPr>
      <w:r>
        <w:rPr>
          <w:rFonts w:ascii="仿宋" w:hAnsi="仿宋" w:eastAsia="仿宋"/>
          <w:sz w:val="32"/>
          <w:szCs w:val="32"/>
        </w:rPr>
        <w:br w:type="page"/>
      </w:r>
    </w:p>
    <w:p w14:paraId="035890EA">
      <w:pPr>
        <w:pStyle w:val="2"/>
        <w:ind w:right="440"/>
        <w:jc w:val="center"/>
        <w:rPr>
          <w:rStyle w:val="25"/>
          <w:rFonts w:ascii="黑体" w:hAnsi="黑体" w:eastAsia="黑体"/>
          <w:b w:val="0"/>
          <w:bCs/>
        </w:rPr>
      </w:pPr>
      <w:bookmarkStart w:id="19" w:name="_Toc31162"/>
      <w:bookmarkStart w:id="20" w:name="_Toc15377204"/>
      <w:bookmarkStart w:id="21" w:name="_Toc15396602"/>
      <w:r>
        <w:rPr>
          <w:rFonts w:hint="eastAsia" w:ascii="黑体" w:hAnsi="黑体" w:eastAsia="黑体"/>
          <w:b w:val="0"/>
        </w:rPr>
        <w:t>第二部分 2023年度</w:t>
      </w:r>
      <w:r>
        <w:rPr>
          <w:rStyle w:val="25"/>
          <w:rFonts w:hint="eastAsia" w:ascii="黑体" w:hAnsi="黑体" w:eastAsia="黑体"/>
          <w:b w:val="0"/>
          <w:bCs/>
        </w:rPr>
        <w:t>单位决算情况说明</w:t>
      </w:r>
      <w:bookmarkEnd w:id="19"/>
      <w:bookmarkEnd w:id="20"/>
      <w:bookmarkEnd w:id="21"/>
    </w:p>
    <w:p w14:paraId="48024017"/>
    <w:p w14:paraId="3A86037F">
      <w:pPr>
        <w:pStyle w:val="24"/>
        <w:numPr>
          <w:ilvl w:val="0"/>
          <w:numId w:val="2"/>
        </w:numPr>
        <w:spacing w:line="600" w:lineRule="exact"/>
        <w:ind w:firstLineChars="0"/>
        <w:outlineLvl w:val="1"/>
        <w:rPr>
          <w:rStyle w:val="26"/>
          <w:rFonts w:ascii="黑体" w:hAnsi="黑体" w:eastAsia="黑体"/>
          <w:b w:val="0"/>
        </w:rPr>
      </w:pPr>
      <w:bookmarkStart w:id="22" w:name="_Toc3488"/>
      <w:bookmarkStart w:id="23" w:name="_Toc15396603"/>
      <w:bookmarkStart w:id="24" w:name="_Toc15377205"/>
      <w:r>
        <w:rPr>
          <w:rFonts w:hint="eastAsia" w:ascii="黑体" w:hAnsi="黑体" w:eastAsia="黑体"/>
          <w:sz w:val="32"/>
          <w:szCs w:val="32"/>
        </w:rPr>
        <w:t>收</w:t>
      </w:r>
      <w:r>
        <w:rPr>
          <w:rStyle w:val="26"/>
          <w:rFonts w:hint="eastAsia" w:ascii="黑体" w:hAnsi="黑体" w:eastAsia="黑体"/>
          <w:b w:val="0"/>
        </w:rPr>
        <w:t>入支出决算总体情况说明</w:t>
      </w:r>
      <w:bookmarkEnd w:id="22"/>
      <w:bookmarkEnd w:id="23"/>
      <w:bookmarkEnd w:id="24"/>
    </w:p>
    <w:p w14:paraId="7A78B465">
      <w:pPr>
        <w:spacing w:line="600" w:lineRule="exact"/>
        <w:ind w:firstLine="640" w:firstLineChars="200"/>
        <w:rPr>
          <w:rFonts w:ascii="仿宋" w:hAnsi="仿宋" w:eastAsia="仿宋"/>
          <w:sz w:val="32"/>
          <w:szCs w:val="32"/>
        </w:rPr>
      </w:pPr>
      <w:r>
        <w:rPr>
          <w:rFonts w:hint="eastAsia" w:ascii="仿宋" w:hAnsi="仿宋" w:eastAsia="仿宋"/>
          <w:sz w:val="32"/>
          <w:szCs w:val="32"/>
        </w:rPr>
        <w:t>2023年度收、支总计2409.27万元。与2022年相比，收、支总计各减少518.61万元，增长27.43</w:t>
      </w:r>
      <w:r>
        <w:rPr>
          <w:rFonts w:ascii="仿宋" w:hAnsi="仿宋" w:eastAsia="仿宋"/>
          <w:sz w:val="32"/>
          <w:szCs w:val="32"/>
        </w:rPr>
        <w:t>%</w:t>
      </w:r>
      <w:r>
        <w:rPr>
          <w:rFonts w:hint="eastAsia" w:ascii="仿宋" w:hAnsi="仿宋" w:eastAsia="仿宋"/>
          <w:sz w:val="32"/>
          <w:szCs w:val="32"/>
        </w:rPr>
        <w:t>。主要变动原因是人员经费增加而导致收入支出增加。</w:t>
      </w:r>
    </w:p>
    <w:p w14:paraId="617012A4">
      <w:pPr>
        <w:pStyle w:val="5"/>
        <w:spacing w:before="95"/>
        <w:rPr>
          <w:rFonts w:ascii="仿宋" w:hAnsi="仿宋" w:eastAsia="仿宋"/>
          <w:sz w:val="32"/>
          <w:szCs w:val="32"/>
        </w:rPr>
      </w:pPr>
    </w:p>
    <w:p w14:paraId="2ABE691E">
      <w:pPr>
        <w:pStyle w:val="5"/>
        <w:spacing w:before="95"/>
        <w:jc w:val="center"/>
        <w:rPr>
          <w:rFonts w:ascii="仿宋" w:hAnsi="仿宋" w:eastAsia="仿宋"/>
          <w:sz w:val="32"/>
          <w:szCs w:val="32"/>
        </w:rPr>
      </w:pPr>
      <w:r>
        <w:rPr>
          <w:rFonts w:hint="eastAsia" w:ascii="仿宋" w:hAnsi="仿宋" w:eastAsia="仿宋"/>
          <w:sz w:val="32"/>
          <w:szCs w:val="32"/>
        </w:rPr>
        <w:drawing>
          <wp:inline distT="0" distB="0" distL="114300" distR="114300">
            <wp:extent cx="4109085" cy="2743200"/>
            <wp:effectExtent l="4445" t="4445" r="20320" b="1460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F572CDB">
      <w:pPr>
        <w:pStyle w:val="5"/>
        <w:spacing w:before="95"/>
        <w:jc w:val="center"/>
        <w:rPr>
          <w:rFonts w:ascii="仿宋" w:hAnsi="仿宋" w:eastAsia="仿宋"/>
          <w:sz w:val="32"/>
          <w:szCs w:val="32"/>
        </w:rPr>
      </w:pPr>
      <w:r>
        <w:rPr>
          <w:rFonts w:hint="eastAsia" w:ascii="仿宋" w:hAnsi="仿宋" w:eastAsia="仿宋"/>
          <w:sz w:val="32"/>
          <w:szCs w:val="32"/>
        </w:rPr>
        <w:t xml:space="preserve">图1：收、支决算总计变动情况图  </w:t>
      </w:r>
    </w:p>
    <w:p w14:paraId="0E02D5FC">
      <w:pPr>
        <w:pStyle w:val="24"/>
        <w:numPr>
          <w:ilvl w:val="0"/>
          <w:numId w:val="2"/>
        </w:numPr>
        <w:spacing w:line="600" w:lineRule="exact"/>
        <w:ind w:firstLineChars="0"/>
        <w:outlineLvl w:val="1"/>
        <w:rPr>
          <w:rStyle w:val="26"/>
          <w:rFonts w:ascii="黑体" w:hAnsi="黑体" w:eastAsia="黑体"/>
          <w:b w:val="0"/>
        </w:rPr>
      </w:pPr>
      <w:bookmarkStart w:id="25" w:name="_Toc11707"/>
      <w:bookmarkStart w:id="26" w:name="_Toc15377206"/>
      <w:bookmarkStart w:id="27" w:name="_Toc15396604"/>
      <w:r>
        <w:rPr>
          <w:rFonts w:hint="eastAsia" w:ascii="黑体" w:hAnsi="黑体" w:eastAsia="黑体"/>
          <w:sz w:val="32"/>
          <w:szCs w:val="32"/>
        </w:rPr>
        <w:t>收</w:t>
      </w:r>
      <w:r>
        <w:rPr>
          <w:rStyle w:val="26"/>
          <w:rFonts w:hint="eastAsia" w:ascii="黑体" w:hAnsi="黑体" w:eastAsia="黑体"/>
          <w:b w:val="0"/>
        </w:rPr>
        <w:t>入决算情况说明</w:t>
      </w:r>
      <w:bookmarkEnd w:id="25"/>
      <w:bookmarkEnd w:id="26"/>
      <w:bookmarkEnd w:id="27"/>
    </w:p>
    <w:p w14:paraId="59EDEEFA">
      <w:pPr>
        <w:spacing w:line="600" w:lineRule="exact"/>
        <w:ind w:firstLine="640" w:firstLineChars="200"/>
        <w:outlineLvl w:val="1"/>
        <w:rPr>
          <w:rFonts w:ascii="仿宋_GB2312" w:eastAsia="仿宋"/>
          <w:sz w:val="32"/>
          <w:szCs w:val="32"/>
        </w:rPr>
      </w:pPr>
      <w:bookmarkStart w:id="28" w:name="_Toc1077"/>
      <w:bookmarkStart w:id="29" w:name="_Toc8417"/>
      <w:bookmarkStart w:id="30" w:name="_Toc27653"/>
      <w:r>
        <w:rPr>
          <w:rFonts w:ascii="仿宋" w:hAnsi="仿宋" w:eastAsia="仿宋"/>
          <w:sz w:val="32"/>
          <w:szCs w:val="32"/>
        </w:rPr>
        <w:t>20</w:t>
      </w:r>
      <w:r>
        <w:rPr>
          <w:rFonts w:hint="eastAsia" w:ascii="仿宋" w:hAnsi="仿宋" w:eastAsia="仿宋"/>
          <w:sz w:val="32"/>
          <w:szCs w:val="32"/>
        </w:rPr>
        <w:t>23年本年收入合计2364.84万元，其中：一般公共预算财政拨款收入2308.71万元，占97.63</w:t>
      </w:r>
      <w:r>
        <w:rPr>
          <w:rFonts w:ascii="仿宋" w:hAnsi="仿宋" w:eastAsia="仿宋"/>
          <w:sz w:val="32"/>
          <w:szCs w:val="32"/>
        </w:rPr>
        <w:t>%</w:t>
      </w:r>
      <w:r>
        <w:rPr>
          <w:rFonts w:hint="eastAsia" w:ascii="仿宋" w:hAnsi="仿宋" w:eastAsia="仿宋"/>
          <w:sz w:val="32"/>
          <w:szCs w:val="32"/>
        </w:rPr>
        <w:t>。</w:t>
      </w:r>
      <w:bookmarkEnd w:id="28"/>
      <w:bookmarkEnd w:id="29"/>
      <w:bookmarkEnd w:id="30"/>
      <w:r>
        <w:rPr>
          <w:rFonts w:hint="eastAsia" w:ascii="仿宋" w:hAnsi="仿宋" w:eastAsia="仿宋"/>
          <w:sz w:val="32"/>
          <w:szCs w:val="32"/>
        </w:rPr>
        <w:t>其他收入</w:t>
      </w:r>
      <w:r>
        <w:rPr>
          <w:rFonts w:ascii="仿宋" w:hAnsi="仿宋" w:eastAsia="仿宋"/>
          <w:b/>
          <w:sz w:val="32"/>
          <w:szCs w:val="32"/>
        </w:rPr>
        <w:t>56.1</w:t>
      </w:r>
      <w:r>
        <w:rPr>
          <w:rFonts w:hint="eastAsia" w:ascii="仿宋" w:hAnsi="仿宋" w:eastAsia="仿宋"/>
          <w:b/>
          <w:sz w:val="32"/>
          <w:szCs w:val="32"/>
        </w:rPr>
        <w:t>3</w:t>
      </w:r>
      <w:r>
        <w:rPr>
          <w:rFonts w:hint="eastAsia" w:ascii="仿宋" w:hAnsi="仿宋" w:eastAsia="仿宋"/>
          <w:sz w:val="32"/>
          <w:szCs w:val="32"/>
        </w:rPr>
        <w:t>万元，占</w:t>
      </w:r>
      <w:r>
        <w:rPr>
          <w:rFonts w:ascii="仿宋" w:hAnsi="仿宋" w:eastAsia="仿宋"/>
          <w:b/>
          <w:sz w:val="32"/>
          <w:szCs w:val="32"/>
        </w:rPr>
        <w:t>2.37</w:t>
      </w:r>
      <w:r>
        <w:rPr>
          <w:rFonts w:ascii="仿宋" w:hAnsi="仿宋" w:eastAsia="仿宋"/>
          <w:sz w:val="32"/>
          <w:szCs w:val="32"/>
        </w:rPr>
        <w:t>%</w:t>
      </w:r>
      <w:r>
        <w:rPr>
          <w:rFonts w:hint="eastAsia" w:ascii="仿宋" w:hAnsi="仿宋" w:eastAsia="仿宋"/>
          <w:sz w:val="32"/>
          <w:szCs w:val="32"/>
        </w:rPr>
        <w:t>。</w:t>
      </w:r>
    </w:p>
    <w:p w14:paraId="68F34C17">
      <w:pPr>
        <w:jc w:val="center"/>
      </w:pPr>
      <w:r>
        <w:rPr>
          <w:rFonts w:hint="eastAsia" w:ascii="仿宋_GB2312" w:eastAsia="仿宋_GB2312"/>
          <w:sz w:val="32"/>
          <w:szCs w:val="32"/>
        </w:rPr>
        <w:drawing>
          <wp:inline distT="0" distB="0" distL="114300" distR="114300">
            <wp:extent cx="4450715" cy="2925445"/>
            <wp:effectExtent l="4445" t="4445" r="21590" b="22860"/>
            <wp:docPr id="1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3606E4E">
      <w:pPr>
        <w:spacing w:line="600" w:lineRule="exact"/>
        <w:ind w:firstLine="640" w:firstLineChars="200"/>
        <w:jc w:val="center"/>
        <w:rPr>
          <w:rFonts w:ascii="仿宋_GB2312" w:eastAsia="仿宋_GB2312"/>
          <w:sz w:val="32"/>
          <w:szCs w:val="32"/>
        </w:rPr>
      </w:pPr>
      <w:r>
        <w:rPr>
          <w:rFonts w:hint="eastAsia" w:ascii="仿宋_GB2312" w:eastAsia="仿宋_GB2312"/>
          <w:sz w:val="32"/>
          <w:szCs w:val="32"/>
        </w:rPr>
        <w:t xml:space="preserve">图2：收入决算结构图  </w:t>
      </w:r>
    </w:p>
    <w:p w14:paraId="52710339">
      <w:pPr>
        <w:pStyle w:val="24"/>
        <w:numPr>
          <w:ilvl w:val="0"/>
          <w:numId w:val="2"/>
        </w:numPr>
        <w:spacing w:line="600" w:lineRule="exact"/>
        <w:ind w:firstLineChars="0"/>
        <w:outlineLvl w:val="1"/>
        <w:rPr>
          <w:rStyle w:val="26"/>
          <w:rFonts w:ascii="黑体" w:hAnsi="黑体" w:eastAsia="黑体"/>
          <w:b w:val="0"/>
        </w:rPr>
      </w:pPr>
      <w:bookmarkStart w:id="31" w:name="_Toc15834"/>
      <w:bookmarkStart w:id="32" w:name="_Toc15396605"/>
      <w:bookmarkStart w:id="33" w:name="_Toc15377207"/>
      <w:r>
        <w:rPr>
          <w:rFonts w:hint="eastAsia" w:ascii="黑体" w:hAnsi="黑体" w:eastAsia="黑体"/>
          <w:sz w:val="32"/>
          <w:szCs w:val="32"/>
        </w:rPr>
        <w:t>支</w:t>
      </w:r>
      <w:r>
        <w:rPr>
          <w:rStyle w:val="26"/>
          <w:rFonts w:hint="eastAsia" w:ascii="黑体" w:hAnsi="黑体" w:eastAsia="黑体"/>
          <w:b w:val="0"/>
        </w:rPr>
        <w:t>出决算情况说明</w:t>
      </w:r>
      <w:bookmarkEnd w:id="31"/>
      <w:bookmarkEnd w:id="32"/>
      <w:bookmarkEnd w:id="33"/>
    </w:p>
    <w:p w14:paraId="727402DE">
      <w:pPr>
        <w:spacing w:line="600" w:lineRule="exact"/>
        <w:ind w:firstLine="640" w:firstLineChars="200"/>
        <w:outlineLvl w:val="1"/>
        <w:rPr>
          <w:rFonts w:ascii="仿宋" w:hAnsi="仿宋" w:eastAsia="仿宋"/>
          <w:sz w:val="32"/>
          <w:szCs w:val="32"/>
          <w:highlight w:val="yellow"/>
        </w:rPr>
      </w:pPr>
      <w:r>
        <w:rPr>
          <w:rFonts w:hint="eastAsia" w:ascii="仿宋" w:hAnsi="仿宋" w:eastAsia="仿宋"/>
          <w:sz w:val="32"/>
          <w:szCs w:val="32"/>
        </w:rPr>
        <w:t>2023年度本年支出合计</w:t>
      </w:r>
      <w:r>
        <w:rPr>
          <w:rFonts w:ascii="仿宋" w:hAnsi="仿宋" w:eastAsia="仿宋"/>
          <w:b/>
          <w:sz w:val="32"/>
          <w:szCs w:val="32"/>
        </w:rPr>
        <w:t>2409.2</w:t>
      </w:r>
      <w:r>
        <w:rPr>
          <w:rFonts w:hint="eastAsia" w:ascii="仿宋" w:hAnsi="仿宋" w:eastAsia="仿宋"/>
          <w:b/>
          <w:sz w:val="32"/>
          <w:szCs w:val="32"/>
          <w:lang w:val="en-US" w:eastAsia="zh-CN"/>
        </w:rPr>
        <w:t>7</w:t>
      </w:r>
      <w:r>
        <w:rPr>
          <w:rFonts w:hint="eastAsia" w:ascii="仿宋" w:hAnsi="仿宋" w:eastAsia="仿宋"/>
          <w:sz w:val="32"/>
          <w:szCs w:val="32"/>
        </w:rPr>
        <w:t>万元，其中：基本支出</w:t>
      </w:r>
      <w:r>
        <w:rPr>
          <w:rFonts w:ascii="仿宋" w:hAnsi="仿宋" w:eastAsia="仿宋"/>
          <w:b/>
          <w:sz w:val="32"/>
          <w:szCs w:val="32"/>
        </w:rPr>
        <w:t>2325.3</w:t>
      </w:r>
      <w:r>
        <w:rPr>
          <w:rFonts w:hint="eastAsia" w:ascii="仿宋" w:hAnsi="仿宋" w:eastAsia="仿宋"/>
          <w:b/>
          <w:sz w:val="32"/>
          <w:szCs w:val="32"/>
          <w:lang w:val="en-US" w:eastAsia="zh-CN"/>
        </w:rPr>
        <w:t>7</w:t>
      </w:r>
      <w:r>
        <w:rPr>
          <w:rFonts w:hint="eastAsia" w:ascii="仿宋" w:hAnsi="仿宋" w:eastAsia="仿宋"/>
          <w:sz w:val="32"/>
          <w:szCs w:val="32"/>
        </w:rPr>
        <w:t>万元，占</w:t>
      </w:r>
      <w:r>
        <w:rPr>
          <w:rFonts w:ascii="仿宋" w:hAnsi="仿宋" w:eastAsia="仿宋"/>
          <w:b/>
          <w:sz w:val="32"/>
          <w:szCs w:val="32"/>
        </w:rPr>
        <w:t>96.5</w:t>
      </w:r>
      <w:r>
        <w:rPr>
          <w:rFonts w:hint="eastAsia" w:ascii="仿宋" w:hAnsi="仿宋" w:eastAsia="仿宋"/>
          <w:b/>
          <w:sz w:val="32"/>
          <w:szCs w:val="32"/>
        </w:rPr>
        <w:t>2</w:t>
      </w:r>
      <w:r>
        <w:rPr>
          <w:rFonts w:ascii="仿宋" w:hAnsi="仿宋" w:eastAsia="仿宋"/>
          <w:sz w:val="32"/>
          <w:szCs w:val="32"/>
        </w:rPr>
        <w:t>%</w:t>
      </w:r>
      <w:r>
        <w:rPr>
          <w:rFonts w:hint="eastAsia" w:ascii="仿宋" w:hAnsi="仿宋" w:eastAsia="仿宋"/>
          <w:sz w:val="32"/>
          <w:szCs w:val="32"/>
        </w:rPr>
        <w:t>；项目支出</w:t>
      </w:r>
      <w:r>
        <w:rPr>
          <w:rFonts w:ascii="仿宋" w:hAnsi="仿宋" w:eastAsia="仿宋"/>
          <w:b/>
          <w:sz w:val="32"/>
          <w:szCs w:val="32"/>
        </w:rPr>
        <w:t>83.9</w:t>
      </w:r>
      <w:r>
        <w:rPr>
          <w:rFonts w:hint="eastAsia" w:ascii="仿宋" w:hAnsi="仿宋" w:eastAsia="仿宋"/>
          <w:b/>
          <w:sz w:val="32"/>
          <w:szCs w:val="32"/>
          <w:lang w:val="en-US" w:eastAsia="zh-CN"/>
        </w:rPr>
        <w:t>0</w:t>
      </w:r>
      <w:r>
        <w:rPr>
          <w:rFonts w:hint="eastAsia" w:ascii="仿宋" w:hAnsi="仿宋" w:eastAsia="仿宋"/>
          <w:sz w:val="32"/>
          <w:szCs w:val="32"/>
        </w:rPr>
        <w:t>万元，占</w:t>
      </w:r>
      <w:r>
        <w:rPr>
          <w:rFonts w:ascii="仿宋" w:hAnsi="仿宋" w:eastAsia="仿宋"/>
          <w:b/>
          <w:sz w:val="32"/>
          <w:szCs w:val="32"/>
        </w:rPr>
        <w:t>3.48</w:t>
      </w:r>
      <w:r>
        <w:rPr>
          <w:rFonts w:ascii="仿宋" w:hAnsi="仿宋" w:eastAsia="仿宋"/>
          <w:sz w:val="32"/>
          <w:szCs w:val="32"/>
        </w:rPr>
        <w:t>%</w:t>
      </w:r>
      <w:r>
        <w:rPr>
          <w:rFonts w:hint="eastAsia" w:ascii="仿宋" w:hAnsi="仿宋" w:eastAsia="仿宋"/>
          <w:sz w:val="32"/>
          <w:szCs w:val="32"/>
        </w:rPr>
        <w:t>。</w:t>
      </w:r>
    </w:p>
    <w:p w14:paraId="345F24B6">
      <w:pPr>
        <w:ind w:firstLine="640" w:firstLineChars="200"/>
        <w:jc w:val="center"/>
        <w:rPr>
          <w:rFonts w:ascii="仿宋_GB2312" w:eastAsia="仿宋_GB2312"/>
          <w:sz w:val="32"/>
          <w:szCs w:val="32"/>
        </w:rPr>
      </w:pPr>
      <w:r>
        <w:rPr>
          <w:rFonts w:hint="eastAsia" w:ascii="仿宋_GB2312" w:eastAsia="仿宋_GB2312"/>
          <w:sz w:val="32"/>
          <w:szCs w:val="32"/>
        </w:rPr>
        <w:drawing>
          <wp:inline distT="0" distB="0" distL="114300" distR="114300">
            <wp:extent cx="3822700" cy="2887345"/>
            <wp:effectExtent l="4445" t="4445" r="20955" b="2286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C186D90">
      <w:pPr>
        <w:pStyle w:val="5"/>
        <w:spacing w:before="95"/>
        <w:jc w:val="center"/>
      </w:pPr>
      <w:r>
        <w:rPr>
          <w:rFonts w:hint="eastAsia"/>
        </w:rPr>
        <w:t xml:space="preserve">图3：支出决算结构图  </w:t>
      </w:r>
    </w:p>
    <w:p w14:paraId="49A1574F">
      <w:pPr>
        <w:spacing w:line="600" w:lineRule="exact"/>
        <w:ind w:firstLine="640" w:firstLineChars="200"/>
        <w:outlineLvl w:val="1"/>
        <w:rPr>
          <w:rStyle w:val="26"/>
          <w:rFonts w:ascii="黑体" w:hAnsi="黑体" w:eastAsia="黑体"/>
          <w:b w:val="0"/>
        </w:rPr>
      </w:pPr>
      <w:bookmarkStart w:id="34" w:name="_Toc3674"/>
      <w:bookmarkStart w:id="35" w:name="_Toc15396606"/>
      <w:bookmarkStart w:id="36" w:name="_Toc15377208"/>
      <w:r>
        <w:rPr>
          <w:rFonts w:hint="eastAsia" w:ascii="黑体" w:hAnsi="黑体" w:eastAsia="黑体"/>
          <w:sz w:val="32"/>
          <w:szCs w:val="32"/>
        </w:rPr>
        <w:t>四、财</w:t>
      </w:r>
      <w:r>
        <w:rPr>
          <w:rStyle w:val="26"/>
          <w:rFonts w:hint="eastAsia" w:ascii="黑体" w:hAnsi="黑体" w:eastAsia="黑体"/>
          <w:b w:val="0"/>
        </w:rPr>
        <w:t>政拨款收入支出决算总体情况说明</w:t>
      </w:r>
      <w:bookmarkEnd w:id="34"/>
      <w:bookmarkEnd w:id="35"/>
      <w:bookmarkEnd w:id="36"/>
    </w:p>
    <w:p w14:paraId="3E25A46D">
      <w:pPr>
        <w:ind w:firstLine="640" w:firstLineChars="200"/>
        <w:rPr>
          <w:rFonts w:ascii="仿宋" w:hAnsi="仿宋" w:eastAsia="仿宋"/>
          <w:sz w:val="32"/>
          <w:szCs w:val="32"/>
        </w:rPr>
      </w:pPr>
      <w:r>
        <w:rPr>
          <w:rFonts w:hint="eastAsia" w:ascii="仿宋" w:hAnsi="仿宋" w:eastAsia="仿宋"/>
          <w:sz w:val="32"/>
          <w:szCs w:val="32"/>
        </w:rPr>
        <w:t>2023年度收、支总计</w:t>
      </w:r>
      <w:r>
        <w:rPr>
          <w:rFonts w:ascii="仿宋" w:hAnsi="仿宋" w:eastAsia="仿宋"/>
          <w:bCs/>
          <w:sz w:val="32"/>
          <w:szCs w:val="32"/>
        </w:rPr>
        <w:t>2353.13</w:t>
      </w:r>
      <w:r>
        <w:rPr>
          <w:rFonts w:hint="eastAsia" w:ascii="仿宋" w:hAnsi="仿宋" w:eastAsia="仿宋"/>
          <w:sz w:val="32"/>
          <w:szCs w:val="32"/>
        </w:rPr>
        <w:t>万元。与2022年相比，收、支总计各增加462.47万元，增加24.46%。主要变动原因是人员经费及项目经费增加。</w:t>
      </w:r>
    </w:p>
    <w:p w14:paraId="7E208D63">
      <w:pPr>
        <w:pStyle w:val="5"/>
        <w:spacing w:before="95"/>
      </w:pPr>
    </w:p>
    <w:p w14:paraId="2A45B877">
      <w:pPr>
        <w:ind w:firstLine="640"/>
        <w:jc w:val="center"/>
        <w:rPr>
          <w:rFonts w:ascii="仿宋" w:hAnsi="仿宋" w:eastAsia="仿宋"/>
          <w:sz w:val="32"/>
          <w:szCs w:val="32"/>
        </w:rPr>
      </w:pPr>
      <w:r>
        <w:rPr>
          <w:rFonts w:hint="eastAsia" w:ascii="仿宋" w:hAnsi="仿宋" w:eastAsia="仿宋"/>
          <w:sz w:val="32"/>
          <w:szCs w:val="32"/>
        </w:rPr>
        <w:drawing>
          <wp:inline distT="0" distB="0" distL="114300" distR="114300">
            <wp:extent cx="4109085" cy="2743200"/>
            <wp:effectExtent l="4445" t="4445" r="20320" b="14605"/>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FB605FF">
      <w:pPr>
        <w:pStyle w:val="5"/>
        <w:spacing w:before="95"/>
        <w:jc w:val="center"/>
      </w:pPr>
      <w:r>
        <w:rPr>
          <w:rFonts w:hint="eastAsia"/>
        </w:rPr>
        <w:t xml:space="preserve">图4：财政拨款收、支决算总计变动情况 </w:t>
      </w:r>
    </w:p>
    <w:p w14:paraId="5BFACD9C">
      <w:pPr>
        <w:ind w:firstLine="640" w:firstLineChars="200"/>
        <w:outlineLvl w:val="1"/>
        <w:rPr>
          <w:rStyle w:val="26"/>
          <w:rFonts w:ascii="黑体" w:hAnsi="黑体" w:eastAsia="黑体"/>
          <w:b w:val="0"/>
        </w:rPr>
      </w:pPr>
      <w:bookmarkStart w:id="37" w:name="_Toc32249"/>
      <w:bookmarkStart w:id="38" w:name="_Toc15377209"/>
      <w:bookmarkStart w:id="39" w:name="_Toc15396607"/>
      <w:r>
        <w:rPr>
          <w:rFonts w:hint="eastAsia" w:ascii="黑体" w:hAnsi="黑体" w:eastAsia="黑体"/>
          <w:sz w:val="32"/>
          <w:szCs w:val="32"/>
        </w:rPr>
        <w:t>五、</w:t>
      </w:r>
      <w:r>
        <w:rPr>
          <w:rFonts w:hint="eastAsia" w:ascii="黑体" w:hAnsi="黑体" w:eastAsia="黑体"/>
          <w:b/>
          <w:sz w:val="32"/>
          <w:szCs w:val="32"/>
        </w:rPr>
        <w:t>一</w:t>
      </w:r>
      <w:r>
        <w:rPr>
          <w:rStyle w:val="26"/>
          <w:rFonts w:hint="eastAsia" w:ascii="黑体" w:hAnsi="黑体" w:eastAsia="黑体"/>
          <w:b w:val="0"/>
        </w:rPr>
        <w:t>般公共预算财政拨款支出决算情况说明</w:t>
      </w:r>
      <w:bookmarkEnd w:id="37"/>
      <w:bookmarkEnd w:id="38"/>
      <w:bookmarkEnd w:id="39"/>
    </w:p>
    <w:p w14:paraId="741524EF">
      <w:pPr>
        <w:spacing w:line="600" w:lineRule="exact"/>
        <w:ind w:firstLine="643" w:firstLineChars="200"/>
        <w:outlineLvl w:val="2"/>
        <w:rPr>
          <w:rFonts w:ascii="仿宋" w:hAnsi="仿宋" w:eastAsia="仿宋"/>
          <w:b/>
          <w:sz w:val="32"/>
          <w:szCs w:val="32"/>
        </w:rPr>
      </w:pPr>
      <w:bookmarkStart w:id="40" w:name="_Toc15377210"/>
      <w:r>
        <w:rPr>
          <w:rFonts w:hint="eastAsia" w:ascii="仿宋" w:hAnsi="仿宋" w:eastAsia="仿宋"/>
          <w:b/>
          <w:sz w:val="32"/>
          <w:szCs w:val="32"/>
        </w:rPr>
        <w:t>（一）一般公共预算财政拨款支出决算总体情况</w:t>
      </w:r>
      <w:bookmarkEnd w:id="40"/>
    </w:p>
    <w:p w14:paraId="18FE38AA">
      <w:pPr>
        <w:spacing w:line="600" w:lineRule="exact"/>
        <w:ind w:firstLine="640" w:firstLineChars="200"/>
        <w:rPr>
          <w:rFonts w:ascii="仿宋" w:hAnsi="仿宋" w:eastAsia="仿宋"/>
          <w:sz w:val="32"/>
          <w:szCs w:val="32"/>
        </w:rPr>
      </w:pPr>
      <w:r>
        <w:rPr>
          <w:rFonts w:hint="eastAsia" w:ascii="仿宋" w:hAnsi="仿宋" w:eastAsia="仿宋"/>
          <w:sz w:val="32"/>
          <w:szCs w:val="32"/>
        </w:rPr>
        <w:t>2023年度一般公共预算财政拨款支出</w:t>
      </w:r>
      <w:r>
        <w:rPr>
          <w:rFonts w:ascii="仿宋" w:hAnsi="仿宋" w:eastAsia="仿宋"/>
          <w:b/>
          <w:sz w:val="32"/>
          <w:szCs w:val="32"/>
        </w:rPr>
        <w:t>2353.13</w:t>
      </w:r>
      <w:r>
        <w:rPr>
          <w:rFonts w:hint="eastAsia" w:ascii="仿宋" w:hAnsi="仿宋" w:eastAsia="仿宋"/>
          <w:sz w:val="32"/>
          <w:szCs w:val="32"/>
        </w:rPr>
        <w:t>万元，占本年支出合计的</w:t>
      </w:r>
      <w:r>
        <w:rPr>
          <w:rFonts w:ascii="仿宋" w:hAnsi="仿宋" w:eastAsia="仿宋"/>
          <w:b/>
          <w:sz w:val="32"/>
          <w:szCs w:val="32"/>
        </w:rPr>
        <w:t>97.67</w:t>
      </w:r>
      <w:r>
        <w:rPr>
          <w:rFonts w:ascii="仿宋" w:hAnsi="仿宋" w:eastAsia="仿宋"/>
          <w:sz w:val="32"/>
          <w:szCs w:val="32"/>
        </w:rPr>
        <w:t>%</w:t>
      </w:r>
      <w:r>
        <w:rPr>
          <w:rFonts w:hint="eastAsia" w:ascii="仿宋" w:hAnsi="仿宋" w:eastAsia="仿宋"/>
          <w:sz w:val="32"/>
          <w:szCs w:val="32"/>
        </w:rPr>
        <w:t>。与2022年度相比，一般公共预算财政拨款支出增加462.47万元，增长24.46</w:t>
      </w:r>
      <w:r>
        <w:rPr>
          <w:rFonts w:ascii="仿宋" w:hAnsi="仿宋" w:eastAsia="仿宋"/>
          <w:sz w:val="32"/>
          <w:szCs w:val="32"/>
        </w:rPr>
        <w:t>%</w:t>
      </w:r>
      <w:r>
        <w:rPr>
          <w:rFonts w:hint="eastAsia" w:ascii="仿宋" w:hAnsi="仿宋" w:eastAsia="仿宋"/>
          <w:sz w:val="32"/>
          <w:szCs w:val="32"/>
        </w:rPr>
        <w:t>。主要变动原因是人员经费增加及项目经费增加。</w:t>
      </w:r>
    </w:p>
    <w:p w14:paraId="3F5D9697">
      <w:pPr>
        <w:spacing w:line="600" w:lineRule="exact"/>
        <w:ind w:firstLine="640" w:firstLineChars="200"/>
        <w:rPr>
          <w:rFonts w:ascii="仿宋" w:hAnsi="仿宋" w:eastAsia="仿宋"/>
          <w:sz w:val="32"/>
          <w:szCs w:val="32"/>
        </w:rPr>
      </w:pPr>
    </w:p>
    <w:p w14:paraId="70397F67">
      <w:pPr>
        <w:pStyle w:val="5"/>
        <w:spacing w:before="95"/>
        <w:rPr>
          <w:rFonts w:ascii="仿宋" w:hAnsi="仿宋" w:eastAsia="仿宋"/>
          <w:sz w:val="32"/>
          <w:szCs w:val="32"/>
        </w:rPr>
      </w:pPr>
    </w:p>
    <w:p w14:paraId="7C5D9D0C">
      <w:pPr>
        <w:pStyle w:val="5"/>
        <w:spacing w:before="95"/>
        <w:jc w:val="center"/>
        <w:rPr>
          <w:rFonts w:ascii="仿宋" w:hAnsi="仿宋" w:eastAsia="仿宋"/>
          <w:sz w:val="32"/>
          <w:szCs w:val="32"/>
        </w:rPr>
      </w:pPr>
      <w:r>
        <w:rPr>
          <w:rFonts w:hint="eastAsia" w:ascii="仿宋" w:hAnsi="仿宋" w:eastAsia="仿宋"/>
          <w:sz w:val="32"/>
          <w:szCs w:val="32"/>
        </w:rPr>
        <w:drawing>
          <wp:inline distT="0" distB="0" distL="114300" distR="114300">
            <wp:extent cx="4396105" cy="2734945"/>
            <wp:effectExtent l="4445" t="4445" r="19050" b="2286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75DD530">
      <w:pPr>
        <w:pStyle w:val="5"/>
        <w:spacing w:before="95"/>
        <w:jc w:val="center"/>
        <w:rPr>
          <w:rFonts w:ascii="仿宋" w:hAnsi="仿宋" w:eastAsia="仿宋"/>
          <w:sz w:val="32"/>
          <w:szCs w:val="32"/>
        </w:rPr>
      </w:pPr>
      <w:r>
        <w:rPr>
          <w:rFonts w:hint="eastAsia" w:ascii="仿宋" w:hAnsi="仿宋" w:eastAsia="仿宋"/>
          <w:sz w:val="32"/>
          <w:szCs w:val="32"/>
        </w:rPr>
        <w:t xml:space="preserve">图5：一般公共预算财政拨款支出决算变动情况 </w:t>
      </w:r>
    </w:p>
    <w:p w14:paraId="0FB45E23">
      <w:pPr>
        <w:spacing w:line="600" w:lineRule="exact"/>
        <w:ind w:firstLine="643" w:firstLineChars="200"/>
        <w:outlineLvl w:val="2"/>
        <w:rPr>
          <w:rFonts w:ascii="仿宋" w:hAnsi="仿宋" w:eastAsia="仿宋"/>
          <w:b/>
          <w:sz w:val="32"/>
          <w:szCs w:val="32"/>
        </w:rPr>
      </w:pPr>
      <w:bookmarkStart w:id="41" w:name="_Toc15377211"/>
      <w:r>
        <w:rPr>
          <w:rFonts w:hint="eastAsia" w:ascii="仿宋" w:hAnsi="仿宋" w:eastAsia="仿宋"/>
          <w:b/>
          <w:sz w:val="32"/>
          <w:szCs w:val="32"/>
        </w:rPr>
        <w:t>（二）一般公共预算财政拨款支出决算结构情况</w:t>
      </w:r>
      <w:bookmarkEnd w:id="41"/>
    </w:p>
    <w:p w14:paraId="1D9B17B3">
      <w:pPr>
        <w:spacing w:line="600" w:lineRule="exact"/>
        <w:ind w:firstLine="640"/>
        <w:rPr>
          <w:rFonts w:ascii="仿宋" w:hAnsi="仿宋" w:eastAsia="仿宋"/>
          <w:bCs/>
          <w:sz w:val="32"/>
          <w:szCs w:val="32"/>
        </w:rPr>
      </w:pPr>
      <w:r>
        <w:rPr>
          <w:rFonts w:ascii="仿宋" w:hAnsi="仿宋" w:eastAsia="仿宋"/>
          <w:sz w:val="32"/>
          <w:szCs w:val="32"/>
        </w:rPr>
        <w:t>20</w:t>
      </w:r>
      <w:r>
        <w:rPr>
          <w:rFonts w:hint="eastAsia" w:ascii="仿宋" w:hAnsi="仿宋" w:eastAsia="仿宋"/>
          <w:sz w:val="32"/>
          <w:szCs w:val="32"/>
        </w:rPr>
        <w:t>23年一般公共预算财政拨款支出2353.13万元，主要用于以下方面</w:t>
      </w:r>
      <w:r>
        <w:rPr>
          <w:rFonts w:ascii="仿宋" w:hAnsi="仿宋" w:eastAsia="仿宋"/>
          <w:sz w:val="32"/>
          <w:szCs w:val="32"/>
        </w:rPr>
        <w:t>:</w:t>
      </w:r>
      <w:r>
        <w:rPr>
          <w:rFonts w:hint="eastAsia" w:ascii="仿宋" w:hAnsi="仿宋" w:eastAsia="仿宋"/>
          <w:bCs/>
          <w:sz w:val="32"/>
          <w:szCs w:val="32"/>
        </w:rPr>
        <w:t>教育支出1601.32万元，占68.05</w:t>
      </w:r>
      <w:r>
        <w:rPr>
          <w:rFonts w:ascii="仿宋" w:hAnsi="仿宋" w:eastAsia="仿宋"/>
          <w:bCs/>
          <w:sz w:val="32"/>
          <w:szCs w:val="32"/>
        </w:rPr>
        <w:t>%</w:t>
      </w:r>
      <w:r>
        <w:rPr>
          <w:rFonts w:hint="eastAsia" w:ascii="仿宋" w:hAnsi="仿宋" w:eastAsia="仿宋"/>
          <w:bCs/>
          <w:sz w:val="32"/>
          <w:szCs w:val="32"/>
        </w:rPr>
        <w:t>；社会保障和就业支出481.76万元，占20.47</w:t>
      </w:r>
      <w:r>
        <w:rPr>
          <w:rFonts w:ascii="仿宋" w:hAnsi="仿宋" w:eastAsia="仿宋"/>
          <w:bCs/>
          <w:sz w:val="32"/>
          <w:szCs w:val="32"/>
        </w:rPr>
        <w:t>%</w:t>
      </w:r>
      <w:r>
        <w:rPr>
          <w:rFonts w:hint="eastAsia" w:ascii="仿宋" w:hAnsi="仿宋" w:eastAsia="仿宋"/>
          <w:bCs/>
          <w:sz w:val="32"/>
          <w:szCs w:val="32"/>
        </w:rPr>
        <w:t>；卫生健康支出84.69万元，占3.60</w:t>
      </w:r>
      <w:r>
        <w:rPr>
          <w:rFonts w:ascii="仿宋" w:hAnsi="仿宋" w:eastAsia="仿宋"/>
          <w:bCs/>
          <w:sz w:val="32"/>
          <w:szCs w:val="32"/>
        </w:rPr>
        <w:t>%</w:t>
      </w:r>
      <w:r>
        <w:rPr>
          <w:rFonts w:hint="eastAsia" w:ascii="仿宋" w:hAnsi="仿宋" w:eastAsia="仿宋"/>
          <w:bCs/>
          <w:sz w:val="32"/>
          <w:szCs w:val="32"/>
        </w:rPr>
        <w:t>；住房保障支出185.36万元，占7.88</w:t>
      </w:r>
      <w:r>
        <w:rPr>
          <w:rFonts w:ascii="仿宋" w:hAnsi="仿宋" w:eastAsia="仿宋"/>
          <w:bCs/>
          <w:sz w:val="32"/>
          <w:szCs w:val="32"/>
        </w:rPr>
        <w:t>%</w:t>
      </w:r>
      <w:r>
        <w:rPr>
          <w:rFonts w:hint="eastAsia" w:ascii="仿宋" w:hAnsi="仿宋" w:eastAsia="仿宋"/>
          <w:bCs/>
          <w:sz w:val="32"/>
          <w:szCs w:val="32"/>
        </w:rPr>
        <w:t>。</w:t>
      </w:r>
    </w:p>
    <w:p w14:paraId="7EDA99B8">
      <w:pPr>
        <w:ind w:firstLine="640" w:firstLineChars="200"/>
        <w:jc w:val="center"/>
        <w:rPr>
          <w:rFonts w:ascii="仿宋" w:hAnsi="仿宋" w:eastAsia="仿宋"/>
          <w:sz w:val="32"/>
          <w:szCs w:val="32"/>
        </w:rPr>
      </w:pPr>
      <w:r>
        <w:rPr>
          <w:rFonts w:hint="eastAsia" w:ascii="仿宋" w:hAnsi="仿宋" w:eastAsia="仿宋"/>
          <w:sz w:val="32"/>
          <w:szCs w:val="32"/>
        </w:rPr>
        <w:drawing>
          <wp:inline distT="0" distB="0" distL="114300" distR="114300">
            <wp:extent cx="3938270" cy="2753360"/>
            <wp:effectExtent l="4445" t="4445" r="19685" b="23495"/>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723F344">
      <w:pPr>
        <w:ind w:firstLine="640" w:firstLineChars="200"/>
        <w:jc w:val="center"/>
        <w:rPr>
          <w:rFonts w:ascii="仿宋" w:hAnsi="仿宋" w:eastAsia="仿宋"/>
          <w:sz w:val="32"/>
          <w:szCs w:val="32"/>
        </w:rPr>
      </w:pPr>
      <w:r>
        <w:rPr>
          <w:rFonts w:hint="eastAsia" w:ascii="仿宋" w:hAnsi="仿宋" w:eastAsia="仿宋"/>
          <w:sz w:val="32"/>
          <w:szCs w:val="32"/>
        </w:rPr>
        <w:t xml:space="preserve">图6：一般公共预算财政拨款支出决算结构 </w:t>
      </w:r>
    </w:p>
    <w:p w14:paraId="5D321175">
      <w:pPr>
        <w:spacing w:line="600" w:lineRule="exact"/>
        <w:ind w:firstLine="643" w:firstLineChars="200"/>
        <w:outlineLvl w:val="2"/>
        <w:rPr>
          <w:rFonts w:ascii="仿宋" w:hAnsi="仿宋" w:eastAsia="仿宋"/>
          <w:b/>
          <w:sz w:val="32"/>
          <w:szCs w:val="32"/>
        </w:rPr>
      </w:pPr>
      <w:bookmarkStart w:id="42" w:name="_Toc15377212"/>
      <w:r>
        <w:rPr>
          <w:rFonts w:hint="eastAsia" w:ascii="仿宋" w:hAnsi="仿宋" w:eastAsia="仿宋"/>
          <w:b/>
          <w:sz w:val="32"/>
          <w:szCs w:val="32"/>
        </w:rPr>
        <w:t>（三）一般公共预算财政拨款支出决算具体情况</w:t>
      </w:r>
      <w:bookmarkEnd w:id="42"/>
    </w:p>
    <w:p w14:paraId="0980304A">
      <w:pPr>
        <w:spacing w:line="600" w:lineRule="exact"/>
        <w:ind w:firstLine="640" w:firstLineChars="200"/>
        <w:rPr>
          <w:rStyle w:val="14"/>
          <w:rFonts w:ascii="仿宋" w:hAnsi="仿宋" w:eastAsia="仿宋"/>
          <w:b w:val="0"/>
          <w:bCs/>
          <w:sz w:val="32"/>
          <w:szCs w:val="32"/>
        </w:rPr>
      </w:pPr>
      <w:bookmarkStart w:id="43" w:name="_Toc15377444"/>
      <w:bookmarkStart w:id="44" w:name="_Toc15377213"/>
      <w:bookmarkStart w:id="45" w:name="_Toc15378460"/>
      <w:r>
        <w:rPr>
          <w:rStyle w:val="14"/>
          <w:rFonts w:hint="eastAsia" w:ascii="仿宋" w:hAnsi="仿宋" w:eastAsia="仿宋"/>
          <w:b w:val="0"/>
          <w:bCs/>
          <w:sz w:val="32"/>
          <w:szCs w:val="32"/>
        </w:rPr>
        <w:t>2023年一般公共预算支出决算数为2353.13万元，完成预算100%。其中：</w:t>
      </w:r>
      <w:bookmarkEnd w:id="43"/>
      <w:bookmarkEnd w:id="44"/>
      <w:bookmarkEnd w:id="45"/>
    </w:p>
    <w:p w14:paraId="61095919">
      <w:pPr>
        <w:spacing w:line="600" w:lineRule="exact"/>
        <w:ind w:firstLine="640" w:firstLineChars="200"/>
        <w:rPr>
          <w:rStyle w:val="14"/>
          <w:rFonts w:ascii="仿宋" w:hAnsi="仿宋" w:eastAsia="仿宋"/>
          <w:b w:val="0"/>
          <w:sz w:val="32"/>
          <w:szCs w:val="32"/>
        </w:rPr>
      </w:pPr>
      <w:r>
        <w:rPr>
          <w:rStyle w:val="14"/>
          <w:rFonts w:ascii="仿宋" w:hAnsi="仿宋" w:eastAsia="仿宋"/>
          <w:b w:val="0"/>
          <w:sz w:val="32"/>
          <w:szCs w:val="32"/>
        </w:rPr>
        <w:t>1.</w:t>
      </w:r>
      <w:r>
        <w:rPr>
          <w:rStyle w:val="14"/>
          <w:rFonts w:hint="eastAsia" w:ascii="仿宋" w:hAnsi="仿宋" w:eastAsia="仿宋"/>
          <w:b w:val="0"/>
          <w:sz w:val="32"/>
          <w:szCs w:val="32"/>
        </w:rPr>
        <w:t>教育（205）基础教育（02）学前教育（01）</w:t>
      </w:r>
      <w:r>
        <w:rPr>
          <w:rStyle w:val="14"/>
          <w:rFonts w:ascii="仿宋" w:hAnsi="仿宋" w:eastAsia="仿宋"/>
          <w:b w:val="0"/>
          <w:sz w:val="32"/>
          <w:szCs w:val="32"/>
        </w:rPr>
        <w:t>:</w:t>
      </w:r>
      <w:r>
        <w:rPr>
          <w:rStyle w:val="14"/>
          <w:rFonts w:hint="eastAsia" w:ascii="仿宋" w:hAnsi="仿宋" w:eastAsia="仿宋"/>
          <w:b w:val="0"/>
          <w:sz w:val="32"/>
          <w:szCs w:val="32"/>
        </w:rPr>
        <w:t>支出决算为74.64万元，完成预算100</w:t>
      </w:r>
      <w:r>
        <w:rPr>
          <w:rStyle w:val="14"/>
          <w:rFonts w:ascii="仿宋" w:hAnsi="仿宋" w:eastAsia="仿宋"/>
          <w:b w:val="0"/>
          <w:sz w:val="32"/>
          <w:szCs w:val="32"/>
        </w:rPr>
        <w:t>%</w:t>
      </w:r>
      <w:r>
        <w:rPr>
          <w:rStyle w:val="14"/>
          <w:rFonts w:hint="eastAsia" w:ascii="仿宋" w:hAnsi="仿宋" w:eastAsia="仿宋"/>
          <w:b w:val="0"/>
          <w:sz w:val="32"/>
          <w:szCs w:val="32"/>
        </w:rPr>
        <w:t>。</w:t>
      </w:r>
    </w:p>
    <w:p w14:paraId="0C5E8C06">
      <w:pPr>
        <w:spacing w:line="600" w:lineRule="exact"/>
        <w:ind w:firstLine="640" w:firstLineChars="200"/>
        <w:rPr>
          <w:rStyle w:val="14"/>
          <w:rFonts w:ascii="仿宋" w:hAnsi="仿宋" w:eastAsia="仿宋"/>
          <w:b w:val="0"/>
          <w:sz w:val="32"/>
          <w:szCs w:val="32"/>
        </w:rPr>
      </w:pPr>
      <w:r>
        <w:rPr>
          <w:rStyle w:val="14"/>
          <w:rFonts w:hint="eastAsia" w:ascii="仿宋" w:hAnsi="仿宋" w:eastAsia="仿宋"/>
          <w:b w:val="0"/>
          <w:sz w:val="32"/>
          <w:szCs w:val="32"/>
        </w:rPr>
        <w:t>2.教育（205）基础教育（02）小学教育（02）</w:t>
      </w:r>
      <w:r>
        <w:rPr>
          <w:rStyle w:val="14"/>
          <w:rFonts w:ascii="仿宋" w:hAnsi="仿宋" w:eastAsia="仿宋"/>
          <w:b w:val="0"/>
          <w:sz w:val="32"/>
          <w:szCs w:val="32"/>
        </w:rPr>
        <w:t>:</w:t>
      </w:r>
      <w:r>
        <w:rPr>
          <w:rStyle w:val="14"/>
          <w:rFonts w:hint="eastAsia" w:ascii="仿宋" w:hAnsi="仿宋" w:eastAsia="仿宋"/>
          <w:b w:val="0"/>
          <w:sz w:val="32"/>
          <w:szCs w:val="32"/>
        </w:rPr>
        <w:t>支出决算为1516.68万元，完成预算100</w:t>
      </w:r>
      <w:r>
        <w:rPr>
          <w:rStyle w:val="14"/>
          <w:rFonts w:ascii="仿宋" w:hAnsi="仿宋" w:eastAsia="仿宋"/>
          <w:b w:val="0"/>
          <w:sz w:val="32"/>
          <w:szCs w:val="32"/>
        </w:rPr>
        <w:t>%</w:t>
      </w:r>
      <w:r>
        <w:rPr>
          <w:rStyle w:val="14"/>
          <w:rFonts w:hint="eastAsia" w:ascii="仿宋" w:hAnsi="仿宋" w:eastAsia="仿宋"/>
          <w:b w:val="0"/>
          <w:sz w:val="32"/>
          <w:szCs w:val="32"/>
        </w:rPr>
        <w:t>。</w:t>
      </w:r>
    </w:p>
    <w:p w14:paraId="4E67B105">
      <w:pPr>
        <w:spacing w:line="600" w:lineRule="exact"/>
        <w:ind w:firstLine="640" w:firstLineChars="200"/>
      </w:pPr>
      <w:r>
        <w:rPr>
          <w:rStyle w:val="14"/>
          <w:rFonts w:hint="eastAsia" w:ascii="仿宋" w:hAnsi="仿宋" w:eastAsia="仿宋"/>
          <w:b w:val="0"/>
          <w:sz w:val="32"/>
          <w:szCs w:val="32"/>
        </w:rPr>
        <w:t>3.教育（205）基础教育（03）初中教育（03）</w:t>
      </w:r>
      <w:r>
        <w:rPr>
          <w:rStyle w:val="14"/>
          <w:rFonts w:ascii="仿宋" w:hAnsi="仿宋" w:eastAsia="仿宋"/>
          <w:b w:val="0"/>
          <w:sz w:val="32"/>
          <w:szCs w:val="32"/>
        </w:rPr>
        <w:t>:</w:t>
      </w:r>
      <w:r>
        <w:rPr>
          <w:rStyle w:val="14"/>
          <w:rFonts w:hint="eastAsia" w:ascii="仿宋" w:hAnsi="仿宋" w:eastAsia="仿宋"/>
          <w:b w:val="0"/>
          <w:sz w:val="32"/>
          <w:szCs w:val="32"/>
        </w:rPr>
        <w:t>支出决算为10万元，完成预算100</w:t>
      </w:r>
      <w:r>
        <w:rPr>
          <w:rStyle w:val="14"/>
          <w:rFonts w:ascii="仿宋" w:hAnsi="仿宋" w:eastAsia="仿宋"/>
          <w:b w:val="0"/>
          <w:sz w:val="32"/>
          <w:szCs w:val="32"/>
        </w:rPr>
        <w:t>%</w:t>
      </w:r>
      <w:r>
        <w:rPr>
          <w:rStyle w:val="14"/>
          <w:rFonts w:hint="eastAsia" w:ascii="仿宋" w:hAnsi="仿宋" w:eastAsia="仿宋"/>
          <w:b w:val="0"/>
          <w:sz w:val="32"/>
          <w:szCs w:val="32"/>
        </w:rPr>
        <w:t>。</w:t>
      </w:r>
    </w:p>
    <w:p w14:paraId="2A8005D2">
      <w:pPr>
        <w:spacing w:line="600" w:lineRule="exact"/>
        <w:ind w:firstLine="640"/>
        <w:rPr>
          <w:rFonts w:ascii="仿宋" w:hAnsi="仿宋" w:eastAsia="仿宋"/>
          <w:sz w:val="32"/>
          <w:szCs w:val="32"/>
        </w:rPr>
      </w:pPr>
      <w:r>
        <w:rPr>
          <w:rFonts w:hint="eastAsia" w:ascii="仿宋" w:hAnsi="仿宋" w:eastAsia="仿宋"/>
          <w:sz w:val="32"/>
          <w:szCs w:val="32"/>
        </w:rPr>
        <w:t>4.社会保障和就业（208）行政事业单位养老支出（05）事业单位离退休（02）支出决算为37.06万元，完成预算100%。</w:t>
      </w:r>
    </w:p>
    <w:p w14:paraId="267C4304">
      <w:pPr>
        <w:spacing w:line="600" w:lineRule="exact"/>
        <w:ind w:firstLine="640"/>
        <w:rPr>
          <w:rFonts w:ascii="仿宋" w:hAnsi="仿宋" w:eastAsia="仿宋"/>
          <w:sz w:val="32"/>
          <w:szCs w:val="32"/>
        </w:rPr>
      </w:pPr>
      <w:r>
        <w:rPr>
          <w:rFonts w:hint="eastAsia" w:ascii="仿宋" w:hAnsi="仿宋" w:eastAsia="仿宋"/>
          <w:sz w:val="32"/>
          <w:szCs w:val="32"/>
        </w:rPr>
        <w:t>5.社会保障和就业（208）行政事业单位养老支出（05）机关事业单位基本养老保险缴费支出（05）支出决算为79.65万元，完成预算100%。</w:t>
      </w:r>
    </w:p>
    <w:p w14:paraId="5B2A6472">
      <w:pPr>
        <w:spacing w:line="600" w:lineRule="exact"/>
        <w:ind w:firstLine="640"/>
        <w:rPr>
          <w:rFonts w:ascii="仿宋" w:hAnsi="仿宋" w:eastAsia="仿宋"/>
          <w:sz w:val="32"/>
          <w:szCs w:val="32"/>
        </w:rPr>
      </w:pPr>
      <w:r>
        <w:rPr>
          <w:rFonts w:hint="eastAsia" w:ascii="仿宋" w:hAnsi="仿宋" w:eastAsia="仿宋"/>
          <w:sz w:val="32"/>
          <w:szCs w:val="32"/>
        </w:rPr>
        <w:t>6.社会保障和就业（208）行政事业单位养老支出（05）机关事业单位职业年金缴费支出（06）支出决算为30.66万元，完成预算100%。</w:t>
      </w:r>
    </w:p>
    <w:p w14:paraId="7D4ADAED">
      <w:pPr>
        <w:spacing w:line="600" w:lineRule="exact"/>
        <w:ind w:firstLine="640"/>
        <w:rPr>
          <w:rFonts w:ascii="仿宋" w:hAnsi="仿宋" w:eastAsia="仿宋"/>
          <w:sz w:val="32"/>
          <w:szCs w:val="32"/>
        </w:rPr>
      </w:pPr>
      <w:r>
        <w:rPr>
          <w:rFonts w:hint="eastAsia" w:ascii="仿宋" w:hAnsi="仿宋" w:eastAsia="仿宋"/>
          <w:sz w:val="32"/>
          <w:szCs w:val="32"/>
        </w:rPr>
        <w:t>7、社会保障和就业（208）行政事业单位养老支出（05）其他行政事业单位养老支出（99）支出决算为276.51万元，完成预算100%。</w:t>
      </w:r>
    </w:p>
    <w:p w14:paraId="335C3F52">
      <w:pPr>
        <w:pStyle w:val="5"/>
        <w:spacing w:before="95"/>
        <w:ind w:firstLine="640" w:firstLineChars="200"/>
        <w:rPr>
          <w:rStyle w:val="14"/>
          <w:rFonts w:ascii="仿宋" w:hAnsi="仿宋" w:eastAsia="仿宋"/>
          <w:b w:val="0"/>
          <w:sz w:val="32"/>
          <w:szCs w:val="32"/>
        </w:rPr>
      </w:pPr>
      <w:r>
        <w:rPr>
          <w:rStyle w:val="14"/>
          <w:rFonts w:hint="eastAsia" w:ascii="仿宋" w:hAnsi="仿宋" w:eastAsia="仿宋"/>
          <w:b w:val="0"/>
          <w:sz w:val="32"/>
          <w:szCs w:val="32"/>
        </w:rPr>
        <w:t>8.社会保障和就业（208）抚恤（08）死亡抚恤（01）</w:t>
      </w:r>
      <w:r>
        <w:rPr>
          <w:rStyle w:val="14"/>
          <w:rFonts w:ascii="仿宋" w:hAnsi="仿宋" w:eastAsia="仿宋"/>
          <w:b w:val="0"/>
          <w:sz w:val="32"/>
          <w:szCs w:val="32"/>
        </w:rPr>
        <w:t>:</w:t>
      </w:r>
      <w:r>
        <w:rPr>
          <w:rStyle w:val="14"/>
          <w:rFonts w:hint="eastAsia" w:ascii="仿宋" w:hAnsi="仿宋" w:eastAsia="仿宋"/>
          <w:b w:val="0"/>
          <w:sz w:val="32"/>
          <w:szCs w:val="32"/>
        </w:rPr>
        <w:t>支出决算为50.06万元，完成预算100%。</w:t>
      </w:r>
    </w:p>
    <w:p w14:paraId="42D1DC4A">
      <w:pPr>
        <w:pStyle w:val="5"/>
        <w:spacing w:before="95"/>
        <w:ind w:firstLine="640" w:firstLineChars="200"/>
        <w:rPr>
          <w:rStyle w:val="14"/>
          <w:rFonts w:ascii="仿宋" w:hAnsi="仿宋" w:eastAsia="仿宋"/>
          <w:b w:val="0"/>
          <w:sz w:val="32"/>
          <w:szCs w:val="32"/>
        </w:rPr>
      </w:pPr>
      <w:r>
        <w:rPr>
          <w:rStyle w:val="14"/>
          <w:rFonts w:hint="eastAsia" w:ascii="仿宋" w:hAnsi="仿宋" w:eastAsia="仿宋"/>
          <w:b w:val="0"/>
          <w:sz w:val="32"/>
          <w:szCs w:val="32"/>
        </w:rPr>
        <w:t>9.社会保障和就业（208）其他社会保障和就业（99）其他社会保障和就业（99）</w:t>
      </w:r>
      <w:r>
        <w:rPr>
          <w:rStyle w:val="14"/>
          <w:rFonts w:ascii="仿宋" w:hAnsi="仿宋" w:eastAsia="仿宋"/>
          <w:b w:val="0"/>
          <w:sz w:val="32"/>
          <w:szCs w:val="32"/>
        </w:rPr>
        <w:t>:</w:t>
      </w:r>
      <w:r>
        <w:rPr>
          <w:rStyle w:val="14"/>
          <w:rFonts w:hint="eastAsia" w:ascii="仿宋" w:hAnsi="仿宋" w:eastAsia="仿宋"/>
          <w:b w:val="0"/>
          <w:sz w:val="32"/>
          <w:szCs w:val="32"/>
        </w:rPr>
        <w:t>支出决算为7.83万元，完成预算100%。</w:t>
      </w:r>
    </w:p>
    <w:p w14:paraId="22D3D615">
      <w:pPr>
        <w:pStyle w:val="5"/>
        <w:spacing w:before="95"/>
        <w:ind w:firstLine="640" w:firstLineChars="200"/>
        <w:rPr>
          <w:rStyle w:val="14"/>
          <w:rFonts w:ascii="仿宋" w:hAnsi="仿宋" w:eastAsia="仿宋"/>
          <w:b w:val="0"/>
          <w:sz w:val="32"/>
          <w:szCs w:val="32"/>
        </w:rPr>
      </w:pPr>
      <w:r>
        <w:rPr>
          <w:rStyle w:val="14"/>
          <w:rFonts w:hint="eastAsia" w:ascii="仿宋" w:hAnsi="仿宋" w:eastAsia="仿宋"/>
          <w:b w:val="0"/>
          <w:sz w:val="32"/>
          <w:szCs w:val="32"/>
        </w:rPr>
        <w:t>10</w:t>
      </w:r>
      <w:r>
        <w:rPr>
          <w:rStyle w:val="14"/>
          <w:rFonts w:ascii="仿宋" w:hAnsi="仿宋" w:eastAsia="仿宋"/>
          <w:b w:val="0"/>
          <w:sz w:val="32"/>
          <w:szCs w:val="32"/>
        </w:rPr>
        <w:t>.</w:t>
      </w:r>
      <w:r>
        <w:rPr>
          <w:rFonts w:hint="eastAsia" w:ascii="仿宋" w:hAnsi="仿宋" w:eastAsia="仿宋"/>
          <w:sz w:val="32"/>
          <w:szCs w:val="32"/>
        </w:rPr>
        <w:t>卫生健康支出</w:t>
      </w:r>
      <w:r>
        <w:rPr>
          <w:rStyle w:val="14"/>
          <w:rFonts w:hint="eastAsia" w:ascii="仿宋" w:hAnsi="仿宋" w:eastAsia="仿宋"/>
          <w:b w:val="0"/>
          <w:sz w:val="32"/>
          <w:szCs w:val="32"/>
        </w:rPr>
        <w:t>（2</w:t>
      </w:r>
      <w:r>
        <w:rPr>
          <w:rStyle w:val="14"/>
          <w:rFonts w:ascii="仿宋" w:hAnsi="仿宋" w:eastAsia="仿宋"/>
          <w:b w:val="0"/>
          <w:sz w:val="32"/>
          <w:szCs w:val="32"/>
        </w:rPr>
        <w:t>10</w:t>
      </w:r>
      <w:r>
        <w:rPr>
          <w:rStyle w:val="14"/>
          <w:rFonts w:hint="eastAsia" w:ascii="仿宋" w:hAnsi="仿宋" w:eastAsia="仿宋"/>
          <w:b w:val="0"/>
          <w:sz w:val="32"/>
          <w:szCs w:val="32"/>
        </w:rPr>
        <w:t>）行政事业单位医疗（1</w:t>
      </w:r>
      <w:r>
        <w:rPr>
          <w:rStyle w:val="14"/>
          <w:rFonts w:ascii="仿宋" w:hAnsi="仿宋" w:eastAsia="仿宋"/>
          <w:b w:val="0"/>
          <w:sz w:val="32"/>
          <w:szCs w:val="32"/>
        </w:rPr>
        <w:t>1</w:t>
      </w:r>
      <w:r>
        <w:rPr>
          <w:rStyle w:val="14"/>
          <w:rFonts w:hint="eastAsia" w:ascii="仿宋" w:hAnsi="仿宋" w:eastAsia="仿宋"/>
          <w:b w:val="0"/>
          <w:sz w:val="32"/>
          <w:szCs w:val="32"/>
        </w:rPr>
        <w:t>）事业单位医疗（0</w:t>
      </w:r>
      <w:r>
        <w:rPr>
          <w:rStyle w:val="14"/>
          <w:rFonts w:ascii="仿宋" w:hAnsi="仿宋" w:eastAsia="仿宋"/>
          <w:b w:val="0"/>
          <w:sz w:val="32"/>
          <w:szCs w:val="32"/>
        </w:rPr>
        <w:t>2</w:t>
      </w:r>
      <w:r>
        <w:rPr>
          <w:rStyle w:val="14"/>
          <w:rFonts w:hint="eastAsia" w:ascii="仿宋" w:hAnsi="仿宋" w:eastAsia="仿宋"/>
          <w:b w:val="0"/>
          <w:sz w:val="32"/>
          <w:szCs w:val="32"/>
        </w:rPr>
        <w:t>）</w:t>
      </w:r>
      <w:r>
        <w:rPr>
          <w:rStyle w:val="14"/>
          <w:rFonts w:ascii="仿宋" w:hAnsi="仿宋" w:eastAsia="仿宋"/>
          <w:b w:val="0"/>
          <w:sz w:val="32"/>
          <w:szCs w:val="32"/>
        </w:rPr>
        <w:t>:</w:t>
      </w:r>
      <w:r>
        <w:rPr>
          <w:rStyle w:val="14"/>
          <w:rFonts w:hint="eastAsia" w:ascii="仿宋" w:hAnsi="仿宋" w:eastAsia="仿宋"/>
          <w:b w:val="0"/>
          <w:sz w:val="32"/>
          <w:szCs w:val="32"/>
        </w:rPr>
        <w:t>支出决算为84.69万元，完成预算100</w:t>
      </w:r>
      <w:r>
        <w:rPr>
          <w:rStyle w:val="14"/>
          <w:rFonts w:ascii="仿宋" w:hAnsi="仿宋" w:eastAsia="仿宋"/>
          <w:b w:val="0"/>
          <w:sz w:val="32"/>
          <w:szCs w:val="32"/>
        </w:rPr>
        <w:t>%</w:t>
      </w:r>
      <w:r>
        <w:rPr>
          <w:rStyle w:val="14"/>
          <w:rFonts w:hint="eastAsia" w:ascii="仿宋" w:hAnsi="仿宋" w:eastAsia="仿宋"/>
          <w:b w:val="0"/>
          <w:sz w:val="32"/>
          <w:szCs w:val="32"/>
        </w:rPr>
        <w:t>。</w:t>
      </w:r>
    </w:p>
    <w:p w14:paraId="3A500437">
      <w:pPr>
        <w:spacing w:line="600" w:lineRule="exact"/>
        <w:ind w:firstLine="640" w:firstLineChars="200"/>
        <w:rPr>
          <w:rFonts w:ascii="仿宋" w:hAnsi="仿宋" w:eastAsia="仿宋"/>
          <w:sz w:val="32"/>
          <w:szCs w:val="32"/>
        </w:rPr>
      </w:pPr>
      <w:r>
        <w:rPr>
          <w:rStyle w:val="14"/>
          <w:rFonts w:hint="eastAsia" w:ascii="仿宋" w:hAnsi="仿宋" w:eastAsia="仿宋"/>
          <w:b w:val="0"/>
          <w:sz w:val="32"/>
          <w:szCs w:val="40"/>
        </w:rPr>
        <w:t>11</w:t>
      </w:r>
      <w:r>
        <w:rPr>
          <w:rStyle w:val="14"/>
          <w:rFonts w:ascii="仿宋" w:hAnsi="仿宋" w:eastAsia="仿宋"/>
          <w:b w:val="0"/>
          <w:sz w:val="32"/>
          <w:szCs w:val="40"/>
        </w:rPr>
        <w:t>.</w:t>
      </w:r>
      <w:r>
        <w:rPr>
          <w:rStyle w:val="14"/>
          <w:rFonts w:hint="eastAsia" w:ascii="仿宋" w:hAnsi="仿宋" w:eastAsia="仿宋"/>
          <w:b w:val="0"/>
          <w:sz w:val="32"/>
          <w:szCs w:val="40"/>
        </w:rPr>
        <w:t>住房保障支出（221）住房改革支出（02）住房公积金（01）:</w:t>
      </w:r>
      <w:r>
        <w:rPr>
          <w:rFonts w:hint="eastAsia" w:ascii="仿宋" w:hAnsi="仿宋" w:eastAsia="仿宋"/>
          <w:sz w:val="32"/>
          <w:szCs w:val="32"/>
        </w:rPr>
        <w:t>支出决算为185.35万元，完成预算100%。</w:t>
      </w:r>
    </w:p>
    <w:p w14:paraId="2F1CD008">
      <w:pPr>
        <w:tabs>
          <w:tab w:val="right" w:pos="8306"/>
        </w:tabs>
        <w:spacing w:line="600" w:lineRule="exact"/>
        <w:ind w:firstLine="640"/>
        <w:outlineLvl w:val="1"/>
        <w:rPr>
          <w:rStyle w:val="26"/>
        </w:rPr>
      </w:pPr>
      <w:bookmarkStart w:id="46" w:name="_Toc15396608"/>
      <w:bookmarkStart w:id="47" w:name="_Toc15377214"/>
      <w:bookmarkStart w:id="48" w:name="_Toc21484"/>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6"/>
          <w:rFonts w:hint="eastAsia" w:ascii="黑体" w:hAnsi="黑体" w:eastAsia="黑体"/>
          <w:b w:val="0"/>
        </w:rPr>
        <w:t>般公共预算财政拨款基本支出决算情况说明</w:t>
      </w:r>
      <w:bookmarkEnd w:id="46"/>
      <w:bookmarkEnd w:id="47"/>
      <w:bookmarkEnd w:id="48"/>
      <w:r>
        <w:rPr>
          <w:rStyle w:val="26"/>
          <w:rFonts w:ascii="黑体" w:hAnsi="黑体" w:eastAsia="黑体"/>
          <w:b w:val="0"/>
        </w:rPr>
        <w:tab/>
      </w:r>
    </w:p>
    <w:p w14:paraId="55B0AF67">
      <w:pPr>
        <w:spacing w:line="600" w:lineRule="exact"/>
        <w:ind w:firstLine="645"/>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23年一般公共预算财政拨款基本支出2269.23万元，其中：</w:t>
      </w:r>
    </w:p>
    <w:p w14:paraId="0C61E080">
      <w:pPr>
        <w:spacing w:line="600" w:lineRule="exact"/>
        <w:ind w:firstLine="645"/>
        <w:rPr>
          <w:rFonts w:ascii="仿宋" w:hAnsi="仿宋" w:eastAsia="仿宋"/>
          <w:sz w:val="32"/>
          <w:szCs w:val="32"/>
        </w:rPr>
      </w:pPr>
      <w:r>
        <w:rPr>
          <w:rFonts w:hint="eastAsia" w:ascii="仿宋" w:hAnsi="仿宋" w:eastAsia="仿宋"/>
          <w:sz w:val="32"/>
          <w:szCs w:val="32"/>
        </w:rPr>
        <w:t>人员经费1978.57万元，主要包括：基本工资522.73万元、津贴补贴70.61万元、绩效工资267.18万元、机关事业单位基本养老保险缴费79.65万元、职业年金30.66万元、职工基本医疗保险缴费</w:t>
      </w:r>
      <w:r>
        <w:rPr>
          <w:rFonts w:hint="eastAsia" w:ascii="仿宋" w:hAnsi="仿宋" w:eastAsia="仿宋"/>
          <w:color w:val="000000" w:themeColor="text1"/>
          <w:sz w:val="32"/>
          <w:szCs w:val="32"/>
          <w14:textFill>
            <w14:solidFill>
              <w14:schemeClr w14:val="tx1"/>
            </w14:solidFill>
          </w14:textFill>
        </w:rPr>
        <w:t>84.69</w:t>
      </w:r>
      <w:r>
        <w:rPr>
          <w:rFonts w:hint="eastAsia" w:ascii="仿宋" w:hAnsi="仿宋" w:eastAsia="仿宋"/>
          <w:sz w:val="32"/>
          <w:szCs w:val="32"/>
        </w:rPr>
        <w:t>万元、住房公积金185.35万元、其他社会保障缴费7.83万元、其他工资福利支出366.10万元、抚恤金50.06万元、生活补助313.57万元、奖励金0.14万元。</w:t>
      </w:r>
    </w:p>
    <w:p w14:paraId="7AFABF62">
      <w:pPr>
        <w:spacing w:line="600" w:lineRule="exact"/>
        <w:ind w:firstLine="645"/>
        <w:rPr>
          <w:rFonts w:ascii="仿宋" w:hAnsi="仿宋" w:eastAsia="仿宋"/>
          <w:b/>
          <w:sz w:val="32"/>
          <w:szCs w:val="32"/>
        </w:rPr>
      </w:pPr>
      <w:r>
        <w:rPr>
          <w:rFonts w:hint="eastAsia" w:ascii="仿宋" w:hAnsi="仿宋" w:eastAsia="仿宋"/>
          <w:sz w:val="32"/>
          <w:szCs w:val="32"/>
        </w:rPr>
        <w:t>公用经费290.66万元，主要包括：办公费116.68万元、水费1.52万元、电费1.39万元、邮电费1.15万元、物业管理费4.77万元、差旅费4.27万元、维修（护）费3.73万元、会议费2.06万元，培训费0.22万元、公务接待费1.78万元、劳务费4.84万元、工会经费29.89万元、福利费52.37万元、其他交通费0.18万元、其他商品和服务支出65.8万元。</w:t>
      </w:r>
    </w:p>
    <w:p w14:paraId="066C8520">
      <w:pPr>
        <w:spacing w:line="600" w:lineRule="exact"/>
        <w:ind w:firstLine="640"/>
        <w:outlineLvl w:val="1"/>
        <w:rPr>
          <w:rStyle w:val="26"/>
          <w:rFonts w:ascii="黑体" w:hAnsi="黑体" w:eastAsia="黑体"/>
          <w:b w:val="0"/>
        </w:rPr>
      </w:pPr>
      <w:bookmarkStart w:id="49" w:name="_Toc9808"/>
      <w:bookmarkStart w:id="50" w:name="_Toc15377215"/>
      <w:bookmarkStart w:id="51" w:name="_Toc15396609"/>
      <w:r>
        <w:rPr>
          <w:rFonts w:hint="eastAsia" w:ascii="黑体" w:eastAsia="黑体"/>
          <w:sz w:val="32"/>
          <w:szCs w:val="32"/>
        </w:rPr>
        <w:t>七、</w:t>
      </w:r>
      <w:r>
        <w:rPr>
          <w:rStyle w:val="26"/>
          <w:rFonts w:hint="eastAsia" w:ascii="黑体" w:hAnsi="黑体" w:eastAsia="黑体"/>
        </w:rPr>
        <w:t>“</w:t>
      </w:r>
      <w:r>
        <w:rPr>
          <w:rStyle w:val="26"/>
          <w:rFonts w:hint="eastAsia" w:ascii="黑体" w:hAnsi="黑体" w:eastAsia="黑体"/>
          <w:b w:val="0"/>
        </w:rPr>
        <w:t>三公”经费财政拨款支出决算情况说明</w:t>
      </w:r>
      <w:bookmarkEnd w:id="49"/>
      <w:bookmarkEnd w:id="50"/>
      <w:bookmarkEnd w:id="51"/>
    </w:p>
    <w:p w14:paraId="0E36D084">
      <w:pPr>
        <w:spacing w:line="600" w:lineRule="exact"/>
        <w:ind w:firstLine="640"/>
        <w:outlineLvl w:val="2"/>
        <w:rPr>
          <w:rFonts w:ascii="仿宋" w:hAnsi="仿宋" w:eastAsia="仿宋"/>
          <w:b/>
          <w:sz w:val="32"/>
          <w:szCs w:val="32"/>
        </w:rPr>
      </w:pPr>
      <w:bookmarkStart w:id="52" w:name="_Toc15377216"/>
      <w:r>
        <w:rPr>
          <w:rFonts w:hint="eastAsia" w:ascii="仿宋" w:hAnsi="仿宋" w:eastAsia="仿宋"/>
          <w:b/>
          <w:sz w:val="32"/>
          <w:szCs w:val="32"/>
        </w:rPr>
        <w:t>（一）“三公”经费财政拨款支出决算总体情况说明</w:t>
      </w:r>
      <w:bookmarkEnd w:id="52"/>
    </w:p>
    <w:p w14:paraId="3B8494E4">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22年“三公”经费财政拨款支出决算为1.78万元，完成预算75.69</w:t>
      </w:r>
      <w:r>
        <w:rPr>
          <w:rFonts w:ascii="仿宋" w:hAnsi="仿宋" w:eastAsia="仿宋"/>
          <w:sz w:val="32"/>
          <w:szCs w:val="32"/>
        </w:rPr>
        <w:t>%</w:t>
      </w:r>
      <w:r>
        <w:rPr>
          <w:rFonts w:hint="eastAsia" w:ascii="仿宋" w:hAnsi="仿宋" w:eastAsia="仿宋"/>
          <w:sz w:val="32"/>
          <w:szCs w:val="32"/>
        </w:rPr>
        <w:t>，较上年度增加1.73万元，增长97.19%。决算数小于预算数的主要原因是节约开支。</w:t>
      </w:r>
    </w:p>
    <w:p w14:paraId="42448272">
      <w:pPr>
        <w:spacing w:line="600" w:lineRule="exact"/>
        <w:ind w:firstLine="640"/>
        <w:rPr>
          <w:rFonts w:ascii="仿宋" w:hAnsi="仿宋" w:eastAsia="仿宋"/>
          <w:sz w:val="32"/>
          <w:szCs w:val="32"/>
        </w:rPr>
      </w:pPr>
    </w:p>
    <w:p w14:paraId="77739EE4">
      <w:pPr>
        <w:spacing w:line="600" w:lineRule="exact"/>
        <w:ind w:firstLine="640"/>
        <w:outlineLvl w:val="2"/>
        <w:rPr>
          <w:rFonts w:ascii="仿宋" w:hAnsi="仿宋" w:eastAsia="仿宋"/>
          <w:b/>
          <w:sz w:val="32"/>
          <w:szCs w:val="32"/>
        </w:rPr>
      </w:pPr>
      <w:bookmarkStart w:id="53" w:name="_Toc15377217"/>
      <w:r>
        <w:rPr>
          <w:rFonts w:hint="eastAsia" w:ascii="仿宋" w:hAnsi="仿宋" w:eastAsia="仿宋"/>
          <w:b/>
          <w:sz w:val="32"/>
          <w:szCs w:val="32"/>
        </w:rPr>
        <w:t>（二）“三公”经费财政拨款支出决算具体情况说明</w:t>
      </w:r>
      <w:bookmarkEnd w:id="53"/>
    </w:p>
    <w:p w14:paraId="7B5960C4">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23年“三公”经费财政拨款支出决算中，因公出国（境）费支出决算0万元，占0</w:t>
      </w:r>
      <w:r>
        <w:rPr>
          <w:rFonts w:ascii="仿宋" w:hAnsi="仿宋" w:eastAsia="仿宋"/>
          <w:sz w:val="32"/>
          <w:szCs w:val="32"/>
        </w:rPr>
        <w:t>%</w:t>
      </w:r>
      <w:r>
        <w:rPr>
          <w:rFonts w:hint="eastAsia" w:ascii="仿宋" w:hAnsi="仿宋" w:eastAsia="仿宋"/>
          <w:sz w:val="32"/>
          <w:szCs w:val="32"/>
        </w:rPr>
        <w:t>；公务用车购置及运行维护费支出决算0万元，占0</w:t>
      </w:r>
      <w:r>
        <w:rPr>
          <w:rFonts w:ascii="仿宋" w:hAnsi="仿宋" w:eastAsia="仿宋"/>
          <w:sz w:val="32"/>
          <w:szCs w:val="32"/>
        </w:rPr>
        <w:t>%</w:t>
      </w:r>
      <w:r>
        <w:rPr>
          <w:rFonts w:hint="eastAsia" w:ascii="仿宋" w:hAnsi="仿宋" w:eastAsia="仿宋"/>
          <w:sz w:val="32"/>
          <w:szCs w:val="32"/>
        </w:rPr>
        <w:t>；公务接待费支出决算1.78万元，占100</w:t>
      </w:r>
      <w:r>
        <w:rPr>
          <w:rFonts w:ascii="仿宋" w:hAnsi="仿宋" w:eastAsia="仿宋"/>
          <w:sz w:val="32"/>
          <w:szCs w:val="32"/>
        </w:rPr>
        <w:t>%</w:t>
      </w:r>
      <w:r>
        <w:rPr>
          <w:rFonts w:hint="eastAsia" w:ascii="仿宋" w:hAnsi="仿宋" w:eastAsia="仿宋"/>
          <w:sz w:val="32"/>
          <w:szCs w:val="32"/>
        </w:rPr>
        <w:t>。具体情况如下：</w:t>
      </w:r>
    </w:p>
    <w:p w14:paraId="4DB66C4F">
      <w:pPr>
        <w:ind w:firstLine="641"/>
        <w:jc w:val="center"/>
        <w:rPr>
          <w:rFonts w:ascii="仿宋_GB2312" w:eastAsia="仿宋_GB2312"/>
          <w:b/>
          <w:sz w:val="32"/>
          <w:szCs w:val="32"/>
        </w:rPr>
      </w:pPr>
      <w:r>
        <w:rPr>
          <w:rFonts w:hint="eastAsia" w:ascii="仿宋" w:hAnsi="仿宋" w:eastAsia="仿宋"/>
          <w:sz w:val="32"/>
          <w:szCs w:val="32"/>
        </w:rPr>
        <w:drawing>
          <wp:inline distT="0" distB="0" distL="114300" distR="114300">
            <wp:extent cx="3938270" cy="2753360"/>
            <wp:effectExtent l="4445" t="4445" r="19685" b="23495"/>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6996D7D">
      <w:pPr>
        <w:ind w:firstLine="641"/>
        <w:jc w:val="center"/>
        <w:rPr>
          <w:rFonts w:ascii="仿宋_GB2312" w:eastAsia="仿宋"/>
          <w:b/>
          <w:sz w:val="32"/>
          <w:szCs w:val="32"/>
        </w:rPr>
      </w:pPr>
      <w:r>
        <w:rPr>
          <w:rFonts w:hint="eastAsia" w:ascii="仿宋" w:hAnsi="仿宋" w:eastAsia="仿宋"/>
          <w:sz w:val="32"/>
          <w:szCs w:val="32"/>
        </w:rPr>
        <w:t xml:space="preserve">图7：“三公”经费财政拨款支出结构 </w:t>
      </w:r>
    </w:p>
    <w:p w14:paraId="22D5BFED">
      <w:pPr>
        <w:spacing w:line="600" w:lineRule="exact"/>
        <w:ind w:firstLine="640"/>
        <w:rPr>
          <w:rFonts w:ascii="仿宋_GB2312" w:eastAsia="仿宋_GB2312"/>
          <w:sz w:val="32"/>
          <w:szCs w:val="32"/>
        </w:rPr>
      </w:pPr>
      <w:r>
        <w:rPr>
          <w:rFonts w:ascii="仿宋_GB2312" w:eastAsia="仿宋_GB2312"/>
          <w:b/>
          <w:sz w:val="32"/>
          <w:szCs w:val="32"/>
        </w:rPr>
        <w:t>1.</w:t>
      </w:r>
      <w:r>
        <w:rPr>
          <w:rFonts w:hint="eastAsia" w:ascii="仿宋_GB2312" w:eastAsia="仿宋_GB2312"/>
          <w:b/>
          <w:sz w:val="32"/>
          <w:szCs w:val="32"/>
        </w:rPr>
        <w:t>因公出国（境）经费支出</w:t>
      </w:r>
      <w:r>
        <w:rPr>
          <w:rFonts w:hint="eastAsia" w:ascii="仿宋_GB2312" w:eastAsia="仿宋_GB2312"/>
          <w:sz w:val="32"/>
          <w:szCs w:val="32"/>
        </w:rPr>
        <w:t>0万元，</w:t>
      </w:r>
      <w:r>
        <w:rPr>
          <w:rStyle w:val="14"/>
          <w:rFonts w:hint="eastAsia" w:ascii="仿宋" w:hAnsi="仿宋" w:eastAsia="仿宋"/>
          <w:b w:val="0"/>
          <w:bCs/>
          <w:sz w:val="32"/>
          <w:szCs w:val="32"/>
        </w:rPr>
        <w:t>完成预算0</w:t>
      </w:r>
      <w:r>
        <w:rPr>
          <w:rStyle w:val="14"/>
          <w:rFonts w:ascii="仿宋" w:hAnsi="仿宋" w:eastAsia="仿宋"/>
          <w:b w:val="0"/>
          <w:bCs/>
          <w:sz w:val="32"/>
          <w:szCs w:val="32"/>
        </w:rPr>
        <w:t>%</w:t>
      </w:r>
      <w:r>
        <w:rPr>
          <w:rStyle w:val="14"/>
          <w:rFonts w:hint="eastAsia" w:ascii="仿宋" w:hAnsi="仿宋" w:eastAsia="仿宋"/>
          <w:b w:val="0"/>
          <w:bCs/>
          <w:sz w:val="32"/>
          <w:szCs w:val="32"/>
        </w:rPr>
        <w:t>。</w:t>
      </w:r>
      <w:r>
        <w:rPr>
          <w:rFonts w:hint="eastAsia" w:ascii="仿宋_GB2312" w:eastAsia="仿宋_GB2312"/>
          <w:sz w:val="32"/>
          <w:szCs w:val="32"/>
        </w:rPr>
        <w:t>全年安排因公出国（境）团组0次，出国（境）0人。因公出国（境）支出决算与2022年一致。</w:t>
      </w:r>
    </w:p>
    <w:p w14:paraId="7EBB9E99">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hint="eastAsia" w:ascii="仿宋_GB2312" w:eastAsia="仿宋_GB2312"/>
          <w:sz w:val="32"/>
          <w:szCs w:val="32"/>
        </w:rPr>
        <w:t>0万元,</w:t>
      </w:r>
      <w:r>
        <w:rPr>
          <w:rStyle w:val="14"/>
          <w:rFonts w:hint="eastAsia" w:ascii="仿宋" w:hAnsi="仿宋" w:eastAsia="仿宋"/>
          <w:b w:val="0"/>
          <w:bCs/>
          <w:sz w:val="32"/>
          <w:szCs w:val="32"/>
        </w:rPr>
        <w:t>完成预算0</w:t>
      </w:r>
      <w:r>
        <w:rPr>
          <w:rStyle w:val="14"/>
          <w:rFonts w:ascii="仿宋" w:hAnsi="仿宋" w:eastAsia="仿宋"/>
          <w:b w:val="0"/>
          <w:bCs/>
          <w:sz w:val="32"/>
          <w:szCs w:val="32"/>
        </w:rPr>
        <w:t>%</w:t>
      </w:r>
      <w:r>
        <w:rPr>
          <w:rStyle w:val="14"/>
          <w:rFonts w:hint="eastAsia" w:ascii="仿宋" w:hAnsi="仿宋" w:eastAsia="仿宋"/>
          <w:b w:val="0"/>
          <w:bCs/>
          <w:sz w:val="32"/>
          <w:szCs w:val="32"/>
        </w:rPr>
        <w:t>。</w:t>
      </w:r>
      <w:r>
        <w:rPr>
          <w:rFonts w:hint="eastAsia" w:ascii="仿宋_GB2312" w:eastAsia="仿宋_GB2312"/>
          <w:sz w:val="32"/>
          <w:szCs w:val="32"/>
        </w:rPr>
        <w:t>公务用车购置及运行维护费支出决算与2022年一致。</w:t>
      </w:r>
    </w:p>
    <w:p w14:paraId="1BC0A941">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hint="eastAsia" w:ascii="仿宋_GB2312" w:eastAsia="仿宋_GB2312"/>
          <w:sz w:val="32"/>
          <w:szCs w:val="32"/>
        </w:rPr>
        <w:t>0万元。全年按规定更新购置公务用车0辆，其中：轿车0辆、金额0万元，越野车0辆、金额0万元，载客汽车0辆、金额0万元。截至</w:t>
      </w:r>
      <w:r>
        <w:rPr>
          <w:rFonts w:ascii="仿宋_GB2312" w:eastAsia="仿宋_GB2312"/>
          <w:sz w:val="32"/>
          <w:szCs w:val="32"/>
        </w:rPr>
        <w:t>20</w:t>
      </w:r>
      <w:r>
        <w:rPr>
          <w:rFonts w:hint="eastAsia" w:ascii="仿宋_GB2312" w:eastAsia="仿宋_GB2312"/>
          <w:sz w:val="32"/>
          <w:szCs w:val="32"/>
        </w:rPr>
        <w:t>22年</w:t>
      </w:r>
      <w:r>
        <w:rPr>
          <w:rFonts w:ascii="仿宋_GB2312" w:eastAsia="仿宋_GB2312"/>
          <w:sz w:val="32"/>
          <w:szCs w:val="32"/>
        </w:rPr>
        <w:t>12</w:t>
      </w:r>
      <w:r>
        <w:rPr>
          <w:rFonts w:hint="eastAsia" w:ascii="仿宋_GB2312" w:eastAsia="仿宋_GB2312"/>
          <w:sz w:val="32"/>
          <w:szCs w:val="32"/>
        </w:rPr>
        <w:t>月底，单位共有公务用车0辆，其中：轿车0辆、越野车0辆、载客汽车0辆。</w:t>
      </w:r>
    </w:p>
    <w:p w14:paraId="07A3821F">
      <w:pPr>
        <w:spacing w:line="600" w:lineRule="exact"/>
        <w:ind w:firstLine="640"/>
        <w:rPr>
          <w:rFonts w:ascii="仿宋_GB2312" w:eastAsia="仿宋_GB2312"/>
          <w:sz w:val="32"/>
          <w:szCs w:val="32"/>
        </w:rPr>
      </w:pPr>
      <w:r>
        <w:rPr>
          <w:rFonts w:hint="eastAsia" w:ascii="仿宋_GB2312" w:eastAsia="仿宋_GB2312"/>
          <w:b/>
          <w:sz w:val="32"/>
          <w:szCs w:val="32"/>
        </w:rPr>
        <w:t>公务用车运行维护费支出0</w:t>
      </w:r>
      <w:r>
        <w:rPr>
          <w:rFonts w:hint="eastAsia" w:ascii="仿宋_GB2312" w:eastAsia="仿宋_GB2312"/>
          <w:sz w:val="32"/>
          <w:szCs w:val="32"/>
        </w:rPr>
        <w:t>万元。</w:t>
      </w:r>
    </w:p>
    <w:p w14:paraId="020E9BCF">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hint="eastAsia" w:ascii="仿宋_GB2312" w:eastAsia="仿宋_GB2312"/>
          <w:sz w:val="32"/>
          <w:szCs w:val="32"/>
        </w:rPr>
        <w:t>1.78万元，</w:t>
      </w:r>
      <w:r>
        <w:rPr>
          <w:rStyle w:val="14"/>
          <w:rFonts w:hint="eastAsia" w:ascii="仿宋" w:hAnsi="仿宋" w:eastAsia="仿宋"/>
          <w:b w:val="0"/>
          <w:bCs/>
          <w:sz w:val="32"/>
          <w:szCs w:val="32"/>
        </w:rPr>
        <w:t>完成预算75.69</w:t>
      </w:r>
      <w:r>
        <w:rPr>
          <w:rStyle w:val="14"/>
          <w:rFonts w:ascii="仿宋" w:hAnsi="仿宋" w:eastAsia="仿宋"/>
          <w:b w:val="0"/>
          <w:bCs/>
          <w:sz w:val="32"/>
          <w:szCs w:val="32"/>
        </w:rPr>
        <w:t>%</w:t>
      </w:r>
      <w:r>
        <w:rPr>
          <w:rStyle w:val="14"/>
          <w:rFonts w:hint="eastAsia" w:ascii="仿宋" w:hAnsi="仿宋" w:eastAsia="仿宋"/>
          <w:b w:val="0"/>
          <w:bCs/>
          <w:sz w:val="32"/>
          <w:szCs w:val="32"/>
        </w:rPr>
        <w:t>。</w:t>
      </w:r>
      <w:r>
        <w:rPr>
          <w:rFonts w:hint="eastAsia" w:ascii="仿宋_GB2312" w:eastAsia="仿宋_GB2312"/>
          <w:sz w:val="32"/>
          <w:szCs w:val="32"/>
        </w:rPr>
        <w:t>公务接待费支出决算较2022年增加97.19%，正常浮动。其中：</w:t>
      </w:r>
    </w:p>
    <w:p w14:paraId="1DF13E1B">
      <w:pPr>
        <w:spacing w:line="600" w:lineRule="exact"/>
        <w:ind w:firstLine="640"/>
        <w:rPr>
          <w:rFonts w:ascii="仿宋_GB2312" w:eastAsia="仿宋_GB2312"/>
          <w:sz w:val="32"/>
          <w:szCs w:val="32"/>
        </w:rPr>
      </w:pPr>
      <w:r>
        <w:rPr>
          <w:rFonts w:hint="eastAsia" w:ascii="仿宋" w:hAnsi="仿宋" w:eastAsia="仿宋"/>
          <w:b/>
          <w:sz w:val="32"/>
          <w:szCs w:val="32"/>
        </w:rPr>
        <w:t>国内公务接待支出</w:t>
      </w:r>
      <w:r>
        <w:rPr>
          <w:rFonts w:hint="eastAsia" w:ascii="仿宋" w:hAnsi="仿宋" w:eastAsia="仿宋"/>
          <w:sz w:val="32"/>
          <w:szCs w:val="32"/>
        </w:rPr>
        <w:t>1.78</w:t>
      </w:r>
      <w:r>
        <w:rPr>
          <w:rFonts w:hint="eastAsia" w:ascii="仿宋_GB2312" w:eastAsia="仿宋_GB2312"/>
          <w:sz w:val="32"/>
          <w:szCs w:val="32"/>
        </w:rPr>
        <w:t>万元，主要用于开展业务活动开支的用餐费。国内公务接待23批次，366人次（不包括陪同人员），共计支出1.78万元，具体内容包括：上级主管部门检查指导工作。</w:t>
      </w:r>
    </w:p>
    <w:p w14:paraId="2DA2F45E">
      <w:pPr>
        <w:spacing w:line="600" w:lineRule="exact"/>
        <w:ind w:firstLine="643" w:firstLineChars="200"/>
        <w:rPr>
          <w:rFonts w:ascii="仿宋_GB2312" w:eastAsia="仿宋_GB2312"/>
          <w:sz w:val="32"/>
          <w:szCs w:val="32"/>
        </w:rPr>
      </w:pPr>
      <w:r>
        <w:rPr>
          <w:rFonts w:hint="eastAsia" w:ascii="仿宋" w:hAnsi="仿宋" w:eastAsia="仿宋"/>
          <w:b/>
          <w:sz w:val="32"/>
          <w:szCs w:val="32"/>
        </w:rPr>
        <w:t>外事接待支出</w:t>
      </w:r>
      <w:r>
        <w:rPr>
          <w:rFonts w:hint="eastAsia" w:ascii="仿宋" w:hAnsi="仿宋" w:eastAsia="仿宋"/>
          <w:sz w:val="32"/>
          <w:szCs w:val="32"/>
        </w:rPr>
        <w:t>0</w:t>
      </w:r>
      <w:r>
        <w:rPr>
          <w:rFonts w:hint="eastAsia" w:ascii="仿宋_GB2312" w:eastAsia="仿宋_GB2312"/>
          <w:sz w:val="32"/>
          <w:szCs w:val="32"/>
        </w:rPr>
        <w:t>万元，外事接待0批次，0人，共计支出0万元。</w:t>
      </w:r>
    </w:p>
    <w:p w14:paraId="29880E2B">
      <w:pPr>
        <w:spacing w:line="600" w:lineRule="exact"/>
        <w:ind w:firstLine="640"/>
        <w:outlineLvl w:val="1"/>
        <w:rPr>
          <w:rStyle w:val="26"/>
          <w:rFonts w:ascii="黑体" w:hAnsi="黑体" w:eastAsia="黑体"/>
        </w:rPr>
      </w:pPr>
      <w:bookmarkStart w:id="54" w:name="_Toc15396610"/>
      <w:bookmarkStart w:id="55" w:name="_Toc15377218"/>
      <w:bookmarkStart w:id="56" w:name="_Toc10844"/>
      <w:r>
        <w:rPr>
          <w:rFonts w:hint="eastAsia" w:ascii="黑体" w:eastAsia="黑体"/>
          <w:sz w:val="32"/>
          <w:szCs w:val="32"/>
        </w:rPr>
        <w:t>八、</w:t>
      </w:r>
      <w:r>
        <w:rPr>
          <w:rStyle w:val="26"/>
          <w:rFonts w:hint="eastAsia" w:ascii="黑体" w:hAnsi="黑体" w:eastAsia="黑体"/>
          <w:b w:val="0"/>
        </w:rPr>
        <w:t>政府性基金预算支出决算情况说明</w:t>
      </w:r>
      <w:bookmarkEnd w:id="54"/>
      <w:bookmarkEnd w:id="55"/>
      <w:bookmarkEnd w:id="56"/>
    </w:p>
    <w:p w14:paraId="65CE6488">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23年政府性基金预算财政拨款支出0万元。</w:t>
      </w:r>
    </w:p>
    <w:p w14:paraId="064B7B9C">
      <w:pPr>
        <w:numPr>
          <w:ilvl w:val="0"/>
          <w:numId w:val="3"/>
        </w:numPr>
        <w:spacing w:line="600" w:lineRule="exact"/>
        <w:ind w:firstLine="640"/>
        <w:outlineLvl w:val="1"/>
        <w:rPr>
          <w:rStyle w:val="26"/>
          <w:rFonts w:ascii="黑体" w:hAnsi="黑体" w:eastAsia="黑体"/>
          <w:b w:val="0"/>
        </w:rPr>
      </w:pPr>
      <w:bookmarkStart w:id="57" w:name="_Toc15396611"/>
      <w:bookmarkStart w:id="58" w:name="_Toc1214"/>
      <w:bookmarkStart w:id="59" w:name="_Toc15377219"/>
      <w:r>
        <w:rPr>
          <w:rStyle w:val="26"/>
          <w:rFonts w:hint="eastAsia" w:ascii="黑体" w:hAnsi="黑体" w:eastAsia="黑体"/>
          <w:b w:val="0"/>
        </w:rPr>
        <w:t>国有资本经营预算支出决算情况说明</w:t>
      </w:r>
      <w:bookmarkEnd w:id="57"/>
      <w:bookmarkEnd w:id="58"/>
      <w:bookmarkEnd w:id="59"/>
    </w:p>
    <w:p w14:paraId="7EF82054">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23年国有资本经营预算财政拨款支出0万元。</w:t>
      </w:r>
    </w:p>
    <w:p w14:paraId="6F52D49D">
      <w:pPr>
        <w:numPr>
          <w:ilvl w:val="0"/>
          <w:numId w:val="3"/>
        </w:numPr>
        <w:spacing w:line="600" w:lineRule="exact"/>
        <w:ind w:firstLine="640"/>
        <w:outlineLvl w:val="1"/>
        <w:rPr>
          <w:rStyle w:val="26"/>
          <w:rFonts w:ascii="黑体" w:hAnsi="黑体" w:eastAsia="黑体"/>
          <w:b w:val="0"/>
        </w:rPr>
      </w:pPr>
      <w:bookmarkStart w:id="60" w:name="_Toc15396612"/>
      <w:bookmarkStart w:id="61" w:name="_Toc31091"/>
      <w:bookmarkStart w:id="62" w:name="_Toc15377221"/>
      <w:r>
        <w:rPr>
          <w:rStyle w:val="26"/>
          <w:rFonts w:hint="eastAsia" w:ascii="黑体" w:hAnsi="黑体" w:eastAsia="黑体"/>
          <w:b w:val="0"/>
        </w:rPr>
        <w:t>其他重要事项的情况说明</w:t>
      </w:r>
      <w:bookmarkEnd w:id="60"/>
      <w:bookmarkEnd w:id="61"/>
      <w:bookmarkEnd w:id="62"/>
    </w:p>
    <w:p w14:paraId="00638680">
      <w:pPr>
        <w:spacing w:line="600" w:lineRule="exact"/>
        <w:ind w:firstLine="643" w:firstLineChars="200"/>
        <w:outlineLvl w:val="2"/>
        <w:rPr>
          <w:rFonts w:ascii="仿宋" w:hAnsi="仿宋" w:eastAsia="仿宋"/>
          <w:sz w:val="32"/>
          <w:szCs w:val="32"/>
        </w:rPr>
      </w:pPr>
      <w:bookmarkStart w:id="63" w:name="_Toc15377222"/>
      <w:r>
        <w:rPr>
          <w:rFonts w:hint="eastAsia" w:ascii="仿宋" w:hAnsi="仿宋" w:eastAsia="仿宋"/>
          <w:b/>
          <w:sz w:val="32"/>
          <w:szCs w:val="32"/>
        </w:rPr>
        <w:t>（一）机关运行经费支出情况</w:t>
      </w:r>
      <w:bookmarkEnd w:id="63"/>
    </w:p>
    <w:p w14:paraId="486E9766">
      <w:pPr>
        <w:spacing w:line="600" w:lineRule="exact"/>
        <w:ind w:firstLine="640" w:firstLineChars="200"/>
        <w:rPr>
          <w:rFonts w:ascii="仿宋" w:hAnsi="仿宋" w:eastAsia="仿宋"/>
          <w:b/>
          <w:sz w:val="32"/>
          <w:szCs w:val="32"/>
        </w:rPr>
      </w:pPr>
      <w:r>
        <w:rPr>
          <w:rFonts w:hint="eastAsia" w:ascii="仿宋_GB2312" w:eastAsia="仿宋_GB2312"/>
          <w:sz w:val="32"/>
          <w:szCs w:val="32"/>
        </w:rPr>
        <w:t>我单位为事业单位（学校），执行政府会计制度，无机关运行经费。</w:t>
      </w:r>
    </w:p>
    <w:p w14:paraId="10A6E849">
      <w:pPr>
        <w:autoSpaceDE w:val="0"/>
        <w:autoSpaceDN w:val="0"/>
        <w:adjustRightInd w:val="0"/>
        <w:spacing w:line="600" w:lineRule="exact"/>
        <w:ind w:firstLine="643" w:firstLineChars="200"/>
        <w:jc w:val="left"/>
        <w:outlineLvl w:val="2"/>
        <w:rPr>
          <w:rFonts w:ascii="仿宋" w:hAnsi="仿宋" w:eastAsia="仿宋"/>
          <w:b/>
          <w:sz w:val="32"/>
          <w:szCs w:val="32"/>
        </w:rPr>
      </w:pPr>
      <w:bookmarkStart w:id="64" w:name="_Toc15377223"/>
      <w:r>
        <w:rPr>
          <w:rFonts w:hint="eastAsia" w:ascii="仿宋" w:hAnsi="仿宋" w:eastAsia="仿宋"/>
          <w:b/>
          <w:sz w:val="32"/>
          <w:szCs w:val="32"/>
        </w:rPr>
        <w:t>（二）政府采购支出情况</w:t>
      </w:r>
      <w:bookmarkEnd w:id="64"/>
    </w:p>
    <w:p w14:paraId="70D372D8">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23年，大竹县大竹县清水镇中心小学政府采购支出总额</w:t>
      </w:r>
      <w:r>
        <w:rPr>
          <w:rFonts w:ascii="仿宋_GB2312" w:eastAsia="仿宋_GB2312"/>
          <w:sz w:val="32"/>
          <w:szCs w:val="32"/>
        </w:rPr>
        <w:t>0</w:t>
      </w:r>
      <w:r>
        <w:rPr>
          <w:rFonts w:hint="eastAsia" w:ascii="仿宋_GB2312" w:eastAsia="仿宋_GB2312"/>
          <w:sz w:val="32"/>
          <w:szCs w:val="32"/>
        </w:rPr>
        <w:t>万元。</w:t>
      </w:r>
    </w:p>
    <w:p w14:paraId="55F44FC1">
      <w:pPr>
        <w:autoSpaceDE w:val="0"/>
        <w:autoSpaceDN w:val="0"/>
        <w:adjustRightInd w:val="0"/>
        <w:spacing w:line="600" w:lineRule="exact"/>
        <w:ind w:firstLine="643" w:firstLineChars="200"/>
        <w:jc w:val="left"/>
        <w:outlineLvl w:val="2"/>
        <w:rPr>
          <w:rFonts w:ascii="仿宋" w:hAnsi="仿宋" w:eastAsia="仿宋"/>
          <w:b/>
          <w:sz w:val="32"/>
          <w:szCs w:val="32"/>
        </w:rPr>
      </w:pPr>
      <w:bookmarkStart w:id="65" w:name="_Toc15377224"/>
      <w:r>
        <w:rPr>
          <w:rFonts w:hint="eastAsia" w:ascii="仿宋" w:hAnsi="仿宋" w:eastAsia="仿宋"/>
          <w:b/>
          <w:sz w:val="32"/>
          <w:szCs w:val="32"/>
        </w:rPr>
        <w:t>（三）国有资产占有使用情况</w:t>
      </w:r>
      <w:bookmarkEnd w:id="65"/>
    </w:p>
    <w:p w14:paraId="0027431F">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w:t>
      </w:r>
      <w:r>
        <w:rPr>
          <w:rFonts w:ascii="仿宋_GB2312" w:eastAsia="仿宋_GB2312"/>
          <w:sz w:val="32"/>
          <w:szCs w:val="32"/>
        </w:rPr>
        <w:t>20</w:t>
      </w:r>
      <w:r>
        <w:rPr>
          <w:rFonts w:hint="eastAsia" w:ascii="仿宋_GB2312" w:eastAsia="仿宋_GB2312"/>
          <w:sz w:val="32"/>
          <w:szCs w:val="32"/>
        </w:rPr>
        <w:t>23年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日，大竹县大竹县清水镇中心小学共有车辆</w:t>
      </w:r>
      <w:r>
        <w:rPr>
          <w:rFonts w:ascii="仿宋_GB2312" w:eastAsia="仿宋_GB2312"/>
          <w:sz w:val="32"/>
          <w:szCs w:val="32"/>
        </w:rPr>
        <w:t>0</w:t>
      </w:r>
      <w:r>
        <w:rPr>
          <w:rFonts w:hint="eastAsia" w:ascii="仿宋_GB2312" w:eastAsia="仿宋_GB2312"/>
          <w:sz w:val="32"/>
          <w:szCs w:val="32"/>
        </w:rPr>
        <w:t>辆，其中：主要领导干部用车</w:t>
      </w:r>
      <w:r>
        <w:rPr>
          <w:rFonts w:ascii="仿宋_GB2312" w:eastAsia="仿宋_GB2312"/>
          <w:sz w:val="32"/>
          <w:szCs w:val="32"/>
        </w:rPr>
        <w:t>0</w:t>
      </w:r>
      <w:r>
        <w:rPr>
          <w:rFonts w:hint="eastAsia" w:ascii="仿宋_GB2312" w:eastAsia="仿宋_GB2312"/>
          <w:sz w:val="32"/>
          <w:szCs w:val="32"/>
        </w:rPr>
        <w:t>辆、机要通信用车</w:t>
      </w:r>
      <w:r>
        <w:rPr>
          <w:rFonts w:ascii="仿宋_GB2312" w:eastAsia="仿宋_GB2312"/>
          <w:sz w:val="32"/>
          <w:szCs w:val="32"/>
        </w:rPr>
        <w:t>0</w:t>
      </w:r>
      <w:r>
        <w:rPr>
          <w:rFonts w:hint="eastAsia" w:ascii="仿宋_GB2312" w:eastAsia="仿宋_GB2312"/>
          <w:sz w:val="32"/>
          <w:szCs w:val="32"/>
        </w:rPr>
        <w:t>辆、应急保障用车</w:t>
      </w:r>
      <w:r>
        <w:rPr>
          <w:rFonts w:ascii="仿宋_GB2312" w:eastAsia="仿宋_GB2312"/>
          <w:sz w:val="32"/>
          <w:szCs w:val="32"/>
        </w:rPr>
        <w:t>0</w:t>
      </w:r>
      <w:r>
        <w:rPr>
          <w:rFonts w:hint="eastAsia" w:ascii="仿宋_GB2312" w:eastAsia="仿宋_GB2312"/>
          <w:sz w:val="32"/>
          <w:szCs w:val="32"/>
        </w:rPr>
        <w:t>辆、其他用车</w:t>
      </w:r>
      <w:r>
        <w:rPr>
          <w:rFonts w:ascii="仿宋_GB2312" w:eastAsia="仿宋_GB2312"/>
          <w:sz w:val="32"/>
          <w:szCs w:val="32"/>
        </w:rPr>
        <w:t>0</w:t>
      </w:r>
      <w:r>
        <w:rPr>
          <w:rFonts w:hint="eastAsia" w:ascii="仿宋_GB2312" w:eastAsia="仿宋_GB2312"/>
          <w:sz w:val="32"/>
          <w:szCs w:val="32"/>
        </w:rPr>
        <w:t>辆.单价</w:t>
      </w:r>
      <w:r>
        <w:rPr>
          <w:rFonts w:ascii="仿宋_GB2312" w:eastAsia="仿宋_GB2312"/>
          <w:sz w:val="32"/>
          <w:szCs w:val="32"/>
        </w:rPr>
        <w:t>50</w:t>
      </w:r>
      <w:r>
        <w:rPr>
          <w:rFonts w:hint="eastAsia" w:ascii="仿宋_GB2312" w:eastAsia="仿宋_GB2312"/>
          <w:sz w:val="32"/>
          <w:szCs w:val="32"/>
        </w:rPr>
        <w:t>万元以上通用设备</w:t>
      </w:r>
      <w:r>
        <w:rPr>
          <w:rFonts w:ascii="仿宋_GB2312" w:eastAsia="仿宋_GB2312"/>
          <w:sz w:val="32"/>
          <w:szCs w:val="32"/>
        </w:rPr>
        <w:t>0</w:t>
      </w:r>
      <w:r>
        <w:rPr>
          <w:rFonts w:hint="eastAsia" w:ascii="仿宋_GB2312" w:eastAsia="仿宋_GB2312"/>
          <w:sz w:val="32"/>
          <w:szCs w:val="32"/>
        </w:rPr>
        <w:t>台（套），单价</w:t>
      </w:r>
      <w:r>
        <w:rPr>
          <w:rFonts w:ascii="仿宋_GB2312" w:eastAsia="仿宋_GB2312"/>
          <w:sz w:val="32"/>
          <w:szCs w:val="32"/>
        </w:rPr>
        <w:t>100</w:t>
      </w:r>
      <w:r>
        <w:rPr>
          <w:rFonts w:hint="eastAsia" w:ascii="仿宋_GB2312" w:eastAsia="仿宋_GB2312"/>
          <w:sz w:val="32"/>
          <w:szCs w:val="32"/>
        </w:rPr>
        <w:t>万元以上专用设备</w:t>
      </w:r>
      <w:r>
        <w:rPr>
          <w:rFonts w:ascii="仿宋_GB2312" w:eastAsia="仿宋_GB2312"/>
          <w:sz w:val="32"/>
          <w:szCs w:val="32"/>
        </w:rPr>
        <w:t>0</w:t>
      </w:r>
      <w:r>
        <w:rPr>
          <w:rFonts w:hint="eastAsia" w:ascii="仿宋_GB2312" w:eastAsia="仿宋_GB2312"/>
          <w:sz w:val="32"/>
          <w:szCs w:val="32"/>
        </w:rPr>
        <w:t>台（套）。</w:t>
      </w:r>
    </w:p>
    <w:p w14:paraId="4AB04093">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14:paraId="7D52C48E">
      <w:pPr>
        <w:spacing w:line="580" w:lineRule="exact"/>
        <w:ind w:firstLine="640" w:firstLineChars="200"/>
        <w:rPr>
          <w:rFonts w:ascii="仿宋_GB2312" w:eastAsia="仿宋_GB2312"/>
          <w:b/>
          <w:sz w:val="32"/>
          <w:szCs w:val="32"/>
        </w:rPr>
      </w:pPr>
      <w:r>
        <w:rPr>
          <w:rFonts w:hint="eastAsia" w:ascii="仿宋_GB2312" w:hAnsi="仿宋_GB2312" w:eastAsia="仿宋_GB2312" w:cs="仿宋_GB2312"/>
          <w:sz w:val="32"/>
          <w:szCs w:val="32"/>
        </w:rPr>
        <w:t>根据预算绩效管理要求，本单位在2023年度预算编制阶段，组织对3个预算项目开展了预算事前绩效评估，对3个项目编制了绩效目标，预算执行过程中，选取3个项目开展绩效监控，组织对3个预算项目开展绩效自评，绩效自评表详见第四部分附件。</w:t>
      </w:r>
    </w:p>
    <w:p w14:paraId="4F3C1193">
      <w:pPr>
        <w:pStyle w:val="5"/>
        <w:spacing w:before="95"/>
      </w:pPr>
    </w:p>
    <w:p w14:paraId="2012141C">
      <w:pPr>
        <w:widowControl/>
        <w:jc w:val="left"/>
        <w:rPr>
          <w:rFonts w:ascii="仿宋_GB2312" w:eastAsia="仿宋_GB2312"/>
          <w:b/>
          <w:sz w:val="32"/>
          <w:szCs w:val="32"/>
        </w:rPr>
      </w:pPr>
      <w:r>
        <w:rPr>
          <w:rFonts w:ascii="仿宋_GB2312" w:eastAsia="仿宋_GB2312"/>
          <w:b/>
          <w:sz w:val="32"/>
          <w:szCs w:val="32"/>
        </w:rPr>
        <w:br w:type="page"/>
      </w:r>
    </w:p>
    <w:p w14:paraId="253378E2">
      <w:pPr>
        <w:numPr>
          <w:ilvl w:val="0"/>
          <w:numId w:val="4"/>
        </w:numPr>
        <w:spacing w:line="600" w:lineRule="exact"/>
        <w:ind w:firstLine="660" w:firstLineChars="150"/>
        <w:jc w:val="center"/>
        <w:outlineLvl w:val="0"/>
        <w:rPr>
          <w:rStyle w:val="25"/>
          <w:rFonts w:ascii="黑体" w:hAnsi="黑体" w:eastAsia="黑体"/>
          <w:b w:val="0"/>
        </w:rPr>
      </w:pPr>
      <w:bookmarkStart w:id="66" w:name="_Toc15377225"/>
      <w:bookmarkStart w:id="67" w:name="_Toc15396613"/>
      <w:bookmarkStart w:id="68" w:name="_Toc10613"/>
      <w:r>
        <w:rPr>
          <w:rFonts w:hint="eastAsia" w:ascii="黑体" w:hAnsi="黑体" w:eastAsia="黑体"/>
          <w:sz w:val="44"/>
          <w:szCs w:val="44"/>
        </w:rPr>
        <w:t>名</w:t>
      </w:r>
      <w:r>
        <w:rPr>
          <w:rStyle w:val="25"/>
          <w:rFonts w:hint="eastAsia" w:ascii="黑体" w:hAnsi="黑体" w:eastAsia="黑体"/>
          <w:b w:val="0"/>
        </w:rPr>
        <w:t>词解释</w:t>
      </w:r>
      <w:bookmarkEnd w:id="66"/>
      <w:bookmarkEnd w:id="67"/>
      <w:bookmarkEnd w:id="68"/>
    </w:p>
    <w:p w14:paraId="6695FF5E">
      <w:pPr>
        <w:spacing w:line="600" w:lineRule="exact"/>
        <w:jc w:val="left"/>
        <w:rPr>
          <w:rFonts w:ascii="宋体"/>
          <w:b/>
          <w:sz w:val="44"/>
          <w:szCs w:val="44"/>
        </w:rPr>
      </w:pPr>
    </w:p>
    <w:p w14:paraId="5BA37032">
      <w:pPr>
        <w:ind w:firstLine="640" w:firstLineChars="200"/>
        <w:rPr>
          <w:rFonts w:ascii="仿宋_GB2312" w:hAnsi="Calibri" w:eastAsia="仿宋_GB2312" w:cs="仿宋"/>
          <w:kern w:val="0"/>
          <w:sz w:val="32"/>
          <w:szCs w:val="32"/>
        </w:rPr>
      </w:pPr>
      <w:r>
        <w:rPr>
          <w:rFonts w:hint="eastAsia" w:ascii="仿宋_GB2312" w:hAnsi="Calibri" w:eastAsia="仿宋_GB2312" w:cs="仿宋"/>
          <w:kern w:val="0"/>
          <w:sz w:val="32"/>
          <w:szCs w:val="32"/>
        </w:rPr>
        <w:t>1.财政拨款收入：指单位从同级财政部门取得的财政预算资金。</w:t>
      </w:r>
    </w:p>
    <w:p w14:paraId="4A3FC77F">
      <w:pPr>
        <w:ind w:firstLine="640" w:firstLineChars="200"/>
        <w:rPr>
          <w:rFonts w:ascii="仿宋_GB2312" w:hAnsi="Calibri" w:eastAsia="仿宋_GB2312" w:cs="仿宋"/>
          <w:kern w:val="0"/>
          <w:sz w:val="32"/>
          <w:szCs w:val="32"/>
        </w:rPr>
      </w:pPr>
      <w:r>
        <w:rPr>
          <w:rFonts w:hint="eastAsia" w:ascii="仿宋_GB2312" w:hAnsi="Calibri" w:eastAsia="仿宋_GB2312" w:cs="仿宋"/>
          <w:kern w:val="0"/>
          <w:sz w:val="32"/>
          <w:szCs w:val="32"/>
        </w:rPr>
        <w:t>2.事业收入：指事业单位开展专业业务活动及辅助活动取得的收入。</w:t>
      </w:r>
    </w:p>
    <w:p w14:paraId="5A44E591">
      <w:pPr>
        <w:ind w:firstLine="640" w:firstLineChars="200"/>
        <w:rPr>
          <w:rFonts w:ascii="仿宋_GB2312" w:hAnsi="Calibri" w:eastAsia="仿宋_GB2312" w:cs="仿宋"/>
          <w:kern w:val="0"/>
          <w:sz w:val="32"/>
          <w:szCs w:val="32"/>
        </w:rPr>
      </w:pPr>
      <w:r>
        <w:rPr>
          <w:rFonts w:hint="eastAsia" w:ascii="仿宋_GB2312" w:hAnsi="Calibri" w:eastAsia="仿宋_GB2312" w:cs="仿宋"/>
          <w:kern w:val="0"/>
          <w:sz w:val="32"/>
          <w:szCs w:val="32"/>
        </w:rPr>
        <w:t xml:space="preserve">3.年初结转和结余：指以前年度尚未完成、结转到本年按有关规定继续使用的资金。 </w:t>
      </w:r>
    </w:p>
    <w:p w14:paraId="067449C1">
      <w:pPr>
        <w:ind w:firstLine="640" w:firstLineChars="200"/>
        <w:rPr>
          <w:rFonts w:ascii="仿宋_GB2312" w:hAnsi="Calibri" w:eastAsia="仿宋_GB2312" w:cs="仿宋"/>
          <w:kern w:val="0"/>
          <w:sz w:val="32"/>
          <w:szCs w:val="32"/>
        </w:rPr>
      </w:pPr>
      <w:r>
        <w:rPr>
          <w:rFonts w:hint="eastAsia" w:ascii="仿宋_GB2312" w:hAnsi="Calibri" w:eastAsia="仿宋_GB2312" w:cs="仿宋"/>
          <w:kern w:val="0"/>
          <w:sz w:val="32"/>
          <w:szCs w:val="32"/>
        </w:rPr>
        <w:t>4.结余分配：指事业单位按照事业单位会计制度的规定从非财政补助结余中分配的事业基金和职工福利基金等。</w:t>
      </w:r>
    </w:p>
    <w:p w14:paraId="03437B93">
      <w:pPr>
        <w:ind w:firstLine="640" w:firstLineChars="200"/>
        <w:rPr>
          <w:rFonts w:ascii="仿宋_GB2312" w:hAnsi="Calibri" w:eastAsia="仿宋_GB2312" w:cs="仿宋"/>
          <w:kern w:val="0"/>
          <w:sz w:val="32"/>
          <w:szCs w:val="32"/>
        </w:rPr>
      </w:pPr>
      <w:r>
        <w:rPr>
          <w:rFonts w:hint="eastAsia" w:ascii="仿宋_GB2312" w:hAnsi="Calibri" w:eastAsia="仿宋_GB2312" w:cs="仿宋"/>
          <w:kern w:val="0"/>
          <w:sz w:val="32"/>
          <w:szCs w:val="32"/>
        </w:rPr>
        <w:t>5、年末结转和结余：指单位按有关规定结转到下年或以后年度继续使用的资金。</w:t>
      </w:r>
    </w:p>
    <w:p w14:paraId="4571ECE6">
      <w:pPr>
        <w:ind w:firstLine="640" w:firstLineChars="200"/>
      </w:pPr>
      <w:r>
        <w:rPr>
          <w:rFonts w:hint="eastAsia" w:ascii="仿宋_GB2312" w:hAnsi="Calibri" w:eastAsia="仿宋_GB2312" w:cs="仿宋"/>
          <w:kern w:val="0"/>
          <w:sz w:val="32"/>
          <w:szCs w:val="32"/>
        </w:rPr>
        <w:t>6.教育（205）基础教育（02）学前教育（01）：反映各部门举办的学前教育支出。政府各部门对社会组织等举办的幼儿园的资助，如捐赠、补贴等，也在本科目中反映。</w:t>
      </w:r>
    </w:p>
    <w:p w14:paraId="304A2CF3">
      <w:pPr>
        <w:ind w:firstLine="640" w:firstLineChars="200"/>
        <w:rPr>
          <w:rFonts w:ascii="仿宋_GB2312" w:hAnsi="Calibri" w:eastAsia="仿宋_GB2312" w:cs="仿宋"/>
          <w:kern w:val="0"/>
          <w:sz w:val="32"/>
          <w:szCs w:val="32"/>
        </w:rPr>
      </w:pPr>
      <w:r>
        <w:rPr>
          <w:rFonts w:hint="eastAsia" w:ascii="仿宋_GB2312" w:hAnsi="Calibri" w:eastAsia="仿宋_GB2312" w:cs="仿宋"/>
          <w:kern w:val="0"/>
          <w:sz w:val="32"/>
          <w:szCs w:val="32"/>
        </w:rPr>
        <w:t>7.教育（205）基础教育（02）小学教育（02）：反映各部门举办的小学教育支出。政府各部门对社会组织等举办的小学的资助，如捐赠、补贴等，也在本科目中反映。</w:t>
      </w:r>
    </w:p>
    <w:p w14:paraId="0E1CFF9B">
      <w:pPr>
        <w:ind w:firstLine="640" w:firstLineChars="200"/>
        <w:rPr>
          <w:rFonts w:ascii="仿宋_GB2312" w:hAnsi="Calibri" w:eastAsia="仿宋_GB2312" w:cs="仿宋"/>
          <w:kern w:val="0"/>
          <w:sz w:val="32"/>
          <w:szCs w:val="32"/>
        </w:rPr>
      </w:pPr>
      <w:r>
        <w:rPr>
          <w:rFonts w:hint="eastAsia" w:ascii="仿宋_GB2312" w:hAnsi="Calibri" w:eastAsia="仿宋_GB2312" w:cs="仿宋"/>
          <w:kern w:val="0"/>
          <w:sz w:val="32"/>
          <w:szCs w:val="32"/>
        </w:rPr>
        <w:t>8. 社会保障和就业（208）行政事业单位养老支出（05）事业单位离退休（02）：反映事业单位的离退休经费。</w:t>
      </w:r>
    </w:p>
    <w:p w14:paraId="56FE3D91">
      <w:pPr>
        <w:ind w:firstLine="640" w:firstLineChars="200"/>
        <w:rPr>
          <w:rFonts w:ascii="仿宋_GB2312" w:hAnsi="Calibri" w:eastAsia="仿宋_GB2312" w:cs="仿宋"/>
          <w:kern w:val="0"/>
          <w:sz w:val="32"/>
          <w:szCs w:val="32"/>
        </w:rPr>
      </w:pPr>
      <w:r>
        <w:rPr>
          <w:rFonts w:hint="eastAsia" w:ascii="仿宋_GB2312" w:hAnsi="Calibri" w:eastAsia="仿宋_GB2312" w:cs="仿宋"/>
          <w:kern w:val="0"/>
          <w:sz w:val="32"/>
          <w:szCs w:val="32"/>
        </w:rPr>
        <w:t>9. 社会保障和就业（208）行政事业单位养老支出（05）机关事业单位基本养老保险缴费支出（05）：反映机关事业单位实施养老保险制度由单位缴纳的基本养老保险费支出。</w:t>
      </w:r>
    </w:p>
    <w:p w14:paraId="443F2DD5">
      <w:pPr>
        <w:ind w:firstLine="640" w:firstLineChars="200"/>
        <w:rPr>
          <w:rFonts w:ascii="仿宋_GB2312" w:hAnsi="Calibri" w:eastAsia="仿宋_GB2312" w:cs="仿宋"/>
          <w:kern w:val="0"/>
          <w:sz w:val="32"/>
          <w:szCs w:val="32"/>
        </w:rPr>
      </w:pPr>
      <w:r>
        <w:rPr>
          <w:rFonts w:hint="eastAsia" w:ascii="仿宋_GB2312" w:hAnsi="Calibri" w:eastAsia="仿宋_GB2312" w:cs="仿宋"/>
          <w:kern w:val="0"/>
          <w:sz w:val="32"/>
          <w:szCs w:val="32"/>
        </w:rPr>
        <w:t>10. 社会保障和就业（208）行政事业单位养老支出（05）机关事业单位职业年金缴费支出（06）：反映机关事业单位实施养老保险制度由单位缴纳的职业年金支出。</w:t>
      </w:r>
    </w:p>
    <w:p w14:paraId="4E85D4DA">
      <w:pPr>
        <w:ind w:firstLine="640" w:firstLineChars="200"/>
        <w:rPr>
          <w:rFonts w:ascii="仿宋_GB2312" w:hAnsi="Calibri" w:eastAsia="仿宋_GB2312" w:cs="仿宋"/>
          <w:kern w:val="0"/>
          <w:sz w:val="32"/>
          <w:szCs w:val="32"/>
        </w:rPr>
      </w:pPr>
      <w:r>
        <w:rPr>
          <w:rFonts w:hint="eastAsia" w:ascii="仿宋_GB2312" w:hAnsi="Calibri" w:eastAsia="仿宋_GB2312" w:cs="仿宋"/>
          <w:kern w:val="0"/>
          <w:sz w:val="32"/>
          <w:szCs w:val="32"/>
        </w:rPr>
        <w:t>11. 社会保障和就业（208）行政事业单位养老支出（05）其他行政事业单位养老支出（99）：反映除上述项目以外其他用于行政事业单位养老方面的支出。</w:t>
      </w:r>
    </w:p>
    <w:p w14:paraId="391A9839">
      <w:pPr>
        <w:ind w:firstLine="640" w:firstLineChars="200"/>
        <w:rPr>
          <w:rFonts w:ascii="仿宋_GB2312" w:hAnsi="Calibri" w:eastAsia="仿宋_GB2312" w:cs="仿宋"/>
          <w:kern w:val="0"/>
          <w:sz w:val="32"/>
          <w:szCs w:val="32"/>
        </w:rPr>
      </w:pPr>
      <w:r>
        <w:rPr>
          <w:rFonts w:hint="eastAsia" w:ascii="仿宋_GB2312" w:hAnsi="Calibri" w:eastAsia="仿宋_GB2312" w:cs="仿宋"/>
          <w:kern w:val="0"/>
          <w:sz w:val="32"/>
          <w:szCs w:val="32"/>
        </w:rPr>
        <w:t>12. 社会保障和就业（208）抚恤（08）死亡抚恤（01）：反映按规定用于烈士和牺牲、病故人员家属的一次性和定期抚恤金以及丧葬补助费。</w:t>
      </w:r>
    </w:p>
    <w:p w14:paraId="7A4139B3">
      <w:pPr>
        <w:ind w:firstLine="640" w:firstLineChars="200"/>
      </w:pPr>
      <w:r>
        <w:rPr>
          <w:rFonts w:hint="eastAsia" w:ascii="仿宋_GB2312" w:hAnsi="Calibri" w:eastAsia="仿宋_GB2312" w:cs="仿宋"/>
          <w:kern w:val="0"/>
          <w:sz w:val="32"/>
          <w:szCs w:val="32"/>
        </w:rPr>
        <w:t xml:space="preserve">13. </w:t>
      </w:r>
      <w:r>
        <w:rPr>
          <w:rFonts w:hint="eastAsia" w:ascii="仿宋" w:hAnsi="仿宋" w:eastAsia="仿宋"/>
          <w:sz w:val="32"/>
          <w:szCs w:val="32"/>
        </w:rPr>
        <w:t>卫生健康支出（210）行政事业单位医疗（11）事业单位医疗（02）</w:t>
      </w:r>
      <w:r>
        <w:rPr>
          <w:rFonts w:hint="eastAsia" w:ascii="仿宋_GB2312" w:hAnsi="Calibri" w:eastAsia="仿宋_GB2312" w:cs="仿宋"/>
          <w:kern w:val="0"/>
          <w:sz w:val="32"/>
          <w:szCs w:val="32"/>
        </w:rPr>
        <w:t>：反映财政部门安排的事业单位基本医疗保险缴费经费，未参加医疗保险的事业单位的公费医疗经费，按国家规定享受离休人员待遇的医疗经费。</w:t>
      </w:r>
    </w:p>
    <w:p w14:paraId="212D42FA">
      <w:pPr>
        <w:ind w:firstLine="640" w:firstLineChars="200"/>
        <w:rPr>
          <w:rFonts w:ascii="仿宋_GB2312" w:hAnsi="Calibri" w:eastAsia="仿宋_GB2312" w:cs="仿宋"/>
          <w:kern w:val="0"/>
          <w:sz w:val="32"/>
          <w:szCs w:val="32"/>
        </w:rPr>
      </w:pPr>
      <w:r>
        <w:rPr>
          <w:rFonts w:hint="eastAsia" w:ascii="仿宋_GB2312" w:hAnsi="Calibri" w:eastAsia="仿宋_GB2312" w:cs="仿宋"/>
          <w:kern w:val="0"/>
          <w:sz w:val="32"/>
          <w:szCs w:val="32"/>
        </w:rPr>
        <w:t>14. 住房保障支出（221）住房改革支出（02）住房公积金（01）：反正行政事业单位按人力资源和社会保障部、财政部规定的基本工资和津贴补贴以及规定比例为职工缴纳的住房公积金。</w:t>
      </w:r>
    </w:p>
    <w:p w14:paraId="73231C3F">
      <w:pPr>
        <w:ind w:firstLine="640" w:firstLineChars="200"/>
        <w:rPr>
          <w:rFonts w:ascii="仿宋_GB2312" w:hAnsi="Calibri" w:eastAsia="仿宋_GB2312" w:cs="仿宋"/>
          <w:kern w:val="0"/>
          <w:sz w:val="32"/>
          <w:szCs w:val="32"/>
        </w:rPr>
      </w:pPr>
      <w:r>
        <w:rPr>
          <w:rFonts w:hint="eastAsia" w:ascii="仿宋_GB2312" w:hAnsi="Calibri" w:eastAsia="仿宋_GB2312" w:cs="仿宋"/>
          <w:kern w:val="0"/>
          <w:sz w:val="32"/>
          <w:szCs w:val="32"/>
        </w:rPr>
        <w:t>15.基本支出：指为保障机构正常运转、完成日常工作任务而发生的人员支出和公用支出。</w:t>
      </w:r>
    </w:p>
    <w:p w14:paraId="4916693D">
      <w:pPr>
        <w:ind w:firstLine="640" w:firstLineChars="200"/>
        <w:rPr>
          <w:rFonts w:ascii="仿宋_GB2312" w:hAnsi="Calibri" w:eastAsia="仿宋_GB2312" w:cs="仿宋"/>
          <w:kern w:val="0"/>
          <w:sz w:val="32"/>
          <w:szCs w:val="32"/>
        </w:rPr>
      </w:pPr>
      <w:r>
        <w:rPr>
          <w:rFonts w:hint="eastAsia" w:ascii="仿宋_GB2312" w:hAnsi="Calibri" w:eastAsia="仿宋_GB2312" w:cs="仿宋"/>
          <w:kern w:val="0"/>
          <w:sz w:val="32"/>
          <w:szCs w:val="32"/>
        </w:rPr>
        <w:t xml:space="preserve">16.项目支出：指在基本支出之外为完成特定行政任务和事业发展目标所发生的支出。 </w:t>
      </w:r>
    </w:p>
    <w:p w14:paraId="522FC263">
      <w:pPr>
        <w:ind w:firstLine="640" w:firstLineChars="200"/>
        <w:rPr>
          <w:rFonts w:ascii="仿宋_GB2312" w:hAnsi="Calibri" w:eastAsia="仿宋_GB2312" w:cs="仿宋"/>
          <w:kern w:val="0"/>
          <w:sz w:val="32"/>
          <w:szCs w:val="32"/>
        </w:rPr>
      </w:pPr>
      <w:r>
        <w:rPr>
          <w:rFonts w:hint="eastAsia" w:ascii="仿宋_GB2312" w:hAnsi="Calibri" w:eastAsia="仿宋_GB2312" w:cs="仿宋"/>
          <w:kern w:val="0"/>
          <w:sz w:val="32"/>
          <w:szCs w:val="32"/>
        </w:rPr>
        <w:t>17.经营支出：指事业单位在专业业务活动及其辅助活动之外开展非独立核算经营活动发生的支出。</w:t>
      </w:r>
    </w:p>
    <w:p w14:paraId="0D494F81">
      <w:pPr>
        <w:ind w:firstLine="640" w:firstLineChars="200"/>
        <w:rPr>
          <w:rFonts w:ascii="仿宋_GB2312" w:hAnsi="Calibri" w:eastAsia="仿宋_GB2312" w:cs="仿宋"/>
          <w:kern w:val="0"/>
          <w:sz w:val="32"/>
          <w:szCs w:val="32"/>
        </w:rPr>
      </w:pPr>
      <w:r>
        <w:rPr>
          <w:rFonts w:hint="eastAsia" w:ascii="仿宋_GB2312" w:hAnsi="Calibri" w:eastAsia="仿宋_GB2312" w:cs="仿宋"/>
          <w:kern w:val="0"/>
          <w:sz w:val="32"/>
          <w:szCs w:val="32"/>
        </w:rPr>
        <w:t>18.“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69CCBF3B">
      <w:pPr>
        <w:spacing w:line="600" w:lineRule="exact"/>
        <w:ind w:firstLine="640"/>
        <w:rPr>
          <w:rFonts w:ascii="仿宋_GB2312" w:hAnsi="Calibri" w:eastAsia="仿宋_GB2312" w:cs="仿宋"/>
          <w:kern w:val="0"/>
          <w:sz w:val="32"/>
          <w:szCs w:val="32"/>
        </w:rPr>
      </w:pPr>
      <w:r>
        <w:rPr>
          <w:rFonts w:hint="eastAsia" w:ascii="仿宋_GB2312" w:hAnsi="Calibri" w:eastAsia="仿宋_GB2312" w:cs="仿宋"/>
          <w:kern w:val="0"/>
          <w:sz w:val="32"/>
          <w:szCs w:val="32"/>
        </w:rPr>
        <w:t>19.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bookmarkStart w:id="69" w:name="_Toc15377226"/>
      <w:bookmarkStart w:id="70" w:name="_Toc15396618"/>
      <w:bookmarkStart w:id="71" w:name="_Toc25087"/>
    </w:p>
    <w:p w14:paraId="6C747291">
      <w:pPr>
        <w:spacing w:line="600" w:lineRule="exact"/>
        <w:ind w:firstLine="640"/>
        <w:rPr>
          <w:rFonts w:ascii="仿宋_GB2312" w:hAnsi="Calibri" w:eastAsia="仿宋_GB2312" w:cs="仿宋"/>
          <w:kern w:val="0"/>
          <w:sz w:val="32"/>
          <w:szCs w:val="32"/>
        </w:rPr>
      </w:pPr>
    </w:p>
    <w:p w14:paraId="6CA8FAD6">
      <w:pPr>
        <w:spacing w:line="600" w:lineRule="exact"/>
        <w:ind w:firstLine="640"/>
        <w:rPr>
          <w:rFonts w:ascii="仿宋_GB2312" w:hAnsi="Calibri" w:eastAsia="仿宋_GB2312" w:cs="仿宋"/>
          <w:kern w:val="0"/>
          <w:sz w:val="32"/>
          <w:szCs w:val="32"/>
        </w:rPr>
      </w:pPr>
    </w:p>
    <w:p w14:paraId="5CBC11AC">
      <w:pPr>
        <w:rPr>
          <w:rFonts w:ascii="仿宋_GB2312" w:hAnsi="Calibri" w:eastAsia="仿宋_GB2312" w:cs="仿宋"/>
          <w:kern w:val="0"/>
          <w:sz w:val="32"/>
          <w:szCs w:val="32"/>
        </w:rPr>
      </w:pPr>
    </w:p>
    <w:p w14:paraId="144F2BC1">
      <w:pPr>
        <w:spacing w:line="600" w:lineRule="exact"/>
        <w:ind w:firstLine="640"/>
        <w:rPr>
          <w:rFonts w:ascii="仿宋_GB2312" w:hAnsi="Calibri" w:eastAsia="仿宋_GB2312" w:cs="仿宋"/>
          <w:kern w:val="0"/>
          <w:sz w:val="32"/>
          <w:szCs w:val="32"/>
        </w:rPr>
      </w:pPr>
    </w:p>
    <w:p w14:paraId="65122082">
      <w:pPr>
        <w:spacing w:line="600" w:lineRule="exact"/>
        <w:ind w:firstLine="640"/>
        <w:rPr>
          <w:rFonts w:ascii="仿宋_GB2312" w:hAnsi="Calibri" w:eastAsia="仿宋_GB2312" w:cs="仿宋"/>
          <w:kern w:val="0"/>
          <w:sz w:val="32"/>
          <w:szCs w:val="32"/>
        </w:rPr>
        <w:sectPr>
          <w:footerReference r:id="rId7" w:type="first"/>
          <w:footerReference r:id="rId6" w:type="default"/>
          <w:pgSz w:w="11906" w:h="16838"/>
          <w:pgMar w:top="1440" w:right="1803" w:bottom="1440" w:left="1803" w:header="851" w:footer="992" w:gutter="0"/>
          <w:cols w:space="0" w:num="1"/>
          <w:titlePg/>
          <w:docGrid w:type="lines" w:linePitch="319" w:charSpace="0"/>
        </w:sectPr>
      </w:pPr>
    </w:p>
    <w:p w14:paraId="7BF86349">
      <w:pPr>
        <w:numPr>
          <w:ilvl w:val="0"/>
          <w:numId w:val="4"/>
        </w:numPr>
        <w:spacing w:line="600" w:lineRule="exact"/>
        <w:ind w:firstLine="660" w:firstLineChars="150"/>
        <w:jc w:val="center"/>
        <w:outlineLvl w:val="0"/>
      </w:pPr>
      <w:r>
        <w:rPr>
          <w:rStyle w:val="25"/>
          <w:rFonts w:hint="eastAsia" w:ascii="黑体" w:hAnsi="黑体" w:eastAsia="黑体"/>
          <w:b w:val="0"/>
        </w:rPr>
        <w:t>附件</w:t>
      </w:r>
      <w:bookmarkEnd w:id="69"/>
      <w:bookmarkEnd w:id="70"/>
      <w:bookmarkEnd w:id="71"/>
      <w:bookmarkStart w:id="72" w:name="_Toc31790"/>
    </w:p>
    <w:tbl>
      <w:tblPr>
        <w:tblStyle w:val="12"/>
        <w:tblpPr w:leftFromText="180" w:rightFromText="180" w:vertAnchor="text" w:horzAnchor="page" w:tblpX="2821" w:tblpY="334"/>
        <w:tblOverlap w:val="never"/>
        <w:tblW w:w="11406" w:type="dxa"/>
        <w:tblInd w:w="0" w:type="dxa"/>
        <w:tblLayout w:type="fixed"/>
        <w:tblCellMar>
          <w:top w:w="0" w:type="dxa"/>
          <w:left w:w="108" w:type="dxa"/>
          <w:bottom w:w="0" w:type="dxa"/>
          <w:right w:w="108" w:type="dxa"/>
        </w:tblCellMar>
      </w:tblPr>
      <w:tblGrid>
        <w:gridCol w:w="2315"/>
        <w:gridCol w:w="1076"/>
        <w:gridCol w:w="1134"/>
        <w:gridCol w:w="1985"/>
        <w:gridCol w:w="326"/>
        <w:gridCol w:w="524"/>
        <w:gridCol w:w="851"/>
        <w:gridCol w:w="850"/>
        <w:gridCol w:w="426"/>
        <w:gridCol w:w="1919"/>
      </w:tblGrid>
      <w:tr w14:paraId="2B28EECE">
        <w:tblPrEx>
          <w:tblCellMar>
            <w:top w:w="0" w:type="dxa"/>
            <w:left w:w="108" w:type="dxa"/>
            <w:bottom w:w="0" w:type="dxa"/>
            <w:right w:w="108" w:type="dxa"/>
          </w:tblCellMar>
        </w:tblPrEx>
        <w:trPr>
          <w:trHeight w:val="904" w:hRule="atLeast"/>
        </w:trPr>
        <w:tc>
          <w:tcPr>
            <w:tcW w:w="11406" w:type="dxa"/>
            <w:gridSpan w:val="10"/>
            <w:tcBorders>
              <w:top w:val="nil"/>
              <w:left w:val="nil"/>
              <w:bottom w:val="nil"/>
              <w:right w:val="nil"/>
            </w:tcBorders>
            <w:vAlign w:val="center"/>
          </w:tcPr>
          <w:p w14:paraId="186BD594">
            <w:pPr>
              <w:widowControl/>
              <w:jc w:val="center"/>
              <w:rPr>
                <w:rFonts w:ascii="黑体" w:hAnsi="黑体" w:eastAsia="黑体" w:cs="宋体"/>
                <w:color w:val="000000"/>
                <w:kern w:val="0"/>
                <w:sz w:val="30"/>
                <w:szCs w:val="30"/>
              </w:rPr>
            </w:pPr>
            <w:bookmarkStart w:id="73" w:name="_Hlk180745844"/>
            <w:r>
              <w:rPr>
                <w:rFonts w:hint="eastAsia" w:ascii="黑体" w:hAnsi="黑体" w:eastAsia="黑体" w:cs="宋体"/>
                <w:color w:val="000000"/>
                <w:kern w:val="0"/>
                <w:sz w:val="30"/>
                <w:szCs w:val="30"/>
              </w:rPr>
              <w:t>部门整体支出绩效目标</w:t>
            </w:r>
            <w:r>
              <w:rPr>
                <w:rFonts w:ascii="黑体" w:hAnsi="黑体" w:eastAsia="黑体" w:cs="宋体"/>
                <w:color w:val="000000"/>
                <w:kern w:val="0"/>
                <w:sz w:val="30"/>
                <w:szCs w:val="30"/>
              </w:rPr>
              <w:t>完成情况自评表</w:t>
            </w:r>
          </w:p>
        </w:tc>
      </w:tr>
      <w:tr w14:paraId="2FE638B8">
        <w:tblPrEx>
          <w:tblCellMar>
            <w:top w:w="0" w:type="dxa"/>
            <w:left w:w="108" w:type="dxa"/>
            <w:bottom w:w="0" w:type="dxa"/>
            <w:right w:w="108" w:type="dxa"/>
          </w:tblCellMar>
        </w:tblPrEx>
        <w:trPr>
          <w:trHeight w:val="285" w:hRule="atLeast"/>
        </w:trPr>
        <w:tc>
          <w:tcPr>
            <w:tcW w:w="11406" w:type="dxa"/>
            <w:gridSpan w:val="10"/>
            <w:tcBorders>
              <w:top w:val="nil"/>
              <w:left w:val="nil"/>
              <w:bottom w:val="nil"/>
              <w:right w:val="nil"/>
            </w:tcBorders>
            <w:vAlign w:val="center"/>
          </w:tcPr>
          <w:p w14:paraId="4AE0C918">
            <w:pPr>
              <w:widowControl/>
              <w:jc w:val="center"/>
              <w:rPr>
                <w:rFonts w:ascii="宋体" w:hAnsi="宋体" w:cs="宋体"/>
                <w:color w:val="000000"/>
                <w:kern w:val="0"/>
                <w:sz w:val="18"/>
                <w:szCs w:val="18"/>
              </w:rPr>
            </w:pPr>
            <w:r>
              <w:rPr>
                <w:rFonts w:hint="eastAsia" w:ascii="宋体" w:hAnsi="宋体" w:cs="宋体"/>
                <w:color w:val="000000"/>
                <w:kern w:val="0"/>
                <w:sz w:val="18"/>
                <w:szCs w:val="18"/>
              </w:rPr>
              <w:t>（2023年度）</w:t>
            </w:r>
          </w:p>
        </w:tc>
      </w:tr>
      <w:tr w14:paraId="6E87C020">
        <w:tblPrEx>
          <w:tblCellMar>
            <w:top w:w="0" w:type="dxa"/>
            <w:left w:w="108" w:type="dxa"/>
            <w:bottom w:w="0" w:type="dxa"/>
            <w:right w:w="108" w:type="dxa"/>
          </w:tblCellMar>
        </w:tblPrEx>
        <w:trPr>
          <w:trHeight w:val="285" w:hRule="atLeast"/>
        </w:trPr>
        <w:tc>
          <w:tcPr>
            <w:tcW w:w="11406" w:type="dxa"/>
            <w:gridSpan w:val="10"/>
            <w:tcBorders>
              <w:top w:val="nil"/>
              <w:left w:val="nil"/>
              <w:bottom w:val="single" w:color="000000" w:sz="4" w:space="0"/>
              <w:right w:val="nil"/>
            </w:tcBorders>
            <w:vAlign w:val="center"/>
          </w:tcPr>
          <w:p w14:paraId="09377093">
            <w:pPr>
              <w:widowControl/>
              <w:jc w:val="right"/>
              <w:rPr>
                <w:rFonts w:ascii="宋体" w:hAnsi="宋体" w:cs="宋体"/>
                <w:color w:val="000000"/>
                <w:kern w:val="0"/>
                <w:sz w:val="18"/>
                <w:szCs w:val="18"/>
              </w:rPr>
            </w:pPr>
            <w:r>
              <w:rPr>
                <w:rFonts w:hint="eastAsia" w:ascii="宋体" w:hAnsi="宋体" w:cs="宋体"/>
                <w:color w:val="000000"/>
                <w:kern w:val="0"/>
                <w:sz w:val="18"/>
                <w:szCs w:val="18"/>
              </w:rPr>
              <w:t>单位：万元</w:t>
            </w:r>
          </w:p>
        </w:tc>
      </w:tr>
      <w:tr w14:paraId="683C44C1">
        <w:tblPrEx>
          <w:tblCellMar>
            <w:top w:w="0" w:type="dxa"/>
            <w:left w:w="108" w:type="dxa"/>
            <w:bottom w:w="0" w:type="dxa"/>
            <w:right w:w="108" w:type="dxa"/>
          </w:tblCellMar>
        </w:tblPrEx>
        <w:trPr>
          <w:trHeight w:val="570" w:hRule="atLeast"/>
        </w:trPr>
        <w:tc>
          <w:tcPr>
            <w:tcW w:w="3391" w:type="dxa"/>
            <w:gridSpan w:val="2"/>
            <w:tcBorders>
              <w:top w:val="single" w:color="000000" w:sz="4" w:space="0"/>
              <w:left w:val="single" w:color="000000" w:sz="4" w:space="0"/>
              <w:bottom w:val="single" w:color="000000" w:sz="4" w:space="0"/>
              <w:right w:val="single" w:color="000000" w:sz="4" w:space="0"/>
            </w:tcBorders>
            <w:vAlign w:val="center"/>
          </w:tcPr>
          <w:p w14:paraId="198F964C">
            <w:pPr>
              <w:widowControl/>
              <w:jc w:val="center"/>
              <w:rPr>
                <w:rFonts w:ascii="宋体" w:hAnsi="宋体" w:cs="宋体"/>
                <w:color w:val="000000"/>
                <w:kern w:val="0"/>
                <w:sz w:val="18"/>
                <w:szCs w:val="18"/>
              </w:rPr>
            </w:pPr>
            <w:r>
              <w:rPr>
                <w:rFonts w:hint="eastAsia" w:ascii="宋体" w:hAnsi="宋体" w:cs="宋体"/>
                <w:color w:val="000000"/>
                <w:kern w:val="0"/>
                <w:sz w:val="18"/>
                <w:szCs w:val="18"/>
              </w:rPr>
              <w:t>部门名称</w:t>
            </w:r>
          </w:p>
        </w:tc>
        <w:tc>
          <w:tcPr>
            <w:tcW w:w="8015" w:type="dxa"/>
            <w:gridSpan w:val="8"/>
            <w:tcBorders>
              <w:top w:val="single" w:color="000000" w:sz="4" w:space="0"/>
              <w:left w:val="nil"/>
              <w:bottom w:val="single" w:color="000000" w:sz="4" w:space="0"/>
              <w:right w:val="single" w:color="000000" w:sz="4" w:space="0"/>
            </w:tcBorders>
            <w:vAlign w:val="center"/>
          </w:tcPr>
          <w:p w14:paraId="61F4C523">
            <w:pPr>
              <w:widowControl/>
              <w:jc w:val="center"/>
              <w:rPr>
                <w:rFonts w:ascii="宋体" w:hAnsi="宋体" w:cs="宋体"/>
                <w:color w:val="000000"/>
                <w:kern w:val="0"/>
                <w:sz w:val="18"/>
                <w:szCs w:val="18"/>
              </w:rPr>
            </w:pPr>
            <w:r>
              <w:rPr>
                <w:rFonts w:hint="eastAsia" w:asciiTheme="minorEastAsia" w:hAnsiTheme="minorEastAsia" w:eastAsiaTheme="minorEastAsia"/>
                <w:color w:val="000000"/>
                <w:sz w:val="18"/>
                <w:szCs w:val="18"/>
                <w:shd w:val="clear" w:color="auto" w:fill="FFFFFF"/>
              </w:rPr>
              <w:t>大竹县</w:t>
            </w:r>
            <w:r>
              <w:rPr>
                <w:rFonts w:hint="eastAsia" w:asciiTheme="minorEastAsia" w:hAnsiTheme="minorEastAsia" w:eastAsiaTheme="minorEastAsia"/>
                <w:color w:val="000000"/>
                <w:kern w:val="0"/>
                <w:sz w:val="18"/>
                <w:szCs w:val="18"/>
              </w:rPr>
              <w:t>清水镇中心小学</w:t>
            </w:r>
          </w:p>
        </w:tc>
      </w:tr>
      <w:tr w14:paraId="39E41241">
        <w:tblPrEx>
          <w:tblCellMar>
            <w:top w:w="0" w:type="dxa"/>
            <w:left w:w="108" w:type="dxa"/>
            <w:bottom w:w="0" w:type="dxa"/>
            <w:right w:w="108" w:type="dxa"/>
          </w:tblCellMar>
        </w:tblPrEx>
        <w:trPr>
          <w:trHeight w:val="570" w:hRule="atLeast"/>
        </w:trPr>
        <w:tc>
          <w:tcPr>
            <w:tcW w:w="2315" w:type="dxa"/>
            <w:vMerge w:val="restart"/>
            <w:tcBorders>
              <w:top w:val="nil"/>
              <w:left w:val="single" w:color="000000" w:sz="4" w:space="0"/>
              <w:bottom w:val="single" w:color="000000" w:sz="4" w:space="0"/>
              <w:right w:val="single" w:color="000000" w:sz="4" w:space="0"/>
            </w:tcBorders>
            <w:vAlign w:val="center"/>
          </w:tcPr>
          <w:p w14:paraId="613BC26B">
            <w:pPr>
              <w:widowControl/>
              <w:jc w:val="center"/>
              <w:rPr>
                <w:rFonts w:ascii="宋体" w:hAnsi="宋体" w:cs="宋体"/>
                <w:color w:val="000000"/>
                <w:kern w:val="0"/>
                <w:sz w:val="18"/>
                <w:szCs w:val="18"/>
              </w:rPr>
            </w:pPr>
            <w:r>
              <w:rPr>
                <w:rFonts w:hint="eastAsia" w:ascii="宋体" w:hAnsi="宋体" w:cs="宋体"/>
                <w:color w:val="000000"/>
                <w:kern w:val="0"/>
                <w:sz w:val="18"/>
                <w:szCs w:val="18"/>
              </w:rPr>
              <w:t>年度部门整体支出预算</w:t>
            </w:r>
          </w:p>
        </w:tc>
        <w:tc>
          <w:tcPr>
            <w:tcW w:w="1076" w:type="dxa"/>
            <w:tcBorders>
              <w:top w:val="single" w:color="000000" w:sz="4" w:space="0"/>
              <w:left w:val="nil"/>
              <w:bottom w:val="single" w:color="000000" w:sz="4" w:space="0"/>
              <w:right w:val="single" w:color="000000" w:sz="4" w:space="0"/>
            </w:tcBorders>
            <w:vAlign w:val="center"/>
          </w:tcPr>
          <w:p w14:paraId="4E001011">
            <w:pPr>
              <w:widowControl/>
              <w:jc w:val="center"/>
              <w:rPr>
                <w:rFonts w:ascii="宋体" w:hAnsi="宋体" w:cs="宋体"/>
                <w:color w:val="000000"/>
                <w:kern w:val="0"/>
                <w:sz w:val="18"/>
                <w:szCs w:val="18"/>
              </w:rPr>
            </w:pPr>
            <w:r>
              <w:rPr>
                <w:rFonts w:hint="eastAsia" w:ascii="宋体" w:hAnsi="宋体" w:cs="宋体"/>
                <w:color w:val="000000"/>
                <w:kern w:val="0"/>
                <w:sz w:val="18"/>
                <w:szCs w:val="18"/>
              </w:rPr>
              <w:t>资金总额</w:t>
            </w:r>
          </w:p>
        </w:tc>
        <w:tc>
          <w:tcPr>
            <w:tcW w:w="3445" w:type="dxa"/>
            <w:gridSpan w:val="3"/>
            <w:tcBorders>
              <w:top w:val="single" w:color="000000" w:sz="4" w:space="0"/>
              <w:left w:val="nil"/>
              <w:bottom w:val="single" w:color="000000" w:sz="4" w:space="0"/>
              <w:right w:val="single" w:color="000000" w:sz="4" w:space="0"/>
            </w:tcBorders>
            <w:vAlign w:val="center"/>
          </w:tcPr>
          <w:p w14:paraId="7F8669B7">
            <w:pPr>
              <w:widowControl/>
              <w:jc w:val="center"/>
              <w:rPr>
                <w:rFonts w:ascii="宋体" w:hAnsi="宋体" w:cs="宋体"/>
                <w:color w:val="000000"/>
                <w:kern w:val="0"/>
                <w:sz w:val="18"/>
                <w:szCs w:val="18"/>
              </w:rPr>
            </w:pPr>
            <w:r>
              <w:rPr>
                <w:rFonts w:hint="eastAsia" w:ascii="宋体" w:hAnsi="宋体" w:cs="宋体"/>
                <w:color w:val="000000"/>
                <w:kern w:val="0"/>
                <w:sz w:val="18"/>
                <w:szCs w:val="18"/>
              </w:rPr>
              <w:t>财政拨款</w:t>
            </w:r>
          </w:p>
        </w:tc>
        <w:tc>
          <w:tcPr>
            <w:tcW w:w="4570" w:type="dxa"/>
            <w:gridSpan w:val="5"/>
            <w:tcBorders>
              <w:top w:val="single" w:color="000000" w:sz="4" w:space="0"/>
              <w:left w:val="nil"/>
              <w:bottom w:val="single" w:color="000000" w:sz="4" w:space="0"/>
              <w:right w:val="single" w:color="000000" w:sz="4" w:space="0"/>
            </w:tcBorders>
            <w:vAlign w:val="center"/>
          </w:tcPr>
          <w:p w14:paraId="0777F411">
            <w:pPr>
              <w:widowControl/>
              <w:jc w:val="center"/>
              <w:rPr>
                <w:rFonts w:ascii="宋体" w:hAnsi="宋体" w:cs="宋体"/>
                <w:color w:val="000000"/>
                <w:kern w:val="0"/>
                <w:sz w:val="18"/>
                <w:szCs w:val="18"/>
              </w:rPr>
            </w:pPr>
            <w:r>
              <w:rPr>
                <w:rFonts w:hint="eastAsia" w:ascii="宋体" w:hAnsi="宋体" w:cs="宋体"/>
                <w:color w:val="000000"/>
                <w:kern w:val="0"/>
                <w:sz w:val="18"/>
                <w:szCs w:val="18"/>
              </w:rPr>
              <w:t>其他资金</w:t>
            </w:r>
          </w:p>
        </w:tc>
      </w:tr>
      <w:tr w14:paraId="2224822A">
        <w:tblPrEx>
          <w:tblCellMar>
            <w:top w:w="0" w:type="dxa"/>
            <w:left w:w="108" w:type="dxa"/>
            <w:bottom w:w="0" w:type="dxa"/>
            <w:right w:w="108" w:type="dxa"/>
          </w:tblCellMar>
        </w:tblPrEx>
        <w:trPr>
          <w:trHeight w:val="570" w:hRule="atLeast"/>
        </w:trPr>
        <w:tc>
          <w:tcPr>
            <w:tcW w:w="2315" w:type="dxa"/>
            <w:vMerge w:val="continue"/>
            <w:tcBorders>
              <w:top w:val="nil"/>
              <w:left w:val="single" w:color="000000" w:sz="4" w:space="0"/>
              <w:bottom w:val="single" w:color="000000" w:sz="4" w:space="0"/>
              <w:right w:val="single" w:color="000000" w:sz="4" w:space="0"/>
            </w:tcBorders>
            <w:vAlign w:val="center"/>
          </w:tcPr>
          <w:p w14:paraId="0FA31946">
            <w:pPr>
              <w:widowControl/>
              <w:jc w:val="left"/>
              <w:rPr>
                <w:rFonts w:ascii="宋体" w:hAnsi="宋体" w:cs="宋体"/>
                <w:color w:val="000000"/>
                <w:kern w:val="0"/>
                <w:sz w:val="18"/>
                <w:szCs w:val="18"/>
              </w:rPr>
            </w:pPr>
          </w:p>
        </w:tc>
        <w:tc>
          <w:tcPr>
            <w:tcW w:w="1076" w:type="dxa"/>
            <w:tcBorders>
              <w:top w:val="single" w:color="000000" w:sz="4" w:space="0"/>
              <w:left w:val="nil"/>
              <w:bottom w:val="single" w:color="000000" w:sz="4" w:space="0"/>
              <w:right w:val="single" w:color="000000" w:sz="4" w:space="0"/>
            </w:tcBorders>
            <w:vAlign w:val="center"/>
          </w:tcPr>
          <w:p w14:paraId="6E3360EE">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cs="宋体"/>
                <w:color w:val="000000"/>
                <w:sz w:val="18"/>
                <w:szCs w:val="18"/>
              </w:rPr>
              <w:t>2409.2</w:t>
            </w:r>
            <w:r>
              <w:rPr>
                <w:rFonts w:hint="eastAsia" w:ascii="宋体" w:hAnsi="宋体" w:cs="宋体"/>
                <w:color w:val="000000"/>
                <w:sz w:val="18"/>
                <w:szCs w:val="18"/>
                <w:lang w:val="en-US" w:eastAsia="zh-CN"/>
              </w:rPr>
              <w:t>7</w:t>
            </w:r>
          </w:p>
        </w:tc>
        <w:tc>
          <w:tcPr>
            <w:tcW w:w="3445" w:type="dxa"/>
            <w:gridSpan w:val="3"/>
            <w:tcBorders>
              <w:top w:val="single" w:color="000000" w:sz="4" w:space="0"/>
              <w:left w:val="nil"/>
              <w:bottom w:val="single" w:color="000000" w:sz="4" w:space="0"/>
              <w:right w:val="single" w:color="000000" w:sz="4" w:space="0"/>
            </w:tcBorders>
            <w:vAlign w:val="center"/>
          </w:tcPr>
          <w:p w14:paraId="2192BD4F">
            <w:pPr>
              <w:widowControl/>
              <w:jc w:val="center"/>
              <w:textAlignment w:val="center"/>
              <w:rPr>
                <w:rFonts w:hint="eastAsia" w:ascii="宋体" w:hAnsi="宋体" w:cs="宋体" w:eastAsiaTheme="minorEastAsia"/>
                <w:color w:val="000000"/>
                <w:kern w:val="0"/>
                <w:sz w:val="18"/>
                <w:szCs w:val="18"/>
                <w:lang w:val="en-US" w:eastAsia="zh-CN"/>
              </w:rPr>
            </w:pPr>
            <w:r>
              <w:rPr>
                <w:rFonts w:hint="eastAsia" w:asciiTheme="minorEastAsia" w:hAnsiTheme="minorEastAsia" w:eastAsiaTheme="minorEastAsia"/>
                <w:color w:val="000000"/>
                <w:sz w:val="18"/>
                <w:szCs w:val="18"/>
              </w:rPr>
              <w:t>2409.2</w:t>
            </w:r>
            <w:r>
              <w:rPr>
                <w:rFonts w:hint="eastAsia" w:asciiTheme="minorEastAsia" w:hAnsiTheme="minorEastAsia" w:eastAsiaTheme="minorEastAsia"/>
                <w:color w:val="000000"/>
                <w:sz w:val="18"/>
                <w:szCs w:val="18"/>
                <w:lang w:val="en-US" w:eastAsia="zh-CN"/>
              </w:rPr>
              <w:t>7</w:t>
            </w:r>
          </w:p>
        </w:tc>
        <w:tc>
          <w:tcPr>
            <w:tcW w:w="4570" w:type="dxa"/>
            <w:gridSpan w:val="5"/>
            <w:tcBorders>
              <w:top w:val="single" w:color="000000" w:sz="4" w:space="0"/>
              <w:left w:val="nil"/>
              <w:bottom w:val="single" w:color="000000" w:sz="4" w:space="0"/>
              <w:right w:val="single" w:color="000000" w:sz="4" w:space="0"/>
            </w:tcBorders>
            <w:vAlign w:val="center"/>
          </w:tcPr>
          <w:p w14:paraId="0EC80536">
            <w:pPr>
              <w:widowControl/>
              <w:jc w:val="center"/>
              <w:textAlignment w:val="center"/>
              <w:rPr>
                <w:rFonts w:ascii="宋体" w:hAnsi="宋体" w:cs="宋体"/>
                <w:color w:val="000000"/>
                <w:kern w:val="0"/>
                <w:sz w:val="18"/>
                <w:szCs w:val="18"/>
              </w:rPr>
            </w:pPr>
            <w:bookmarkStart w:id="100" w:name="_GoBack"/>
            <w:bookmarkEnd w:id="100"/>
            <w:r>
              <w:rPr>
                <w:rFonts w:ascii="宋体" w:hAnsi="宋体" w:cs="宋体"/>
                <w:color w:val="000000"/>
                <w:kern w:val="0"/>
                <w:sz w:val="18"/>
                <w:szCs w:val="18"/>
              </w:rPr>
              <w:t>0.00</w:t>
            </w:r>
          </w:p>
        </w:tc>
      </w:tr>
      <w:tr w14:paraId="73A2DBE9">
        <w:tblPrEx>
          <w:tblCellMar>
            <w:top w:w="0" w:type="dxa"/>
            <w:left w:w="108" w:type="dxa"/>
            <w:bottom w:w="0" w:type="dxa"/>
            <w:right w:w="108" w:type="dxa"/>
          </w:tblCellMar>
        </w:tblPrEx>
        <w:trPr>
          <w:trHeight w:val="1144" w:hRule="atLeast"/>
        </w:trPr>
        <w:tc>
          <w:tcPr>
            <w:tcW w:w="2315" w:type="dxa"/>
            <w:tcBorders>
              <w:top w:val="nil"/>
              <w:left w:val="single" w:color="000000" w:sz="4" w:space="0"/>
              <w:bottom w:val="single" w:color="000000" w:sz="4" w:space="0"/>
              <w:right w:val="single" w:color="000000" w:sz="4" w:space="0"/>
            </w:tcBorders>
            <w:vAlign w:val="center"/>
          </w:tcPr>
          <w:p w14:paraId="351C16D2">
            <w:pPr>
              <w:widowControl/>
              <w:jc w:val="center"/>
              <w:rPr>
                <w:rFonts w:ascii="宋体" w:hAnsi="宋体" w:cs="宋体"/>
                <w:color w:val="000000"/>
                <w:kern w:val="0"/>
                <w:sz w:val="18"/>
                <w:szCs w:val="18"/>
              </w:rPr>
            </w:pPr>
            <w:r>
              <w:rPr>
                <w:rFonts w:hint="eastAsia" w:ascii="宋体" w:hAnsi="宋体" w:cs="宋体"/>
                <w:color w:val="000000"/>
                <w:kern w:val="0"/>
                <w:sz w:val="18"/>
                <w:szCs w:val="18"/>
              </w:rPr>
              <w:t>年度总体目标</w:t>
            </w:r>
          </w:p>
        </w:tc>
        <w:tc>
          <w:tcPr>
            <w:tcW w:w="9091" w:type="dxa"/>
            <w:gridSpan w:val="9"/>
            <w:tcBorders>
              <w:top w:val="single" w:color="000000" w:sz="4" w:space="0"/>
              <w:left w:val="nil"/>
              <w:bottom w:val="single" w:color="000000" w:sz="4" w:space="0"/>
              <w:right w:val="single" w:color="000000" w:sz="4" w:space="0"/>
            </w:tcBorders>
            <w:vAlign w:val="center"/>
          </w:tcPr>
          <w:p w14:paraId="6AB34503">
            <w:pPr>
              <w:widowControl/>
              <w:jc w:val="left"/>
              <w:rPr>
                <w:rFonts w:ascii="宋体" w:hAnsi="宋体" w:cs="宋体"/>
                <w:color w:val="000000"/>
                <w:kern w:val="0"/>
                <w:sz w:val="18"/>
                <w:szCs w:val="18"/>
              </w:rPr>
            </w:pPr>
            <w:r>
              <w:rPr>
                <w:rFonts w:ascii="宋体" w:hAnsi="宋体" w:cs="宋体"/>
                <w:color w:val="000000"/>
                <w:kern w:val="0"/>
                <w:sz w:val="18"/>
                <w:szCs w:val="18"/>
              </w:rPr>
              <w:t>保障在职</w:t>
            </w:r>
            <w:r>
              <w:rPr>
                <w:rFonts w:hint="eastAsia" w:ascii="宋体" w:hAnsi="宋体" w:cs="宋体"/>
                <w:color w:val="000000"/>
                <w:kern w:val="0"/>
                <w:sz w:val="18"/>
                <w:szCs w:val="18"/>
              </w:rPr>
              <w:t>109</w:t>
            </w:r>
            <w:r>
              <w:rPr>
                <w:rFonts w:ascii="宋体" w:hAnsi="宋体" w:cs="宋体"/>
                <w:color w:val="000000"/>
                <w:kern w:val="0"/>
                <w:sz w:val="18"/>
                <w:szCs w:val="18"/>
              </w:rPr>
              <w:t>人，退休</w:t>
            </w:r>
            <w:r>
              <w:rPr>
                <w:rFonts w:hint="eastAsia" w:ascii="宋体" w:hAnsi="宋体" w:cs="宋体"/>
                <w:color w:val="000000"/>
                <w:kern w:val="0"/>
                <w:sz w:val="18"/>
                <w:szCs w:val="18"/>
              </w:rPr>
              <w:t>128</w:t>
            </w:r>
            <w:r>
              <w:rPr>
                <w:rFonts w:ascii="宋体" w:hAnsi="宋体" w:cs="宋体"/>
                <w:color w:val="000000"/>
                <w:kern w:val="0"/>
                <w:sz w:val="18"/>
                <w:szCs w:val="18"/>
              </w:rPr>
              <w:t>人，遗属</w:t>
            </w:r>
            <w:r>
              <w:rPr>
                <w:rFonts w:hint="eastAsia" w:ascii="宋体" w:hAnsi="宋体" w:cs="宋体"/>
                <w:color w:val="000000"/>
                <w:kern w:val="0"/>
                <w:sz w:val="18"/>
                <w:szCs w:val="18"/>
              </w:rPr>
              <w:t>15</w:t>
            </w:r>
            <w:r>
              <w:rPr>
                <w:rFonts w:ascii="宋体" w:hAnsi="宋体" w:cs="宋体"/>
                <w:color w:val="000000"/>
                <w:kern w:val="0"/>
                <w:sz w:val="18"/>
                <w:szCs w:val="18"/>
              </w:rPr>
              <w:t>人的正常经费运转；坚决执行党和国家的教育方针政策，尤其关注留守儿童，残疾学生的成长和教育；管好用好国家的教育资金，改善和优化农村的办学条件；把教育教学质量放在首位，提高教师从教的幸福感，办人民满意的素质教育。</w:t>
            </w:r>
          </w:p>
        </w:tc>
      </w:tr>
      <w:tr w14:paraId="6176182D">
        <w:tblPrEx>
          <w:tblCellMar>
            <w:top w:w="0" w:type="dxa"/>
            <w:left w:w="108" w:type="dxa"/>
            <w:bottom w:w="0" w:type="dxa"/>
            <w:right w:w="108" w:type="dxa"/>
          </w:tblCellMar>
        </w:tblPrEx>
        <w:trPr>
          <w:trHeight w:val="570" w:hRule="atLeast"/>
        </w:trPr>
        <w:tc>
          <w:tcPr>
            <w:tcW w:w="2315" w:type="dxa"/>
            <w:vMerge w:val="restart"/>
            <w:tcBorders>
              <w:top w:val="nil"/>
              <w:left w:val="single" w:color="000000" w:sz="4" w:space="0"/>
              <w:bottom w:val="single" w:color="000000" w:sz="4" w:space="0"/>
              <w:right w:val="single" w:color="000000" w:sz="4" w:space="0"/>
            </w:tcBorders>
            <w:vAlign w:val="center"/>
          </w:tcPr>
          <w:p w14:paraId="3DC30376">
            <w:pPr>
              <w:widowControl/>
              <w:jc w:val="center"/>
              <w:rPr>
                <w:rFonts w:ascii="宋体" w:hAnsi="宋体" w:cs="宋体"/>
                <w:color w:val="000000"/>
                <w:kern w:val="0"/>
                <w:sz w:val="18"/>
                <w:szCs w:val="18"/>
              </w:rPr>
            </w:pPr>
            <w:r>
              <w:rPr>
                <w:rFonts w:hint="eastAsia" w:ascii="宋体" w:hAnsi="宋体" w:cs="宋体"/>
                <w:color w:val="000000"/>
                <w:kern w:val="0"/>
                <w:sz w:val="18"/>
                <w:szCs w:val="18"/>
              </w:rPr>
              <w:t>年度主要任务</w:t>
            </w:r>
          </w:p>
        </w:tc>
        <w:tc>
          <w:tcPr>
            <w:tcW w:w="1076" w:type="dxa"/>
            <w:tcBorders>
              <w:top w:val="single" w:color="000000" w:sz="4" w:space="0"/>
              <w:left w:val="nil"/>
              <w:bottom w:val="single" w:color="000000" w:sz="4" w:space="0"/>
              <w:right w:val="single" w:color="000000" w:sz="4" w:space="0"/>
            </w:tcBorders>
            <w:vAlign w:val="center"/>
          </w:tcPr>
          <w:p w14:paraId="5A60F57B">
            <w:pPr>
              <w:widowControl/>
              <w:jc w:val="center"/>
              <w:rPr>
                <w:rFonts w:ascii="宋体" w:hAnsi="宋体" w:cs="宋体"/>
                <w:color w:val="000000"/>
                <w:kern w:val="0"/>
                <w:sz w:val="18"/>
                <w:szCs w:val="18"/>
              </w:rPr>
            </w:pPr>
            <w:r>
              <w:rPr>
                <w:rFonts w:hint="eastAsia" w:ascii="宋体" w:hAnsi="宋体" w:cs="宋体"/>
                <w:color w:val="000000"/>
                <w:kern w:val="0"/>
                <w:sz w:val="18"/>
                <w:szCs w:val="18"/>
              </w:rPr>
              <w:t>任务名称</w:t>
            </w:r>
          </w:p>
        </w:tc>
        <w:tc>
          <w:tcPr>
            <w:tcW w:w="8015" w:type="dxa"/>
            <w:gridSpan w:val="8"/>
            <w:tcBorders>
              <w:top w:val="single" w:color="000000" w:sz="4" w:space="0"/>
              <w:left w:val="nil"/>
              <w:bottom w:val="single" w:color="000000" w:sz="4" w:space="0"/>
              <w:right w:val="single" w:color="000000" w:sz="4" w:space="0"/>
            </w:tcBorders>
            <w:vAlign w:val="center"/>
          </w:tcPr>
          <w:p w14:paraId="7E29814A">
            <w:pPr>
              <w:widowControl/>
              <w:jc w:val="center"/>
              <w:rPr>
                <w:rFonts w:ascii="宋体" w:hAnsi="宋体" w:cs="宋体"/>
                <w:color w:val="000000"/>
                <w:kern w:val="0"/>
                <w:sz w:val="18"/>
                <w:szCs w:val="18"/>
              </w:rPr>
            </w:pPr>
            <w:r>
              <w:rPr>
                <w:rFonts w:hint="eastAsia" w:ascii="宋体" w:hAnsi="宋体" w:cs="宋体"/>
                <w:color w:val="000000"/>
                <w:kern w:val="0"/>
                <w:sz w:val="18"/>
                <w:szCs w:val="18"/>
              </w:rPr>
              <w:t>主要内容</w:t>
            </w:r>
          </w:p>
        </w:tc>
      </w:tr>
      <w:tr w14:paraId="5D5570BD">
        <w:tblPrEx>
          <w:tblCellMar>
            <w:top w:w="0" w:type="dxa"/>
            <w:left w:w="108" w:type="dxa"/>
            <w:bottom w:w="0" w:type="dxa"/>
            <w:right w:w="108" w:type="dxa"/>
          </w:tblCellMar>
        </w:tblPrEx>
        <w:trPr>
          <w:trHeight w:val="570" w:hRule="atLeast"/>
        </w:trPr>
        <w:tc>
          <w:tcPr>
            <w:tcW w:w="2315" w:type="dxa"/>
            <w:vMerge w:val="continue"/>
            <w:tcBorders>
              <w:top w:val="nil"/>
              <w:left w:val="single" w:color="000000" w:sz="4" w:space="0"/>
              <w:bottom w:val="single" w:color="000000" w:sz="4" w:space="0"/>
              <w:right w:val="single" w:color="000000" w:sz="4" w:space="0"/>
            </w:tcBorders>
            <w:vAlign w:val="center"/>
          </w:tcPr>
          <w:p w14:paraId="275554E5">
            <w:pPr>
              <w:widowControl/>
              <w:jc w:val="left"/>
              <w:rPr>
                <w:rFonts w:ascii="宋体" w:hAnsi="宋体" w:cs="宋体"/>
                <w:color w:val="000000"/>
                <w:kern w:val="0"/>
                <w:sz w:val="18"/>
                <w:szCs w:val="18"/>
              </w:rPr>
            </w:pPr>
          </w:p>
        </w:tc>
        <w:tc>
          <w:tcPr>
            <w:tcW w:w="1076" w:type="dxa"/>
            <w:tcBorders>
              <w:top w:val="single" w:color="000000" w:sz="4" w:space="0"/>
              <w:left w:val="nil"/>
              <w:bottom w:val="single" w:color="000000" w:sz="4" w:space="0"/>
              <w:right w:val="single" w:color="000000" w:sz="4" w:space="0"/>
            </w:tcBorders>
            <w:vAlign w:val="center"/>
          </w:tcPr>
          <w:p w14:paraId="0256FA80">
            <w:pPr>
              <w:widowControl/>
              <w:jc w:val="left"/>
              <w:textAlignment w:val="center"/>
              <w:rPr>
                <w:rFonts w:ascii="宋体" w:hAnsi="宋体" w:cs="宋体"/>
                <w:color w:val="000000"/>
                <w:kern w:val="0"/>
                <w:sz w:val="18"/>
                <w:szCs w:val="18"/>
              </w:rPr>
            </w:pPr>
            <w:r>
              <w:rPr>
                <w:rFonts w:ascii="宋体" w:hAnsi="宋体" w:cs="宋体"/>
                <w:color w:val="000000"/>
                <w:kern w:val="0"/>
                <w:sz w:val="18"/>
                <w:szCs w:val="18"/>
              </w:rPr>
              <w:t>学校教育教学改革</w:t>
            </w:r>
          </w:p>
        </w:tc>
        <w:tc>
          <w:tcPr>
            <w:tcW w:w="8015" w:type="dxa"/>
            <w:gridSpan w:val="8"/>
            <w:tcBorders>
              <w:top w:val="single" w:color="000000" w:sz="4" w:space="0"/>
              <w:left w:val="nil"/>
              <w:bottom w:val="single" w:color="000000" w:sz="4" w:space="0"/>
              <w:right w:val="single" w:color="000000" w:sz="4" w:space="0"/>
            </w:tcBorders>
            <w:vAlign w:val="center"/>
          </w:tcPr>
          <w:p w14:paraId="4AE24923">
            <w:pPr>
              <w:widowControl/>
              <w:jc w:val="left"/>
              <w:textAlignment w:val="center"/>
              <w:rPr>
                <w:rFonts w:ascii="宋体" w:hAnsi="宋体" w:cs="宋体"/>
                <w:color w:val="000000"/>
                <w:kern w:val="0"/>
                <w:sz w:val="18"/>
                <w:szCs w:val="18"/>
              </w:rPr>
            </w:pPr>
            <w:r>
              <w:rPr>
                <w:rFonts w:ascii="宋体" w:hAnsi="宋体" w:cs="宋体"/>
                <w:color w:val="000000"/>
                <w:kern w:val="0"/>
                <w:sz w:val="18"/>
                <w:szCs w:val="18"/>
              </w:rPr>
              <w:t>大竹县教育局的领导下，努力推进教育教学的改革发展，办人民满意的学校。</w:t>
            </w:r>
          </w:p>
        </w:tc>
      </w:tr>
      <w:tr w14:paraId="08D7317E">
        <w:tblPrEx>
          <w:tblCellMar>
            <w:top w:w="0" w:type="dxa"/>
            <w:left w:w="108" w:type="dxa"/>
            <w:bottom w:w="0" w:type="dxa"/>
            <w:right w:w="108" w:type="dxa"/>
          </w:tblCellMar>
        </w:tblPrEx>
        <w:trPr>
          <w:trHeight w:val="679" w:hRule="atLeast"/>
        </w:trPr>
        <w:tc>
          <w:tcPr>
            <w:tcW w:w="2315" w:type="dxa"/>
            <w:vMerge w:val="continue"/>
            <w:tcBorders>
              <w:top w:val="nil"/>
              <w:left w:val="single" w:color="000000" w:sz="4" w:space="0"/>
              <w:bottom w:val="single" w:color="000000" w:sz="4" w:space="0"/>
              <w:right w:val="single" w:color="000000" w:sz="4" w:space="0"/>
            </w:tcBorders>
            <w:vAlign w:val="center"/>
          </w:tcPr>
          <w:p w14:paraId="710D4359">
            <w:pPr>
              <w:widowControl/>
              <w:jc w:val="left"/>
              <w:rPr>
                <w:rFonts w:ascii="宋体" w:hAnsi="宋体" w:cs="宋体"/>
                <w:color w:val="000000"/>
                <w:kern w:val="0"/>
                <w:sz w:val="18"/>
                <w:szCs w:val="18"/>
              </w:rPr>
            </w:pPr>
          </w:p>
        </w:tc>
        <w:tc>
          <w:tcPr>
            <w:tcW w:w="1076" w:type="dxa"/>
            <w:tcBorders>
              <w:top w:val="single" w:color="000000" w:sz="4" w:space="0"/>
              <w:left w:val="nil"/>
              <w:bottom w:val="single" w:color="000000" w:sz="4" w:space="0"/>
              <w:right w:val="single" w:color="000000" w:sz="4" w:space="0"/>
            </w:tcBorders>
            <w:vAlign w:val="center"/>
          </w:tcPr>
          <w:p w14:paraId="2B4B8908">
            <w:pPr>
              <w:widowControl/>
              <w:jc w:val="left"/>
              <w:textAlignment w:val="center"/>
              <w:rPr>
                <w:rFonts w:ascii="宋体" w:hAnsi="宋体" w:cs="宋体"/>
                <w:color w:val="000000"/>
                <w:kern w:val="0"/>
                <w:sz w:val="18"/>
                <w:szCs w:val="18"/>
              </w:rPr>
            </w:pPr>
            <w:r>
              <w:rPr>
                <w:rFonts w:ascii="宋体" w:hAnsi="宋体" w:cs="宋体"/>
                <w:color w:val="000000"/>
                <w:kern w:val="0"/>
                <w:sz w:val="18"/>
                <w:szCs w:val="18"/>
              </w:rPr>
              <w:t>教育均衡发展</w:t>
            </w:r>
          </w:p>
        </w:tc>
        <w:tc>
          <w:tcPr>
            <w:tcW w:w="8015" w:type="dxa"/>
            <w:gridSpan w:val="8"/>
            <w:tcBorders>
              <w:top w:val="single" w:color="000000" w:sz="4" w:space="0"/>
              <w:left w:val="nil"/>
              <w:bottom w:val="single" w:color="000000" w:sz="4" w:space="0"/>
              <w:right w:val="single" w:color="000000" w:sz="4" w:space="0"/>
            </w:tcBorders>
            <w:vAlign w:val="center"/>
          </w:tcPr>
          <w:p w14:paraId="0EC971E1">
            <w:pPr>
              <w:widowControl/>
              <w:jc w:val="left"/>
              <w:textAlignment w:val="center"/>
              <w:rPr>
                <w:rFonts w:ascii="宋体" w:hAnsi="宋体" w:cs="宋体"/>
                <w:color w:val="000000"/>
                <w:kern w:val="0"/>
                <w:sz w:val="18"/>
                <w:szCs w:val="18"/>
              </w:rPr>
            </w:pPr>
            <w:r>
              <w:rPr>
                <w:rFonts w:ascii="宋体" w:hAnsi="宋体" w:cs="宋体"/>
                <w:color w:val="000000"/>
                <w:kern w:val="0"/>
                <w:sz w:val="18"/>
                <w:szCs w:val="18"/>
              </w:rPr>
              <w:t>努力推进义务教育阶段均衡发展和教育公平，保证义务教育实施工作的顺利进行。</w:t>
            </w:r>
          </w:p>
        </w:tc>
      </w:tr>
      <w:tr w14:paraId="79B44415">
        <w:tblPrEx>
          <w:tblCellMar>
            <w:top w:w="0" w:type="dxa"/>
            <w:left w:w="108" w:type="dxa"/>
            <w:bottom w:w="0" w:type="dxa"/>
            <w:right w:w="108" w:type="dxa"/>
          </w:tblCellMar>
        </w:tblPrEx>
        <w:trPr>
          <w:trHeight w:val="679" w:hRule="atLeast"/>
        </w:trPr>
        <w:tc>
          <w:tcPr>
            <w:tcW w:w="2315" w:type="dxa"/>
            <w:vMerge w:val="continue"/>
            <w:tcBorders>
              <w:top w:val="nil"/>
              <w:left w:val="single" w:color="000000" w:sz="4" w:space="0"/>
              <w:bottom w:val="single" w:color="000000" w:sz="4" w:space="0"/>
              <w:right w:val="single" w:color="000000" w:sz="4" w:space="0"/>
            </w:tcBorders>
            <w:vAlign w:val="center"/>
          </w:tcPr>
          <w:p w14:paraId="22CC535E">
            <w:pPr>
              <w:widowControl/>
              <w:jc w:val="left"/>
              <w:rPr>
                <w:rFonts w:ascii="宋体" w:hAnsi="宋体" w:cs="宋体"/>
                <w:color w:val="000000"/>
                <w:kern w:val="0"/>
                <w:sz w:val="18"/>
                <w:szCs w:val="18"/>
              </w:rPr>
            </w:pPr>
          </w:p>
        </w:tc>
        <w:tc>
          <w:tcPr>
            <w:tcW w:w="1076" w:type="dxa"/>
            <w:tcBorders>
              <w:top w:val="single" w:color="000000" w:sz="4" w:space="0"/>
              <w:left w:val="nil"/>
              <w:bottom w:val="single" w:color="000000" w:sz="4" w:space="0"/>
              <w:right w:val="single" w:color="000000" w:sz="4" w:space="0"/>
            </w:tcBorders>
            <w:vAlign w:val="center"/>
          </w:tcPr>
          <w:p w14:paraId="2A2D5431">
            <w:pPr>
              <w:widowControl/>
              <w:jc w:val="left"/>
              <w:textAlignment w:val="center"/>
              <w:rPr>
                <w:rFonts w:ascii="宋体" w:hAnsi="宋体" w:cs="宋体"/>
                <w:color w:val="000000"/>
                <w:kern w:val="0"/>
                <w:sz w:val="18"/>
                <w:szCs w:val="18"/>
              </w:rPr>
            </w:pPr>
            <w:r>
              <w:rPr>
                <w:rFonts w:ascii="宋体" w:hAnsi="宋体" w:cs="宋体"/>
                <w:color w:val="000000"/>
                <w:kern w:val="0"/>
                <w:sz w:val="18"/>
                <w:szCs w:val="18"/>
              </w:rPr>
              <w:t>教师队伍建设</w:t>
            </w:r>
          </w:p>
        </w:tc>
        <w:tc>
          <w:tcPr>
            <w:tcW w:w="8015" w:type="dxa"/>
            <w:gridSpan w:val="8"/>
            <w:tcBorders>
              <w:top w:val="single" w:color="000000" w:sz="4" w:space="0"/>
              <w:left w:val="nil"/>
              <w:bottom w:val="single" w:color="000000" w:sz="4" w:space="0"/>
              <w:right w:val="single" w:color="000000" w:sz="4" w:space="0"/>
            </w:tcBorders>
            <w:vAlign w:val="center"/>
          </w:tcPr>
          <w:p w14:paraId="632F47B0">
            <w:pPr>
              <w:widowControl/>
              <w:jc w:val="left"/>
              <w:textAlignment w:val="center"/>
              <w:rPr>
                <w:rFonts w:ascii="宋体" w:hAnsi="宋体" w:cs="宋体"/>
                <w:color w:val="000000"/>
                <w:kern w:val="0"/>
                <w:sz w:val="18"/>
                <w:szCs w:val="18"/>
              </w:rPr>
            </w:pPr>
            <w:r>
              <w:rPr>
                <w:rFonts w:ascii="宋体" w:hAnsi="宋体" w:cs="宋体"/>
                <w:color w:val="000000"/>
                <w:kern w:val="0"/>
                <w:sz w:val="18"/>
                <w:szCs w:val="18"/>
              </w:rPr>
              <w:t>注重教师自身素质的培养和业务能力的提高，打造一支本领过硬的教师队伍。</w:t>
            </w:r>
          </w:p>
        </w:tc>
      </w:tr>
      <w:tr w14:paraId="6DC65EDF">
        <w:tblPrEx>
          <w:tblCellMar>
            <w:top w:w="0" w:type="dxa"/>
            <w:left w:w="108" w:type="dxa"/>
            <w:bottom w:w="0" w:type="dxa"/>
            <w:right w:w="108" w:type="dxa"/>
          </w:tblCellMar>
        </w:tblPrEx>
        <w:trPr>
          <w:trHeight w:val="570" w:hRule="atLeast"/>
        </w:trPr>
        <w:tc>
          <w:tcPr>
            <w:tcW w:w="2315" w:type="dxa"/>
            <w:vMerge w:val="continue"/>
            <w:tcBorders>
              <w:top w:val="nil"/>
              <w:left w:val="single" w:color="000000" w:sz="4" w:space="0"/>
              <w:bottom w:val="single" w:color="000000" w:sz="4" w:space="0"/>
              <w:right w:val="single" w:color="000000" w:sz="4" w:space="0"/>
            </w:tcBorders>
            <w:vAlign w:val="center"/>
          </w:tcPr>
          <w:p w14:paraId="17768890">
            <w:pPr>
              <w:widowControl/>
              <w:jc w:val="left"/>
              <w:rPr>
                <w:rFonts w:ascii="宋体" w:hAnsi="宋体" w:cs="宋体"/>
                <w:color w:val="000000"/>
                <w:kern w:val="0"/>
                <w:sz w:val="18"/>
                <w:szCs w:val="18"/>
              </w:rPr>
            </w:pPr>
          </w:p>
        </w:tc>
        <w:tc>
          <w:tcPr>
            <w:tcW w:w="1076" w:type="dxa"/>
            <w:tcBorders>
              <w:top w:val="single" w:color="000000" w:sz="4" w:space="0"/>
              <w:left w:val="nil"/>
              <w:bottom w:val="single" w:color="000000" w:sz="4" w:space="0"/>
              <w:right w:val="single" w:color="000000" w:sz="4" w:space="0"/>
            </w:tcBorders>
            <w:vAlign w:val="center"/>
          </w:tcPr>
          <w:p w14:paraId="79845371">
            <w:pPr>
              <w:widowControl/>
              <w:jc w:val="left"/>
              <w:textAlignment w:val="center"/>
              <w:rPr>
                <w:rFonts w:ascii="宋体" w:hAnsi="宋体" w:cs="宋体"/>
                <w:color w:val="000000"/>
                <w:kern w:val="0"/>
                <w:sz w:val="18"/>
                <w:szCs w:val="18"/>
              </w:rPr>
            </w:pPr>
            <w:r>
              <w:rPr>
                <w:rFonts w:ascii="宋体" w:hAnsi="宋体" w:cs="宋体"/>
                <w:color w:val="000000"/>
                <w:kern w:val="0"/>
                <w:sz w:val="18"/>
                <w:szCs w:val="18"/>
              </w:rPr>
              <w:t>学校形象提升</w:t>
            </w:r>
          </w:p>
        </w:tc>
        <w:tc>
          <w:tcPr>
            <w:tcW w:w="8015" w:type="dxa"/>
            <w:gridSpan w:val="8"/>
            <w:tcBorders>
              <w:top w:val="single" w:color="000000" w:sz="4" w:space="0"/>
              <w:left w:val="nil"/>
              <w:bottom w:val="single" w:color="000000" w:sz="4" w:space="0"/>
              <w:right w:val="single" w:color="000000" w:sz="4" w:space="0"/>
            </w:tcBorders>
            <w:vAlign w:val="center"/>
          </w:tcPr>
          <w:p w14:paraId="11C57CCC">
            <w:pPr>
              <w:widowControl/>
              <w:jc w:val="left"/>
              <w:textAlignment w:val="center"/>
              <w:rPr>
                <w:rFonts w:ascii="宋体" w:hAnsi="宋体" w:cs="宋体"/>
                <w:color w:val="000000"/>
                <w:kern w:val="0"/>
                <w:sz w:val="18"/>
                <w:szCs w:val="18"/>
              </w:rPr>
            </w:pPr>
            <w:r>
              <w:rPr>
                <w:rFonts w:ascii="宋体" w:hAnsi="宋体" w:cs="宋体"/>
                <w:color w:val="000000"/>
                <w:kern w:val="0"/>
                <w:sz w:val="18"/>
                <w:szCs w:val="18"/>
              </w:rPr>
              <w:t>严格管理，注重教学质量的稳中求进，继续抓好科技创新工作，努力提升学校在社会上的满意度。</w:t>
            </w:r>
          </w:p>
        </w:tc>
      </w:tr>
      <w:tr w14:paraId="458150A1">
        <w:tblPrEx>
          <w:tblCellMar>
            <w:top w:w="0" w:type="dxa"/>
            <w:left w:w="108" w:type="dxa"/>
            <w:bottom w:w="0" w:type="dxa"/>
            <w:right w:w="108" w:type="dxa"/>
          </w:tblCellMar>
        </w:tblPrEx>
        <w:trPr>
          <w:trHeight w:val="570" w:hRule="atLeast"/>
        </w:trPr>
        <w:tc>
          <w:tcPr>
            <w:tcW w:w="2315" w:type="dxa"/>
            <w:vMerge w:val="restart"/>
            <w:tcBorders>
              <w:top w:val="nil"/>
              <w:left w:val="single" w:color="000000" w:sz="4" w:space="0"/>
              <w:bottom w:val="single" w:color="000000" w:sz="4" w:space="0"/>
              <w:right w:val="single" w:color="000000" w:sz="4" w:space="0"/>
            </w:tcBorders>
            <w:vAlign w:val="center"/>
          </w:tcPr>
          <w:p w14:paraId="0B1AB803">
            <w:pPr>
              <w:widowControl/>
              <w:jc w:val="center"/>
              <w:rPr>
                <w:rFonts w:ascii="宋体" w:hAnsi="宋体" w:cs="宋体"/>
                <w:color w:val="000000"/>
                <w:kern w:val="0"/>
                <w:sz w:val="18"/>
                <w:szCs w:val="18"/>
              </w:rPr>
            </w:pPr>
            <w:r>
              <w:rPr>
                <w:rFonts w:hint="eastAsia" w:ascii="宋体" w:hAnsi="宋体" w:cs="宋体"/>
                <w:color w:val="000000"/>
                <w:kern w:val="0"/>
                <w:sz w:val="18"/>
                <w:szCs w:val="18"/>
              </w:rPr>
              <w:t>年度绩效指标</w:t>
            </w:r>
          </w:p>
        </w:tc>
        <w:tc>
          <w:tcPr>
            <w:tcW w:w="1076" w:type="dxa"/>
            <w:tcBorders>
              <w:top w:val="nil"/>
              <w:left w:val="nil"/>
              <w:bottom w:val="single" w:color="000000" w:sz="4" w:space="0"/>
              <w:right w:val="single" w:color="000000" w:sz="4" w:space="0"/>
            </w:tcBorders>
            <w:vAlign w:val="center"/>
          </w:tcPr>
          <w:p w14:paraId="41609E8C">
            <w:pPr>
              <w:widowControl/>
              <w:jc w:val="center"/>
              <w:rPr>
                <w:rFonts w:ascii="宋体" w:hAnsi="宋体" w:cs="宋体"/>
                <w:color w:val="000000"/>
                <w:kern w:val="0"/>
                <w:sz w:val="18"/>
                <w:szCs w:val="18"/>
              </w:rPr>
            </w:pPr>
            <w:r>
              <w:rPr>
                <w:rFonts w:hint="eastAsia" w:ascii="宋体" w:hAnsi="宋体" w:cs="宋体"/>
                <w:color w:val="000000"/>
                <w:kern w:val="0"/>
                <w:sz w:val="18"/>
                <w:szCs w:val="18"/>
              </w:rPr>
              <w:t>一级指标</w:t>
            </w:r>
          </w:p>
        </w:tc>
        <w:tc>
          <w:tcPr>
            <w:tcW w:w="1134" w:type="dxa"/>
            <w:tcBorders>
              <w:top w:val="nil"/>
              <w:left w:val="nil"/>
              <w:bottom w:val="single" w:color="000000" w:sz="4" w:space="0"/>
              <w:right w:val="single" w:color="000000" w:sz="4" w:space="0"/>
            </w:tcBorders>
            <w:vAlign w:val="center"/>
          </w:tcPr>
          <w:p w14:paraId="6992B71B">
            <w:pPr>
              <w:widowControl/>
              <w:jc w:val="center"/>
              <w:rPr>
                <w:rFonts w:ascii="宋体" w:hAnsi="宋体" w:cs="宋体"/>
                <w:color w:val="000000"/>
                <w:kern w:val="0"/>
                <w:sz w:val="18"/>
                <w:szCs w:val="18"/>
              </w:rPr>
            </w:pPr>
            <w:r>
              <w:rPr>
                <w:rFonts w:hint="eastAsia" w:ascii="宋体" w:hAnsi="宋体" w:cs="宋体"/>
                <w:color w:val="000000"/>
                <w:kern w:val="0"/>
                <w:sz w:val="18"/>
                <w:szCs w:val="18"/>
              </w:rPr>
              <w:t>二级指标</w:t>
            </w:r>
          </w:p>
        </w:tc>
        <w:tc>
          <w:tcPr>
            <w:tcW w:w="1985" w:type="dxa"/>
            <w:tcBorders>
              <w:top w:val="nil"/>
              <w:left w:val="nil"/>
              <w:bottom w:val="single" w:color="000000" w:sz="4" w:space="0"/>
              <w:right w:val="single" w:color="000000" w:sz="4" w:space="0"/>
            </w:tcBorders>
            <w:vAlign w:val="center"/>
          </w:tcPr>
          <w:p w14:paraId="36A1DC36">
            <w:pPr>
              <w:widowControl/>
              <w:jc w:val="center"/>
              <w:rPr>
                <w:rFonts w:ascii="宋体" w:hAnsi="宋体" w:cs="宋体"/>
                <w:color w:val="000000"/>
                <w:kern w:val="0"/>
                <w:sz w:val="18"/>
                <w:szCs w:val="18"/>
              </w:rPr>
            </w:pPr>
            <w:r>
              <w:rPr>
                <w:rFonts w:hint="eastAsia" w:ascii="宋体" w:hAnsi="宋体" w:cs="宋体"/>
                <w:color w:val="000000"/>
                <w:kern w:val="0"/>
                <w:sz w:val="18"/>
                <w:szCs w:val="18"/>
              </w:rPr>
              <w:t>三级指标</w:t>
            </w:r>
          </w:p>
        </w:tc>
        <w:tc>
          <w:tcPr>
            <w:tcW w:w="850" w:type="dxa"/>
            <w:gridSpan w:val="2"/>
            <w:tcBorders>
              <w:top w:val="nil"/>
              <w:left w:val="nil"/>
              <w:bottom w:val="single" w:color="000000" w:sz="4" w:space="0"/>
              <w:right w:val="single" w:color="000000" w:sz="4" w:space="0"/>
            </w:tcBorders>
            <w:vAlign w:val="center"/>
          </w:tcPr>
          <w:p w14:paraId="1C3CA52A">
            <w:pPr>
              <w:widowControl/>
              <w:jc w:val="center"/>
              <w:rPr>
                <w:rFonts w:ascii="宋体" w:hAnsi="宋体" w:cs="宋体"/>
                <w:color w:val="000000"/>
                <w:kern w:val="0"/>
                <w:sz w:val="18"/>
                <w:szCs w:val="18"/>
              </w:rPr>
            </w:pPr>
            <w:r>
              <w:rPr>
                <w:rFonts w:hint="eastAsia" w:ascii="宋体" w:hAnsi="宋体" w:cs="宋体"/>
                <w:color w:val="000000"/>
                <w:kern w:val="0"/>
                <w:sz w:val="18"/>
                <w:szCs w:val="18"/>
              </w:rPr>
              <w:t>绩效指标性质</w:t>
            </w:r>
          </w:p>
        </w:tc>
        <w:tc>
          <w:tcPr>
            <w:tcW w:w="851" w:type="dxa"/>
            <w:tcBorders>
              <w:top w:val="nil"/>
              <w:left w:val="nil"/>
              <w:bottom w:val="single" w:color="000000" w:sz="4" w:space="0"/>
              <w:right w:val="single" w:color="000000" w:sz="4" w:space="0"/>
            </w:tcBorders>
            <w:vAlign w:val="center"/>
          </w:tcPr>
          <w:p w14:paraId="4785EA49">
            <w:pPr>
              <w:widowControl/>
              <w:jc w:val="center"/>
              <w:rPr>
                <w:rFonts w:ascii="宋体" w:hAnsi="宋体" w:cs="宋体"/>
                <w:color w:val="000000"/>
                <w:kern w:val="0"/>
                <w:sz w:val="18"/>
                <w:szCs w:val="18"/>
              </w:rPr>
            </w:pPr>
            <w:r>
              <w:rPr>
                <w:rFonts w:hint="eastAsia" w:ascii="宋体" w:hAnsi="宋体" w:cs="宋体"/>
                <w:color w:val="000000"/>
                <w:kern w:val="0"/>
                <w:sz w:val="18"/>
                <w:szCs w:val="18"/>
              </w:rPr>
              <w:t>绩效指标值</w:t>
            </w:r>
          </w:p>
        </w:tc>
        <w:tc>
          <w:tcPr>
            <w:tcW w:w="850" w:type="dxa"/>
            <w:tcBorders>
              <w:top w:val="nil"/>
              <w:left w:val="nil"/>
              <w:bottom w:val="single" w:color="000000" w:sz="4" w:space="0"/>
              <w:right w:val="single" w:color="000000" w:sz="4" w:space="0"/>
            </w:tcBorders>
            <w:vAlign w:val="center"/>
          </w:tcPr>
          <w:p w14:paraId="72EB1472">
            <w:pPr>
              <w:widowControl/>
              <w:jc w:val="center"/>
              <w:rPr>
                <w:rFonts w:ascii="宋体" w:hAnsi="宋体" w:cs="宋体"/>
                <w:color w:val="000000"/>
                <w:kern w:val="0"/>
                <w:sz w:val="18"/>
                <w:szCs w:val="18"/>
              </w:rPr>
            </w:pPr>
            <w:r>
              <w:rPr>
                <w:rFonts w:hint="eastAsia" w:ascii="宋体" w:hAnsi="宋体" w:cs="宋体"/>
                <w:color w:val="000000"/>
                <w:kern w:val="0"/>
                <w:sz w:val="18"/>
                <w:szCs w:val="18"/>
              </w:rPr>
              <w:t>绩效度量单位</w:t>
            </w:r>
          </w:p>
        </w:tc>
        <w:tc>
          <w:tcPr>
            <w:tcW w:w="426" w:type="dxa"/>
            <w:tcBorders>
              <w:top w:val="nil"/>
              <w:left w:val="nil"/>
              <w:bottom w:val="single" w:color="000000" w:sz="4" w:space="0"/>
              <w:right w:val="single" w:color="000000" w:sz="4" w:space="0"/>
            </w:tcBorders>
            <w:vAlign w:val="center"/>
          </w:tcPr>
          <w:p w14:paraId="15D45CA6">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1919" w:type="dxa"/>
            <w:tcBorders>
              <w:top w:val="nil"/>
              <w:left w:val="nil"/>
              <w:bottom w:val="single" w:color="000000" w:sz="4" w:space="0"/>
              <w:right w:val="single" w:color="000000" w:sz="4" w:space="0"/>
            </w:tcBorders>
          </w:tcPr>
          <w:p w14:paraId="67B41C61">
            <w:pPr>
              <w:widowControl/>
              <w:jc w:val="center"/>
              <w:rPr>
                <w:rFonts w:ascii="宋体" w:hAnsi="宋体" w:cs="宋体"/>
                <w:color w:val="000000"/>
                <w:kern w:val="0"/>
                <w:sz w:val="18"/>
                <w:szCs w:val="18"/>
              </w:rPr>
            </w:pPr>
            <w:r>
              <w:rPr>
                <w:rFonts w:ascii="宋体" w:hAnsi="宋体" w:cs="宋体"/>
                <w:color w:val="000000"/>
                <w:kern w:val="0"/>
                <w:sz w:val="18"/>
                <w:szCs w:val="18"/>
              </w:rPr>
              <w:t>实际完成</w:t>
            </w:r>
          </w:p>
          <w:p w14:paraId="35740965">
            <w:pPr>
              <w:widowControl/>
              <w:jc w:val="center"/>
              <w:rPr>
                <w:rFonts w:ascii="宋体" w:hAnsi="宋体" w:cs="宋体"/>
                <w:color w:val="000000"/>
                <w:kern w:val="0"/>
                <w:sz w:val="18"/>
                <w:szCs w:val="18"/>
              </w:rPr>
            </w:pPr>
            <w:r>
              <w:rPr>
                <w:rFonts w:ascii="宋体" w:hAnsi="宋体" w:cs="宋体"/>
                <w:color w:val="000000"/>
                <w:kern w:val="0"/>
                <w:sz w:val="18"/>
                <w:szCs w:val="18"/>
              </w:rPr>
              <w:t>指标值</w:t>
            </w:r>
          </w:p>
        </w:tc>
      </w:tr>
      <w:tr w14:paraId="6D999054">
        <w:tblPrEx>
          <w:tblCellMar>
            <w:top w:w="0" w:type="dxa"/>
            <w:left w:w="108" w:type="dxa"/>
            <w:bottom w:w="0" w:type="dxa"/>
            <w:right w:w="108" w:type="dxa"/>
          </w:tblCellMar>
        </w:tblPrEx>
        <w:trPr>
          <w:trHeight w:val="570" w:hRule="atLeast"/>
        </w:trPr>
        <w:tc>
          <w:tcPr>
            <w:tcW w:w="2315" w:type="dxa"/>
            <w:vMerge w:val="continue"/>
            <w:tcBorders>
              <w:top w:val="nil"/>
              <w:left w:val="single" w:color="000000" w:sz="4" w:space="0"/>
              <w:bottom w:val="single" w:color="000000" w:sz="4" w:space="0"/>
              <w:right w:val="single" w:color="000000" w:sz="4" w:space="0"/>
            </w:tcBorders>
            <w:vAlign w:val="center"/>
          </w:tcPr>
          <w:p w14:paraId="54AC81BD">
            <w:pPr>
              <w:widowControl/>
              <w:jc w:val="left"/>
              <w:rPr>
                <w:rFonts w:ascii="宋体" w:hAnsi="宋体" w:cs="宋体"/>
                <w:color w:val="000000"/>
                <w:kern w:val="0"/>
                <w:sz w:val="18"/>
                <w:szCs w:val="18"/>
              </w:rPr>
            </w:pPr>
          </w:p>
        </w:tc>
        <w:tc>
          <w:tcPr>
            <w:tcW w:w="1076" w:type="dxa"/>
            <w:vMerge w:val="restart"/>
            <w:tcBorders>
              <w:top w:val="nil"/>
              <w:left w:val="single" w:color="000000" w:sz="4" w:space="0"/>
              <w:bottom w:val="single" w:color="000000" w:sz="4" w:space="0"/>
              <w:right w:val="single" w:color="000000" w:sz="4" w:space="0"/>
            </w:tcBorders>
            <w:vAlign w:val="center"/>
          </w:tcPr>
          <w:p w14:paraId="09432B7C">
            <w:pPr>
              <w:widowControl/>
              <w:jc w:val="left"/>
              <w:rPr>
                <w:rFonts w:ascii="宋体" w:hAnsi="宋体" w:cs="宋体"/>
                <w:color w:val="000000"/>
                <w:kern w:val="0"/>
                <w:sz w:val="18"/>
                <w:szCs w:val="18"/>
              </w:rPr>
            </w:pPr>
            <w:r>
              <w:rPr>
                <w:rFonts w:hint="eastAsia" w:ascii="宋体" w:hAnsi="宋体" w:cs="宋体"/>
                <w:color w:val="000000"/>
                <w:kern w:val="0"/>
                <w:sz w:val="18"/>
                <w:szCs w:val="18"/>
              </w:rPr>
              <w:t>产出指标</w:t>
            </w:r>
          </w:p>
        </w:tc>
        <w:tc>
          <w:tcPr>
            <w:tcW w:w="1134" w:type="dxa"/>
            <w:vMerge w:val="restart"/>
            <w:tcBorders>
              <w:top w:val="nil"/>
              <w:left w:val="single" w:color="000000" w:sz="4" w:space="0"/>
              <w:bottom w:val="single" w:color="000000" w:sz="4" w:space="0"/>
              <w:right w:val="single" w:color="000000" w:sz="4" w:space="0"/>
            </w:tcBorders>
            <w:vAlign w:val="center"/>
          </w:tcPr>
          <w:p w14:paraId="1E69E49F">
            <w:pPr>
              <w:widowControl/>
              <w:jc w:val="left"/>
              <w:rPr>
                <w:rFonts w:ascii="宋体" w:hAnsi="宋体" w:cs="宋体"/>
                <w:color w:val="000000"/>
                <w:kern w:val="0"/>
                <w:sz w:val="18"/>
                <w:szCs w:val="18"/>
              </w:rPr>
            </w:pPr>
            <w:r>
              <w:rPr>
                <w:rFonts w:hint="eastAsia" w:ascii="宋体" w:hAnsi="宋体" w:cs="宋体"/>
                <w:color w:val="000000"/>
                <w:kern w:val="0"/>
                <w:sz w:val="18"/>
                <w:szCs w:val="18"/>
              </w:rPr>
              <w:t>数量指标</w:t>
            </w:r>
          </w:p>
        </w:tc>
        <w:tc>
          <w:tcPr>
            <w:tcW w:w="1985" w:type="dxa"/>
            <w:tcBorders>
              <w:top w:val="nil"/>
              <w:left w:val="nil"/>
              <w:bottom w:val="single" w:color="000000" w:sz="4" w:space="0"/>
              <w:right w:val="single" w:color="000000" w:sz="4" w:space="0"/>
            </w:tcBorders>
            <w:vAlign w:val="center"/>
          </w:tcPr>
          <w:p w14:paraId="0E58BEF0">
            <w:pPr>
              <w:widowControl/>
              <w:jc w:val="left"/>
              <w:textAlignment w:val="center"/>
              <w:rPr>
                <w:rFonts w:ascii="宋体" w:hAnsi="宋体" w:cs="宋体"/>
                <w:color w:val="000000"/>
                <w:kern w:val="0"/>
                <w:sz w:val="18"/>
                <w:szCs w:val="18"/>
              </w:rPr>
            </w:pPr>
            <w:r>
              <w:rPr>
                <w:rFonts w:ascii="宋体" w:hAnsi="宋体" w:cs="宋体"/>
                <w:color w:val="000000"/>
                <w:kern w:val="0"/>
                <w:sz w:val="18"/>
                <w:szCs w:val="18"/>
              </w:rPr>
              <w:t>教师培训合格率</w:t>
            </w:r>
          </w:p>
        </w:tc>
        <w:tc>
          <w:tcPr>
            <w:tcW w:w="850" w:type="dxa"/>
            <w:gridSpan w:val="2"/>
            <w:tcBorders>
              <w:top w:val="nil"/>
              <w:left w:val="nil"/>
              <w:bottom w:val="single" w:color="000000" w:sz="4" w:space="0"/>
              <w:right w:val="single" w:color="000000" w:sz="4" w:space="0"/>
            </w:tcBorders>
            <w:vAlign w:val="center"/>
          </w:tcPr>
          <w:p w14:paraId="03922A06">
            <w:pPr>
              <w:widowControl/>
              <w:jc w:val="left"/>
              <w:textAlignment w:val="center"/>
              <w:rPr>
                <w:rFonts w:ascii="宋体" w:hAnsi="宋体" w:cs="宋体"/>
                <w:color w:val="000000"/>
                <w:kern w:val="0"/>
                <w:sz w:val="18"/>
                <w:szCs w:val="18"/>
              </w:rPr>
            </w:pPr>
            <w:r>
              <w:rPr>
                <w:rFonts w:ascii="宋体" w:hAnsi="宋体" w:cs="宋体"/>
                <w:color w:val="000000"/>
                <w:kern w:val="0"/>
                <w:sz w:val="18"/>
                <w:szCs w:val="18"/>
              </w:rPr>
              <w:t>＝</w:t>
            </w:r>
          </w:p>
        </w:tc>
        <w:tc>
          <w:tcPr>
            <w:tcW w:w="851" w:type="dxa"/>
            <w:tcBorders>
              <w:top w:val="nil"/>
              <w:left w:val="nil"/>
              <w:bottom w:val="single" w:color="000000" w:sz="4" w:space="0"/>
              <w:right w:val="single" w:color="000000" w:sz="4" w:space="0"/>
            </w:tcBorders>
            <w:vAlign w:val="center"/>
          </w:tcPr>
          <w:p w14:paraId="1398E0B2">
            <w:pPr>
              <w:widowControl/>
              <w:jc w:val="left"/>
              <w:textAlignment w:val="center"/>
              <w:rPr>
                <w:rFonts w:ascii="宋体" w:hAnsi="宋体" w:cs="宋体"/>
                <w:color w:val="000000"/>
                <w:kern w:val="0"/>
                <w:sz w:val="18"/>
                <w:szCs w:val="18"/>
              </w:rPr>
            </w:pPr>
            <w:r>
              <w:rPr>
                <w:rFonts w:ascii="宋体" w:hAnsi="宋体" w:cs="宋体"/>
                <w:color w:val="000000"/>
                <w:kern w:val="0"/>
                <w:sz w:val="18"/>
                <w:szCs w:val="18"/>
              </w:rPr>
              <w:t>100</w:t>
            </w:r>
          </w:p>
        </w:tc>
        <w:tc>
          <w:tcPr>
            <w:tcW w:w="850" w:type="dxa"/>
            <w:tcBorders>
              <w:top w:val="nil"/>
              <w:left w:val="nil"/>
              <w:bottom w:val="single" w:color="000000" w:sz="4" w:space="0"/>
              <w:right w:val="single" w:color="000000" w:sz="4" w:space="0"/>
            </w:tcBorders>
            <w:vAlign w:val="center"/>
          </w:tcPr>
          <w:p w14:paraId="68E41C2A">
            <w:pPr>
              <w:widowControl/>
              <w:jc w:val="left"/>
              <w:textAlignment w:val="center"/>
              <w:rPr>
                <w:rFonts w:ascii="宋体" w:hAnsi="宋体" w:cs="宋体"/>
                <w:color w:val="000000"/>
                <w:kern w:val="0"/>
                <w:sz w:val="18"/>
                <w:szCs w:val="18"/>
              </w:rPr>
            </w:pPr>
            <w:r>
              <w:rPr>
                <w:rFonts w:ascii="宋体" w:hAnsi="宋体" w:cs="宋体"/>
                <w:color w:val="000000"/>
                <w:kern w:val="0"/>
                <w:sz w:val="18"/>
                <w:szCs w:val="18"/>
              </w:rPr>
              <w:t>%</w:t>
            </w:r>
          </w:p>
        </w:tc>
        <w:tc>
          <w:tcPr>
            <w:tcW w:w="426" w:type="dxa"/>
            <w:tcBorders>
              <w:top w:val="nil"/>
              <w:left w:val="nil"/>
              <w:bottom w:val="single" w:color="000000" w:sz="4" w:space="0"/>
              <w:right w:val="single" w:color="000000" w:sz="4" w:space="0"/>
            </w:tcBorders>
            <w:vAlign w:val="center"/>
          </w:tcPr>
          <w:p w14:paraId="6A164021">
            <w:pPr>
              <w:widowControl/>
              <w:jc w:val="left"/>
              <w:textAlignment w:val="center"/>
              <w:rPr>
                <w:rFonts w:ascii="宋体" w:hAnsi="宋体" w:cs="宋体"/>
                <w:color w:val="000000"/>
                <w:kern w:val="0"/>
                <w:sz w:val="18"/>
                <w:szCs w:val="18"/>
              </w:rPr>
            </w:pPr>
            <w:r>
              <w:rPr>
                <w:rFonts w:ascii="宋体" w:hAnsi="宋体" w:cs="宋体"/>
                <w:color w:val="000000"/>
                <w:kern w:val="0"/>
                <w:sz w:val="18"/>
                <w:szCs w:val="18"/>
              </w:rPr>
              <w:t>10</w:t>
            </w:r>
          </w:p>
        </w:tc>
        <w:tc>
          <w:tcPr>
            <w:tcW w:w="1919" w:type="dxa"/>
            <w:tcBorders>
              <w:top w:val="nil"/>
              <w:left w:val="nil"/>
              <w:bottom w:val="single" w:color="000000" w:sz="4" w:space="0"/>
              <w:right w:val="single" w:color="000000" w:sz="4" w:space="0"/>
            </w:tcBorders>
            <w:vAlign w:val="center"/>
          </w:tcPr>
          <w:p w14:paraId="526E5D69">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100%</w:t>
            </w:r>
          </w:p>
        </w:tc>
      </w:tr>
      <w:tr w14:paraId="46FDBB1A">
        <w:tblPrEx>
          <w:tblCellMar>
            <w:top w:w="0" w:type="dxa"/>
            <w:left w:w="108" w:type="dxa"/>
            <w:bottom w:w="0" w:type="dxa"/>
            <w:right w:w="108" w:type="dxa"/>
          </w:tblCellMar>
        </w:tblPrEx>
        <w:trPr>
          <w:trHeight w:val="570" w:hRule="atLeast"/>
        </w:trPr>
        <w:tc>
          <w:tcPr>
            <w:tcW w:w="2315" w:type="dxa"/>
            <w:vMerge w:val="continue"/>
            <w:tcBorders>
              <w:top w:val="nil"/>
              <w:left w:val="single" w:color="000000" w:sz="4" w:space="0"/>
              <w:bottom w:val="single" w:color="000000" w:sz="4" w:space="0"/>
              <w:right w:val="single" w:color="000000" w:sz="4" w:space="0"/>
            </w:tcBorders>
            <w:vAlign w:val="center"/>
          </w:tcPr>
          <w:p w14:paraId="533556EF">
            <w:pPr>
              <w:widowControl/>
              <w:jc w:val="left"/>
              <w:rPr>
                <w:rFonts w:ascii="宋体" w:hAnsi="宋体" w:cs="宋体"/>
                <w:color w:val="000000"/>
                <w:kern w:val="0"/>
                <w:sz w:val="18"/>
                <w:szCs w:val="18"/>
              </w:rPr>
            </w:pPr>
          </w:p>
        </w:tc>
        <w:tc>
          <w:tcPr>
            <w:tcW w:w="1076" w:type="dxa"/>
            <w:vMerge w:val="continue"/>
            <w:tcBorders>
              <w:top w:val="nil"/>
              <w:left w:val="single" w:color="000000" w:sz="4" w:space="0"/>
              <w:bottom w:val="single" w:color="000000" w:sz="4" w:space="0"/>
              <w:right w:val="single" w:color="000000" w:sz="4" w:space="0"/>
            </w:tcBorders>
            <w:vAlign w:val="center"/>
          </w:tcPr>
          <w:p w14:paraId="3BAF6D8B">
            <w:pPr>
              <w:widowControl/>
              <w:jc w:val="left"/>
              <w:rPr>
                <w:rFonts w:ascii="宋体" w:hAnsi="宋体" w:cs="宋体"/>
                <w:color w:val="000000"/>
                <w:kern w:val="0"/>
                <w:sz w:val="18"/>
                <w:szCs w:val="18"/>
              </w:rPr>
            </w:pPr>
          </w:p>
        </w:tc>
        <w:tc>
          <w:tcPr>
            <w:tcW w:w="1134" w:type="dxa"/>
            <w:vMerge w:val="continue"/>
            <w:tcBorders>
              <w:top w:val="nil"/>
              <w:left w:val="single" w:color="000000" w:sz="4" w:space="0"/>
              <w:bottom w:val="single" w:color="000000" w:sz="4" w:space="0"/>
              <w:right w:val="single" w:color="000000" w:sz="4" w:space="0"/>
            </w:tcBorders>
            <w:vAlign w:val="center"/>
          </w:tcPr>
          <w:p w14:paraId="144BBC7C">
            <w:pPr>
              <w:widowControl/>
              <w:jc w:val="left"/>
              <w:rPr>
                <w:rFonts w:ascii="宋体" w:hAnsi="宋体" w:cs="宋体"/>
                <w:color w:val="000000"/>
                <w:kern w:val="0"/>
                <w:sz w:val="18"/>
                <w:szCs w:val="18"/>
              </w:rPr>
            </w:pPr>
          </w:p>
        </w:tc>
        <w:tc>
          <w:tcPr>
            <w:tcW w:w="1985" w:type="dxa"/>
            <w:tcBorders>
              <w:top w:val="nil"/>
              <w:left w:val="nil"/>
              <w:bottom w:val="single" w:color="000000" w:sz="4" w:space="0"/>
              <w:right w:val="single" w:color="000000" w:sz="4" w:space="0"/>
            </w:tcBorders>
            <w:vAlign w:val="center"/>
          </w:tcPr>
          <w:p w14:paraId="2988F1BC">
            <w:pPr>
              <w:widowControl/>
              <w:jc w:val="left"/>
              <w:textAlignment w:val="center"/>
              <w:rPr>
                <w:rFonts w:ascii="宋体" w:hAnsi="宋体" w:cs="宋体"/>
                <w:color w:val="000000"/>
                <w:kern w:val="0"/>
                <w:sz w:val="18"/>
                <w:szCs w:val="18"/>
              </w:rPr>
            </w:pPr>
            <w:r>
              <w:rPr>
                <w:rFonts w:ascii="宋体" w:hAnsi="宋体" w:cs="宋体"/>
                <w:color w:val="000000"/>
                <w:kern w:val="0"/>
                <w:sz w:val="18"/>
                <w:szCs w:val="18"/>
              </w:rPr>
              <w:t>稳住学生人数；学生减少人数</w:t>
            </w:r>
          </w:p>
        </w:tc>
        <w:tc>
          <w:tcPr>
            <w:tcW w:w="850" w:type="dxa"/>
            <w:gridSpan w:val="2"/>
            <w:tcBorders>
              <w:top w:val="nil"/>
              <w:left w:val="nil"/>
              <w:bottom w:val="single" w:color="000000" w:sz="4" w:space="0"/>
              <w:right w:val="single" w:color="000000" w:sz="4" w:space="0"/>
            </w:tcBorders>
            <w:vAlign w:val="center"/>
          </w:tcPr>
          <w:p w14:paraId="470B3CCE">
            <w:pPr>
              <w:widowControl/>
              <w:jc w:val="left"/>
              <w:textAlignment w:val="center"/>
              <w:rPr>
                <w:rFonts w:ascii="宋体" w:hAnsi="宋体" w:cs="宋体"/>
                <w:color w:val="000000"/>
                <w:kern w:val="0"/>
                <w:sz w:val="18"/>
                <w:szCs w:val="18"/>
              </w:rPr>
            </w:pPr>
            <w:r>
              <w:rPr>
                <w:rFonts w:ascii="宋体" w:hAnsi="宋体" w:cs="宋体"/>
                <w:color w:val="000000"/>
                <w:kern w:val="0"/>
                <w:sz w:val="18"/>
                <w:szCs w:val="18"/>
              </w:rPr>
              <w:t>≤</w:t>
            </w:r>
          </w:p>
        </w:tc>
        <w:tc>
          <w:tcPr>
            <w:tcW w:w="851" w:type="dxa"/>
            <w:tcBorders>
              <w:top w:val="nil"/>
              <w:left w:val="nil"/>
              <w:bottom w:val="single" w:color="000000" w:sz="4" w:space="0"/>
              <w:right w:val="single" w:color="000000" w:sz="4" w:space="0"/>
            </w:tcBorders>
            <w:vAlign w:val="center"/>
          </w:tcPr>
          <w:p w14:paraId="0A1815F9">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99</w:t>
            </w:r>
          </w:p>
        </w:tc>
        <w:tc>
          <w:tcPr>
            <w:tcW w:w="850" w:type="dxa"/>
            <w:tcBorders>
              <w:top w:val="nil"/>
              <w:left w:val="nil"/>
              <w:bottom w:val="single" w:color="000000" w:sz="4" w:space="0"/>
              <w:right w:val="single" w:color="000000" w:sz="4" w:space="0"/>
            </w:tcBorders>
            <w:vAlign w:val="center"/>
          </w:tcPr>
          <w:p w14:paraId="05629BAC">
            <w:pPr>
              <w:widowControl/>
              <w:jc w:val="left"/>
              <w:textAlignment w:val="center"/>
              <w:rPr>
                <w:rFonts w:ascii="宋体" w:hAnsi="宋体" w:cs="宋体"/>
                <w:color w:val="000000"/>
                <w:kern w:val="0"/>
                <w:sz w:val="18"/>
                <w:szCs w:val="18"/>
              </w:rPr>
            </w:pPr>
            <w:r>
              <w:rPr>
                <w:rFonts w:ascii="宋体" w:hAnsi="宋体" w:cs="宋体"/>
                <w:color w:val="000000"/>
                <w:kern w:val="0"/>
                <w:sz w:val="18"/>
                <w:szCs w:val="18"/>
              </w:rPr>
              <w:t>%</w:t>
            </w:r>
          </w:p>
        </w:tc>
        <w:tc>
          <w:tcPr>
            <w:tcW w:w="426" w:type="dxa"/>
            <w:tcBorders>
              <w:top w:val="nil"/>
              <w:left w:val="nil"/>
              <w:bottom w:val="single" w:color="000000" w:sz="4" w:space="0"/>
              <w:right w:val="single" w:color="000000" w:sz="4" w:space="0"/>
            </w:tcBorders>
            <w:vAlign w:val="center"/>
          </w:tcPr>
          <w:p w14:paraId="1F1A0AFA">
            <w:pPr>
              <w:widowControl/>
              <w:jc w:val="left"/>
              <w:textAlignment w:val="center"/>
              <w:rPr>
                <w:rFonts w:ascii="宋体" w:hAnsi="宋体" w:cs="宋体"/>
                <w:color w:val="000000"/>
                <w:kern w:val="0"/>
                <w:sz w:val="18"/>
                <w:szCs w:val="18"/>
              </w:rPr>
            </w:pPr>
            <w:r>
              <w:rPr>
                <w:rFonts w:ascii="宋体" w:hAnsi="宋体" w:cs="宋体"/>
                <w:color w:val="000000"/>
                <w:kern w:val="0"/>
                <w:sz w:val="18"/>
                <w:szCs w:val="18"/>
              </w:rPr>
              <w:t>20</w:t>
            </w:r>
          </w:p>
        </w:tc>
        <w:tc>
          <w:tcPr>
            <w:tcW w:w="1919" w:type="dxa"/>
            <w:tcBorders>
              <w:top w:val="nil"/>
              <w:left w:val="nil"/>
              <w:bottom w:val="single" w:color="000000" w:sz="4" w:space="0"/>
              <w:right w:val="single" w:color="000000" w:sz="4" w:space="0"/>
            </w:tcBorders>
            <w:vAlign w:val="center"/>
          </w:tcPr>
          <w:p w14:paraId="3D213649">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100%</w:t>
            </w:r>
          </w:p>
        </w:tc>
      </w:tr>
      <w:tr w14:paraId="3B946BAF">
        <w:tblPrEx>
          <w:tblCellMar>
            <w:top w:w="0" w:type="dxa"/>
            <w:left w:w="108" w:type="dxa"/>
            <w:bottom w:w="0" w:type="dxa"/>
            <w:right w:w="108" w:type="dxa"/>
          </w:tblCellMar>
        </w:tblPrEx>
        <w:trPr>
          <w:trHeight w:val="570" w:hRule="atLeast"/>
        </w:trPr>
        <w:tc>
          <w:tcPr>
            <w:tcW w:w="2315" w:type="dxa"/>
            <w:vMerge w:val="continue"/>
            <w:tcBorders>
              <w:top w:val="nil"/>
              <w:left w:val="single" w:color="000000" w:sz="4" w:space="0"/>
              <w:bottom w:val="single" w:color="000000" w:sz="4" w:space="0"/>
              <w:right w:val="single" w:color="000000" w:sz="4" w:space="0"/>
            </w:tcBorders>
            <w:vAlign w:val="center"/>
          </w:tcPr>
          <w:p w14:paraId="1448ACEE">
            <w:pPr>
              <w:widowControl/>
              <w:jc w:val="left"/>
              <w:rPr>
                <w:rFonts w:ascii="宋体" w:hAnsi="宋体" w:cs="宋体"/>
                <w:color w:val="000000"/>
                <w:kern w:val="0"/>
                <w:sz w:val="18"/>
                <w:szCs w:val="18"/>
              </w:rPr>
            </w:pPr>
          </w:p>
        </w:tc>
        <w:tc>
          <w:tcPr>
            <w:tcW w:w="1076" w:type="dxa"/>
            <w:vMerge w:val="continue"/>
            <w:tcBorders>
              <w:top w:val="nil"/>
              <w:left w:val="single" w:color="000000" w:sz="4" w:space="0"/>
              <w:bottom w:val="single" w:color="000000" w:sz="4" w:space="0"/>
              <w:right w:val="single" w:color="000000" w:sz="4" w:space="0"/>
            </w:tcBorders>
            <w:vAlign w:val="center"/>
          </w:tcPr>
          <w:p w14:paraId="2293AAC1">
            <w:pPr>
              <w:widowControl/>
              <w:jc w:val="left"/>
              <w:rPr>
                <w:rFonts w:ascii="宋体" w:hAnsi="宋体" w:cs="宋体"/>
                <w:color w:val="000000"/>
                <w:kern w:val="0"/>
                <w:sz w:val="18"/>
                <w:szCs w:val="18"/>
              </w:rPr>
            </w:pPr>
          </w:p>
        </w:tc>
        <w:tc>
          <w:tcPr>
            <w:tcW w:w="1134" w:type="dxa"/>
            <w:vMerge w:val="restart"/>
            <w:tcBorders>
              <w:top w:val="nil"/>
              <w:left w:val="single" w:color="000000" w:sz="4" w:space="0"/>
              <w:bottom w:val="single" w:color="000000" w:sz="4" w:space="0"/>
              <w:right w:val="single" w:color="000000" w:sz="4" w:space="0"/>
            </w:tcBorders>
            <w:vAlign w:val="center"/>
          </w:tcPr>
          <w:p w14:paraId="0801EB7C">
            <w:pPr>
              <w:widowControl/>
              <w:jc w:val="left"/>
              <w:rPr>
                <w:rFonts w:ascii="宋体" w:hAnsi="宋体" w:cs="宋体"/>
                <w:color w:val="000000"/>
                <w:kern w:val="0"/>
                <w:sz w:val="18"/>
                <w:szCs w:val="18"/>
              </w:rPr>
            </w:pPr>
            <w:r>
              <w:rPr>
                <w:rFonts w:hint="eastAsia" w:ascii="宋体" w:hAnsi="宋体" w:cs="宋体"/>
                <w:color w:val="000000"/>
                <w:kern w:val="0"/>
                <w:sz w:val="18"/>
                <w:szCs w:val="18"/>
              </w:rPr>
              <w:t>质量指标</w:t>
            </w:r>
          </w:p>
        </w:tc>
        <w:tc>
          <w:tcPr>
            <w:tcW w:w="1985" w:type="dxa"/>
            <w:tcBorders>
              <w:top w:val="nil"/>
              <w:left w:val="nil"/>
              <w:bottom w:val="single" w:color="000000" w:sz="4" w:space="0"/>
              <w:right w:val="single" w:color="000000" w:sz="4" w:space="0"/>
            </w:tcBorders>
            <w:vAlign w:val="center"/>
          </w:tcPr>
          <w:p w14:paraId="005B00C0">
            <w:pPr>
              <w:widowControl/>
              <w:jc w:val="left"/>
              <w:textAlignment w:val="center"/>
              <w:rPr>
                <w:rFonts w:ascii="宋体" w:hAnsi="宋体" w:cs="宋体"/>
                <w:color w:val="000000"/>
                <w:kern w:val="0"/>
                <w:sz w:val="18"/>
                <w:szCs w:val="18"/>
              </w:rPr>
            </w:pPr>
            <w:r>
              <w:rPr>
                <w:rFonts w:ascii="宋体" w:hAnsi="宋体" w:cs="宋体"/>
                <w:color w:val="000000"/>
                <w:kern w:val="0"/>
                <w:sz w:val="18"/>
                <w:szCs w:val="18"/>
              </w:rPr>
              <w:t>教学质量稳步提升，全校合格率在上学年度的基础上提高</w:t>
            </w:r>
          </w:p>
        </w:tc>
        <w:tc>
          <w:tcPr>
            <w:tcW w:w="850" w:type="dxa"/>
            <w:gridSpan w:val="2"/>
            <w:tcBorders>
              <w:top w:val="nil"/>
              <w:left w:val="nil"/>
              <w:bottom w:val="single" w:color="000000" w:sz="4" w:space="0"/>
              <w:right w:val="single" w:color="000000" w:sz="4" w:space="0"/>
            </w:tcBorders>
            <w:vAlign w:val="center"/>
          </w:tcPr>
          <w:p w14:paraId="0511B715">
            <w:pPr>
              <w:widowControl/>
              <w:jc w:val="left"/>
              <w:textAlignment w:val="center"/>
              <w:rPr>
                <w:rFonts w:ascii="宋体" w:hAnsi="宋体" w:cs="宋体"/>
                <w:color w:val="000000"/>
                <w:kern w:val="0"/>
                <w:sz w:val="18"/>
                <w:szCs w:val="18"/>
              </w:rPr>
            </w:pPr>
            <w:r>
              <w:rPr>
                <w:rFonts w:ascii="宋体" w:hAnsi="宋体" w:cs="宋体"/>
                <w:color w:val="000000"/>
                <w:kern w:val="0"/>
                <w:sz w:val="18"/>
                <w:szCs w:val="18"/>
              </w:rPr>
              <w:t>＞</w:t>
            </w:r>
          </w:p>
        </w:tc>
        <w:tc>
          <w:tcPr>
            <w:tcW w:w="851" w:type="dxa"/>
            <w:tcBorders>
              <w:top w:val="nil"/>
              <w:left w:val="nil"/>
              <w:bottom w:val="single" w:color="000000" w:sz="4" w:space="0"/>
              <w:right w:val="single" w:color="000000" w:sz="4" w:space="0"/>
            </w:tcBorders>
            <w:vAlign w:val="center"/>
          </w:tcPr>
          <w:p w14:paraId="36B5C1A1">
            <w:pPr>
              <w:widowControl/>
              <w:jc w:val="left"/>
              <w:textAlignment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val="en-US" w:eastAsia="zh-CN"/>
              </w:rPr>
              <w:t>2</w:t>
            </w:r>
          </w:p>
        </w:tc>
        <w:tc>
          <w:tcPr>
            <w:tcW w:w="850" w:type="dxa"/>
            <w:tcBorders>
              <w:top w:val="nil"/>
              <w:left w:val="nil"/>
              <w:bottom w:val="single" w:color="000000" w:sz="4" w:space="0"/>
              <w:right w:val="single" w:color="000000" w:sz="4" w:space="0"/>
            </w:tcBorders>
            <w:vAlign w:val="center"/>
          </w:tcPr>
          <w:p w14:paraId="481CB935">
            <w:pPr>
              <w:widowControl/>
              <w:jc w:val="left"/>
              <w:textAlignment w:val="center"/>
              <w:rPr>
                <w:rFonts w:ascii="宋体" w:hAnsi="宋体" w:cs="宋体"/>
                <w:color w:val="000000"/>
                <w:kern w:val="0"/>
                <w:sz w:val="18"/>
                <w:szCs w:val="18"/>
              </w:rPr>
            </w:pPr>
            <w:r>
              <w:rPr>
                <w:rFonts w:ascii="宋体" w:hAnsi="宋体" w:cs="宋体"/>
                <w:color w:val="000000"/>
                <w:kern w:val="0"/>
                <w:sz w:val="18"/>
                <w:szCs w:val="18"/>
              </w:rPr>
              <w:t>%</w:t>
            </w:r>
          </w:p>
        </w:tc>
        <w:tc>
          <w:tcPr>
            <w:tcW w:w="426" w:type="dxa"/>
            <w:tcBorders>
              <w:top w:val="nil"/>
              <w:left w:val="nil"/>
              <w:bottom w:val="single" w:color="000000" w:sz="4" w:space="0"/>
              <w:right w:val="single" w:color="000000" w:sz="4" w:space="0"/>
            </w:tcBorders>
            <w:vAlign w:val="center"/>
          </w:tcPr>
          <w:p w14:paraId="43922E5C">
            <w:pPr>
              <w:widowControl/>
              <w:jc w:val="left"/>
              <w:textAlignment w:val="center"/>
              <w:rPr>
                <w:rFonts w:ascii="宋体" w:hAnsi="宋体" w:cs="宋体"/>
                <w:color w:val="000000"/>
                <w:kern w:val="0"/>
                <w:sz w:val="18"/>
                <w:szCs w:val="18"/>
              </w:rPr>
            </w:pPr>
            <w:r>
              <w:rPr>
                <w:rFonts w:ascii="宋体" w:hAnsi="宋体" w:cs="宋体"/>
                <w:color w:val="000000"/>
                <w:kern w:val="0"/>
                <w:sz w:val="18"/>
                <w:szCs w:val="18"/>
              </w:rPr>
              <w:t>10</w:t>
            </w:r>
          </w:p>
        </w:tc>
        <w:tc>
          <w:tcPr>
            <w:tcW w:w="1919" w:type="dxa"/>
            <w:tcBorders>
              <w:top w:val="nil"/>
              <w:left w:val="nil"/>
              <w:bottom w:val="single" w:color="000000" w:sz="4" w:space="0"/>
              <w:right w:val="single" w:color="000000" w:sz="4" w:space="0"/>
            </w:tcBorders>
            <w:vAlign w:val="center"/>
          </w:tcPr>
          <w:p w14:paraId="54DE4B16">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100%</w:t>
            </w:r>
          </w:p>
        </w:tc>
      </w:tr>
      <w:tr w14:paraId="717A16A1">
        <w:tblPrEx>
          <w:tblCellMar>
            <w:top w:w="0" w:type="dxa"/>
            <w:left w:w="108" w:type="dxa"/>
            <w:bottom w:w="0" w:type="dxa"/>
            <w:right w:w="108" w:type="dxa"/>
          </w:tblCellMar>
        </w:tblPrEx>
        <w:trPr>
          <w:trHeight w:val="570" w:hRule="atLeast"/>
        </w:trPr>
        <w:tc>
          <w:tcPr>
            <w:tcW w:w="2315" w:type="dxa"/>
            <w:vMerge w:val="continue"/>
            <w:tcBorders>
              <w:top w:val="nil"/>
              <w:left w:val="single" w:color="000000" w:sz="4" w:space="0"/>
              <w:bottom w:val="single" w:color="000000" w:sz="4" w:space="0"/>
              <w:right w:val="single" w:color="000000" w:sz="4" w:space="0"/>
            </w:tcBorders>
            <w:vAlign w:val="center"/>
          </w:tcPr>
          <w:p w14:paraId="7A9FEB9C">
            <w:pPr>
              <w:widowControl/>
              <w:jc w:val="left"/>
              <w:rPr>
                <w:rFonts w:ascii="宋体" w:hAnsi="宋体" w:cs="宋体"/>
                <w:color w:val="000000"/>
                <w:kern w:val="0"/>
                <w:sz w:val="18"/>
                <w:szCs w:val="18"/>
              </w:rPr>
            </w:pPr>
          </w:p>
        </w:tc>
        <w:tc>
          <w:tcPr>
            <w:tcW w:w="1076" w:type="dxa"/>
            <w:vMerge w:val="continue"/>
            <w:tcBorders>
              <w:top w:val="nil"/>
              <w:left w:val="single" w:color="000000" w:sz="4" w:space="0"/>
              <w:bottom w:val="single" w:color="000000" w:sz="4" w:space="0"/>
              <w:right w:val="single" w:color="000000" w:sz="4" w:space="0"/>
            </w:tcBorders>
            <w:vAlign w:val="center"/>
          </w:tcPr>
          <w:p w14:paraId="1030F572">
            <w:pPr>
              <w:widowControl/>
              <w:jc w:val="left"/>
              <w:rPr>
                <w:rFonts w:ascii="宋体" w:hAnsi="宋体" w:cs="宋体"/>
                <w:color w:val="000000"/>
                <w:kern w:val="0"/>
                <w:sz w:val="18"/>
                <w:szCs w:val="18"/>
              </w:rPr>
            </w:pPr>
          </w:p>
        </w:tc>
        <w:tc>
          <w:tcPr>
            <w:tcW w:w="1134" w:type="dxa"/>
            <w:vMerge w:val="continue"/>
            <w:tcBorders>
              <w:top w:val="nil"/>
              <w:left w:val="single" w:color="000000" w:sz="4" w:space="0"/>
              <w:bottom w:val="single" w:color="000000" w:sz="4" w:space="0"/>
              <w:right w:val="single" w:color="000000" w:sz="4" w:space="0"/>
            </w:tcBorders>
            <w:vAlign w:val="center"/>
          </w:tcPr>
          <w:p w14:paraId="51E8020E">
            <w:pPr>
              <w:widowControl/>
              <w:jc w:val="left"/>
              <w:rPr>
                <w:rFonts w:ascii="宋体" w:hAnsi="宋体" w:cs="宋体"/>
                <w:color w:val="000000"/>
                <w:kern w:val="0"/>
                <w:sz w:val="18"/>
                <w:szCs w:val="18"/>
              </w:rPr>
            </w:pPr>
          </w:p>
        </w:tc>
        <w:tc>
          <w:tcPr>
            <w:tcW w:w="1985" w:type="dxa"/>
            <w:tcBorders>
              <w:top w:val="nil"/>
              <w:left w:val="nil"/>
              <w:bottom w:val="single" w:color="000000" w:sz="4" w:space="0"/>
              <w:right w:val="single" w:color="000000" w:sz="4" w:space="0"/>
            </w:tcBorders>
            <w:vAlign w:val="center"/>
          </w:tcPr>
          <w:p w14:paraId="3DEEADA1">
            <w:pPr>
              <w:widowControl/>
              <w:jc w:val="left"/>
              <w:textAlignment w:val="center"/>
              <w:rPr>
                <w:rFonts w:ascii="宋体" w:hAnsi="宋体" w:cs="宋体"/>
                <w:color w:val="000000"/>
                <w:kern w:val="0"/>
                <w:sz w:val="18"/>
                <w:szCs w:val="18"/>
              </w:rPr>
            </w:pPr>
            <w:r>
              <w:rPr>
                <w:rFonts w:ascii="宋体" w:hAnsi="宋体" w:cs="宋体"/>
                <w:color w:val="000000"/>
                <w:kern w:val="0"/>
                <w:sz w:val="18"/>
                <w:szCs w:val="18"/>
              </w:rPr>
              <w:t>校园安全稳定，严重安全事故发生率</w:t>
            </w:r>
          </w:p>
        </w:tc>
        <w:tc>
          <w:tcPr>
            <w:tcW w:w="850" w:type="dxa"/>
            <w:gridSpan w:val="2"/>
            <w:tcBorders>
              <w:top w:val="nil"/>
              <w:left w:val="nil"/>
              <w:bottom w:val="single" w:color="000000" w:sz="4" w:space="0"/>
              <w:right w:val="single" w:color="000000" w:sz="4" w:space="0"/>
            </w:tcBorders>
            <w:vAlign w:val="center"/>
          </w:tcPr>
          <w:p w14:paraId="71F9F5AF">
            <w:pPr>
              <w:widowControl/>
              <w:jc w:val="left"/>
              <w:textAlignment w:val="center"/>
              <w:rPr>
                <w:rFonts w:ascii="宋体" w:hAnsi="宋体" w:cs="宋体"/>
                <w:color w:val="000000"/>
                <w:kern w:val="0"/>
                <w:sz w:val="18"/>
                <w:szCs w:val="18"/>
              </w:rPr>
            </w:pPr>
            <w:r>
              <w:rPr>
                <w:rFonts w:ascii="宋体" w:hAnsi="宋体" w:cs="宋体"/>
                <w:color w:val="000000"/>
                <w:kern w:val="0"/>
                <w:sz w:val="18"/>
                <w:szCs w:val="18"/>
              </w:rPr>
              <w:t>＝</w:t>
            </w:r>
          </w:p>
        </w:tc>
        <w:tc>
          <w:tcPr>
            <w:tcW w:w="851" w:type="dxa"/>
            <w:tcBorders>
              <w:top w:val="nil"/>
              <w:left w:val="nil"/>
              <w:bottom w:val="single" w:color="000000" w:sz="4" w:space="0"/>
              <w:right w:val="single" w:color="000000" w:sz="4" w:space="0"/>
            </w:tcBorders>
            <w:vAlign w:val="center"/>
          </w:tcPr>
          <w:p w14:paraId="6548CFB7">
            <w:pPr>
              <w:widowControl/>
              <w:jc w:val="left"/>
              <w:textAlignment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val="en-US" w:eastAsia="zh-CN"/>
              </w:rPr>
              <w:t>0</w:t>
            </w:r>
          </w:p>
        </w:tc>
        <w:tc>
          <w:tcPr>
            <w:tcW w:w="850" w:type="dxa"/>
            <w:tcBorders>
              <w:top w:val="nil"/>
              <w:left w:val="nil"/>
              <w:bottom w:val="single" w:color="000000" w:sz="4" w:space="0"/>
              <w:right w:val="single" w:color="000000" w:sz="4" w:space="0"/>
            </w:tcBorders>
            <w:vAlign w:val="center"/>
          </w:tcPr>
          <w:p w14:paraId="70192979">
            <w:pPr>
              <w:widowControl/>
              <w:jc w:val="left"/>
              <w:textAlignment w:val="center"/>
              <w:rPr>
                <w:rFonts w:ascii="宋体" w:hAnsi="宋体" w:cs="宋体"/>
                <w:color w:val="000000"/>
                <w:kern w:val="0"/>
                <w:sz w:val="18"/>
                <w:szCs w:val="18"/>
              </w:rPr>
            </w:pPr>
            <w:r>
              <w:rPr>
                <w:rFonts w:ascii="宋体" w:hAnsi="宋体" w:cs="宋体"/>
                <w:color w:val="000000"/>
                <w:kern w:val="0"/>
                <w:sz w:val="18"/>
                <w:szCs w:val="18"/>
              </w:rPr>
              <w:t>%</w:t>
            </w:r>
          </w:p>
        </w:tc>
        <w:tc>
          <w:tcPr>
            <w:tcW w:w="426" w:type="dxa"/>
            <w:tcBorders>
              <w:top w:val="nil"/>
              <w:left w:val="nil"/>
              <w:bottom w:val="single" w:color="000000" w:sz="4" w:space="0"/>
              <w:right w:val="single" w:color="000000" w:sz="4" w:space="0"/>
            </w:tcBorders>
            <w:vAlign w:val="center"/>
          </w:tcPr>
          <w:p w14:paraId="3A77045C">
            <w:pPr>
              <w:widowControl/>
              <w:jc w:val="left"/>
              <w:textAlignment w:val="center"/>
              <w:rPr>
                <w:rFonts w:ascii="宋体" w:hAnsi="宋体" w:cs="宋体"/>
                <w:color w:val="000000"/>
                <w:kern w:val="0"/>
                <w:sz w:val="18"/>
                <w:szCs w:val="18"/>
              </w:rPr>
            </w:pPr>
            <w:r>
              <w:rPr>
                <w:rFonts w:ascii="宋体" w:hAnsi="宋体" w:cs="宋体"/>
                <w:color w:val="000000"/>
                <w:kern w:val="0"/>
                <w:sz w:val="18"/>
                <w:szCs w:val="18"/>
              </w:rPr>
              <w:t>10</w:t>
            </w:r>
          </w:p>
        </w:tc>
        <w:tc>
          <w:tcPr>
            <w:tcW w:w="1919" w:type="dxa"/>
            <w:tcBorders>
              <w:top w:val="nil"/>
              <w:left w:val="nil"/>
              <w:bottom w:val="single" w:color="000000" w:sz="4" w:space="0"/>
              <w:right w:val="single" w:color="000000" w:sz="4" w:space="0"/>
            </w:tcBorders>
            <w:vAlign w:val="center"/>
          </w:tcPr>
          <w:p w14:paraId="6D1C25AF">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100%</w:t>
            </w:r>
          </w:p>
        </w:tc>
      </w:tr>
      <w:tr w14:paraId="2A018F46">
        <w:tblPrEx>
          <w:tblCellMar>
            <w:top w:w="0" w:type="dxa"/>
            <w:left w:w="108" w:type="dxa"/>
            <w:bottom w:w="0" w:type="dxa"/>
            <w:right w:w="108" w:type="dxa"/>
          </w:tblCellMar>
        </w:tblPrEx>
        <w:trPr>
          <w:trHeight w:val="570" w:hRule="atLeast"/>
        </w:trPr>
        <w:tc>
          <w:tcPr>
            <w:tcW w:w="2315" w:type="dxa"/>
            <w:vMerge w:val="continue"/>
            <w:tcBorders>
              <w:top w:val="nil"/>
              <w:left w:val="single" w:color="000000" w:sz="4" w:space="0"/>
              <w:bottom w:val="single" w:color="000000" w:sz="4" w:space="0"/>
              <w:right w:val="single" w:color="000000" w:sz="4" w:space="0"/>
            </w:tcBorders>
            <w:vAlign w:val="center"/>
          </w:tcPr>
          <w:p w14:paraId="6D423A03">
            <w:pPr>
              <w:widowControl/>
              <w:jc w:val="left"/>
              <w:rPr>
                <w:rFonts w:ascii="宋体" w:hAnsi="宋体" w:cs="宋体"/>
                <w:color w:val="000000"/>
                <w:kern w:val="0"/>
                <w:sz w:val="18"/>
                <w:szCs w:val="18"/>
              </w:rPr>
            </w:pPr>
          </w:p>
        </w:tc>
        <w:tc>
          <w:tcPr>
            <w:tcW w:w="1076" w:type="dxa"/>
            <w:vMerge w:val="restart"/>
            <w:tcBorders>
              <w:top w:val="nil"/>
              <w:left w:val="single" w:color="000000" w:sz="4" w:space="0"/>
              <w:bottom w:val="single" w:color="000000" w:sz="4" w:space="0"/>
              <w:right w:val="single" w:color="000000" w:sz="4" w:space="0"/>
            </w:tcBorders>
            <w:vAlign w:val="center"/>
          </w:tcPr>
          <w:p w14:paraId="6E2A185E">
            <w:pPr>
              <w:widowControl/>
              <w:jc w:val="left"/>
              <w:rPr>
                <w:rFonts w:ascii="宋体" w:hAnsi="宋体" w:cs="宋体"/>
                <w:color w:val="000000"/>
                <w:kern w:val="0"/>
                <w:sz w:val="18"/>
                <w:szCs w:val="18"/>
              </w:rPr>
            </w:pPr>
            <w:r>
              <w:rPr>
                <w:rFonts w:hint="eastAsia" w:ascii="宋体" w:hAnsi="宋体" w:cs="宋体"/>
                <w:color w:val="000000"/>
                <w:kern w:val="0"/>
                <w:sz w:val="18"/>
                <w:szCs w:val="18"/>
              </w:rPr>
              <w:t>效益指标</w:t>
            </w:r>
          </w:p>
        </w:tc>
        <w:tc>
          <w:tcPr>
            <w:tcW w:w="1134" w:type="dxa"/>
            <w:vMerge w:val="restart"/>
            <w:tcBorders>
              <w:top w:val="nil"/>
              <w:left w:val="single" w:color="000000" w:sz="4" w:space="0"/>
              <w:bottom w:val="single" w:color="000000" w:sz="4" w:space="0"/>
              <w:right w:val="single" w:color="000000" w:sz="4" w:space="0"/>
            </w:tcBorders>
            <w:vAlign w:val="center"/>
          </w:tcPr>
          <w:p w14:paraId="62E96AFE">
            <w:pPr>
              <w:widowControl/>
              <w:jc w:val="left"/>
              <w:rPr>
                <w:rFonts w:ascii="宋体" w:hAnsi="宋体" w:cs="宋体"/>
                <w:color w:val="000000"/>
                <w:kern w:val="0"/>
                <w:sz w:val="18"/>
                <w:szCs w:val="18"/>
              </w:rPr>
            </w:pPr>
            <w:r>
              <w:rPr>
                <w:rFonts w:hint="eastAsia" w:ascii="宋体" w:hAnsi="宋体" w:cs="宋体"/>
                <w:color w:val="000000"/>
                <w:kern w:val="0"/>
                <w:sz w:val="18"/>
                <w:szCs w:val="18"/>
              </w:rPr>
              <w:t>社会效益指标</w:t>
            </w:r>
          </w:p>
        </w:tc>
        <w:tc>
          <w:tcPr>
            <w:tcW w:w="1985" w:type="dxa"/>
            <w:tcBorders>
              <w:top w:val="nil"/>
              <w:left w:val="nil"/>
              <w:bottom w:val="single" w:color="000000" w:sz="4" w:space="0"/>
              <w:right w:val="single" w:color="000000" w:sz="4" w:space="0"/>
            </w:tcBorders>
            <w:vAlign w:val="center"/>
          </w:tcPr>
          <w:p w14:paraId="53D91E85">
            <w:pPr>
              <w:widowControl/>
              <w:jc w:val="left"/>
              <w:rPr>
                <w:rFonts w:ascii="宋体" w:hAnsi="宋体" w:cs="宋体"/>
                <w:color w:val="000000"/>
                <w:kern w:val="0"/>
                <w:sz w:val="18"/>
                <w:szCs w:val="18"/>
              </w:rPr>
            </w:pPr>
            <w:r>
              <w:rPr>
                <w:rFonts w:hint="eastAsia" w:ascii="宋体" w:hAnsi="宋体" w:cs="宋体"/>
                <w:color w:val="000000"/>
                <w:kern w:val="0"/>
                <w:sz w:val="18"/>
                <w:szCs w:val="18"/>
              </w:rPr>
              <w:t>提高学生整体素质</w:t>
            </w:r>
          </w:p>
        </w:tc>
        <w:tc>
          <w:tcPr>
            <w:tcW w:w="850" w:type="dxa"/>
            <w:gridSpan w:val="2"/>
            <w:tcBorders>
              <w:top w:val="nil"/>
              <w:left w:val="nil"/>
              <w:bottom w:val="single" w:color="000000" w:sz="4" w:space="0"/>
              <w:right w:val="single" w:color="000000" w:sz="4" w:space="0"/>
            </w:tcBorders>
            <w:vAlign w:val="center"/>
          </w:tcPr>
          <w:p w14:paraId="74D9BA16">
            <w:pPr>
              <w:widowControl/>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1" w:type="dxa"/>
            <w:tcBorders>
              <w:top w:val="nil"/>
              <w:left w:val="nil"/>
              <w:bottom w:val="single" w:color="000000" w:sz="4" w:space="0"/>
              <w:right w:val="single" w:color="000000" w:sz="4" w:space="0"/>
            </w:tcBorders>
            <w:vAlign w:val="center"/>
          </w:tcPr>
          <w:p w14:paraId="70D316F9">
            <w:pPr>
              <w:widowControl/>
              <w:jc w:val="left"/>
              <w:rPr>
                <w:rFonts w:ascii="宋体" w:hAnsi="宋体" w:cs="宋体"/>
                <w:color w:val="000000"/>
                <w:kern w:val="0"/>
                <w:sz w:val="18"/>
                <w:szCs w:val="18"/>
              </w:rPr>
            </w:pPr>
            <w:r>
              <w:rPr>
                <w:rFonts w:hint="eastAsia" w:ascii="宋体" w:hAnsi="宋体" w:cs="宋体"/>
                <w:color w:val="000000"/>
                <w:kern w:val="0"/>
                <w:sz w:val="18"/>
                <w:szCs w:val="18"/>
              </w:rPr>
              <w:t>95</w:t>
            </w:r>
          </w:p>
        </w:tc>
        <w:tc>
          <w:tcPr>
            <w:tcW w:w="850" w:type="dxa"/>
            <w:tcBorders>
              <w:top w:val="nil"/>
              <w:left w:val="nil"/>
              <w:bottom w:val="single" w:color="000000" w:sz="4" w:space="0"/>
              <w:right w:val="single" w:color="000000" w:sz="4" w:space="0"/>
            </w:tcBorders>
            <w:vAlign w:val="center"/>
          </w:tcPr>
          <w:p w14:paraId="34C42AAA">
            <w:pPr>
              <w:widowControl/>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426" w:type="dxa"/>
            <w:tcBorders>
              <w:top w:val="nil"/>
              <w:left w:val="nil"/>
              <w:bottom w:val="single" w:color="000000" w:sz="4" w:space="0"/>
              <w:right w:val="single" w:color="000000" w:sz="4" w:space="0"/>
            </w:tcBorders>
            <w:vAlign w:val="center"/>
          </w:tcPr>
          <w:p w14:paraId="7BB6AA8F">
            <w:pPr>
              <w:widowControl/>
              <w:jc w:val="left"/>
              <w:rPr>
                <w:rFonts w:ascii="宋体" w:hAnsi="宋体" w:cs="宋体"/>
                <w:color w:val="000000"/>
                <w:kern w:val="0"/>
                <w:sz w:val="18"/>
                <w:szCs w:val="18"/>
              </w:rPr>
            </w:pPr>
            <w:r>
              <w:rPr>
                <w:rFonts w:hint="eastAsia" w:ascii="宋体" w:hAnsi="宋体" w:cs="宋体"/>
                <w:color w:val="000000"/>
                <w:kern w:val="0"/>
                <w:sz w:val="18"/>
                <w:szCs w:val="18"/>
              </w:rPr>
              <w:t>3</w:t>
            </w:r>
          </w:p>
        </w:tc>
        <w:tc>
          <w:tcPr>
            <w:tcW w:w="1919" w:type="dxa"/>
            <w:tcBorders>
              <w:top w:val="nil"/>
              <w:left w:val="nil"/>
              <w:bottom w:val="single" w:color="000000" w:sz="4" w:space="0"/>
              <w:right w:val="single" w:color="000000" w:sz="4" w:space="0"/>
            </w:tcBorders>
            <w:vAlign w:val="center"/>
          </w:tcPr>
          <w:p w14:paraId="618BD9F5">
            <w:pPr>
              <w:widowControl/>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rPr>
              <w:t>9</w:t>
            </w:r>
            <w:r>
              <w:rPr>
                <w:rFonts w:ascii="宋体" w:hAnsi="宋体" w:cs="宋体"/>
                <w:color w:val="000000"/>
                <w:kern w:val="0"/>
                <w:sz w:val="18"/>
                <w:szCs w:val="18"/>
              </w:rPr>
              <w:t>6</w:t>
            </w:r>
            <w:r>
              <w:rPr>
                <w:rFonts w:hint="eastAsia" w:ascii="宋体" w:hAnsi="宋体" w:cs="宋体"/>
                <w:color w:val="000000"/>
                <w:kern w:val="0"/>
                <w:sz w:val="18"/>
                <w:szCs w:val="18"/>
                <w:lang w:val="en-US" w:eastAsia="zh-CN"/>
              </w:rPr>
              <w:t>%</w:t>
            </w:r>
          </w:p>
        </w:tc>
      </w:tr>
      <w:tr w14:paraId="25F75E74">
        <w:tblPrEx>
          <w:tblCellMar>
            <w:top w:w="0" w:type="dxa"/>
            <w:left w:w="108" w:type="dxa"/>
            <w:bottom w:w="0" w:type="dxa"/>
            <w:right w:w="108" w:type="dxa"/>
          </w:tblCellMar>
        </w:tblPrEx>
        <w:trPr>
          <w:trHeight w:val="570" w:hRule="atLeast"/>
        </w:trPr>
        <w:tc>
          <w:tcPr>
            <w:tcW w:w="2315" w:type="dxa"/>
            <w:vMerge w:val="continue"/>
            <w:tcBorders>
              <w:top w:val="nil"/>
              <w:left w:val="single" w:color="000000" w:sz="4" w:space="0"/>
              <w:bottom w:val="single" w:color="000000" w:sz="4" w:space="0"/>
              <w:right w:val="single" w:color="000000" w:sz="4" w:space="0"/>
            </w:tcBorders>
            <w:vAlign w:val="center"/>
          </w:tcPr>
          <w:p w14:paraId="6754728B">
            <w:pPr>
              <w:widowControl/>
              <w:jc w:val="left"/>
              <w:rPr>
                <w:rFonts w:ascii="宋体" w:hAnsi="宋体" w:cs="宋体"/>
                <w:color w:val="000000"/>
                <w:kern w:val="0"/>
                <w:sz w:val="18"/>
                <w:szCs w:val="18"/>
              </w:rPr>
            </w:pPr>
          </w:p>
        </w:tc>
        <w:tc>
          <w:tcPr>
            <w:tcW w:w="1076" w:type="dxa"/>
            <w:vMerge w:val="continue"/>
            <w:tcBorders>
              <w:top w:val="nil"/>
              <w:left w:val="single" w:color="000000" w:sz="4" w:space="0"/>
              <w:bottom w:val="single" w:color="000000" w:sz="4" w:space="0"/>
              <w:right w:val="single" w:color="000000" w:sz="4" w:space="0"/>
            </w:tcBorders>
            <w:vAlign w:val="center"/>
          </w:tcPr>
          <w:p w14:paraId="4F971366">
            <w:pPr>
              <w:widowControl/>
              <w:jc w:val="left"/>
              <w:rPr>
                <w:rFonts w:ascii="宋体" w:hAnsi="宋体" w:cs="宋体"/>
                <w:color w:val="000000"/>
                <w:kern w:val="0"/>
                <w:sz w:val="18"/>
                <w:szCs w:val="18"/>
              </w:rPr>
            </w:pPr>
          </w:p>
        </w:tc>
        <w:tc>
          <w:tcPr>
            <w:tcW w:w="1134" w:type="dxa"/>
            <w:vMerge w:val="continue"/>
            <w:tcBorders>
              <w:top w:val="nil"/>
              <w:left w:val="single" w:color="000000" w:sz="4" w:space="0"/>
              <w:bottom w:val="single" w:color="000000" w:sz="4" w:space="0"/>
              <w:right w:val="single" w:color="000000" w:sz="4" w:space="0"/>
            </w:tcBorders>
            <w:vAlign w:val="center"/>
          </w:tcPr>
          <w:p w14:paraId="07E57DFA">
            <w:pPr>
              <w:widowControl/>
              <w:jc w:val="left"/>
              <w:rPr>
                <w:rFonts w:ascii="宋体" w:hAnsi="宋体" w:cs="宋体"/>
                <w:color w:val="000000"/>
                <w:kern w:val="0"/>
                <w:sz w:val="18"/>
                <w:szCs w:val="18"/>
              </w:rPr>
            </w:pPr>
          </w:p>
        </w:tc>
        <w:tc>
          <w:tcPr>
            <w:tcW w:w="1985" w:type="dxa"/>
            <w:tcBorders>
              <w:top w:val="nil"/>
              <w:left w:val="nil"/>
              <w:bottom w:val="single" w:color="000000" w:sz="4" w:space="0"/>
              <w:right w:val="single" w:color="000000" w:sz="4" w:space="0"/>
            </w:tcBorders>
            <w:vAlign w:val="center"/>
          </w:tcPr>
          <w:p w14:paraId="616FCDB1">
            <w:pPr>
              <w:widowControl/>
              <w:jc w:val="left"/>
              <w:rPr>
                <w:rFonts w:ascii="宋体" w:hAnsi="宋体" w:cs="宋体"/>
                <w:color w:val="000000"/>
                <w:kern w:val="0"/>
                <w:sz w:val="18"/>
                <w:szCs w:val="18"/>
              </w:rPr>
            </w:pPr>
            <w:r>
              <w:rPr>
                <w:rFonts w:hint="eastAsia" w:ascii="宋体" w:hAnsi="宋体" w:cs="宋体"/>
                <w:color w:val="000000"/>
                <w:kern w:val="0"/>
                <w:sz w:val="18"/>
                <w:szCs w:val="18"/>
              </w:rPr>
              <w:t>维护学生合法权益</w:t>
            </w:r>
          </w:p>
        </w:tc>
        <w:tc>
          <w:tcPr>
            <w:tcW w:w="850" w:type="dxa"/>
            <w:gridSpan w:val="2"/>
            <w:tcBorders>
              <w:top w:val="nil"/>
              <w:left w:val="nil"/>
              <w:bottom w:val="single" w:color="000000" w:sz="4" w:space="0"/>
              <w:right w:val="single" w:color="000000" w:sz="4" w:space="0"/>
            </w:tcBorders>
            <w:vAlign w:val="center"/>
          </w:tcPr>
          <w:p w14:paraId="452282A8">
            <w:pPr>
              <w:widowControl/>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1" w:type="dxa"/>
            <w:tcBorders>
              <w:top w:val="nil"/>
              <w:left w:val="nil"/>
              <w:bottom w:val="single" w:color="000000" w:sz="4" w:space="0"/>
              <w:right w:val="single" w:color="000000" w:sz="4" w:space="0"/>
            </w:tcBorders>
            <w:vAlign w:val="center"/>
          </w:tcPr>
          <w:p w14:paraId="1D821D38">
            <w:pPr>
              <w:widowControl/>
              <w:jc w:val="left"/>
              <w:rPr>
                <w:rFonts w:ascii="宋体" w:hAnsi="宋体" w:cs="宋体"/>
                <w:color w:val="000000"/>
                <w:kern w:val="0"/>
                <w:sz w:val="18"/>
                <w:szCs w:val="18"/>
              </w:rPr>
            </w:pPr>
            <w:r>
              <w:rPr>
                <w:rFonts w:hint="eastAsia" w:ascii="宋体" w:hAnsi="宋体" w:cs="宋体"/>
                <w:color w:val="000000"/>
                <w:kern w:val="0"/>
                <w:sz w:val="18"/>
                <w:szCs w:val="18"/>
              </w:rPr>
              <w:t>100</w:t>
            </w:r>
          </w:p>
        </w:tc>
        <w:tc>
          <w:tcPr>
            <w:tcW w:w="850" w:type="dxa"/>
            <w:tcBorders>
              <w:top w:val="nil"/>
              <w:left w:val="nil"/>
              <w:bottom w:val="single" w:color="000000" w:sz="4" w:space="0"/>
              <w:right w:val="single" w:color="000000" w:sz="4" w:space="0"/>
            </w:tcBorders>
            <w:vAlign w:val="center"/>
          </w:tcPr>
          <w:p w14:paraId="16A90797">
            <w:pPr>
              <w:widowControl/>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426" w:type="dxa"/>
            <w:tcBorders>
              <w:top w:val="nil"/>
              <w:left w:val="nil"/>
              <w:bottom w:val="single" w:color="000000" w:sz="4" w:space="0"/>
              <w:right w:val="single" w:color="000000" w:sz="4" w:space="0"/>
            </w:tcBorders>
            <w:vAlign w:val="center"/>
          </w:tcPr>
          <w:p w14:paraId="1B356D2F">
            <w:pPr>
              <w:widowControl/>
              <w:jc w:val="left"/>
              <w:rPr>
                <w:rFonts w:ascii="宋体" w:hAnsi="宋体" w:cs="宋体"/>
                <w:color w:val="000000"/>
                <w:kern w:val="0"/>
                <w:sz w:val="18"/>
                <w:szCs w:val="18"/>
              </w:rPr>
            </w:pPr>
            <w:r>
              <w:rPr>
                <w:rFonts w:hint="eastAsia" w:ascii="宋体" w:hAnsi="宋体" w:cs="宋体"/>
                <w:color w:val="000000"/>
                <w:kern w:val="0"/>
                <w:sz w:val="18"/>
                <w:szCs w:val="18"/>
              </w:rPr>
              <w:t>3</w:t>
            </w:r>
          </w:p>
        </w:tc>
        <w:tc>
          <w:tcPr>
            <w:tcW w:w="1919" w:type="dxa"/>
            <w:tcBorders>
              <w:top w:val="nil"/>
              <w:left w:val="nil"/>
              <w:bottom w:val="single" w:color="000000" w:sz="4" w:space="0"/>
              <w:right w:val="single" w:color="000000" w:sz="4" w:space="0"/>
            </w:tcBorders>
            <w:vAlign w:val="center"/>
          </w:tcPr>
          <w:p w14:paraId="59C88053">
            <w:pPr>
              <w:widowControl/>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rPr>
              <w:t>1</w:t>
            </w:r>
            <w:r>
              <w:rPr>
                <w:rFonts w:ascii="宋体" w:hAnsi="宋体" w:cs="宋体"/>
                <w:color w:val="000000"/>
                <w:kern w:val="0"/>
                <w:sz w:val="18"/>
                <w:szCs w:val="18"/>
              </w:rPr>
              <w:t>00</w:t>
            </w:r>
            <w:r>
              <w:rPr>
                <w:rFonts w:hint="eastAsia" w:ascii="宋体" w:hAnsi="宋体" w:cs="宋体"/>
                <w:color w:val="000000"/>
                <w:kern w:val="0"/>
                <w:sz w:val="18"/>
                <w:szCs w:val="18"/>
                <w:lang w:val="en-US" w:eastAsia="zh-CN"/>
              </w:rPr>
              <w:t>%</w:t>
            </w:r>
          </w:p>
        </w:tc>
      </w:tr>
      <w:tr w14:paraId="6B95BAE7">
        <w:tblPrEx>
          <w:tblCellMar>
            <w:top w:w="0" w:type="dxa"/>
            <w:left w:w="108" w:type="dxa"/>
            <w:bottom w:w="0" w:type="dxa"/>
            <w:right w:w="108" w:type="dxa"/>
          </w:tblCellMar>
        </w:tblPrEx>
        <w:trPr>
          <w:trHeight w:val="570" w:hRule="atLeast"/>
        </w:trPr>
        <w:tc>
          <w:tcPr>
            <w:tcW w:w="2315" w:type="dxa"/>
            <w:vMerge w:val="continue"/>
            <w:tcBorders>
              <w:top w:val="nil"/>
              <w:left w:val="single" w:color="000000" w:sz="4" w:space="0"/>
              <w:bottom w:val="single" w:color="000000" w:sz="4" w:space="0"/>
              <w:right w:val="single" w:color="000000" w:sz="4" w:space="0"/>
            </w:tcBorders>
            <w:vAlign w:val="center"/>
          </w:tcPr>
          <w:p w14:paraId="1B7A6827">
            <w:pPr>
              <w:widowControl/>
              <w:jc w:val="left"/>
              <w:rPr>
                <w:rFonts w:ascii="宋体" w:hAnsi="宋体" w:cs="宋体"/>
                <w:color w:val="000000"/>
                <w:kern w:val="0"/>
                <w:sz w:val="18"/>
                <w:szCs w:val="18"/>
              </w:rPr>
            </w:pPr>
          </w:p>
        </w:tc>
        <w:tc>
          <w:tcPr>
            <w:tcW w:w="1076" w:type="dxa"/>
            <w:vMerge w:val="continue"/>
            <w:tcBorders>
              <w:top w:val="nil"/>
              <w:left w:val="single" w:color="000000" w:sz="4" w:space="0"/>
              <w:bottom w:val="single" w:color="000000" w:sz="4" w:space="0"/>
              <w:right w:val="single" w:color="000000" w:sz="4" w:space="0"/>
            </w:tcBorders>
            <w:vAlign w:val="center"/>
          </w:tcPr>
          <w:p w14:paraId="44D98650">
            <w:pPr>
              <w:widowControl/>
              <w:jc w:val="left"/>
              <w:rPr>
                <w:rFonts w:ascii="宋体" w:hAnsi="宋体" w:cs="宋体"/>
                <w:color w:val="000000"/>
                <w:kern w:val="0"/>
                <w:sz w:val="18"/>
                <w:szCs w:val="18"/>
              </w:rPr>
            </w:pPr>
          </w:p>
        </w:tc>
        <w:tc>
          <w:tcPr>
            <w:tcW w:w="1134" w:type="dxa"/>
            <w:vMerge w:val="continue"/>
            <w:tcBorders>
              <w:top w:val="nil"/>
              <w:left w:val="single" w:color="000000" w:sz="4" w:space="0"/>
              <w:bottom w:val="single" w:color="000000" w:sz="4" w:space="0"/>
              <w:right w:val="single" w:color="000000" w:sz="4" w:space="0"/>
            </w:tcBorders>
            <w:vAlign w:val="center"/>
          </w:tcPr>
          <w:p w14:paraId="66A11104">
            <w:pPr>
              <w:widowControl/>
              <w:jc w:val="left"/>
              <w:rPr>
                <w:rFonts w:ascii="宋体" w:hAnsi="宋体" w:cs="宋体"/>
                <w:color w:val="000000"/>
                <w:kern w:val="0"/>
                <w:sz w:val="18"/>
                <w:szCs w:val="18"/>
              </w:rPr>
            </w:pPr>
          </w:p>
        </w:tc>
        <w:tc>
          <w:tcPr>
            <w:tcW w:w="1985" w:type="dxa"/>
            <w:tcBorders>
              <w:top w:val="nil"/>
              <w:left w:val="nil"/>
              <w:bottom w:val="single" w:color="000000" w:sz="4" w:space="0"/>
              <w:right w:val="single" w:color="000000" w:sz="4" w:space="0"/>
            </w:tcBorders>
            <w:vAlign w:val="center"/>
          </w:tcPr>
          <w:p w14:paraId="62F53144">
            <w:pPr>
              <w:widowControl/>
              <w:jc w:val="left"/>
              <w:rPr>
                <w:rFonts w:ascii="宋体" w:hAnsi="宋体" w:cs="宋体"/>
                <w:color w:val="000000"/>
                <w:kern w:val="0"/>
                <w:sz w:val="18"/>
                <w:szCs w:val="18"/>
              </w:rPr>
            </w:pPr>
            <w:r>
              <w:rPr>
                <w:rFonts w:hint="eastAsia" w:ascii="宋体" w:hAnsi="宋体" w:cs="宋体"/>
                <w:color w:val="000000"/>
                <w:kern w:val="0"/>
                <w:sz w:val="18"/>
                <w:szCs w:val="18"/>
              </w:rPr>
              <w:t>学校安全风险</w:t>
            </w:r>
          </w:p>
        </w:tc>
        <w:tc>
          <w:tcPr>
            <w:tcW w:w="850" w:type="dxa"/>
            <w:gridSpan w:val="2"/>
            <w:tcBorders>
              <w:top w:val="nil"/>
              <w:left w:val="nil"/>
              <w:bottom w:val="single" w:color="000000" w:sz="4" w:space="0"/>
              <w:right w:val="single" w:color="000000" w:sz="4" w:space="0"/>
            </w:tcBorders>
            <w:vAlign w:val="center"/>
          </w:tcPr>
          <w:p w14:paraId="13889CA9">
            <w:pPr>
              <w:widowControl/>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1" w:type="dxa"/>
            <w:tcBorders>
              <w:top w:val="nil"/>
              <w:left w:val="nil"/>
              <w:bottom w:val="single" w:color="000000" w:sz="4" w:space="0"/>
              <w:right w:val="single" w:color="000000" w:sz="4" w:space="0"/>
            </w:tcBorders>
            <w:vAlign w:val="center"/>
          </w:tcPr>
          <w:p w14:paraId="64749209">
            <w:pPr>
              <w:widowControl/>
              <w:jc w:val="left"/>
              <w:rPr>
                <w:rFonts w:ascii="宋体" w:hAnsi="宋体" w:cs="宋体"/>
                <w:color w:val="000000"/>
                <w:kern w:val="0"/>
                <w:sz w:val="18"/>
                <w:szCs w:val="18"/>
              </w:rPr>
            </w:pPr>
            <w:r>
              <w:rPr>
                <w:rFonts w:hint="eastAsia" w:ascii="宋体" w:hAnsi="宋体" w:cs="宋体"/>
                <w:color w:val="000000"/>
                <w:kern w:val="0"/>
                <w:sz w:val="18"/>
                <w:szCs w:val="18"/>
              </w:rPr>
              <w:t>0</w:t>
            </w:r>
          </w:p>
        </w:tc>
        <w:tc>
          <w:tcPr>
            <w:tcW w:w="850" w:type="dxa"/>
            <w:tcBorders>
              <w:top w:val="nil"/>
              <w:left w:val="nil"/>
              <w:bottom w:val="single" w:color="000000" w:sz="4" w:space="0"/>
              <w:right w:val="single" w:color="000000" w:sz="4" w:space="0"/>
            </w:tcBorders>
            <w:vAlign w:val="center"/>
          </w:tcPr>
          <w:p w14:paraId="12FCCB2E">
            <w:pPr>
              <w:widowControl/>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426" w:type="dxa"/>
            <w:tcBorders>
              <w:top w:val="nil"/>
              <w:left w:val="nil"/>
              <w:bottom w:val="single" w:color="000000" w:sz="4" w:space="0"/>
              <w:right w:val="single" w:color="000000" w:sz="4" w:space="0"/>
            </w:tcBorders>
            <w:vAlign w:val="center"/>
          </w:tcPr>
          <w:p w14:paraId="391D961A">
            <w:pPr>
              <w:widowControl/>
              <w:jc w:val="left"/>
              <w:rPr>
                <w:rFonts w:ascii="宋体" w:hAnsi="宋体" w:cs="宋体"/>
                <w:color w:val="000000"/>
                <w:kern w:val="0"/>
                <w:sz w:val="18"/>
                <w:szCs w:val="18"/>
              </w:rPr>
            </w:pPr>
            <w:r>
              <w:rPr>
                <w:rFonts w:hint="eastAsia" w:ascii="宋体" w:hAnsi="宋体" w:cs="宋体"/>
                <w:color w:val="000000"/>
                <w:kern w:val="0"/>
                <w:sz w:val="18"/>
                <w:szCs w:val="18"/>
              </w:rPr>
              <w:t>5</w:t>
            </w:r>
          </w:p>
        </w:tc>
        <w:tc>
          <w:tcPr>
            <w:tcW w:w="1919" w:type="dxa"/>
            <w:tcBorders>
              <w:top w:val="nil"/>
              <w:left w:val="nil"/>
              <w:bottom w:val="single" w:color="000000" w:sz="4" w:space="0"/>
              <w:right w:val="single" w:color="000000" w:sz="4" w:space="0"/>
            </w:tcBorders>
            <w:vAlign w:val="center"/>
          </w:tcPr>
          <w:p w14:paraId="3AAE6B5C">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100%</w:t>
            </w:r>
          </w:p>
        </w:tc>
      </w:tr>
      <w:tr w14:paraId="583E7F7B">
        <w:tblPrEx>
          <w:tblCellMar>
            <w:top w:w="0" w:type="dxa"/>
            <w:left w:w="108" w:type="dxa"/>
            <w:bottom w:w="0" w:type="dxa"/>
            <w:right w:w="108" w:type="dxa"/>
          </w:tblCellMar>
        </w:tblPrEx>
        <w:trPr>
          <w:trHeight w:val="570" w:hRule="atLeast"/>
        </w:trPr>
        <w:tc>
          <w:tcPr>
            <w:tcW w:w="2315" w:type="dxa"/>
            <w:vMerge w:val="continue"/>
            <w:tcBorders>
              <w:top w:val="nil"/>
              <w:left w:val="single" w:color="000000" w:sz="4" w:space="0"/>
              <w:bottom w:val="single" w:color="000000" w:sz="4" w:space="0"/>
              <w:right w:val="single" w:color="000000" w:sz="4" w:space="0"/>
            </w:tcBorders>
            <w:vAlign w:val="center"/>
          </w:tcPr>
          <w:p w14:paraId="29166913">
            <w:pPr>
              <w:widowControl/>
              <w:jc w:val="left"/>
              <w:rPr>
                <w:rFonts w:ascii="宋体" w:hAnsi="宋体" w:cs="宋体"/>
                <w:color w:val="000000"/>
                <w:kern w:val="0"/>
                <w:sz w:val="18"/>
                <w:szCs w:val="18"/>
              </w:rPr>
            </w:pPr>
          </w:p>
        </w:tc>
        <w:tc>
          <w:tcPr>
            <w:tcW w:w="1076" w:type="dxa"/>
            <w:vMerge w:val="continue"/>
            <w:tcBorders>
              <w:top w:val="nil"/>
              <w:left w:val="single" w:color="000000" w:sz="4" w:space="0"/>
              <w:bottom w:val="single" w:color="000000" w:sz="4" w:space="0"/>
              <w:right w:val="single" w:color="000000" w:sz="4" w:space="0"/>
            </w:tcBorders>
            <w:vAlign w:val="center"/>
          </w:tcPr>
          <w:p w14:paraId="5C3225A1">
            <w:pPr>
              <w:widowControl/>
              <w:jc w:val="left"/>
              <w:rPr>
                <w:rFonts w:ascii="宋体" w:hAnsi="宋体" w:cs="宋体"/>
                <w:color w:val="000000"/>
                <w:kern w:val="0"/>
                <w:sz w:val="18"/>
                <w:szCs w:val="18"/>
              </w:rPr>
            </w:pPr>
          </w:p>
        </w:tc>
        <w:tc>
          <w:tcPr>
            <w:tcW w:w="1134" w:type="dxa"/>
            <w:vMerge w:val="continue"/>
            <w:tcBorders>
              <w:top w:val="nil"/>
              <w:left w:val="single" w:color="000000" w:sz="4" w:space="0"/>
              <w:bottom w:val="single" w:color="000000" w:sz="4" w:space="0"/>
              <w:right w:val="single" w:color="000000" w:sz="4" w:space="0"/>
            </w:tcBorders>
            <w:vAlign w:val="center"/>
          </w:tcPr>
          <w:p w14:paraId="478DF6AF">
            <w:pPr>
              <w:widowControl/>
              <w:jc w:val="left"/>
              <w:rPr>
                <w:rFonts w:ascii="宋体" w:hAnsi="宋体" w:cs="宋体"/>
                <w:color w:val="000000"/>
                <w:kern w:val="0"/>
                <w:sz w:val="18"/>
                <w:szCs w:val="18"/>
              </w:rPr>
            </w:pPr>
          </w:p>
        </w:tc>
        <w:tc>
          <w:tcPr>
            <w:tcW w:w="1985" w:type="dxa"/>
            <w:tcBorders>
              <w:top w:val="nil"/>
              <w:left w:val="nil"/>
              <w:bottom w:val="single" w:color="000000" w:sz="4" w:space="0"/>
              <w:right w:val="single" w:color="000000" w:sz="4" w:space="0"/>
            </w:tcBorders>
            <w:vAlign w:val="center"/>
          </w:tcPr>
          <w:p w14:paraId="00F770F4">
            <w:pPr>
              <w:widowControl/>
              <w:jc w:val="left"/>
              <w:rPr>
                <w:rFonts w:ascii="宋体" w:hAnsi="宋体" w:cs="宋体"/>
                <w:color w:val="000000"/>
                <w:kern w:val="0"/>
                <w:sz w:val="18"/>
                <w:szCs w:val="18"/>
              </w:rPr>
            </w:pPr>
            <w:r>
              <w:rPr>
                <w:rFonts w:hint="eastAsia" w:ascii="宋体" w:hAnsi="宋体" w:cs="宋体"/>
                <w:color w:val="000000"/>
                <w:kern w:val="0"/>
                <w:sz w:val="18"/>
                <w:szCs w:val="18"/>
              </w:rPr>
              <w:t>教育教学水平提高</w:t>
            </w:r>
          </w:p>
        </w:tc>
        <w:tc>
          <w:tcPr>
            <w:tcW w:w="850" w:type="dxa"/>
            <w:gridSpan w:val="2"/>
            <w:tcBorders>
              <w:top w:val="nil"/>
              <w:left w:val="nil"/>
              <w:bottom w:val="single" w:color="000000" w:sz="4" w:space="0"/>
              <w:right w:val="single" w:color="000000" w:sz="4" w:space="0"/>
            </w:tcBorders>
            <w:vAlign w:val="center"/>
          </w:tcPr>
          <w:p w14:paraId="2D5137A4">
            <w:pPr>
              <w:widowControl/>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1" w:type="dxa"/>
            <w:tcBorders>
              <w:top w:val="nil"/>
              <w:left w:val="nil"/>
              <w:bottom w:val="single" w:color="000000" w:sz="4" w:space="0"/>
              <w:right w:val="single" w:color="000000" w:sz="4" w:space="0"/>
            </w:tcBorders>
            <w:vAlign w:val="center"/>
          </w:tcPr>
          <w:p w14:paraId="6BDA2025">
            <w:pPr>
              <w:widowControl/>
              <w:jc w:val="left"/>
              <w:rPr>
                <w:rFonts w:ascii="宋体" w:hAnsi="宋体" w:cs="宋体"/>
                <w:color w:val="000000"/>
                <w:kern w:val="0"/>
                <w:sz w:val="18"/>
                <w:szCs w:val="18"/>
              </w:rPr>
            </w:pPr>
            <w:r>
              <w:rPr>
                <w:rFonts w:hint="eastAsia" w:ascii="宋体" w:hAnsi="宋体" w:cs="宋体"/>
                <w:color w:val="000000"/>
                <w:kern w:val="0"/>
                <w:sz w:val="18"/>
                <w:szCs w:val="18"/>
              </w:rPr>
              <w:t>95</w:t>
            </w:r>
          </w:p>
        </w:tc>
        <w:tc>
          <w:tcPr>
            <w:tcW w:w="850" w:type="dxa"/>
            <w:tcBorders>
              <w:top w:val="nil"/>
              <w:left w:val="nil"/>
              <w:bottom w:val="single" w:color="000000" w:sz="4" w:space="0"/>
              <w:right w:val="single" w:color="000000" w:sz="4" w:space="0"/>
            </w:tcBorders>
            <w:vAlign w:val="center"/>
          </w:tcPr>
          <w:p w14:paraId="38C63C9F">
            <w:pPr>
              <w:widowControl/>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426" w:type="dxa"/>
            <w:tcBorders>
              <w:top w:val="nil"/>
              <w:left w:val="nil"/>
              <w:bottom w:val="single" w:color="000000" w:sz="4" w:space="0"/>
              <w:right w:val="single" w:color="000000" w:sz="4" w:space="0"/>
            </w:tcBorders>
            <w:vAlign w:val="center"/>
          </w:tcPr>
          <w:p w14:paraId="6EB59EEA">
            <w:pPr>
              <w:widowControl/>
              <w:jc w:val="left"/>
              <w:rPr>
                <w:rFonts w:ascii="宋体" w:hAnsi="宋体" w:cs="宋体"/>
                <w:color w:val="000000"/>
                <w:kern w:val="0"/>
                <w:sz w:val="18"/>
                <w:szCs w:val="18"/>
              </w:rPr>
            </w:pPr>
            <w:r>
              <w:rPr>
                <w:rFonts w:hint="eastAsia" w:ascii="宋体" w:hAnsi="宋体" w:cs="宋体"/>
                <w:color w:val="000000"/>
                <w:kern w:val="0"/>
                <w:sz w:val="18"/>
                <w:szCs w:val="18"/>
              </w:rPr>
              <w:t>3</w:t>
            </w:r>
          </w:p>
        </w:tc>
        <w:tc>
          <w:tcPr>
            <w:tcW w:w="1919" w:type="dxa"/>
            <w:tcBorders>
              <w:top w:val="nil"/>
              <w:left w:val="nil"/>
              <w:bottom w:val="single" w:color="000000" w:sz="4" w:space="0"/>
              <w:right w:val="single" w:color="000000" w:sz="4" w:space="0"/>
            </w:tcBorders>
            <w:vAlign w:val="center"/>
          </w:tcPr>
          <w:p w14:paraId="3EF47470">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95</w:t>
            </w:r>
          </w:p>
        </w:tc>
      </w:tr>
      <w:tr w14:paraId="113A103B">
        <w:tblPrEx>
          <w:tblCellMar>
            <w:top w:w="0" w:type="dxa"/>
            <w:left w:w="108" w:type="dxa"/>
            <w:bottom w:w="0" w:type="dxa"/>
            <w:right w:w="108" w:type="dxa"/>
          </w:tblCellMar>
        </w:tblPrEx>
        <w:trPr>
          <w:trHeight w:val="570" w:hRule="atLeast"/>
        </w:trPr>
        <w:tc>
          <w:tcPr>
            <w:tcW w:w="2315" w:type="dxa"/>
            <w:vMerge w:val="continue"/>
            <w:tcBorders>
              <w:top w:val="nil"/>
              <w:left w:val="single" w:color="000000" w:sz="4" w:space="0"/>
              <w:bottom w:val="single" w:color="000000" w:sz="4" w:space="0"/>
              <w:right w:val="single" w:color="000000" w:sz="4" w:space="0"/>
            </w:tcBorders>
            <w:vAlign w:val="center"/>
          </w:tcPr>
          <w:p w14:paraId="049D63EF">
            <w:pPr>
              <w:widowControl/>
              <w:jc w:val="left"/>
              <w:rPr>
                <w:rFonts w:ascii="宋体" w:hAnsi="宋体" w:cs="宋体"/>
                <w:color w:val="000000"/>
                <w:kern w:val="0"/>
                <w:sz w:val="18"/>
                <w:szCs w:val="18"/>
              </w:rPr>
            </w:pPr>
          </w:p>
        </w:tc>
        <w:tc>
          <w:tcPr>
            <w:tcW w:w="1076" w:type="dxa"/>
            <w:vMerge w:val="continue"/>
            <w:tcBorders>
              <w:top w:val="nil"/>
              <w:left w:val="single" w:color="000000" w:sz="4" w:space="0"/>
              <w:bottom w:val="single" w:color="000000" w:sz="4" w:space="0"/>
              <w:right w:val="single" w:color="000000" w:sz="4" w:space="0"/>
            </w:tcBorders>
            <w:vAlign w:val="center"/>
          </w:tcPr>
          <w:p w14:paraId="0BF7D3AE">
            <w:pPr>
              <w:widowControl/>
              <w:jc w:val="left"/>
              <w:rPr>
                <w:rFonts w:ascii="宋体" w:hAnsi="宋体" w:cs="宋体"/>
                <w:color w:val="000000"/>
                <w:kern w:val="0"/>
                <w:sz w:val="18"/>
                <w:szCs w:val="18"/>
              </w:rPr>
            </w:pPr>
          </w:p>
        </w:tc>
        <w:tc>
          <w:tcPr>
            <w:tcW w:w="1134" w:type="dxa"/>
            <w:vMerge w:val="continue"/>
            <w:tcBorders>
              <w:top w:val="nil"/>
              <w:left w:val="single" w:color="000000" w:sz="4" w:space="0"/>
              <w:bottom w:val="single" w:color="000000" w:sz="4" w:space="0"/>
              <w:right w:val="single" w:color="000000" w:sz="4" w:space="0"/>
            </w:tcBorders>
            <w:vAlign w:val="center"/>
          </w:tcPr>
          <w:p w14:paraId="0A6C3207">
            <w:pPr>
              <w:widowControl/>
              <w:jc w:val="left"/>
              <w:rPr>
                <w:rFonts w:ascii="宋体" w:hAnsi="宋体" w:cs="宋体"/>
                <w:color w:val="000000"/>
                <w:kern w:val="0"/>
                <w:sz w:val="18"/>
                <w:szCs w:val="18"/>
              </w:rPr>
            </w:pPr>
          </w:p>
        </w:tc>
        <w:tc>
          <w:tcPr>
            <w:tcW w:w="1985" w:type="dxa"/>
            <w:tcBorders>
              <w:top w:val="nil"/>
              <w:left w:val="nil"/>
              <w:bottom w:val="single" w:color="000000" w:sz="4" w:space="0"/>
              <w:right w:val="single" w:color="000000" w:sz="4" w:space="0"/>
            </w:tcBorders>
            <w:vAlign w:val="center"/>
          </w:tcPr>
          <w:p w14:paraId="4940EB43">
            <w:pPr>
              <w:widowControl/>
              <w:jc w:val="left"/>
              <w:rPr>
                <w:rFonts w:ascii="宋体" w:hAnsi="宋体" w:cs="宋体"/>
                <w:color w:val="000000"/>
                <w:kern w:val="0"/>
                <w:sz w:val="18"/>
                <w:szCs w:val="18"/>
              </w:rPr>
            </w:pPr>
            <w:r>
              <w:rPr>
                <w:rFonts w:hint="eastAsia" w:ascii="宋体" w:hAnsi="宋体" w:cs="宋体"/>
                <w:color w:val="000000"/>
                <w:kern w:val="0"/>
                <w:sz w:val="18"/>
                <w:szCs w:val="18"/>
              </w:rPr>
              <w:t>提高教师的整体素质</w:t>
            </w:r>
          </w:p>
        </w:tc>
        <w:tc>
          <w:tcPr>
            <w:tcW w:w="850" w:type="dxa"/>
            <w:gridSpan w:val="2"/>
            <w:tcBorders>
              <w:top w:val="nil"/>
              <w:left w:val="nil"/>
              <w:bottom w:val="single" w:color="000000" w:sz="4" w:space="0"/>
              <w:right w:val="single" w:color="000000" w:sz="4" w:space="0"/>
            </w:tcBorders>
            <w:vAlign w:val="center"/>
          </w:tcPr>
          <w:p w14:paraId="11E325AB">
            <w:pPr>
              <w:widowControl/>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1" w:type="dxa"/>
            <w:tcBorders>
              <w:top w:val="nil"/>
              <w:left w:val="nil"/>
              <w:bottom w:val="single" w:color="000000" w:sz="4" w:space="0"/>
              <w:right w:val="single" w:color="000000" w:sz="4" w:space="0"/>
            </w:tcBorders>
            <w:vAlign w:val="center"/>
          </w:tcPr>
          <w:p w14:paraId="603FDE57">
            <w:pPr>
              <w:widowControl/>
              <w:jc w:val="left"/>
              <w:rPr>
                <w:rFonts w:ascii="宋体" w:hAnsi="宋体" w:cs="宋体"/>
                <w:color w:val="000000"/>
                <w:kern w:val="0"/>
                <w:sz w:val="18"/>
                <w:szCs w:val="18"/>
              </w:rPr>
            </w:pPr>
            <w:r>
              <w:rPr>
                <w:rFonts w:hint="eastAsia" w:ascii="宋体" w:hAnsi="宋体" w:cs="宋体"/>
                <w:color w:val="000000"/>
                <w:kern w:val="0"/>
                <w:sz w:val="18"/>
                <w:szCs w:val="18"/>
              </w:rPr>
              <w:t>95</w:t>
            </w:r>
          </w:p>
        </w:tc>
        <w:tc>
          <w:tcPr>
            <w:tcW w:w="850" w:type="dxa"/>
            <w:tcBorders>
              <w:top w:val="nil"/>
              <w:left w:val="nil"/>
              <w:bottom w:val="single" w:color="000000" w:sz="4" w:space="0"/>
              <w:right w:val="single" w:color="000000" w:sz="4" w:space="0"/>
            </w:tcBorders>
            <w:vAlign w:val="center"/>
          </w:tcPr>
          <w:p w14:paraId="2B56AA78">
            <w:pPr>
              <w:widowControl/>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426" w:type="dxa"/>
            <w:tcBorders>
              <w:top w:val="nil"/>
              <w:left w:val="nil"/>
              <w:bottom w:val="single" w:color="000000" w:sz="4" w:space="0"/>
              <w:right w:val="single" w:color="000000" w:sz="4" w:space="0"/>
            </w:tcBorders>
            <w:vAlign w:val="center"/>
          </w:tcPr>
          <w:p w14:paraId="7A9690B3">
            <w:pPr>
              <w:widowControl/>
              <w:jc w:val="left"/>
              <w:rPr>
                <w:rFonts w:ascii="宋体" w:hAnsi="宋体" w:cs="宋体"/>
                <w:color w:val="000000"/>
                <w:kern w:val="0"/>
                <w:sz w:val="18"/>
                <w:szCs w:val="18"/>
              </w:rPr>
            </w:pPr>
            <w:r>
              <w:rPr>
                <w:rFonts w:hint="eastAsia" w:ascii="宋体" w:hAnsi="宋体" w:cs="宋体"/>
                <w:color w:val="000000"/>
                <w:kern w:val="0"/>
                <w:sz w:val="18"/>
                <w:szCs w:val="18"/>
              </w:rPr>
              <w:t>3</w:t>
            </w:r>
          </w:p>
        </w:tc>
        <w:tc>
          <w:tcPr>
            <w:tcW w:w="1919" w:type="dxa"/>
            <w:tcBorders>
              <w:top w:val="nil"/>
              <w:left w:val="nil"/>
              <w:bottom w:val="single" w:color="000000" w:sz="4" w:space="0"/>
              <w:right w:val="single" w:color="000000" w:sz="4" w:space="0"/>
            </w:tcBorders>
            <w:vAlign w:val="center"/>
          </w:tcPr>
          <w:p w14:paraId="18E2BBE7">
            <w:pPr>
              <w:widowControl/>
              <w:jc w:val="center"/>
              <w:rPr>
                <w:rFonts w:ascii="宋体" w:hAnsi="宋体" w:cs="宋体"/>
                <w:color w:val="000000"/>
                <w:kern w:val="0"/>
                <w:sz w:val="18"/>
                <w:szCs w:val="18"/>
              </w:rPr>
            </w:pPr>
            <w:r>
              <w:rPr>
                <w:rFonts w:hint="eastAsia" w:ascii="宋体" w:hAnsi="宋体" w:cs="宋体"/>
                <w:color w:val="000000"/>
                <w:kern w:val="0"/>
                <w:sz w:val="18"/>
                <w:szCs w:val="18"/>
              </w:rPr>
              <w:t>9</w:t>
            </w:r>
            <w:r>
              <w:rPr>
                <w:rFonts w:ascii="宋体" w:hAnsi="宋体" w:cs="宋体"/>
                <w:color w:val="000000"/>
                <w:kern w:val="0"/>
                <w:sz w:val="18"/>
                <w:szCs w:val="18"/>
              </w:rPr>
              <w:t>7</w:t>
            </w:r>
          </w:p>
        </w:tc>
      </w:tr>
      <w:tr w14:paraId="24859A2F">
        <w:tblPrEx>
          <w:tblCellMar>
            <w:top w:w="0" w:type="dxa"/>
            <w:left w:w="108" w:type="dxa"/>
            <w:bottom w:w="0" w:type="dxa"/>
            <w:right w:w="108" w:type="dxa"/>
          </w:tblCellMar>
        </w:tblPrEx>
        <w:trPr>
          <w:trHeight w:val="570" w:hRule="atLeast"/>
        </w:trPr>
        <w:tc>
          <w:tcPr>
            <w:tcW w:w="2315" w:type="dxa"/>
            <w:vMerge w:val="continue"/>
            <w:tcBorders>
              <w:top w:val="nil"/>
              <w:left w:val="single" w:color="000000" w:sz="4" w:space="0"/>
              <w:bottom w:val="single" w:color="000000" w:sz="4" w:space="0"/>
              <w:right w:val="single" w:color="000000" w:sz="4" w:space="0"/>
            </w:tcBorders>
            <w:vAlign w:val="center"/>
          </w:tcPr>
          <w:p w14:paraId="2CCE3E50">
            <w:pPr>
              <w:widowControl/>
              <w:jc w:val="left"/>
              <w:rPr>
                <w:rFonts w:ascii="宋体" w:hAnsi="宋体" w:cs="宋体"/>
                <w:color w:val="000000"/>
                <w:kern w:val="0"/>
                <w:sz w:val="18"/>
                <w:szCs w:val="18"/>
              </w:rPr>
            </w:pPr>
          </w:p>
        </w:tc>
        <w:tc>
          <w:tcPr>
            <w:tcW w:w="1076" w:type="dxa"/>
            <w:vMerge w:val="continue"/>
            <w:tcBorders>
              <w:top w:val="nil"/>
              <w:left w:val="single" w:color="000000" w:sz="4" w:space="0"/>
              <w:bottom w:val="single" w:color="000000" w:sz="4" w:space="0"/>
              <w:right w:val="single" w:color="000000" w:sz="4" w:space="0"/>
            </w:tcBorders>
            <w:vAlign w:val="center"/>
          </w:tcPr>
          <w:p w14:paraId="49B2E401">
            <w:pPr>
              <w:widowControl/>
              <w:jc w:val="left"/>
              <w:rPr>
                <w:rFonts w:ascii="宋体" w:hAnsi="宋体" w:cs="宋体"/>
                <w:color w:val="000000"/>
                <w:kern w:val="0"/>
                <w:sz w:val="18"/>
                <w:szCs w:val="18"/>
              </w:rPr>
            </w:pPr>
          </w:p>
        </w:tc>
        <w:tc>
          <w:tcPr>
            <w:tcW w:w="1134" w:type="dxa"/>
            <w:vMerge w:val="restart"/>
            <w:tcBorders>
              <w:top w:val="nil"/>
              <w:left w:val="single" w:color="000000" w:sz="4" w:space="0"/>
              <w:bottom w:val="single" w:color="000000" w:sz="4" w:space="0"/>
              <w:right w:val="single" w:color="000000" w:sz="4" w:space="0"/>
            </w:tcBorders>
            <w:vAlign w:val="center"/>
          </w:tcPr>
          <w:p w14:paraId="355D2B63">
            <w:pPr>
              <w:widowControl/>
              <w:jc w:val="left"/>
              <w:rPr>
                <w:rFonts w:ascii="宋体" w:hAnsi="宋体" w:cs="宋体"/>
                <w:color w:val="000000"/>
                <w:kern w:val="0"/>
                <w:sz w:val="18"/>
                <w:szCs w:val="18"/>
              </w:rPr>
            </w:pPr>
            <w:r>
              <w:rPr>
                <w:rFonts w:hint="eastAsia" w:ascii="宋体" w:hAnsi="宋体" w:cs="宋体"/>
                <w:color w:val="000000"/>
                <w:kern w:val="0"/>
                <w:sz w:val="18"/>
                <w:szCs w:val="18"/>
              </w:rPr>
              <w:t>可持续影响指标</w:t>
            </w:r>
          </w:p>
        </w:tc>
        <w:tc>
          <w:tcPr>
            <w:tcW w:w="1985" w:type="dxa"/>
            <w:tcBorders>
              <w:top w:val="nil"/>
              <w:left w:val="nil"/>
              <w:bottom w:val="single" w:color="000000" w:sz="4" w:space="0"/>
              <w:right w:val="single" w:color="000000" w:sz="4" w:space="0"/>
            </w:tcBorders>
            <w:vAlign w:val="center"/>
          </w:tcPr>
          <w:p w14:paraId="4BBCBC2D">
            <w:pPr>
              <w:widowControl/>
              <w:jc w:val="left"/>
              <w:rPr>
                <w:rFonts w:ascii="宋体" w:hAnsi="宋体" w:cs="宋体"/>
                <w:color w:val="000000"/>
                <w:kern w:val="0"/>
                <w:sz w:val="18"/>
                <w:szCs w:val="18"/>
              </w:rPr>
            </w:pPr>
            <w:r>
              <w:rPr>
                <w:rFonts w:hint="eastAsia" w:ascii="宋体" w:hAnsi="宋体" w:cs="宋体"/>
                <w:color w:val="000000"/>
                <w:kern w:val="0"/>
                <w:sz w:val="18"/>
                <w:szCs w:val="18"/>
              </w:rPr>
              <w:t>保障师生安全，促进全体师生身心健康发展</w:t>
            </w:r>
          </w:p>
        </w:tc>
        <w:tc>
          <w:tcPr>
            <w:tcW w:w="850" w:type="dxa"/>
            <w:gridSpan w:val="2"/>
            <w:tcBorders>
              <w:top w:val="nil"/>
              <w:left w:val="nil"/>
              <w:bottom w:val="single" w:color="000000" w:sz="4" w:space="0"/>
              <w:right w:val="single" w:color="000000" w:sz="4" w:space="0"/>
            </w:tcBorders>
            <w:vAlign w:val="center"/>
          </w:tcPr>
          <w:p w14:paraId="3D8BA43B">
            <w:pPr>
              <w:widowControl/>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1" w:type="dxa"/>
            <w:tcBorders>
              <w:top w:val="nil"/>
              <w:left w:val="nil"/>
              <w:bottom w:val="single" w:color="000000" w:sz="4" w:space="0"/>
              <w:right w:val="single" w:color="000000" w:sz="4" w:space="0"/>
            </w:tcBorders>
            <w:vAlign w:val="center"/>
          </w:tcPr>
          <w:p w14:paraId="23C700C8">
            <w:pPr>
              <w:widowControl/>
              <w:jc w:val="left"/>
              <w:rPr>
                <w:rFonts w:ascii="宋体" w:hAnsi="宋体" w:cs="宋体"/>
                <w:color w:val="000000"/>
                <w:kern w:val="0"/>
                <w:sz w:val="18"/>
                <w:szCs w:val="18"/>
              </w:rPr>
            </w:pPr>
            <w:r>
              <w:rPr>
                <w:rFonts w:hint="eastAsia" w:ascii="宋体" w:hAnsi="宋体" w:cs="宋体"/>
                <w:color w:val="000000"/>
                <w:kern w:val="0"/>
                <w:sz w:val="18"/>
                <w:szCs w:val="18"/>
              </w:rPr>
              <w:t>100</w:t>
            </w:r>
          </w:p>
        </w:tc>
        <w:tc>
          <w:tcPr>
            <w:tcW w:w="850" w:type="dxa"/>
            <w:tcBorders>
              <w:top w:val="nil"/>
              <w:left w:val="nil"/>
              <w:bottom w:val="single" w:color="000000" w:sz="4" w:space="0"/>
              <w:right w:val="single" w:color="000000" w:sz="4" w:space="0"/>
            </w:tcBorders>
            <w:vAlign w:val="center"/>
          </w:tcPr>
          <w:p w14:paraId="287E315A">
            <w:pPr>
              <w:widowControl/>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426" w:type="dxa"/>
            <w:tcBorders>
              <w:top w:val="nil"/>
              <w:left w:val="nil"/>
              <w:bottom w:val="single" w:color="000000" w:sz="4" w:space="0"/>
              <w:right w:val="single" w:color="000000" w:sz="4" w:space="0"/>
            </w:tcBorders>
            <w:vAlign w:val="center"/>
          </w:tcPr>
          <w:p w14:paraId="4AE7582D">
            <w:pPr>
              <w:widowControl/>
              <w:jc w:val="left"/>
              <w:rPr>
                <w:rFonts w:ascii="宋体" w:hAnsi="宋体" w:cs="宋体"/>
                <w:color w:val="000000"/>
                <w:kern w:val="0"/>
                <w:sz w:val="18"/>
                <w:szCs w:val="18"/>
              </w:rPr>
            </w:pPr>
            <w:r>
              <w:rPr>
                <w:rFonts w:hint="eastAsia" w:ascii="宋体" w:hAnsi="宋体" w:cs="宋体"/>
                <w:color w:val="000000"/>
                <w:kern w:val="0"/>
                <w:sz w:val="18"/>
                <w:szCs w:val="18"/>
              </w:rPr>
              <w:t>3</w:t>
            </w:r>
          </w:p>
        </w:tc>
        <w:tc>
          <w:tcPr>
            <w:tcW w:w="1919" w:type="dxa"/>
            <w:tcBorders>
              <w:top w:val="nil"/>
              <w:left w:val="nil"/>
              <w:bottom w:val="single" w:color="000000" w:sz="4" w:space="0"/>
              <w:right w:val="single" w:color="000000" w:sz="4" w:space="0"/>
            </w:tcBorders>
            <w:vAlign w:val="center"/>
          </w:tcPr>
          <w:p w14:paraId="550311D0">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r>
              <w:rPr>
                <w:rFonts w:ascii="宋体" w:hAnsi="宋体" w:cs="宋体"/>
                <w:color w:val="000000"/>
                <w:kern w:val="0"/>
                <w:sz w:val="18"/>
                <w:szCs w:val="18"/>
              </w:rPr>
              <w:t>00</w:t>
            </w:r>
          </w:p>
        </w:tc>
      </w:tr>
      <w:tr w14:paraId="61260484">
        <w:tblPrEx>
          <w:tblCellMar>
            <w:top w:w="0" w:type="dxa"/>
            <w:left w:w="108" w:type="dxa"/>
            <w:bottom w:w="0" w:type="dxa"/>
            <w:right w:w="108" w:type="dxa"/>
          </w:tblCellMar>
        </w:tblPrEx>
        <w:trPr>
          <w:trHeight w:val="570" w:hRule="atLeast"/>
        </w:trPr>
        <w:tc>
          <w:tcPr>
            <w:tcW w:w="2315" w:type="dxa"/>
            <w:vMerge w:val="continue"/>
            <w:tcBorders>
              <w:top w:val="nil"/>
              <w:left w:val="single" w:color="000000" w:sz="4" w:space="0"/>
              <w:bottom w:val="single" w:color="000000" w:sz="4" w:space="0"/>
              <w:right w:val="single" w:color="000000" w:sz="4" w:space="0"/>
            </w:tcBorders>
            <w:vAlign w:val="center"/>
          </w:tcPr>
          <w:p w14:paraId="5110C093">
            <w:pPr>
              <w:widowControl/>
              <w:jc w:val="left"/>
              <w:rPr>
                <w:rFonts w:ascii="宋体" w:hAnsi="宋体" w:cs="宋体"/>
                <w:color w:val="000000"/>
                <w:kern w:val="0"/>
                <w:sz w:val="18"/>
                <w:szCs w:val="18"/>
              </w:rPr>
            </w:pPr>
          </w:p>
        </w:tc>
        <w:tc>
          <w:tcPr>
            <w:tcW w:w="1076" w:type="dxa"/>
            <w:vMerge w:val="continue"/>
            <w:tcBorders>
              <w:top w:val="nil"/>
              <w:left w:val="single" w:color="000000" w:sz="4" w:space="0"/>
              <w:bottom w:val="single" w:color="000000" w:sz="4" w:space="0"/>
              <w:right w:val="single" w:color="000000" w:sz="4" w:space="0"/>
            </w:tcBorders>
            <w:vAlign w:val="center"/>
          </w:tcPr>
          <w:p w14:paraId="6FD02553">
            <w:pPr>
              <w:widowControl/>
              <w:jc w:val="left"/>
              <w:rPr>
                <w:rFonts w:ascii="宋体" w:hAnsi="宋体" w:cs="宋体"/>
                <w:color w:val="000000"/>
                <w:kern w:val="0"/>
                <w:sz w:val="18"/>
                <w:szCs w:val="18"/>
              </w:rPr>
            </w:pPr>
          </w:p>
        </w:tc>
        <w:tc>
          <w:tcPr>
            <w:tcW w:w="1134" w:type="dxa"/>
            <w:vMerge w:val="continue"/>
            <w:tcBorders>
              <w:top w:val="nil"/>
              <w:left w:val="single" w:color="000000" w:sz="4" w:space="0"/>
              <w:bottom w:val="single" w:color="000000" w:sz="4" w:space="0"/>
              <w:right w:val="single" w:color="000000" w:sz="4" w:space="0"/>
            </w:tcBorders>
            <w:vAlign w:val="center"/>
          </w:tcPr>
          <w:p w14:paraId="4D529EC2">
            <w:pPr>
              <w:widowControl/>
              <w:jc w:val="left"/>
              <w:rPr>
                <w:rFonts w:ascii="宋体" w:hAnsi="宋体" w:cs="宋体"/>
                <w:color w:val="000000"/>
                <w:kern w:val="0"/>
                <w:sz w:val="18"/>
                <w:szCs w:val="18"/>
              </w:rPr>
            </w:pPr>
          </w:p>
        </w:tc>
        <w:tc>
          <w:tcPr>
            <w:tcW w:w="1985" w:type="dxa"/>
            <w:tcBorders>
              <w:top w:val="nil"/>
              <w:left w:val="nil"/>
              <w:bottom w:val="single" w:color="000000" w:sz="4" w:space="0"/>
              <w:right w:val="single" w:color="000000" w:sz="4" w:space="0"/>
            </w:tcBorders>
            <w:vAlign w:val="center"/>
          </w:tcPr>
          <w:p w14:paraId="250B8269">
            <w:pPr>
              <w:widowControl/>
              <w:jc w:val="left"/>
              <w:rPr>
                <w:rFonts w:ascii="宋体" w:hAnsi="宋体" w:cs="宋体"/>
                <w:color w:val="000000"/>
                <w:kern w:val="0"/>
                <w:sz w:val="18"/>
                <w:szCs w:val="18"/>
              </w:rPr>
            </w:pPr>
            <w:r>
              <w:rPr>
                <w:rFonts w:hint="eastAsia" w:ascii="宋体" w:hAnsi="宋体" w:cs="宋体"/>
                <w:color w:val="000000"/>
                <w:kern w:val="0"/>
                <w:sz w:val="18"/>
                <w:szCs w:val="18"/>
              </w:rPr>
              <w:t>对学校、学生教育的持续发展，全面提高教育教学质量</w:t>
            </w:r>
          </w:p>
        </w:tc>
        <w:tc>
          <w:tcPr>
            <w:tcW w:w="850" w:type="dxa"/>
            <w:gridSpan w:val="2"/>
            <w:tcBorders>
              <w:top w:val="nil"/>
              <w:left w:val="nil"/>
              <w:bottom w:val="single" w:color="000000" w:sz="4" w:space="0"/>
              <w:right w:val="single" w:color="000000" w:sz="4" w:space="0"/>
            </w:tcBorders>
            <w:vAlign w:val="center"/>
          </w:tcPr>
          <w:p w14:paraId="00DA4AAD">
            <w:pPr>
              <w:widowControl/>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1" w:type="dxa"/>
            <w:tcBorders>
              <w:top w:val="nil"/>
              <w:left w:val="nil"/>
              <w:bottom w:val="single" w:color="000000" w:sz="4" w:space="0"/>
              <w:right w:val="single" w:color="000000" w:sz="4" w:space="0"/>
            </w:tcBorders>
            <w:vAlign w:val="center"/>
          </w:tcPr>
          <w:p w14:paraId="1E490B06">
            <w:pPr>
              <w:widowControl/>
              <w:jc w:val="left"/>
              <w:rPr>
                <w:rFonts w:ascii="宋体" w:hAnsi="宋体" w:cs="宋体"/>
                <w:color w:val="000000"/>
                <w:kern w:val="0"/>
                <w:sz w:val="18"/>
                <w:szCs w:val="18"/>
              </w:rPr>
            </w:pPr>
            <w:r>
              <w:rPr>
                <w:rFonts w:hint="eastAsia" w:ascii="宋体" w:hAnsi="宋体" w:cs="宋体"/>
                <w:color w:val="000000"/>
                <w:kern w:val="0"/>
                <w:sz w:val="18"/>
                <w:szCs w:val="18"/>
              </w:rPr>
              <w:t>100</w:t>
            </w:r>
          </w:p>
        </w:tc>
        <w:tc>
          <w:tcPr>
            <w:tcW w:w="850" w:type="dxa"/>
            <w:tcBorders>
              <w:top w:val="nil"/>
              <w:left w:val="nil"/>
              <w:bottom w:val="single" w:color="000000" w:sz="4" w:space="0"/>
              <w:right w:val="single" w:color="000000" w:sz="4" w:space="0"/>
            </w:tcBorders>
            <w:vAlign w:val="center"/>
          </w:tcPr>
          <w:p w14:paraId="0DE7FB4A">
            <w:pPr>
              <w:widowControl/>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426" w:type="dxa"/>
            <w:tcBorders>
              <w:top w:val="nil"/>
              <w:left w:val="nil"/>
              <w:bottom w:val="single" w:color="000000" w:sz="4" w:space="0"/>
              <w:right w:val="single" w:color="000000" w:sz="4" w:space="0"/>
            </w:tcBorders>
            <w:vAlign w:val="center"/>
          </w:tcPr>
          <w:p w14:paraId="69E731B7">
            <w:pPr>
              <w:widowControl/>
              <w:jc w:val="left"/>
              <w:rPr>
                <w:rFonts w:ascii="宋体" w:hAnsi="宋体" w:cs="宋体"/>
                <w:color w:val="000000"/>
                <w:kern w:val="0"/>
                <w:sz w:val="18"/>
                <w:szCs w:val="18"/>
              </w:rPr>
            </w:pPr>
            <w:r>
              <w:rPr>
                <w:rFonts w:hint="eastAsia" w:ascii="宋体" w:hAnsi="宋体" w:cs="宋体"/>
                <w:color w:val="000000"/>
                <w:kern w:val="0"/>
                <w:sz w:val="18"/>
                <w:szCs w:val="18"/>
              </w:rPr>
              <w:t>3</w:t>
            </w:r>
          </w:p>
        </w:tc>
        <w:tc>
          <w:tcPr>
            <w:tcW w:w="1919" w:type="dxa"/>
            <w:tcBorders>
              <w:top w:val="nil"/>
              <w:left w:val="nil"/>
              <w:bottom w:val="single" w:color="000000" w:sz="4" w:space="0"/>
              <w:right w:val="single" w:color="000000" w:sz="4" w:space="0"/>
            </w:tcBorders>
            <w:vAlign w:val="center"/>
          </w:tcPr>
          <w:p w14:paraId="40CA99CF">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r>
              <w:rPr>
                <w:rFonts w:ascii="宋体" w:hAnsi="宋体" w:cs="宋体"/>
                <w:color w:val="000000"/>
                <w:kern w:val="0"/>
                <w:sz w:val="18"/>
                <w:szCs w:val="18"/>
              </w:rPr>
              <w:t>00</w:t>
            </w:r>
          </w:p>
        </w:tc>
      </w:tr>
      <w:tr w14:paraId="1ED2032F">
        <w:tblPrEx>
          <w:tblCellMar>
            <w:top w:w="0" w:type="dxa"/>
            <w:left w:w="108" w:type="dxa"/>
            <w:bottom w:w="0" w:type="dxa"/>
            <w:right w:w="108" w:type="dxa"/>
          </w:tblCellMar>
        </w:tblPrEx>
        <w:trPr>
          <w:trHeight w:val="570" w:hRule="atLeast"/>
        </w:trPr>
        <w:tc>
          <w:tcPr>
            <w:tcW w:w="2315" w:type="dxa"/>
            <w:vMerge w:val="continue"/>
            <w:tcBorders>
              <w:top w:val="nil"/>
              <w:left w:val="single" w:color="000000" w:sz="4" w:space="0"/>
              <w:bottom w:val="single" w:color="000000" w:sz="4" w:space="0"/>
              <w:right w:val="single" w:color="000000" w:sz="4" w:space="0"/>
            </w:tcBorders>
            <w:vAlign w:val="center"/>
          </w:tcPr>
          <w:p w14:paraId="6E5C174B">
            <w:pPr>
              <w:widowControl/>
              <w:jc w:val="left"/>
              <w:rPr>
                <w:rFonts w:ascii="宋体" w:hAnsi="宋体" w:cs="宋体"/>
                <w:color w:val="000000"/>
                <w:kern w:val="0"/>
                <w:sz w:val="18"/>
                <w:szCs w:val="18"/>
              </w:rPr>
            </w:pPr>
          </w:p>
        </w:tc>
        <w:tc>
          <w:tcPr>
            <w:tcW w:w="1076" w:type="dxa"/>
            <w:vMerge w:val="restart"/>
            <w:tcBorders>
              <w:top w:val="nil"/>
              <w:left w:val="single" w:color="000000" w:sz="4" w:space="0"/>
              <w:bottom w:val="single" w:color="000000" w:sz="4" w:space="0"/>
              <w:right w:val="single" w:color="000000" w:sz="4" w:space="0"/>
            </w:tcBorders>
            <w:vAlign w:val="center"/>
          </w:tcPr>
          <w:p w14:paraId="017DA466">
            <w:pPr>
              <w:widowControl/>
              <w:jc w:val="left"/>
              <w:rPr>
                <w:rFonts w:ascii="宋体" w:hAnsi="宋体" w:cs="宋体"/>
                <w:color w:val="000000"/>
                <w:kern w:val="0"/>
                <w:sz w:val="18"/>
                <w:szCs w:val="18"/>
              </w:rPr>
            </w:pPr>
            <w:r>
              <w:rPr>
                <w:rFonts w:hint="eastAsia" w:ascii="宋体" w:hAnsi="宋体" w:cs="宋体"/>
                <w:color w:val="000000"/>
                <w:kern w:val="0"/>
                <w:sz w:val="18"/>
                <w:szCs w:val="18"/>
              </w:rPr>
              <w:t>满意度指标</w:t>
            </w:r>
          </w:p>
        </w:tc>
        <w:tc>
          <w:tcPr>
            <w:tcW w:w="1134" w:type="dxa"/>
            <w:vMerge w:val="restart"/>
            <w:tcBorders>
              <w:top w:val="nil"/>
              <w:left w:val="single" w:color="000000" w:sz="4" w:space="0"/>
              <w:bottom w:val="single" w:color="000000" w:sz="4" w:space="0"/>
              <w:right w:val="single" w:color="000000" w:sz="4" w:space="0"/>
            </w:tcBorders>
            <w:vAlign w:val="center"/>
          </w:tcPr>
          <w:p w14:paraId="03518117">
            <w:pPr>
              <w:widowControl/>
              <w:jc w:val="left"/>
              <w:rPr>
                <w:rFonts w:ascii="宋体" w:hAnsi="宋体" w:cs="宋体"/>
                <w:color w:val="000000"/>
                <w:kern w:val="0"/>
                <w:sz w:val="18"/>
                <w:szCs w:val="18"/>
              </w:rPr>
            </w:pPr>
            <w:r>
              <w:rPr>
                <w:rFonts w:hint="eastAsia" w:ascii="宋体" w:hAnsi="宋体" w:cs="宋体"/>
                <w:color w:val="000000"/>
                <w:kern w:val="0"/>
                <w:sz w:val="18"/>
                <w:szCs w:val="18"/>
              </w:rPr>
              <w:t>服务对象满意度指标</w:t>
            </w:r>
          </w:p>
        </w:tc>
        <w:tc>
          <w:tcPr>
            <w:tcW w:w="1985" w:type="dxa"/>
            <w:tcBorders>
              <w:top w:val="nil"/>
              <w:left w:val="nil"/>
              <w:bottom w:val="single" w:color="000000" w:sz="4" w:space="0"/>
              <w:right w:val="single" w:color="000000" w:sz="4" w:space="0"/>
            </w:tcBorders>
            <w:vAlign w:val="center"/>
          </w:tcPr>
          <w:p w14:paraId="5C5007AA">
            <w:pPr>
              <w:widowControl/>
              <w:jc w:val="left"/>
              <w:rPr>
                <w:rFonts w:ascii="宋体" w:hAnsi="宋体" w:cs="宋体"/>
                <w:color w:val="000000"/>
                <w:kern w:val="0"/>
                <w:sz w:val="18"/>
                <w:szCs w:val="18"/>
              </w:rPr>
            </w:pPr>
            <w:r>
              <w:rPr>
                <w:rFonts w:hint="eastAsia" w:ascii="宋体" w:hAnsi="宋体" w:cs="宋体"/>
                <w:color w:val="000000"/>
                <w:kern w:val="0"/>
                <w:sz w:val="18"/>
                <w:szCs w:val="18"/>
              </w:rPr>
              <w:t>学生家长及社会满意</w:t>
            </w:r>
          </w:p>
        </w:tc>
        <w:tc>
          <w:tcPr>
            <w:tcW w:w="850" w:type="dxa"/>
            <w:gridSpan w:val="2"/>
            <w:tcBorders>
              <w:top w:val="nil"/>
              <w:left w:val="nil"/>
              <w:bottom w:val="single" w:color="000000" w:sz="4" w:space="0"/>
              <w:right w:val="single" w:color="000000" w:sz="4" w:space="0"/>
            </w:tcBorders>
            <w:vAlign w:val="center"/>
          </w:tcPr>
          <w:p w14:paraId="71F555A8">
            <w:pPr>
              <w:widowControl/>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1" w:type="dxa"/>
            <w:tcBorders>
              <w:top w:val="nil"/>
              <w:left w:val="nil"/>
              <w:bottom w:val="single" w:color="000000" w:sz="4" w:space="0"/>
              <w:right w:val="single" w:color="000000" w:sz="4" w:space="0"/>
            </w:tcBorders>
            <w:vAlign w:val="center"/>
          </w:tcPr>
          <w:p w14:paraId="7CE89E5B">
            <w:pPr>
              <w:widowControl/>
              <w:jc w:val="left"/>
              <w:rPr>
                <w:rFonts w:ascii="宋体" w:hAnsi="宋体" w:cs="宋体"/>
                <w:color w:val="000000"/>
                <w:kern w:val="0"/>
                <w:sz w:val="18"/>
                <w:szCs w:val="18"/>
              </w:rPr>
            </w:pPr>
            <w:r>
              <w:rPr>
                <w:rFonts w:hint="eastAsia" w:ascii="宋体" w:hAnsi="宋体" w:cs="宋体"/>
                <w:color w:val="000000"/>
                <w:kern w:val="0"/>
                <w:sz w:val="18"/>
                <w:szCs w:val="18"/>
              </w:rPr>
              <w:t>99</w:t>
            </w:r>
          </w:p>
        </w:tc>
        <w:tc>
          <w:tcPr>
            <w:tcW w:w="850" w:type="dxa"/>
            <w:tcBorders>
              <w:top w:val="nil"/>
              <w:left w:val="nil"/>
              <w:bottom w:val="single" w:color="000000" w:sz="4" w:space="0"/>
              <w:right w:val="single" w:color="000000" w:sz="4" w:space="0"/>
            </w:tcBorders>
            <w:vAlign w:val="center"/>
          </w:tcPr>
          <w:p w14:paraId="333D5BD7">
            <w:pPr>
              <w:widowControl/>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426" w:type="dxa"/>
            <w:tcBorders>
              <w:top w:val="nil"/>
              <w:left w:val="nil"/>
              <w:bottom w:val="single" w:color="000000" w:sz="4" w:space="0"/>
              <w:right w:val="single" w:color="000000" w:sz="4" w:space="0"/>
            </w:tcBorders>
            <w:vAlign w:val="center"/>
          </w:tcPr>
          <w:p w14:paraId="2FAD8112">
            <w:pPr>
              <w:widowControl/>
              <w:jc w:val="left"/>
              <w:rPr>
                <w:rFonts w:ascii="宋体" w:hAnsi="宋体" w:cs="宋体"/>
                <w:color w:val="000000"/>
                <w:kern w:val="0"/>
                <w:sz w:val="18"/>
                <w:szCs w:val="18"/>
              </w:rPr>
            </w:pPr>
            <w:r>
              <w:rPr>
                <w:rFonts w:hint="eastAsia" w:ascii="宋体" w:hAnsi="宋体" w:cs="宋体"/>
                <w:color w:val="000000"/>
                <w:kern w:val="0"/>
                <w:sz w:val="18"/>
                <w:szCs w:val="18"/>
              </w:rPr>
              <w:t>3</w:t>
            </w:r>
          </w:p>
        </w:tc>
        <w:tc>
          <w:tcPr>
            <w:tcW w:w="1919" w:type="dxa"/>
            <w:tcBorders>
              <w:top w:val="nil"/>
              <w:left w:val="nil"/>
              <w:bottom w:val="single" w:color="000000" w:sz="4" w:space="0"/>
              <w:right w:val="single" w:color="000000" w:sz="4" w:space="0"/>
            </w:tcBorders>
            <w:vAlign w:val="center"/>
          </w:tcPr>
          <w:p w14:paraId="0C30F6FC">
            <w:pPr>
              <w:widowControl/>
              <w:jc w:val="center"/>
              <w:rPr>
                <w:rFonts w:ascii="宋体" w:hAnsi="宋体" w:cs="宋体"/>
                <w:color w:val="000000"/>
                <w:kern w:val="0"/>
                <w:sz w:val="18"/>
                <w:szCs w:val="18"/>
              </w:rPr>
            </w:pPr>
            <w:r>
              <w:rPr>
                <w:rFonts w:hint="eastAsia" w:ascii="宋体" w:hAnsi="宋体" w:cs="宋体"/>
                <w:color w:val="000000"/>
                <w:kern w:val="0"/>
                <w:sz w:val="18"/>
                <w:szCs w:val="18"/>
              </w:rPr>
              <w:t>9</w:t>
            </w:r>
            <w:r>
              <w:rPr>
                <w:rFonts w:ascii="宋体" w:hAnsi="宋体" w:cs="宋体"/>
                <w:color w:val="000000"/>
                <w:kern w:val="0"/>
                <w:sz w:val="18"/>
                <w:szCs w:val="18"/>
              </w:rPr>
              <w:t>9</w:t>
            </w:r>
          </w:p>
        </w:tc>
      </w:tr>
      <w:tr w14:paraId="6F0638DC">
        <w:tblPrEx>
          <w:tblCellMar>
            <w:top w:w="0" w:type="dxa"/>
            <w:left w:w="108" w:type="dxa"/>
            <w:bottom w:w="0" w:type="dxa"/>
            <w:right w:w="108" w:type="dxa"/>
          </w:tblCellMar>
        </w:tblPrEx>
        <w:trPr>
          <w:trHeight w:val="570" w:hRule="atLeast"/>
        </w:trPr>
        <w:tc>
          <w:tcPr>
            <w:tcW w:w="2315" w:type="dxa"/>
            <w:vMerge w:val="continue"/>
            <w:tcBorders>
              <w:top w:val="nil"/>
              <w:left w:val="single" w:color="000000" w:sz="4" w:space="0"/>
              <w:bottom w:val="single" w:color="000000" w:sz="4" w:space="0"/>
              <w:right w:val="single" w:color="000000" w:sz="4" w:space="0"/>
            </w:tcBorders>
            <w:vAlign w:val="center"/>
          </w:tcPr>
          <w:p w14:paraId="20908586">
            <w:pPr>
              <w:widowControl/>
              <w:jc w:val="left"/>
              <w:rPr>
                <w:rFonts w:ascii="宋体" w:hAnsi="宋体" w:cs="宋体"/>
                <w:color w:val="000000"/>
                <w:kern w:val="0"/>
                <w:sz w:val="18"/>
                <w:szCs w:val="18"/>
              </w:rPr>
            </w:pPr>
          </w:p>
        </w:tc>
        <w:tc>
          <w:tcPr>
            <w:tcW w:w="1076" w:type="dxa"/>
            <w:vMerge w:val="continue"/>
            <w:tcBorders>
              <w:top w:val="nil"/>
              <w:left w:val="single" w:color="000000" w:sz="4" w:space="0"/>
              <w:bottom w:val="single" w:color="000000" w:sz="4" w:space="0"/>
              <w:right w:val="single" w:color="000000" w:sz="4" w:space="0"/>
            </w:tcBorders>
            <w:vAlign w:val="center"/>
          </w:tcPr>
          <w:p w14:paraId="08961CA6">
            <w:pPr>
              <w:widowControl/>
              <w:jc w:val="left"/>
              <w:rPr>
                <w:rFonts w:ascii="宋体" w:hAnsi="宋体" w:cs="宋体"/>
                <w:color w:val="000000"/>
                <w:kern w:val="0"/>
                <w:sz w:val="18"/>
                <w:szCs w:val="18"/>
              </w:rPr>
            </w:pPr>
          </w:p>
        </w:tc>
        <w:tc>
          <w:tcPr>
            <w:tcW w:w="1134" w:type="dxa"/>
            <w:vMerge w:val="continue"/>
            <w:tcBorders>
              <w:top w:val="nil"/>
              <w:left w:val="single" w:color="000000" w:sz="4" w:space="0"/>
              <w:bottom w:val="single" w:color="000000" w:sz="4" w:space="0"/>
              <w:right w:val="single" w:color="000000" w:sz="4" w:space="0"/>
            </w:tcBorders>
            <w:vAlign w:val="center"/>
          </w:tcPr>
          <w:p w14:paraId="6277A5FF">
            <w:pPr>
              <w:widowControl/>
              <w:jc w:val="left"/>
              <w:rPr>
                <w:rFonts w:ascii="宋体" w:hAnsi="宋体" w:cs="宋体"/>
                <w:color w:val="000000"/>
                <w:kern w:val="0"/>
                <w:sz w:val="18"/>
                <w:szCs w:val="18"/>
              </w:rPr>
            </w:pPr>
          </w:p>
        </w:tc>
        <w:tc>
          <w:tcPr>
            <w:tcW w:w="1985" w:type="dxa"/>
            <w:tcBorders>
              <w:top w:val="nil"/>
              <w:left w:val="nil"/>
              <w:bottom w:val="single" w:color="000000" w:sz="4" w:space="0"/>
              <w:right w:val="single" w:color="000000" w:sz="4" w:space="0"/>
            </w:tcBorders>
            <w:vAlign w:val="center"/>
          </w:tcPr>
          <w:p w14:paraId="03043AB9">
            <w:pPr>
              <w:widowControl/>
              <w:jc w:val="left"/>
              <w:rPr>
                <w:rFonts w:ascii="宋体" w:hAnsi="宋体" w:cs="宋体"/>
                <w:color w:val="000000"/>
                <w:kern w:val="0"/>
                <w:sz w:val="18"/>
                <w:szCs w:val="18"/>
              </w:rPr>
            </w:pPr>
            <w:r>
              <w:rPr>
                <w:rFonts w:hint="eastAsia" w:ascii="宋体" w:hAnsi="宋体" w:cs="宋体"/>
                <w:color w:val="000000"/>
                <w:kern w:val="0"/>
                <w:sz w:val="18"/>
                <w:szCs w:val="18"/>
              </w:rPr>
              <w:t>学校全体师生满意</w:t>
            </w:r>
          </w:p>
        </w:tc>
        <w:tc>
          <w:tcPr>
            <w:tcW w:w="850" w:type="dxa"/>
            <w:gridSpan w:val="2"/>
            <w:tcBorders>
              <w:top w:val="nil"/>
              <w:left w:val="nil"/>
              <w:bottom w:val="single" w:color="000000" w:sz="4" w:space="0"/>
              <w:right w:val="single" w:color="000000" w:sz="4" w:space="0"/>
            </w:tcBorders>
            <w:vAlign w:val="center"/>
          </w:tcPr>
          <w:p w14:paraId="63733B10">
            <w:pPr>
              <w:widowControl/>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1" w:type="dxa"/>
            <w:tcBorders>
              <w:top w:val="nil"/>
              <w:left w:val="nil"/>
              <w:bottom w:val="single" w:color="000000" w:sz="4" w:space="0"/>
              <w:right w:val="single" w:color="000000" w:sz="4" w:space="0"/>
            </w:tcBorders>
            <w:vAlign w:val="center"/>
          </w:tcPr>
          <w:p w14:paraId="0F40D651">
            <w:pPr>
              <w:widowControl/>
              <w:jc w:val="left"/>
              <w:rPr>
                <w:rFonts w:ascii="宋体" w:hAnsi="宋体" w:cs="宋体"/>
                <w:color w:val="000000"/>
                <w:kern w:val="0"/>
                <w:sz w:val="18"/>
                <w:szCs w:val="18"/>
              </w:rPr>
            </w:pPr>
            <w:r>
              <w:rPr>
                <w:rFonts w:hint="eastAsia" w:ascii="宋体" w:hAnsi="宋体" w:cs="宋体"/>
                <w:color w:val="000000"/>
                <w:kern w:val="0"/>
                <w:sz w:val="18"/>
                <w:szCs w:val="18"/>
              </w:rPr>
              <w:t>99</w:t>
            </w:r>
          </w:p>
        </w:tc>
        <w:tc>
          <w:tcPr>
            <w:tcW w:w="850" w:type="dxa"/>
            <w:tcBorders>
              <w:top w:val="nil"/>
              <w:left w:val="nil"/>
              <w:bottom w:val="single" w:color="000000" w:sz="4" w:space="0"/>
              <w:right w:val="single" w:color="000000" w:sz="4" w:space="0"/>
            </w:tcBorders>
            <w:vAlign w:val="center"/>
          </w:tcPr>
          <w:p w14:paraId="24AEBD39">
            <w:pPr>
              <w:widowControl/>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426" w:type="dxa"/>
            <w:tcBorders>
              <w:top w:val="nil"/>
              <w:left w:val="nil"/>
              <w:bottom w:val="single" w:color="000000" w:sz="4" w:space="0"/>
              <w:right w:val="single" w:color="000000" w:sz="4" w:space="0"/>
            </w:tcBorders>
            <w:vAlign w:val="center"/>
          </w:tcPr>
          <w:p w14:paraId="3275E043">
            <w:pPr>
              <w:widowControl/>
              <w:jc w:val="left"/>
              <w:rPr>
                <w:rFonts w:ascii="宋体" w:hAnsi="宋体" w:cs="宋体"/>
                <w:color w:val="000000"/>
                <w:kern w:val="0"/>
                <w:sz w:val="18"/>
                <w:szCs w:val="18"/>
              </w:rPr>
            </w:pPr>
            <w:r>
              <w:rPr>
                <w:rFonts w:hint="eastAsia" w:ascii="宋体" w:hAnsi="宋体" w:cs="宋体"/>
                <w:color w:val="000000"/>
                <w:kern w:val="0"/>
                <w:sz w:val="18"/>
                <w:szCs w:val="18"/>
              </w:rPr>
              <w:t>3</w:t>
            </w:r>
          </w:p>
        </w:tc>
        <w:tc>
          <w:tcPr>
            <w:tcW w:w="1919" w:type="dxa"/>
            <w:tcBorders>
              <w:top w:val="nil"/>
              <w:left w:val="nil"/>
              <w:bottom w:val="single" w:color="000000" w:sz="4" w:space="0"/>
              <w:right w:val="single" w:color="000000" w:sz="4" w:space="0"/>
            </w:tcBorders>
            <w:vAlign w:val="center"/>
          </w:tcPr>
          <w:p w14:paraId="76770806">
            <w:pPr>
              <w:widowControl/>
              <w:jc w:val="center"/>
              <w:rPr>
                <w:rFonts w:ascii="宋体" w:hAnsi="宋体" w:cs="宋体"/>
                <w:color w:val="000000"/>
                <w:kern w:val="0"/>
                <w:sz w:val="18"/>
                <w:szCs w:val="18"/>
              </w:rPr>
            </w:pPr>
            <w:r>
              <w:rPr>
                <w:rFonts w:hint="eastAsia" w:ascii="宋体" w:hAnsi="宋体" w:cs="宋体"/>
                <w:color w:val="000000"/>
                <w:kern w:val="0"/>
                <w:sz w:val="18"/>
                <w:szCs w:val="18"/>
              </w:rPr>
              <w:t>9</w:t>
            </w:r>
            <w:r>
              <w:rPr>
                <w:rFonts w:ascii="宋体" w:hAnsi="宋体" w:cs="宋体"/>
                <w:color w:val="000000"/>
                <w:kern w:val="0"/>
                <w:sz w:val="18"/>
                <w:szCs w:val="18"/>
              </w:rPr>
              <w:t>9</w:t>
            </w:r>
          </w:p>
        </w:tc>
      </w:tr>
      <w:bookmarkEnd w:id="73"/>
    </w:tbl>
    <w:p w14:paraId="51AC7FFE">
      <w:pPr>
        <w:rPr>
          <w:rFonts w:hint="eastAsia"/>
        </w:rPr>
      </w:pPr>
    </w:p>
    <w:p w14:paraId="6FEE5320">
      <w:pPr>
        <w:rPr>
          <w:rFonts w:hint="eastAsia"/>
        </w:rPr>
      </w:pPr>
    </w:p>
    <w:p w14:paraId="107E3604">
      <w:pPr>
        <w:rPr>
          <w:rFonts w:hint="eastAsia"/>
        </w:rPr>
      </w:pPr>
    </w:p>
    <w:p w14:paraId="55699B1D">
      <w:pPr>
        <w:rPr>
          <w:rFonts w:hint="eastAsia"/>
        </w:rPr>
      </w:pPr>
    </w:p>
    <w:p w14:paraId="3B5A11F0"/>
    <w:p w14:paraId="3ABEAA20"/>
    <w:p w14:paraId="6B48A8E0"/>
    <w:p w14:paraId="7060A802"/>
    <w:p w14:paraId="35646912"/>
    <w:p w14:paraId="7B0096F9"/>
    <w:p w14:paraId="2DF27418"/>
    <w:p w14:paraId="2FA81348"/>
    <w:p w14:paraId="3A4FFF28"/>
    <w:p w14:paraId="7F2CF988"/>
    <w:p w14:paraId="32BF3B10"/>
    <w:p w14:paraId="472B36A0"/>
    <w:p w14:paraId="70B66BCA"/>
    <w:p w14:paraId="67BBFEC2"/>
    <w:p w14:paraId="4EA29B9E"/>
    <w:p w14:paraId="2A797297"/>
    <w:p w14:paraId="5D0379E9"/>
    <w:p w14:paraId="7A23DD05"/>
    <w:p w14:paraId="1AC61A37"/>
    <w:p w14:paraId="0A5BCC41"/>
    <w:tbl>
      <w:tblPr>
        <w:tblStyle w:val="12"/>
        <w:tblpPr w:leftFromText="180" w:rightFromText="180" w:vertAnchor="text" w:horzAnchor="page" w:tblpX="3102" w:tblpY="541"/>
        <w:tblOverlap w:val="never"/>
        <w:tblW w:w="10362" w:type="dxa"/>
        <w:tblInd w:w="0" w:type="dxa"/>
        <w:tblLayout w:type="autofit"/>
        <w:tblCellMar>
          <w:top w:w="0" w:type="dxa"/>
          <w:left w:w="108" w:type="dxa"/>
          <w:bottom w:w="0" w:type="dxa"/>
          <w:right w:w="108" w:type="dxa"/>
        </w:tblCellMar>
      </w:tblPr>
      <w:tblGrid>
        <w:gridCol w:w="682"/>
        <w:gridCol w:w="1580"/>
        <w:gridCol w:w="986"/>
        <w:gridCol w:w="1354"/>
        <w:gridCol w:w="405"/>
        <w:gridCol w:w="1209"/>
        <w:gridCol w:w="855"/>
        <w:gridCol w:w="505"/>
        <w:gridCol w:w="486"/>
        <w:gridCol w:w="2300"/>
      </w:tblGrid>
      <w:tr w14:paraId="4B7FE405">
        <w:tblPrEx>
          <w:tblCellMar>
            <w:top w:w="0" w:type="dxa"/>
            <w:left w:w="108" w:type="dxa"/>
            <w:bottom w:w="0" w:type="dxa"/>
            <w:right w:w="108" w:type="dxa"/>
          </w:tblCellMar>
        </w:tblPrEx>
        <w:trPr>
          <w:trHeight w:val="904" w:hRule="atLeast"/>
        </w:trPr>
        <w:tc>
          <w:tcPr>
            <w:tcW w:w="1036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97613D8">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kern w:val="0"/>
                <w:sz w:val="30"/>
                <w:szCs w:val="30"/>
              </w:rPr>
              <w:t>部门预算项目支出绩效自评表（2023年度）</w:t>
            </w:r>
          </w:p>
        </w:tc>
      </w:tr>
      <w:tr w14:paraId="08F77E92">
        <w:tblPrEx>
          <w:tblCellMar>
            <w:top w:w="0" w:type="dxa"/>
            <w:left w:w="108" w:type="dxa"/>
            <w:bottom w:w="0" w:type="dxa"/>
            <w:right w:w="108" w:type="dxa"/>
          </w:tblCellMar>
        </w:tblPrEx>
        <w:trPr>
          <w:trHeight w:val="286" w:hRule="atLeast"/>
        </w:trPr>
        <w:tc>
          <w:tcPr>
            <w:tcW w:w="2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AD9D98">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项目名称</w:t>
            </w:r>
          </w:p>
        </w:tc>
        <w:tc>
          <w:tcPr>
            <w:tcW w:w="810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93953F1">
            <w:pPr>
              <w:widowControl/>
              <w:jc w:val="left"/>
              <w:textAlignment w:val="center"/>
              <w:rPr>
                <w:rFonts w:ascii="宋体" w:hAnsi="宋体" w:cs="宋体"/>
                <w:color w:val="000000"/>
                <w:sz w:val="18"/>
                <w:szCs w:val="18"/>
              </w:rPr>
            </w:pPr>
            <w:r>
              <w:rPr>
                <w:rFonts w:ascii="宋体" w:hAnsi="宋体" w:cs="宋体"/>
                <w:color w:val="000000"/>
                <w:kern w:val="0"/>
                <w:sz w:val="18"/>
                <w:szCs w:val="18"/>
              </w:rPr>
              <w:t>51172422T000005716677-营养餐</w:t>
            </w:r>
          </w:p>
        </w:tc>
      </w:tr>
      <w:tr w14:paraId="4B4315A0">
        <w:tblPrEx>
          <w:tblCellMar>
            <w:top w:w="0" w:type="dxa"/>
            <w:left w:w="108" w:type="dxa"/>
            <w:bottom w:w="0" w:type="dxa"/>
            <w:right w:w="108" w:type="dxa"/>
          </w:tblCellMar>
        </w:tblPrEx>
        <w:trPr>
          <w:trHeight w:val="512" w:hRule="atLeast"/>
        </w:trPr>
        <w:tc>
          <w:tcPr>
            <w:tcW w:w="2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41391E">
            <w:pPr>
              <w:widowControl/>
              <w:jc w:val="left"/>
              <w:textAlignment w:val="center"/>
              <w:rPr>
                <w:rFonts w:ascii="宋体" w:hAnsi="宋体" w:cs="宋体"/>
                <w:color w:val="000000"/>
                <w:sz w:val="18"/>
                <w:szCs w:val="18"/>
              </w:rPr>
            </w:pPr>
            <w:r>
              <w:rPr>
                <w:rFonts w:ascii="宋体" w:hAnsi="宋体" w:cs="宋体"/>
                <w:color w:val="000000"/>
                <w:kern w:val="0"/>
                <w:sz w:val="18"/>
                <w:szCs w:val="18"/>
              </w:rPr>
              <w:t>主管部门</w:t>
            </w:r>
          </w:p>
        </w:tc>
        <w:tc>
          <w:tcPr>
            <w:tcW w:w="395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F7C296E">
            <w:pPr>
              <w:widowControl/>
              <w:jc w:val="left"/>
              <w:textAlignment w:val="center"/>
              <w:rPr>
                <w:rFonts w:ascii="宋体" w:hAnsi="宋体" w:cs="宋体"/>
                <w:color w:val="000000"/>
                <w:sz w:val="18"/>
                <w:szCs w:val="18"/>
              </w:rPr>
            </w:pPr>
            <w:r>
              <w:rPr>
                <w:rFonts w:ascii="宋体" w:hAnsi="宋体" w:cs="宋体"/>
                <w:color w:val="000000"/>
                <w:kern w:val="0"/>
                <w:sz w:val="18"/>
                <w:szCs w:val="18"/>
              </w:rPr>
              <w:t>大竹县清水镇中心小学部门</w:t>
            </w:r>
          </w:p>
        </w:tc>
        <w:tc>
          <w:tcPr>
            <w:tcW w:w="855" w:type="dxa"/>
            <w:tcBorders>
              <w:top w:val="nil"/>
              <w:left w:val="nil"/>
              <w:bottom w:val="nil"/>
              <w:right w:val="nil"/>
            </w:tcBorders>
            <w:shd w:val="clear" w:color="auto" w:fill="auto"/>
            <w:vAlign w:val="center"/>
          </w:tcPr>
          <w:p w14:paraId="435CF10B">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实施单位 （盖章）</w:t>
            </w:r>
          </w:p>
        </w:tc>
        <w:tc>
          <w:tcPr>
            <w:tcW w:w="32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E57BEF">
            <w:pPr>
              <w:widowControl/>
              <w:jc w:val="center"/>
              <w:textAlignment w:val="center"/>
              <w:rPr>
                <w:rFonts w:ascii="宋体" w:hAnsi="宋体" w:cs="宋体"/>
                <w:color w:val="000000"/>
                <w:sz w:val="18"/>
                <w:szCs w:val="18"/>
              </w:rPr>
            </w:pPr>
            <w:r>
              <w:rPr>
                <w:rFonts w:ascii="宋体" w:hAnsi="宋体" w:cs="宋体"/>
                <w:color w:val="000000"/>
                <w:kern w:val="0"/>
                <w:sz w:val="18"/>
                <w:szCs w:val="18"/>
              </w:rPr>
              <w:t>大竹县清水镇中心小学</w:t>
            </w:r>
          </w:p>
        </w:tc>
      </w:tr>
      <w:tr w14:paraId="17716DF6">
        <w:tblPrEx>
          <w:tblCellMar>
            <w:top w:w="0" w:type="dxa"/>
            <w:left w:w="108" w:type="dxa"/>
            <w:bottom w:w="0" w:type="dxa"/>
            <w:right w:w="108" w:type="dxa"/>
          </w:tblCellMar>
        </w:tblPrEx>
        <w:trPr>
          <w:trHeight w:val="286" w:hRule="atLeast"/>
        </w:trPr>
        <w:tc>
          <w:tcPr>
            <w:tcW w:w="6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C2122E">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项目基本情况</w:t>
            </w:r>
          </w:p>
        </w:tc>
        <w:tc>
          <w:tcPr>
            <w:tcW w:w="15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84953D">
            <w:pPr>
              <w:widowControl/>
              <w:jc w:val="left"/>
              <w:textAlignment w:val="center"/>
              <w:rPr>
                <w:rFonts w:ascii="宋体" w:hAnsi="宋体" w:cs="宋体"/>
                <w:color w:val="000000"/>
                <w:sz w:val="18"/>
                <w:szCs w:val="18"/>
              </w:rPr>
            </w:pPr>
            <w:r>
              <w:rPr>
                <w:rFonts w:ascii="宋体" w:hAnsi="宋体" w:cs="宋体"/>
                <w:color w:val="000000"/>
                <w:kern w:val="0"/>
                <w:sz w:val="18"/>
                <w:szCs w:val="18"/>
              </w:rPr>
              <w:t>1.项目年度目标完成情况</w:t>
            </w:r>
          </w:p>
        </w:tc>
        <w:tc>
          <w:tcPr>
            <w:tcW w:w="395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C11A1CF">
            <w:pPr>
              <w:widowControl/>
              <w:jc w:val="center"/>
              <w:textAlignment w:val="center"/>
              <w:rPr>
                <w:rFonts w:ascii="宋体" w:hAnsi="宋体" w:cs="宋体"/>
                <w:color w:val="000000"/>
                <w:sz w:val="18"/>
                <w:szCs w:val="18"/>
              </w:rPr>
            </w:pPr>
            <w:r>
              <w:rPr>
                <w:rFonts w:ascii="宋体" w:hAnsi="宋体" w:cs="宋体"/>
                <w:color w:val="000000"/>
                <w:kern w:val="0"/>
                <w:sz w:val="18"/>
                <w:szCs w:val="18"/>
              </w:rPr>
              <w:t>项目年度目标</w:t>
            </w:r>
          </w:p>
        </w:tc>
        <w:tc>
          <w:tcPr>
            <w:tcW w:w="414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27723D0">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年度目标完成情况</w:t>
            </w:r>
          </w:p>
        </w:tc>
      </w:tr>
      <w:tr w14:paraId="30259DC5">
        <w:tblPrEx>
          <w:tblCellMar>
            <w:top w:w="0" w:type="dxa"/>
            <w:left w:w="108" w:type="dxa"/>
            <w:bottom w:w="0" w:type="dxa"/>
            <w:right w:w="108" w:type="dxa"/>
          </w:tblCellMar>
        </w:tblPrEx>
        <w:trPr>
          <w:trHeight w:val="708"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1499B5">
            <w:pPr>
              <w:rPr>
                <w:rFonts w:ascii="宋体" w:hAnsi="宋体" w:cs="宋体"/>
                <w:color w:val="000000"/>
                <w:sz w:val="18"/>
                <w:szCs w:val="18"/>
              </w:rPr>
            </w:pPr>
          </w:p>
        </w:tc>
        <w:tc>
          <w:tcPr>
            <w:tcW w:w="1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E7F656">
            <w:pPr>
              <w:rPr>
                <w:rFonts w:ascii="宋体" w:hAnsi="宋体" w:cs="宋体"/>
                <w:color w:val="000000"/>
                <w:sz w:val="18"/>
                <w:szCs w:val="18"/>
              </w:rPr>
            </w:pPr>
          </w:p>
        </w:tc>
        <w:tc>
          <w:tcPr>
            <w:tcW w:w="395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34AD8F6">
            <w:pPr>
              <w:widowControl/>
              <w:jc w:val="left"/>
              <w:textAlignment w:val="center"/>
              <w:rPr>
                <w:rFonts w:ascii="宋体" w:hAnsi="宋体" w:cs="宋体"/>
                <w:color w:val="000000"/>
                <w:sz w:val="18"/>
                <w:szCs w:val="18"/>
              </w:rPr>
            </w:pPr>
            <w:r>
              <w:rPr>
                <w:rFonts w:ascii="宋体" w:hAnsi="宋体" w:cs="宋体"/>
                <w:color w:val="000000"/>
                <w:kern w:val="0"/>
                <w:sz w:val="18"/>
                <w:szCs w:val="18"/>
              </w:rPr>
              <w:t>严格执行相关政策，保障营养餐费用及时、足额拨付，预算编制科学合理，减少结余资金</w:t>
            </w:r>
          </w:p>
        </w:tc>
        <w:tc>
          <w:tcPr>
            <w:tcW w:w="414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8792C8F">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严格执行相关政策，保障营养餐费用及时、足额拨付，预算编制科学合理，减少结余资金</w:t>
            </w:r>
          </w:p>
        </w:tc>
      </w:tr>
      <w:tr w14:paraId="76D52EA3">
        <w:tblPrEx>
          <w:tblCellMar>
            <w:top w:w="0" w:type="dxa"/>
            <w:left w:w="108" w:type="dxa"/>
            <w:bottom w:w="0" w:type="dxa"/>
            <w:right w:w="108" w:type="dxa"/>
          </w:tblCellMar>
        </w:tblPrEx>
        <w:trPr>
          <w:trHeight w:val="693"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2E0C0E">
            <w:pPr>
              <w:rPr>
                <w:rFonts w:ascii="宋体" w:hAnsi="宋体" w:cs="宋体"/>
                <w:color w:val="000000"/>
                <w:sz w:val="18"/>
                <w:szCs w:val="18"/>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93AB3">
            <w:pPr>
              <w:widowControl/>
              <w:jc w:val="left"/>
              <w:textAlignment w:val="center"/>
              <w:rPr>
                <w:rFonts w:ascii="宋体" w:hAnsi="宋体" w:cs="宋体"/>
                <w:color w:val="000000"/>
                <w:sz w:val="18"/>
                <w:szCs w:val="18"/>
              </w:rPr>
            </w:pPr>
            <w:r>
              <w:rPr>
                <w:rFonts w:ascii="宋体" w:hAnsi="宋体" w:cs="宋体"/>
                <w:color w:val="000000"/>
                <w:kern w:val="0"/>
                <w:sz w:val="18"/>
                <w:szCs w:val="18"/>
              </w:rPr>
              <w:t>2.项目实施内容及过程概述</w:t>
            </w:r>
          </w:p>
        </w:tc>
        <w:tc>
          <w:tcPr>
            <w:tcW w:w="810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9E6100A">
            <w:pPr>
              <w:widowControl/>
              <w:jc w:val="left"/>
              <w:textAlignment w:val="center"/>
              <w:rPr>
                <w:rFonts w:ascii="宋体" w:hAnsi="宋体" w:cs="宋体"/>
                <w:color w:val="000000"/>
                <w:sz w:val="18"/>
                <w:szCs w:val="18"/>
              </w:rPr>
            </w:pPr>
            <w:r>
              <w:rPr>
                <w:rFonts w:ascii="宋体" w:hAnsi="宋体" w:cs="宋体"/>
                <w:color w:val="000000"/>
                <w:kern w:val="0"/>
                <w:sz w:val="18"/>
                <w:szCs w:val="18"/>
              </w:rPr>
              <w:t>严格执行相关政策，保障营养餐费用及时、足额拨付，预算编制科学合理，减少结余资金</w:t>
            </w:r>
          </w:p>
        </w:tc>
      </w:tr>
      <w:tr w14:paraId="702F783B">
        <w:tblPrEx>
          <w:tblCellMar>
            <w:top w:w="0" w:type="dxa"/>
            <w:left w:w="108" w:type="dxa"/>
            <w:bottom w:w="0" w:type="dxa"/>
            <w:right w:w="108" w:type="dxa"/>
          </w:tblCellMar>
        </w:tblPrEx>
        <w:trPr>
          <w:trHeight w:val="361" w:hRule="atLeast"/>
        </w:trPr>
        <w:tc>
          <w:tcPr>
            <w:tcW w:w="6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3766DD">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预算执行情况（10分）</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8D4B4">
            <w:pPr>
              <w:widowControl/>
              <w:jc w:val="center"/>
              <w:textAlignment w:val="center"/>
              <w:rPr>
                <w:rFonts w:ascii="宋体" w:hAnsi="宋体" w:cs="宋体"/>
                <w:color w:val="000000"/>
                <w:sz w:val="18"/>
                <w:szCs w:val="18"/>
              </w:rPr>
            </w:pPr>
            <w:r>
              <w:rPr>
                <w:rFonts w:ascii="宋体" w:hAnsi="宋体" w:cs="宋体"/>
                <w:color w:val="000000"/>
                <w:kern w:val="0"/>
                <w:sz w:val="18"/>
                <w:szCs w:val="18"/>
              </w:rPr>
              <w:t>年度预算数（万元）</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2D05A">
            <w:pPr>
              <w:widowControl/>
              <w:jc w:val="center"/>
              <w:textAlignment w:val="center"/>
              <w:rPr>
                <w:rFonts w:ascii="宋体" w:hAnsi="宋体" w:cs="宋体"/>
                <w:color w:val="000000"/>
                <w:sz w:val="18"/>
                <w:szCs w:val="18"/>
              </w:rPr>
            </w:pPr>
            <w:r>
              <w:rPr>
                <w:rFonts w:ascii="宋体" w:hAnsi="宋体" w:cs="宋体"/>
                <w:color w:val="000000"/>
                <w:kern w:val="0"/>
                <w:sz w:val="18"/>
                <w:szCs w:val="18"/>
              </w:rPr>
              <w:t>年初预算</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DDEDB">
            <w:pPr>
              <w:widowControl/>
              <w:jc w:val="center"/>
              <w:textAlignment w:val="center"/>
              <w:rPr>
                <w:rFonts w:ascii="宋体" w:hAnsi="宋体" w:cs="宋体"/>
                <w:color w:val="000000"/>
                <w:sz w:val="18"/>
                <w:szCs w:val="18"/>
              </w:rPr>
            </w:pPr>
            <w:r>
              <w:rPr>
                <w:rFonts w:ascii="宋体" w:hAnsi="宋体" w:cs="宋体"/>
                <w:color w:val="000000"/>
                <w:kern w:val="0"/>
                <w:sz w:val="18"/>
                <w:szCs w:val="18"/>
              </w:rPr>
              <w:t>调整后预算数</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BFEADD">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预算执行数</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D5A60">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49C26">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4879F">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1EA7D">
            <w:pPr>
              <w:widowControl/>
              <w:jc w:val="center"/>
              <w:textAlignment w:val="center"/>
              <w:rPr>
                <w:rFonts w:ascii="宋体" w:hAnsi="宋体" w:cs="宋体"/>
                <w:color w:val="000000"/>
                <w:sz w:val="18"/>
                <w:szCs w:val="18"/>
              </w:rPr>
            </w:pPr>
            <w:r>
              <w:rPr>
                <w:rFonts w:ascii="宋体" w:hAnsi="宋体" w:cs="宋体"/>
                <w:color w:val="000000"/>
                <w:kern w:val="0"/>
                <w:sz w:val="18"/>
                <w:szCs w:val="18"/>
              </w:rPr>
              <w:t>原因</w:t>
            </w:r>
          </w:p>
        </w:tc>
      </w:tr>
      <w:tr w14:paraId="6BDEAF99">
        <w:tblPrEx>
          <w:tblCellMar>
            <w:top w:w="0" w:type="dxa"/>
            <w:left w:w="108" w:type="dxa"/>
            <w:bottom w:w="0" w:type="dxa"/>
            <w:right w:w="108" w:type="dxa"/>
          </w:tblCellMar>
        </w:tblPrEx>
        <w:trPr>
          <w:trHeight w:val="346"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5B1382">
            <w:pPr>
              <w:jc w:val="center"/>
              <w:rPr>
                <w:rFonts w:ascii="宋体" w:hAnsi="宋体" w:cs="宋体"/>
                <w:color w:val="000000"/>
                <w:sz w:val="18"/>
                <w:szCs w:val="18"/>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382EB">
            <w:pPr>
              <w:widowControl/>
              <w:jc w:val="center"/>
              <w:textAlignment w:val="center"/>
              <w:rPr>
                <w:rFonts w:ascii="宋体" w:hAnsi="宋体" w:cs="宋体"/>
                <w:color w:val="000000"/>
                <w:sz w:val="18"/>
                <w:szCs w:val="18"/>
              </w:rPr>
            </w:pPr>
            <w:r>
              <w:rPr>
                <w:rFonts w:ascii="宋体" w:hAnsi="宋体" w:cs="宋体"/>
                <w:color w:val="000000"/>
                <w:kern w:val="0"/>
                <w:sz w:val="18"/>
                <w:szCs w:val="18"/>
              </w:rPr>
              <w:t>总额</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889E0">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93487">
            <w:pPr>
              <w:widowControl/>
              <w:jc w:val="center"/>
              <w:textAlignment w:val="center"/>
              <w:rPr>
                <w:rFonts w:ascii="宋体" w:hAnsi="宋体" w:cs="宋体"/>
                <w:color w:val="000000"/>
                <w:sz w:val="18"/>
                <w:szCs w:val="18"/>
              </w:rPr>
            </w:pPr>
            <w:r>
              <w:rPr>
                <w:rFonts w:ascii="宋体" w:hAnsi="宋体" w:cs="宋体"/>
                <w:color w:val="000000"/>
                <w:kern w:val="0"/>
                <w:sz w:val="18"/>
                <w:szCs w:val="18"/>
              </w:rPr>
              <w:t>52.05</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66AE9C">
            <w:pPr>
              <w:widowControl/>
              <w:jc w:val="center"/>
              <w:textAlignment w:val="center"/>
              <w:rPr>
                <w:rFonts w:ascii="宋体" w:hAnsi="宋体" w:cs="宋体"/>
                <w:color w:val="000000"/>
                <w:sz w:val="18"/>
                <w:szCs w:val="18"/>
              </w:rPr>
            </w:pPr>
            <w:r>
              <w:rPr>
                <w:rFonts w:ascii="宋体" w:hAnsi="宋体" w:cs="宋体"/>
                <w:color w:val="000000"/>
                <w:kern w:val="0"/>
                <w:sz w:val="18"/>
                <w:szCs w:val="18"/>
              </w:rPr>
              <w:t>3.90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48CA8">
            <w:pPr>
              <w:widowControl/>
              <w:jc w:val="center"/>
              <w:textAlignment w:val="center"/>
              <w:rPr>
                <w:rFonts w:ascii="宋体" w:hAnsi="宋体" w:cs="宋体"/>
                <w:color w:val="000000"/>
                <w:sz w:val="18"/>
                <w:szCs w:val="18"/>
              </w:rPr>
            </w:pPr>
            <w:r>
              <w:rPr>
                <w:rFonts w:ascii="宋体" w:hAnsi="宋体" w:cs="宋体"/>
                <w:color w:val="000000"/>
                <w:kern w:val="0"/>
                <w:sz w:val="18"/>
                <w:szCs w:val="18"/>
              </w:rPr>
              <w:t>7.49%</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25406">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55D81">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23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EA8AAA">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项目资金指标追加</w:t>
            </w:r>
          </w:p>
        </w:tc>
      </w:tr>
      <w:tr w14:paraId="23BE7FA4">
        <w:tblPrEx>
          <w:tblCellMar>
            <w:top w:w="0" w:type="dxa"/>
            <w:left w:w="108" w:type="dxa"/>
            <w:bottom w:w="0" w:type="dxa"/>
            <w:right w:w="108" w:type="dxa"/>
          </w:tblCellMar>
        </w:tblPrEx>
        <w:trPr>
          <w:trHeight w:val="391"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B6B5BC">
            <w:pPr>
              <w:jc w:val="center"/>
              <w:rPr>
                <w:rFonts w:ascii="宋体" w:hAnsi="宋体" w:cs="宋体"/>
                <w:color w:val="000000"/>
                <w:sz w:val="18"/>
                <w:szCs w:val="18"/>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3DCD6">
            <w:pPr>
              <w:widowControl/>
              <w:jc w:val="center"/>
              <w:textAlignment w:val="center"/>
              <w:rPr>
                <w:rFonts w:ascii="宋体" w:hAnsi="宋体" w:cs="宋体"/>
                <w:color w:val="000000"/>
                <w:sz w:val="18"/>
                <w:szCs w:val="18"/>
              </w:rPr>
            </w:pPr>
            <w:r>
              <w:rPr>
                <w:rFonts w:ascii="宋体" w:hAnsi="宋体" w:cs="宋体"/>
                <w:color w:val="000000"/>
                <w:kern w:val="0"/>
                <w:sz w:val="18"/>
                <w:szCs w:val="18"/>
              </w:rPr>
              <w:t>其中：财政资金</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3ADCB">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709A1">
            <w:pPr>
              <w:widowControl/>
              <w:jc w:val="center"/>
              <w:textAlignment w:val="center"/>
              <w:rPr>
                <w:rFonts w:ascii="宋体" w:hAnsi="宋体" w:cs="宋体"/>
                <w:color w:val="000000"/>
                <w:sz w:val="18"/>
                <w:szCs w:val="18"/>
              </w:rPr>
            </w:pPr>
            <w:r>
              <w:rPr>
                <w:rFonts w:ascii="宋体" w:hAnsi="宋体" w:cs="宋体"/>
                <w:color w:val="000000"/>
                <w:kern w:val="0"/>
                <w:sz w:val="18"/>
                <w:szCs w:val="18"/>
              </w:rPr>
              <w:t>52.05</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2ED7F2">
            <w:pPr>
              <w:widowControl/>
              <w:jc w:val="center"/>
              <w:textAlignment w:val="center"/>
              <w:rPr>
                <w:rFonts w:ascii="宋体" w:hAnsi="宋体" w:cs="宋体"/>
                <w:color w:val="000000"/>
                <w:sz w:val="18"/>
                <w:szCs w:val="18"/>
              </w:rPr>
            </w:pPr>
            <w:r>
              <w:rPr>
                <w:rFonts w:ascii="宋体" w:hAnsi="宋体" w:cs="宋体"/>
                <w:color w:val="000000"/>
                <w:kern w:val="0"/>
                <w:sz w:val="18"/>
                <w:szCs w:val="18"/>
              </w:rPr>
              <w:t>3.90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5C83A">
            <w:pPr>
              <w:widowControl/>
              <w:jc w:val="center"/>
              <w:textAlignment w:val="center"/>
              <w:rPr>
                <w:rFonts w:ascii="宋体" w:hAnsi="宋体" w:cs="宋体"/>
                <w:color w:val="000000"/>
                <w:sz w:val="18"/>
                <w:szCs w:val="18"/>
              </w:rPr>
            </w:pPr>
            <w:r>
              <w:rPr>
                <w:rFonts w:ascii="宋体" w:hAnsi="宋体" w:cs="宋体"/>
                <w:color w:val="000000"/>
                <w:kern w:val="0"/>
                <w:sz w:val="18"/>
                <w:szCs w:val="18"/>
              </w:rPr>
              <w:t>7.49%</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4700B">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E817E">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6CBA1D">
            <w:pPr>
              <w:jc w:val="center"/>
              <w:rPr>
                <w:rFonts w:ascii="黑体" w:hAnsi="黑体" w:eastAsia="黑体" w:cs="黑体"/>
                <w:color w:val="000000"/>
                <w:sz w:val="18"/>
                <w:szCs w:val="18"/>
              </w:rPr>
            </w:pPr>
          </w:p>
        </w:tc>
      </w:tr>
      <w:tr w14:paraId="16AD92D0">
        <w:tblPrEx>
          <w:tblCellMar>
            <w:top w:w="0" w:type="dxa"/>
            <w:left w:w="108" w:type="dxa"/>
            <w:bottom w:w="0" w:type="dxa"/>
            <w:right w:w="108" w:type="dxa"/>
          </w:tblCellMar>
        </w:tblPrEx>
        <w:trPr>
          <w:trHeight w:val="407"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4F5254">
            <w:pPr>
              <w:jc w:val="center"/>
              <w:rPr>
                <w:rFonts w:ascii="宋体" w:hAnsi="宋体" w:cs="宋体"/>
                <w:color w:val="000000"/>
                <w:sz w:val="18"/>
                <w:szCs w:val="18"/>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756B8">
            <w:pPr>
              <w:widowControl/>
              <w:jc w:val="center"/>
              <w:textAlignment w:val="center"/>
              <w:rPr>
                <w:rFonts w:ascii="宋体" w:hAnsi="宋体" w:cs="宋体"/>
                <w:color w:val="000000"/>
                <w:sz w:val="18"/>
                <w:szCs w:val="18"/>
              </w:rPr>
            </w:pPr>
            <w:r>
              <w:rPr>
                <w:rFonts w:ascii="宋体" w:hAnsi="宋体" w:cs="宋体"/>
                <w:color w:val="000000"/>
                <w:kern w:val="0"/>
                <w:sz w:val="18"/>
                <w:szCs w:val="18"/>
              </w:rPr>
              <w:t>财政专户管理资金</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9B00E">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C3FCA">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9A0516">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E91A9">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2750E">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72588">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840CB9">
            <w:pPr>
              <w:jc w:val="center"/>
              <w:rPr>
                <w:rFonts w:ascii="黑体" w:hAnsi="黑体" w:eastAsia="黑体" w:cs="黑体"/>
                <w:color w:val="000000"/>
                <w:sz w:val="18"/>
                <w:szCs w:val="18"/>
              </w:rPr>
            </w:pPr>
          </w:p>
        </w:tc>
      </w:tr>
      <w:tr w14:paraId="1CB6FC80">
        <w:tblPrEx>
          <w:tblCellMar>
            <w:top w:w="0" w:type="dxa"/>
            <w:left w:w="108" w:type="dxa"/>
            <w:bottom w:w="0" w:type="dxa"/>
            <w:right w:w="108" w:type="dxa"/>
          </w:tblCellMar>
        </w:tblPrEx>
        <w:trPr>
          <w:trHeight w:val="361"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4C7EA9">
            <w:pPr>
              <w:jc w:val="center"/>
              <w:rPr>
                <w:rFonts w:ascii="宋体" w:hAnsi="宋体" w:cs="宋体"/>
                <w:color w:val="000000"/>
                <w:sz w:val="18"/>
                <w:szCs w:val="18"/>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6BDA7">
            <w:pPr>
              <w:widowControl/>
              <w:jc w:val="center"/>
              <w:textAlignment w:val="center"/>
              <w:rPr>
                <w:rFonts w:ascii="宋体" w:hAnsi="宋体" w:cs="宋体"/>
                <w:color w:val="000000"/>
                <w:sz w:val="18"/>
                <w:szCs w:val="18"/>
              </w:rPr>
            </w:pPr>
            <w:r>
              <w:rPr>
                <w:rFonts w:ascii="宋体" w:hAnsi="宋体" w:cs="宋体"/>
                <w:color w:val="000000"/>
                <w:kern w:val="0"/>
                <w:sz w:val="18"/>
                <w:szCs w:val="18"/>
              </w:rPr>
              <w:t>单位资金</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363FA">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02E97">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39D779">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0D2CB">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3F58B">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59CDF">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90385E">
            <w:pPr>
              <w:jc w:val="center"/>
              <w:rPr>
                <w:rFonts w:ascii="黑体" w:hAnsi="黑体" w:eastAsia="黑体" w:cs="黑体"/>
                <w:color w:val="000000"/>
                <w:sz w:val="18"/>
                <w:szCs w:val="18"/>
              </w:rPr>
            </w:pPr>
          </w:p>
        </w:tc>
      </w:tr>
      <w:tr w14:paraId="6089234C">
        <w:tblPrEx>
          <w:tblCellMar>
            <w:top w:w="0" w:type="dxa"/>
            <w:left w:w="108" w:type="dxa"/>
            <w:bottom w:w="0" w:type="dxa"/>
            <w:right w:w="108" w:type="dxa"/>
          </w:tblCellMar>
        </w:tblPrEx>
        <w:trPr>
          <w:trHeight w:val="339"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7066B1">
            <w:pPr>
              <w:jc w:val="center"/>
              <w:rPr>
                <w:rFonts w:ascii="宋体" w:hAnsi="宋体" w:cs="宋体"/>
                <w:color w:val="000000"/>
                <w:sz w:val="18"/>
                <w:szCs w:val="18"/>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2FEC9">
            <w:pPr>
              <w:widowControl/>
              <w:jc w:val="center"/>
              <w:textAlignment w:val="center"/>
              <w:rPr>
                <w:rFonts w:ascii="宋体" w:hAnsi="宋体" w:cs="宋体"/>
                <w:color w:val="000000"/>
                <w:sz w:val="18"/>
                <w:szCs w:val="18"/>
              </w:rPr>
            </w:pPr>
            <w:r>
              <w:rPr>
                <w:rFonts w:ascii="宋体" w:hAnsi="宋体" w:cs="宋体"/>
                <w:color w:val="000000"/>
                <w:kern w:val="0"/>
                <w:sz w:val="18"/>
                <w:szCs w:val="18"/>
              </w:rPr>
              <w:t>其他资金</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90358">
            <w:pPr>
              <w:jc w:val="center"/>
              <w:rPr>
                <w:rFonts w:ascii="微软雅黑" w:hAnsi="微软雅黑" w:eastAsia="微软雅黑" w:cs="微软雅黑"/>
                <w:i/>
                <w:iCs/>
                <w:color w:val="000000"/>
                <w:sz w:val="16"/>
                <w:szCs w:val="16"/>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51CB2">
            <w:pPr>
              <w:jc w:val="center"/>
              <w:rPr>
                <w:rFonts w:ascii="微软雅黑" w:hAnsi="微软雅黑" w:eastAsia="微软雅黑" w:cs="微软雅黑"/>
                <w:i/>
                <w:iCs/>
                <w:color w:val="000000"/>
                <w:sz w:val="16"/>
                <w:szCs w:val="16"/>
              </w:rPr>
            </w:pP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84265A">
            <w:pPr>
              <w:jc w:val="center"/>
              <w:rPr>
                <w:rFonts w:ascii="微软雅黑" w:hAnsi="微软雅黑" w:eastAsia="微软雅黑" w:cs="微软雅黑"/>
                <w:i/>
                <w:iCs/>
                <w:color w:val="000000"/>
                <w:sz w:val="16"/>
                <w:szCs w:val="16"/>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60B1F">
            <w:pPr>
              <w:jc w:val="center"/>
              <w:rPr>
                <w:rFonts w:ascii="微软雅黑" w:hAnsi="微软雅黑" w:eastAsia="微软雅黑" w:cs="微软雅黑"/>
                <w:i/>
                <w:iCs/>
                <w:color w:val="000000"/>
                <w:sz w:val="16"/>
                <w:szCs w:val="16"/>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DF0FB">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1B025">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941EE0">
            <w:pPr>
              <w:jc w:val="center"/>
              <w:rPr>
                <w:rFonts w:ascii="黑体" w:hAnsi="黑体" w:eastAsia="黑体" w:cs="黑体"/>
                <w:color w:val="000000"/>
                <w:sz w:val="18"/>
                <w:szCs w:val="18"/>
              </w:rPr>
            </w:pPr>
          </w:p>
        </w:tc>
      </w:tr>
      <w:tr w14:paraId="24984E4A">
        <w:tblPrEx>
          <w:tblCellMar>
            <w:top w:w="0" w:type="dxa"/>
            <w:left w:w="108" w:type="dxa"/>
            <w:bottom w:w="0" w:type="dxa"/>
            <w:right w:w="108" w:type="dxa"/>
          </w:tblCellMar>
        </w:tblPrEx>
        <w:trPr>
          <w:trHeight w:val="452" w:hRule="atLeast"/>
        </w:trPr>
        <w:tc>
          <w:tcPr>
            <w:tcW w:w="6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545208">
            <w:pPr>
              <w:widowControl/>
              <w:jc w:val="center"/>
              <w:textAlignment w:val="center"/>
              <w:rPr>
                <w:rFonts w:ascii="宋体" w:hAnsi="宋体" w:cs="宋体"/>
                <w:color w:val="000000"/>
                <w:sz w:val="18"/>
                <w:szCs w:val="18"/>
              </w:rPr>
            </w:pPr>
            <w:r>
              <w:rPr>
                <w:rFonts w:ascii="宋体" w:hAnsi="宋体" w:cs="宋体"/>
                <w:color w:val="000000"/>
                <w:kern w:val="0"/>
                <w:sz w:val="18"/>
                <w:szCs w:val="18"/>
              </w:rPr>
              <w:t>绩效指标（90分）</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08694">
            <w:pPr>
              <w:widowControl/>
              <w:jc w:val="center"/>
              <w:textAlignment w:val="center"/>
              <w:rPr>
                <w:rFonts w:ascii="宋体" w:hAnsi="宋体" w:cs="宋体"/>
                <w:color w:val="000000"/>
                <w:sz w:val="18"/>
                <w:szCs w:val="18"/>
              </w:rPr>
            </w:pPr>
            <w:r>
              <w:rPr>
                <w:rFonts w:ascii="宋体" w:hAnsi="宋体" w:cs="宋体"/>
                <w:color w:val="000000"/>
                <w:kern w:val="0"/>
                <w:sz w:val="18"/>
                <w:szCs w:val="18"/>
              </w:rPr>
              <w:t>一级指标</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E9BFB">
            <w:pPr>
              <w:widowControl/>
              <w:jc w:val="center"/>
              <w:textAlignment w:val="center"/>
              <w:rPr>
                <w:rFonts w:ascii="宋体" w:hAnsi="宋体" w:cs="宋体"/>
                <w:color w:val="000000"/>
                <w:sz w:val="18"/>
                <w:szCs w:val="18"/>
              </w:rPr>
            </w:pPr>
            <w:r>
              <w:rPr>
                <w:rFonts w:ascii="宋体" w:hAnsi="宋体" w:cs="宋体"/>
                <w:color w:val="000000"/>
                <w:kern w:val="0"/>
                <w:sz w:val="18"/>
                <w:szCs w:val="18"/>
              </w:rPr>
              <w:t>二级指标</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0D677">
            <w:pPr>
              <w:widowControl/>
              <w:jc w:val="center"/>
              <w:textAlignment w:val="center"/>
              <w:rPr>
                <w:rFonts w:ascii="宋体" w:hAnsi="宋体" w:cs="宋体"/>
                <w:color w:val="000000"/>
                <w:sz w:val="18"/>
                <w:szCs w:val="18"/>
              </w:rPr>
            </w:pPr>
            <w:r>
              <w:rPr>
                <w:rFonts w:ascii="宋体" w:hAnsi="宋体" w:cs="宋体"/>
                <w:color w:val="000000"/>
                <w:kern w:val="0"/>
                <w:sz w:val="18"/>
                <w:szCs w:val="18"/>
              </w:rPr>
              <w:t>三级指标</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82024">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指标性质</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9463B">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指标值</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A3BDC">
            <w:pPr>
              <w:widowControl/>
              <w:jc w:val="center"/>
              <w:textAlignment w:val="center"/>
              <w:rPr>
                <w:rFonts w:ascii="宋体" w:hAnsi="宋体" w:cs="宋体"/>
                <w:color w:val="000000"/>
                <w:sz w:val="18"/>
                <w:szCs w:val="18"/>
              </w:rPr>
            </w:pPr>
            <w:r>
              <w:rPr>
                <w:rFonts w:ascii="宋体" w:hAnsi="宋体" w:cs="宋体"/>
                <w:color w:val="000000"/>
                <w:kern w:val="0"/>
                <w:sz w:val="18"/>
                <w:szCs w:val="18"/>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56BC7">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C296F">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731D7">
            <w:pPr>
              <w:widowControl/>
              <w:jc w:val="center"/>
              <w:textAlignment w:val="center"/>
              <w:rPr>
                <w:rFonts w:ascii="宋体" w:hAnsi="宋体" w:cs="宋体"/>
                <w:color w:val="000000"/>
                <w:sz w:val="18"/>
                <w:szCs w:val="18"/>
              </w:rPr>
            </w:pPr>
            <w:r>
              <w:rPr>
                <w:rFonts w:ascii="宋体" w:hAnsi="宋体" w:cs="宋体"/>
                <w:color w:val="000000"/>
                <w:kern w:val="0"/>
                <w:sz w:val="18"/>
                <w:szCs w:val="18"/>
              </w:rPr>
              <w:t>未完成原因分析</w:t>
            </w:r>
          </w:p>
        </w:tc>
      </w:tr>
      <w:tr w14:paraId="066C8BA4">
        <w:tblPrEx>
          <w:tblCellMar>
            <w:top w:w="0" w:type="dxa"/>
            <w:left w:w="108" w:type="dxa"/>
            <w:bottom w:w="0" w:type="dxa"/>
            <w:right w:w="108" w:type="dxa"/>
          </w:tblCellMar>
        </w:tblPrEx>
        <w:trPr>
          <w:trHeight w:val="339"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4F907F">
            <w:pPr>
              <w:jc w:val="center"/>
              <w:rPr>
                <w:rFonts w:ascii="宋体" w:hAnsi="宋体" w:cs="宋体"/>
                <w:color w:val="000000"/>
                <w:sz w:val="18"/>
                <w:szCs w:val="18"/>
              </w:rPr>
            </w:pPr>
          </w:p>
        </w:tc>
        <w:tc>
          <w:tcPr>
            <w:tcW w:w="15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C1DF4E">
            <w:pPr>
              <w:widowControl/>
              <w:jc w:val="center"/>
              <w:textAlignment w:val="center"/>
              <w:rPr>
                <w:rFonts w:ascii="宋体" w:hAnsi="宋体" w:cs="宋体"/>
                <w:color w:val="000000"/>
                <w:sz w:val="18"/>
                <w:szCs w:val="18"/>
              </w:rPr>
            </w:pPr>
            <w:r>
              <w:rPr>
                <w:rFonts w:ascii="宋体" w:hAnsi="宋体" w:cs="宋体"/>
                <w:color w:val="000000"/>
                <w:kern w:val="0"/>
                <w:sz w:val="18"/>
                <w:szCs w:val="18"/>
              </w:rPr>
              <w:t>产出指标</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F00EC">
            <w:pPr>
              <w:widowControl/>
              <w:jc w:val="center"/>
              <w:textAlignment w:val="center"/>
              <w:rPr>
                <w:rFonts w:ascii="宋体" w:hAnsi="宋体" w:cs="宋体"/>
                <w:color w:val="000000"/>
                <w:sz w:val="18"/>
                <w:szCs w:val="18"/>
              </w:rPr>
            </w:pPr>
            <w:r>
              <w:rPr>
                <w:rFonts w:ascii="宋体" w:hAnsi="宋体" w:cs="宋体"/>
                <w:color w:val="000000"/>
                <w:kern w:val="0"/>
                <w:sz w:val="18"/>
                <w:szCs w:val="18"/>
              </w:rPr>
              <w:t>数量指标</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3C523">
            <w:pPr>
              <w:widowControl/>
              <w:jc w:val="center"/>
              <w:textAlignment w:val="center"/>
              <w:rPr>
                <w:rFonts w:ascii="宋体" w:hAnsi="宋体" w:cs="宋体"/>
                <w:color w:val="000000"/>
                <w:sz w:val="18"/>
                <w:szCs w:val="18"/>
              </w:rPr>
            </w:pPr>
            <w:r>
              <w:rPr>
                <w:rFonts w:ascii="宋体" w:hAnsi="宋体" w:cs="宋体"/>
                <w:color w:val="000000"/>
                <w:kern w:val="0"/>
                <w:sz w:val="18"/>
                <w:szCs w:val="18"/>
              </w:rPr>
              <w:t>拨付率</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4F8A0">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4BB02">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10053">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055F1">
            <w:pPr>
              <w:widowControl/>
              <w:jc w:val="center"/>
              <w:textAlignment w:val="center"/>
              <w:rPr>
                <w:rFonts w:ascii="宋体" w:hAnsi="宋体" w:cs="宋体"/>
                <w:color w:val="000000"/>
                <w:sz w:val="18"/>
                <w:szCs w:val="18"/>
              </w:rPr>
            </w:pPr>
            <w:r>
              <w:rPr>
                <w:rFonts w:ascii="宋体" w:hAnsi="宋体" w:cs="宋体"/>
                <w:color w:val="000000"/>
                <w:kern w:val="0"/>
                <w:sz w:val="18"/>
                <w:szCs w:val="18"/>
              </w:rPr>
              <w:t>20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24EFD">
            <w:pPr>
              <w:widowControl/>
              <w:jc w:val="center"/>
              <w:textAlignment w:val="center"/>
              <w:rPr>
                <w:rFonts w:ascii="宋体" w:hAnsi="宋体" w:cs="宋体"/>
                <w:color w:val="000000"/>
                <w:sz w:val="18"/>
                <w:szCs w:val="18"/>
              </w:rPr>
            </w:pPr>
            <w:r>
              <w:rPr>
                <w:rFonts w:ascii="宋体" w:hAnsi="宋体" w:cs="宋体"/>
                <w:color w:val="000000"/>
                <w:kern w:val="0"/>
                <w:sz w:val="18"/>
                <w:szCs w:val="18"/>
              </w:rPr>
              <w:t>20</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5AD5F">
            <w:pPr>
              <w:jc w:val="center"/>
              <w:rPr>
                <w:rFonts w:ascii="微软雅黑" w:hAnsi="微软雅黑" w:eastAsia="微软雅黑" w:cs="微软雅黑"/>
                <w:i/>
                <w:iCs/>
                <w:color w:val="000000"/>
                <w:sz w:val="16"/>
                <w:szCs w:val="16"/>
              </w:rPr>
            </w:pPr>
          </w:p>
        </w:tc>
      </w:tr>
      <w:tr w14:paraId="364B7F7A">
        <w:tblPrEx>
          <w:tblCellMar>
            <w:top w:w="0" w:type="dxa"/>
            <w:left w:w="108" w:type="dxa"/>
            <w:bottom w:w="0" w:type="dxa"/>
            <w:right w:w="108" w:type="dxa"/>
          </w:tblCellMar>
        </w:tblPrEx>
        <w:trPr>
          <w:trHeight w:val="339"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E8C75F">
            <w:pPr>
              <w:jc w:val="center"/>
              <w:rPr>
                <w:rFonts w:ascii="宋体" w:hAnsi="宋体" w:cs="宋体"/>
                <w:color w:val="000000"/>
                <w:sz w:val="18"/>
                <w:szCs w:val="18"/>
              </w:rPr>
            </w:pPr>
          </w:p>
        </w:tc>
        <w:tc>
          <w:tcPr>
            <w:tcW w:w="1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AE1884">
            <w:pPr>
              <w:jc w:val="center"/>
              <w:rPr>
                <w:rFonts w:ascii="宋体" w:hAnsi="宋体" w:cs="宋体"/>
                <w:color w:val="000000"/>
                <w:sz w:val="18"/>
                <w:szCs w:val="18"/>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6EF93">
            <w:pPr>
              <w:widowControl/>
              <w:jc w:val="center"/>
              <w:textAlignment w:val="center"/>
              <w:rPr>
                <w:rFonts w:ascii="宋体" w:hAnsi="宋体" w:cs="宋体"/>
                <w:color w:val="000000"/>
                <w:sz w:val="18"/>
                <w:szCs w:val="18"/>
              </w:rPr>
            </w:pPr>
            <w:r>
              <w:rPr>
                <w:rFonts w:ascii="宋体" w:hAnsi="宋体" w:cs="宋体"/>
                <w:color w:val="000000"/>
                <w:kern w:val="0"/>
                <w:sz w:val="18"/>
                <w:szCs w:val="18"/>
              </w:rPr>
              <w:t>质量指标</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A9C60">
            <w:pPr>
              <w:widowControl/>
              <w:jc w:val="center"/>
              <w:textAlignment w:val="center"/>
              <w:rPr>
                <w:rFonts w:ascii="宋体" w:hAnsi="宋体" w:cs="宋体"/>
                <w:color w:val="000000"/>
                <w:sz w:val="18"/>
                <w:szCs w:val="18"/>
              </w:rPr>
            </w:pPr>
            <w:r>
              <w:rPr>
                <w:rFonts w:ascii="宋体" w:hAnsi="宋体" w:cs="宋体"/>
                <w:color w:val="000000"/>
                <w:kern w:val="0"/>
                <w:sz w:val="18"/>
                <w:szCs w:val="18"/>
              </w:rPr>
              <w:t>营养餐符合标准</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C9B8F">
            <w:pPr>
              <w:widowControl/>
              <w:jc w:val="center"/>
              <w:textAlignment w:val="center"/>
              <w:rPr>
                <w:rFonts w:ascii="宋体" w:hAnsi="宋体" w:cs="宋体"/>
                <w:color w:val="000000"/>
                <w:sz w:val="18"/>
                <w:szCs w:val="18"/>
              </w:rPr>
            </w:pPr>
            <w:r>
              <w:rPr>
                <w:rFonts w:ascii="宋体" w:hAnsi="宋体" w:cs="宋体"/>
                <w:color w:val="000000"/>
                <w:kern w:val="0"/>
                <w:sz w:val="18"/>
                <w:szCs w:val="18"/>
              </w:rPr>
              <w:t>定性</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2FF59">
            <w:pPr>
              <w:widowControl/>
              <w:jc w:val="center"/>
              <w:textAlignment w:val="center"/>
              <w:rPr>
                <w:rFonts w:ascii="宋体" w:hAnsi="宋体" w:cs="宋体"/>
                <w:color w:val="000000"/>
                <w:sz w:val="18"/>
                <w:szCs w:val="18"/>
              </w:rPr>
            </w:pPr>
            <w:r>
              <w:rPr>
                <w:rFonts w:ascii="宋体" w:hAnsi="宋体" w:cs="宋体"/>
                <w:color w:val="000000"/>
                <w:kern w:val="0"/>
                <w:sz w:val="18"/>
                <w:szCs w:val="18"/>
              </w:rPr>
              <w:t>高中低</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55BC1">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高</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127EC">
            <w:pPr>
              <w:widowControl/>
              <w:jc w:val="center"/>
              <w:textAlignment w:val="center"/>
              <w:rPr>
                <w:rFonts w:ascii="宋体" w:hAnsi="宋体" w:cs="宋体"/>
                <w:color w:val="000000"/>
                <w:sz w:val="18"/>
                <w:szCs w:val="18"/>
              </w:rPr>
            </w:pPr>
            <w:r>
              <w:rPr>
                <w:rFonts w:ascii="宋体" w:hAnsi="宋体" w:cs="宋体"/>
                <w:color w:val="000000"/>
                <w:kern w:val="0"/>
                <w:sz w:val="18"/>
                <w:szCs w:val="18"/>
              </w:rPr>
              <w:t>20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66DAA">
            <w:pPr>
              <w:widowControl/>
              <w:jc w:val="center"/>
              <w:textAlignment w:val="center"/>
              <w:rPr>
                <w:rFonts w:ascii="宋体" w:hAnsi="宋体" w:cs="宋体"/>
                <w:color w:val="000000"/>
                <w:sz w:val="18"/>
                <w:szCs w:val="18"/>
              </w:rPr>
            </w:pPr>
            <w:r>
              <w:rPr>
                <w:rFonts w:ascii="宋体" w:hAnsi="宋体" w:cs="宋体"/>
                <w:color w:val="000000"/>
                <w:kern w:val="0"/>
                <w:sz w:val="18"/>
                <w:szCs w:val="18"/>
              </w:rPr>
              <w:t>20</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48CE3">
            <w:pPr>
              <w:jc w:val="center"/>
              <w:rPr>
                <w:rFonts w:ascii="微软雅黑" w:hAnsi="微软雅黑" w:eastAsia="微软雅黑" w:cs="微软雅黑"/>
                <w:i/>
                <w:iCs/>
                <w:color w:val="000000"/>
                <w:sz w:val="16"/>
                <w:szCs w:val="16"/>
              </w:rPr>
            </w:pPr>
          </w:p>
        </w:tc>
      </w:tr>
      <w:tr w14:paraId="221547B4">
        <w:tblPrEx>
          <w:tblCellMar>
            <w:top w:w="0" w:type="dxa"/>
            <w:left w:w="108" w:type="dxa"/>
            <w:bottom w:w="0" w:type="dxa"/>
            <w:right w:w="108" w:type="dxa"/>
          </w:tblCellMar>
        </w:tblPrEx>
        <w:trPr>
          <w:trHeight w:val="339"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C404AE">
            <w:pPr>
              <w:jc w:val="center"/>
              <w:rPr>
                <w:rFonts w:ascii="宋体" w:hAnsi="宋体" w:cs="宋体"/>
                <w:color w:val="000000"/>
                <w:sz w:val="18"/>
                <w:szCs w:val="18"/>
              </w:rPr>
            </w:pPr>
          </w:p>
        </w:tc>
        <w:tc>
          <w:tcPr>
            <w:tcW w:w="1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2A2816">
            <w:pPr>
              <w:jc w:val="center"/>
              <w:rPr>
                <w:rFonts w:ascii="宋体" w:hAnsi="宋体" w:cs="宋体"/>
                <w:color w:val="000000"/>
                <w:sz w:val="18"/>
                <w:szCs w:val="18"/>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00B8A">
            <w:pPr>
              <w:widowControl/>
              <w:jc w:val="center"/>
              <w:textAlignment w:val="center"/>
              <w:rPr>
                <w:rFonts w:ascii="宋体" w:hAnsi="宋体" w:cs="宋体"/>
                <w:color w:val="000000"/>
                <w:sz w:val="18"/>
                <w:szCs w:val="18"/>
              </w:rPr>
            </w:pPr>
            <w:r>
              <w:rPr>
                <w:rFonts w:ascii="宋体" w:hAnsi="宋体" w:cs="宋体"/>
                <w:color w:val="000000"/>
                <w:kern w:val="0"/>
                <w:sz w:val="18"/>
                <w:szCs w:val="18"/>
              </w:rPr>
              <w:t>时效指标</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591E4">
            <w:pPr>
              <w:widowControl/>
              <w:jc w:val="center"/>
              <w:textAlignment w:val="center"/>
              <w:rPr>
                <w:rFonts w:ascii="宋体" w:hAnsi="宋体" w:cs="宋体"/>
                <w:color w:val="000000"/>
                <w:sz w:val="18"/>
                <w:szCs w:val="18"/>
              </w:rPr>
            </w:pPr>
            <w:r>
              <w:rPr>
                <w:rFonts w:ascii="宋体" w:hAnsi="宋体" w:cs="宋体"/>
                <w:color w:val="000000"/>
                <w:kern w:val="0"/>
                <w:sz w:val="18"/>
                <w:szCs w:val="18"/>
              </w:rPr>
              <w:t>项目实施时限</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5A08B">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DCAC2">
            <w:pPr>
              <w:widowControl/>
              <w:jc w:val="center"/>
              <w:textAlignment w:val="center"/>
              <w:rPr>
                <w:rFonts w:ascii="宋体" w:hAnsi="宋体" w:cs="宋体"/>
                <w:color w:val="000000"/>
                <w:sz w:val="18"/>
                <w:szCs w:val="18"/>
              </w:rPr>
            </w:pPr>
            <w:r>
              <w:rPr>
                <w:rFonts w:ascii="宋体" w:hAnsi="宋体" w:cs="宋体"/>
                <w:color w:val="000000"/>
                <w:kern w:val="0"/>
                <w:sz w:val="18"/>
                <w:szCs w:val="18"/>
              </w:rPr>
              <w:t>1</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3F642">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1年</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94593">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FA542">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F2484">
            <w:pPr>
              <w:jc w:val="center"/>
              <w:rPr>
                <w:rFonts w:ascii="微软雅黑" w:hAnsi="微软雅黑" w:eastAsia="微软雅黑" w:cs="微软雅黑"/>
                <w:i/>
                <w:iCs/>
                <w:color w:val="000000"/>
                <w:sz w:val="16"/>
                <w:szCs w:val="16"/>
              </w:rPr>
            </w:pPr>
          </w:p>
        </w:tc>
      </w:tr>
      <w:tr w14:paraId="1EBEFBF9">
        <w:tblPrEx>
          <w:tblCellMar>
            <w:top w:w="0" w:type="dxa"/>
            <w:left w:w="108" w:type="dxa"/>
            <w:bottom w:w="0" w:type="dxa"/>
            <w:right w:w="108" w:type="dxa"/>
          </w:tblCellMar>
        </w:tblPrEx>
        <w:trPr>
          <w:trHeight w:val="339"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2F95F7">
            <w:pPr>
              <w:jc w:val="center"/>
              <w:rPr>
                <w:rFonts w:ascii="宋体" w:hAnsi="宋体" w:cs="宋体"/>
                <w:color w:val="000000"/>
                <w:sz w:val="18"/>
                <w:szCs w:val="18"/>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0A697">
            <w:pPr>
              <w:widowControl/>
              <w:jc w:val="center"/>
              <w:textAlignment w:val="center"/>
              <w:rPr>
                <w:rFonts w:ascii="宋体" w:hAnsi="宋体" w:cs="宋体"/>
                <w:color w:val="000000"/>
                <w:sz w:val="18"/>
                <w:szCs w:val="18"/>
              </w:rPr>
            </w:pPr>
            <w:r>
              <w:rPr>
                <w:rFonts w:ascii="宋体" w:hAnsi="宋体" w:cs="宋体"/>
                <w:color w:val="000000"/>
                <w:kern w:val="0"/>
                <w:sz w:val="18"/>
                <w:szCs w:val="18"/>
              </w:rPr>
              <w:t>效益指标</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D8EFB">
            <w:pPr>
              <w:widowControl/>
              <w:jc w:val="center"/>
              <w:textAlignment w:val="center"/>
              <w:rPr>
                <w:rFonts w:ascii="宋体" w:hAnsi="宋体" w:cs="宋体"/>
                <w:color w:val="000000"/>
                <w:sz w:val="18"/>
                <w:szCs w:val="18"/>
              </w:rPr>
            </w:pPr>
            <w:r>
              <w:rPr>
                <w:rFonts w:ascii="宋体" w:hAnsi="宋体" w:cs="宋体"/>
                <w:color w:val="000000"/>
                <w:kern w:val="0"/>
                <w:sz w:val="18"/>
                <w:szCs w:val="18"/>
              </w:rPr>
              <w:t>社会效益指标</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4DA18">
            <w:pPr>
              <w:widowControl/>
              <w:jc w:val="center"/>
              <w:textAlignment w:val="center"/>
              <w:rPr>
                <w:rFonts w:ascii="宋体" w:hAnsi="宋体" w:cs="宋体"/>
                <w:color w:val="000000"/>
                <w:sz w:val="18"/>
                <w:szCs w:val="18"/>
              </w:rPr>
            </w:pPr>
            <w:r>
              <w:rPr>
                <w:rFonts w:ascii="宋体" w:hAnsi="宋体" w:cs="宋体"/>
                <w:color w:val="000000"/>
                <w:kern w:val="0"/>
                <w:sz w:val="18"/>
                <w:szCs w:val="18"/>
              </w:rPr>
              <w:t>保障学生健康成长</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B3421">
            <w:pPr>
              <w:widowControl/>
              <w:jc w:val="center"/>
              <w:textAlignment w:val="center"/>
              <w:rPr>
                <w:rFonts w:ascii="宋体" w:hAnsi="宋体" w:cs="宋体"/>
                <w:color w:val="000000"/>
                <w:sz w:val="18"/>
                <w:szCs w:val="18"/>
              </w:rPr>
            </w:pPr>
            <w:r>
              <w:rPr>
                <w:rFonts w:ascii="宋体" w:hAnsi="宋体" w:cs="宋体"/>
                <w:color w:val="000000"/>
                <w:kern w:val="0"/>
                <w:sz w:val="18"/>
                <w:szCs w:val="18"/>
              </w:rPr>
              <w:t>定性</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04013">
            <w:pPr>
              <w:widowControl/>
              <w:jc w:val="center"/>
              <w:textAlignment w:val="center"/>
              <w:rPr>
                <w:rFonts w:ascii="宋体" w:hAnsi="宋体" w:cs="宋体"/>
                <w:color w:val="000000"/>
                <w:sz w:val="18"/>
                <w:szCs w:val="18"/>
              </w:rPr>
            </w:pPr>
            <w:r>
              <w:rPr>
                <w:rFonts w:ascii="宋体" w:hAnsi="宋体" w:cs="宋体"/>
                <w:color w:val="000000"/>
                <w:kern w:val="0"/>
                <w:sz w:val="18"/>
                <w:szCs w:val="18"/>
              </w:rPr>
              <w:t>高中低</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14B38">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高</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F6219">
            <w:pPr>
              <w:widowControl/>
              <w:jc w:val="center"/>
              <w:textAlignment w:val="center"/>
              <w:rPr>
                <w:rFonts w:ascii="宋体" w:hAnsi="宋体" w:cs="宋体"/>
                <w:color w:val="000000"/>
                <w:sz w:val="18"/>
                <w:szCs w:val="18"/>
              </w:rPr>
            </w:pPr>
            <w:r>
              <w:rPr>
                <w:rFonts w:ascii="宋体" w:hAnsi="宋体" w:cs="宋体"/>
                <w:color w:val="000000"/>
                <w:kern w:val="0"/>
                <w:sz w:val="18"/>
                <w:szCs w:val="18"/>
              </w:rPr>
              <w:t>30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14866">
            <w:pPr>
              <w:widowControl/>
              <w:jc w:val="center"/>
              <w:textAlignment w:val="center"/>
              <w:rPr>
                <w:rFonts w:ascii="宋体" w:hAnsi="宋体" w:cs="宋体"/>
                <w:color w:val="000000"/>
                <w:sz w:val="18"/>
                <w:szCs w:val="18"/>
              </w:rPr>
            </w:pPr>
            <w:r>
              <w:rPr>
                <w:rFonts w:ascii="宋体" w:hAnsi="宋体" w:cs="宋体"/>
                <w:color w:val="000000"/>
                <w:kern w:val="0"/>
                <w:sz w:val="18"/>
                <w:szCs w:val="18"/>
              </w:rPr>
              <w:t>30</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A727D">
            <w:pPr>
              <w:jc w:val="center"/>
              <w:rPr>
                <w:rFonts w:ascii="微软雅黑" w:hAnsi="微软雅黑" w:eastAsia="微软雅黑" w:cs="微软雅黑"/>
                <w:i/>
                <w:iCs/>
                <w:color w:val="000000"/>
                <w:sz w:val="16"/>
                <w:szCs w:val="16"/>
              </w:rPr>
            </w:pPr>
          </w:p>
        </w:tc>
      </w:tr>
      <w:tr w14:paraId="57EB2520">
        <w:tblPrEx>
          <w:tblCellMar>
            <w:top w:w="0" w:type="dxa"/>
            <w:left w:w="108" w:type="dxa"/>
            <w:bottom w:w="0" w:type="dxa"/>
            <w:right w:w="108" w:type="dxa"/>
          </w:tblCellMar>
        </w:tblPrEx>
        <w:trPr>
          <w:trHeight w:val="339"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F001A3">
            <w:pPr>
              <w:jc w:val="center"/>
              <w:rPr>
                <w:rFonts w:ascii="宋体" w:hAnsi="宋体" w:cs="宋体"/>
                <w:color w:val="000000"/>
                <w:sz w:val="18"/>
                <w:szCs w:val="18"/>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D2C4B">
            <w:pPr>
              <w:widowControl/>
              <w:jc w:val="center"/>
              <w:textAlignment w:val="center"/>
              <w:rPr>
                <w:rFonts w:ascii="宋体" w:hAnsi="宋体" w:cs="宋体"/>
                <w:color w:val="000000"/>
                <w:sz w:val="18"/>
                <w:szCs w:val="18"/>
              </w:rPr>
            </w:pPr>
            <w:r>
              <w:rPr>
                <w:rFonts w:ascii="宋体" w:hAnsi="宋体" w:cs="宋体"/>
                <w:color w:val="000000"/>
                <w:kern w:val="0"/>
                <w:sz w:val="18"/>
                <w:szCs w:val="18"/>
              </w:rPr>
              <w:t>满意度指标</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F3962">
            <w:pPr>
              <w:widowControl/>
              <w:jc w:val="center"/>
              <w:textAlignment w:val="center"/>
              <w:rPr>
                <w:rFonts w:ascii="宋体" w:hAnsi="宋体" w:cs="宋体"/>
                <w:color w:val="000000"/>
                <w:sz w:val="18"/>
                <w:szCs w:val="18"/>
              </w:rPr>
            </w:pPr>
            <w:r>
              <w:rPr>
                <w:rFonts w:ascii="宋体" w:hAnsi="宋体" w:cs="宋体"/>
                <w:color w:val="000000"/>
                <w:kern w:val="0"/>
                <w:sz w:val="18"/>
                <w:szCs w:val="18"/>
              </w:rPr>
              <w:t>满意度指标</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44FB6">
            <w:pPr>
              <w:widowControl/>
              <w:jc w:val="center"/>
              <w:textAlignment w:val="center"/>
              <w:rPr>
                <w:rFonts w:ascii="宋体" w:hAnsi="宋体" w:cs="宋体"/>
                <w:color w:val="000000"/>
                <w:sz w:val="18"/>
                <w:szCs w:val="18"/>
              </w:rPr>
            </w:pPr>
            <w:r>
              <w:rPr>
                <w:rFonts w:ascii="宋体" w:hAnsi="宋体" w:cs="宋体"/>
                <w:color w:val="000000"/>
                <w:kern w:val="0"/>
                <w:sz w:val="18"/>
                <w:szCs w:val="18"/>
              </w:rPr>
              <w:t>学生、家长、社会满意度</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D7358">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FC156">
            <w:pPr>
              <w:widowControl/>
              <w:jc w:val="center"/>
              <w:textAlignment w:val="center"/>
              <w:rPr>
                <w:rFonts w:ascii="宋体" w:hAnsi="宋体" w:cs="宋体"/>
                <w:color w:val="000000"/>
                <w:sz w:val="18"/>
                <w:szCs w:val="18"/>
              </w:rPr>
            </w:pPr>
            <w:r>
              <w:rPr>
                <w:rFonts w:ascii="宋体" w:hAnsi="宋体" w:cs="宋体"/>
                <w:color w:val="000000"/>
                <w:kern w:val="0"/>
                <w:sz w:val="18"/>
                <w:szCs w:val="18"/>
              </w:rPr>
              <w:t>95</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CFB4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≥95%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D3386">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61957">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5BA55">
            <w:pPr>
              <w:jc w:val="center"/>
              <w:rPr>
                <w:rFonts w:ascii="微软雅黑" w:hAnsi="微软雅黑" w:eastAsia="微软雅黑" w:cs="微软雅黑"/>
                <w:i/>
                <w:iCs/>
                <w:color w:val="000000"/>
                <w:sz w:val="16"/>
                <w:szCs w:val="16"/>
              </w:rPr>
            </w:pPr>
          </w:p>
        </w:tc>
      </w:tr>
      <w:tr w14:paraId="070DD4BD">
        <w:tblPrEx>
          <w:tblCellMar>
            <w:top w:w="0" w:type="dxa"/>
            <w:left w:w="108" w:type="dxa"/>
            <w:bottom w:w="0" w:type="dxa"/>
            <w:right w:w="108" w:type="dxa"/>
          </w:tblCellMar>
        </w:tblPrEx>
        <w:trPr>
          <w:trHeight w:val="286" w:hRule="atLeast"/>
        </w:trPr>
        <w:tc>
          <w:tcPr>
            <w:tcW w:w="707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135E910">
            <w:pPr>
              <w:widowControl/>
              <w:jc w:val="center"/>
              <w:textAlignment w:val="center"/>
              <w:rPr>
                <w:rFonts w:ascii="宋体" w:hAnsi="宋体" w:cs="宋体"/>
                <w:color w:val="000000"/>
                <w:sz w:val="18"/>
                <w:szCs w:val="18"/>
              </w:rPr>
            </w:pPr>
            <w:r>
              <w:rPr>
                <w:rFonts w:ascii="宋体" w:hAnsi="宋体" w:cs="宋体"/>
                <w:color w:val="000000"/>
                <w:kern w:val="0"/>
                <w:sz w:val="18"/>
                <w:szCs w:val="18"/>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C2CAA">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4B40B">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6B677">
            <w:pPr>
              <w:rPr>
                <w:rFonts w:ascii="宋体" w:hAnsi="宋体" w:cs="宋体"/>
                <w:color w:val="000000"/>
                <w:sz w:val="18"/>
                <w:szCs w:val="18"/>
              </w:rPr>
            </w:pPr>
          </w:p>
        </w:tc>
      </w:tr>
      <w:tr w14:paraId="650F2B36">
        <w:tblPrEx>
          <w:tblCellMar>
            <w:top w:w="0" w:type="dxa"/>
            <w:left w:w="108" w:type="dxa"/>
            <w:bottom w:w="0" w:type="dxa"/>
            <w:right w:w="108" w:type="dxa"/>
          </w:tblCellMar>
        </w:tblPrEx>
        <w:trPr>
          <w:trHeight w:val="603"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AC6B5">
            <w:pPr>
              <w:widowControl/>
              <w:jc w:val="center"/>
              <w:textAlignment w:val="center"/>
              <w:rPr>
                <w:rFonts w:ascii="宋体" w:hAnsi="宋体" w:cs="宋体"/>
                <w:color w:val="000000"/>
                <w:sz w:val="18"/>
                <w:szCs w:val="18"/>
              </w:rPr>
            </w:pPr>
            <w:r>
              <w:rPr>
                <w:rFonts w:ascii="宋体" w:hAnsi="宋体" w:cs="宋体"/>
                <w:color w:val="000000"/>
                <w:kern w:val="0"/>
                <w:sz w:val="18"/>
                <w:szCs w:val="18"/>
              </w:rPr>
              <w:t>评价结论</w:t>
            </w:r>
          </w:p>
        </w:tc>
        <w:tc>
          <w:tcPr>
            <w:tcW w:w="968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DFBE218">
            <w:pPr>
              <w:widowControl/>
              <w:jc w:val="left"/>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项目自评总分达到100分。通过实施，项目达到了预期目标，解决了实际问题，取得了显著成果。</w:t>
            </w:r>
          </w:p>
        </w:tc>
      </w:tr>
      <w:tr w14:paraId="403D3104">
        <w:tblPrEx>
          <w:tblCellMar>
            <w:top w:w="0" w:type="dxa"/>
            <w:left w:w="108" w:type="dxa"/>
            <w:bottom w:w="0" w:type="dxa"/>
            <w:right w:w="108" w:type="dxa"/>
          </w:tblCellMar>
        </w:tblPrEx>
        <w:trPr>
          <w:trHeight w:val="572"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391B4">
            <w:pPr>
              <w:widowControl/>
              <w:jc w:val="center"/>
              <w:textAlignment w:val="center"/>
              <w:rPr>
                <w:rFonts w:ascii="宋体" w:hAnsi="宋体" w:cs="宋体"/>
                <w:color w:val="000000"/>
                <w:sz w:val="18"/>
                <w:szCs w:val="18"/>
              </w:rPr>
            </w:pPr>
            <w:r>
              <w:rPr>
                <w:rFonts w:ascii="宋体" w:hAnsi="宋体" w:cs="宋体"/>
                <w:color w:val="000000"/>
                <w:kern w:val="0"/>
                <w:sz w:val="18"/>
                <w:szCs w:val="18"/>
              </w:rPr>
              <w:t>存在问题</w:t>
            </w:r>
          </w:p>
        </w:tc>
        <w:tc>
          <w:tcPr>
            <w:tcW w:w="968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E5D3DB1">
            <w:pPr>
              <w:widowControl/>
              <w:jc w:val="left"/>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无</w:t>
            </w:r>
          </w:p>
        </w:tc>
      </w:tr>
      <w:tr w14:paraId="7B2E7A71">
        <w:tblPrEx>
          <w:tblCellMar>
            <w:top w:w="0" w:type="dxa"/>
            <w:left w:w="108" w:type="dxa"/>
            <w:bottom w:w="0" w:type="dxa"/>
            <w:right w:w="108" w:type="dxa"/>
          </w:tblCellMar>
        </w:tblPrEx>
        <w:trPr>
          <w:trHeight w:val="633"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96250">
            <w:pPr>
              <w:widowControl/>
              <w:jc w:val="center"/>
              <w:textAlignment w:val="center"/>
              <w:rPr>
                <w:rFonts w:ascii="宋体" w:hAnsi="宋体" w:cs="宋体"/>
                <w:color w:val="000000"/>
                <w:sz w:val="18"/>
                <w:szCs w:val="18"/>
              </w:rPr>
            </w:pPr>
            <w:r>
              <w:rPr>
                <w:rFonts w:ascii="宋体" w:hAnsi="宋体" w:cs="宋体"/>
                <w:color w:val="000000"/>
                <w:kern w:val="0"/>
                <w:sz w:val="18"/>
                <w:szCs w:val="18"/>
              </w:rPr>
              <w:t>改进措施</w:t>
            </w:r>
          </w:p>
        </w:tc>
        <w:tc>
          <w:tcPr>
            <w:tcW w:w="968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FDDD55B">
            <w:pPr>
              <w:widowControl/>
              <w:jc w:val="left"/>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无</w:t>
            </w:r>
          </w:p>
        </w:tc>
      </w:tr>
      <w:tr w14:paraId="100017E5">
        <w:tblPrEx>
          <w:tblCellMar>
            <w:top w:w="0" w:type="dxa"/>
            <w:left w:w="108" w:type="dxa"/>
            <w:bottom w:w="0" w:type="dxa"/>
            <w:right w:w="108" w:type="dxa"/>
          </w:tblCellMar>
        </w:tblPrEx>
        <w:trPr>
          <w:trHeight w:val="286" w:hRule="atLeast"/>
        </w:trPr>
        <w:tc>
          <w:tcPr>
            <w:tcW w:w="500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78BEAC6">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项目负责人：黄中成</w:t>
            </w:r>
          </w:p>
        </w:tc>
        <w:tc>
          <w:tcPr>
            <w:tcW w:w="53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4EC0B9F">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财务负责人：王建军</w:t>
            </w:r>
          </w:p>
        </w:tc>
      </w:tr>
      <w:tr w14:paraId="68BB72A9">
        <w:tblPrEx>
          <w:tblCellMar>
            <w:top w:w="0" w:type="dxa"/>
            <w:left w:w="108" w:type="dxa"/>
            <w:bottom w:w="0" w:type="dxa"/>
            <w:right w:w="108" w:type="dxa"/>
          </w:tblCellMar>
        </w:tblPrEx>
        <w:trPr>
          <w:trHeight w:val="286" w:hRule="atLeast"/>
        </w:trPr>
        <w:tc>
          <w:tcPr>
            <w:tcW w:w="500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D922CD4">
            <w:pPr>
              <w:widowControl/>
              <w:jc w:val="left"/>
              <w:textAlignment w:val="center"/>
              <w:rPr>
                <w:rFonts w:ascii="黑体" w:hAnsi="黑体" w:eastAsia="黑体" w:cs="黑体"/>
                <w:color w:val="000000"/>
                <w:kern w:val="0"/>
                <w:sz w:val="18"/>
                <w:szCs w:val="18"/>
              </w:rPr>
            </w:pPr>
          </w:p>
        </w:tc>
        <w:tc>
          <w:tcPr>
            <w:tcW w:w="53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73D8648">
            <w:pPr>
              <w:widowControl/>
              <w:jc w:val="left"/>
              <w:textAlignment w:val="center"/>
              <w:rPr>
                <w:rFonts w:ascii="黑体" w:hAnsi="黑体" w:eastAsia="黑体" w:cs="黑体"/>
                <w:color w:val="000000"/>
                <w:kern w:val="0"/>
                <w:sz w:val="18"/>
                <w:szCs w:val="18"/>
              </w:rPr>
            </w:pPr>
          </w:p>
        </w:tc>
      </w:tr>
      <w:tr w14:paraId="14115565">
        <w:tblPrEx>
          <w:tblCellMar>
            <w:top w:w="0" w:type="dxa"/>
            <w:left w:w="108" w:type="dxa"/>
            <w:bottom w:w="0" w:type="dxa"/>
            <w:right w:w="108" w:type="dxa"/>
          </w:tblCellMar>
        </w:tblPrEx>
        <w:trPr>
          <w:trHeight w:val="286" w:hRule="atLeast"/>
        </w:trPr>
        <w:tc>
          <w:tcPr>
            <w:tcW w:w="682" w:type="dxa"/>
            <w:tcBorders>
              <w:top w:val="nil"/>
              <w:left w:val="nil"/>
              <w:bottom w:val="nil"/>
              <w:right w:val="nil"/>
            </w:tcBorders>
            <w:shd w:val="clear" w:color="auto" w:fill="auto"/>
            <w:vAlign w:val="center"/>
          </w:tcPr>
          <w:p w14:paraId="0832F62C">
            <w:pPr>
              <w:rPr>
                <w:rFonts w:ascii="宋体" w:hAnsi="宋体" w:cs="宋体"/>
                <w:color w:val="000000"/>
                <w:sz w:val="18"/>
                <w:szCs w:val="18"/>
              </w:rPr>
            </w:pPr>
          </w:p>
          <w:p w14:paraId="3C9937FB">
            <w:pPr>
              <w:rPr>
                <w:rFonts w:ascii="宋体" w:hAnsi="宋体" w:cs="宋体"/>
                <w:color w:val="000000"/>
                <w:sz w:val="18"/>
                <w:szCs w:val="18"/>
              </w:rPr>
            </w:pPr>
          </w:p>
        </w:tc>
        <w:tc>
          <w:tcPr>
            <w:tcW w:w="1580" w:type="dxa"/>
            <w:tcBorders>
              <w:top w:val="nil"/>
              <w:left w:val="nil"/>
              <w:bottom w:val="nil"/>
              <w:right w:val="nil"/>
            </w:tcBorders>
            <w:shd w:val="clear" w:color="auto" w:fill="auto"/>
            <w:vAlign w:val="center"/>
          </w:tcPr>
          <w:p w14:paraId="47292A67">
            <w:pPr>
              <w:rPr>
                <w:rFonts w:ascii="宋体" w:hAnsi="宋体" w:cs="宋体"/>
                <w:color w:val="000000"/>
                <w:sz w:val="18"/>
                <w:szCs w:val="18"/>
              </w:rPr>
            </w:pPr>
          </w:p>
          <w:p w14:paraId="176F3FDC">
            <w:pPr>
              <w:rPr>
                <w:rFonts w:ascii="宋体" w:hAnsi="宋体" w:cs="宋体"/>
                <w:color w:val="000000"/>
                <w:sz w:val="18"/>
                <w:szCs w:val="18"/>
              </w:rPr>
            </w:pPr>
          </w:p>
          <w:p w14:paraId="441CF437">
            <w:pPr>
              <w:rPr>
                <w:rFonts w:ascii="宋体" w:hAnsi="宋体" w:cs="宋体"/>
                <w:color w:val="000000"/>
                <w:sz w:val="18"/>
                <w:szCs w:val="18"/>
              </w:rPr>
            </w:pPr>
          </w:p>
          <w:p w14:paraId="6FD3D571">
            <w:pPr>
              <w:rPr>
                <w:rFonts w:ascii="宋体" w:hAnsi="宋体" w:cs="宋体"/>
                <w:color w:val="000000"/>
                <w:sz w:val="18"/>
                <w:szCs w:val="18"/>
              </w:rPr>
            </w:pPr>
          </w:p>
          <w:p w14:paraId="68ABEB8B">
            <w:pPr>
              <w:rPr>
                <w:rFonts w:ascii="宋体" w:hAnsi="宋体" w:cs="宋体"/>
                <w:color w:val="000000"/>
                <w:sz w:val="18"/>
                <w:szCs w:val="18"/>
              </w:rPr>
            </w:pPr>
          </w:p>
          <w:p w14:paraId="51B04B0D">
            <w:pPr>
              <w:rPr>
                <w:rFonts w:ascii="宋体" w:hAnsi="宋体" w:cs="宋体"/>
                <w:color w:val="000000"/>
                <w:sz w:val="18"/>
                <w:szCs w:val="18"/>
              </w:rPr>
            </w:pPr>
          </w:p>
        </w:tc>
        <w:tc>
          <w:tcPr>
            <w:tcW w:w="986" w:type="dxa"/>
            <w:tcBorders>
              <w:top w:val="nil"/>
              <w:left w:val="nil"/>
              <w:bottom w:val="nil"/>
              <w:right w:val="nil"/>
            </w:tcBorders>
            <w:shd w:val="clear" w:color="auto" w:fill="auto"/>
            <w:vAlign w:val="center"/>
          </w:tcPr>
          <w:p w14:paraId="76AE24AE">
            <w:pPr>
              <w:rPr>
                <w:rFonts w:ascii="宋体" w:hAnsi="宋体" w:cs="宋体"/>
                <w:color w:val="000000"/>
                <w:sz w:val="18"/>
                <w:szCs w:val="18"/>
              </w:rPr>
            </w:pPr>
          </w:p>
        </w:tc>
        <w:tc>
          <w:tcPr>
            <w:tcW w:w="1354" w:type="dxa"/>
            <w:tcBorders>
              <w:top w:val="nil"/>
              <w:left w:val="nil"/>
              <w:bottom w:val="nil"/>
              <w:right w:val="nil"/>
            </w:tcBorders>
            <w:shd w:val="clear" w:color="auto" w:fill="auto"/>
            <w:vAlign w:val="center"/>
          </w:tcPr>
          <w:p w14:paraId="71CFBEA2">
            <w:pPr>
              <w:pStyle w:val="16"/>
              <w:rPr>
                <w:rFonts w:ascii="宋体" w:hAnsi="宋体" w:eastAsia="宋体" w:cs="宋体"/>
                <w:color w:val="000000"/>
                <w:sz w:val="18"/>
                <w:szCs w:val="18"/>
              </w:rPr>
            </w:pPr>
          </w:p>
          <w:p w14:paraId="0F54831E"/>
        </w:tc>
        <w:tc>
          <w:tcPr>
            <w:tcW w:w="405" w:type="dxa"/>
            <w:tcBorders>
              <w:top w:val="nil"/>
              <w:left w:val="nil"/>
              <w:bottom w:val="nil"/>
              <w:right w:val="nil"/>
            </w:tcBorders>
            <w:shd w:val="clear" w:color="auto" w:fill="auto"/>
            <w:vAlign w:val="center"/>
          </w:tcPr>
          <w:p w14:paraId="150B55D2">
            <w:pPr>
              <w:rPr>
                <w:rFonts w:ascii="宋体" w:hAnsi="宋体" w:cs="宋体"/>
                <w:color w:val="000000"/>
                <w:sz w:val="18"/>
                <w:szCs w:val="18"/>
              </w:rPr>
            </w:pPr>
          </w:p>
        </w:tc>
        <w:tc>
          <w:tcPr>
            <w:tcW w:w="1209" w:type="dxa"/>
            <w:tcBorders>
              <w:top w:val="nil"/>
              <w:left w:val="nil"/>
              <w:bottom w:val="nil"/>
              <w:right w:val="nil"/>
            </w:tcBorders>
            <w:shd w:val="clear" w:color="auto" w:fill="auto"/>
            <w:vAlign w:val="center"/>
          </w:tcPr>
          <w:p w14:paraId="33BB1462">
            <w:pPr>
              <w:rPr>
                <w:rFonts w:ascii="宋体" w:hAnsi="宋体" w:cs="宋体"/>
                <w:color w:val="000000"/>
                <w:sz w:val="18"/>
                <w:szCs w:val="18"/>
              </w:rPr>
            </w:pPr>
          </w:p>
        </w:tc>
        <w:tc>
          <w:tcPr>
            <w:tcW w:w="855" w:type="dxa"/>
            <w:tcBorders>
              <w:top w:val="nil"/>
              <w:left w:val="nil"/>
              <w:bottom w:val="nil"/>
              <w:right w:val="nil"/>
            </w:tcBorders>
            <w:shd w:val="clear" w:color="auto" w:fill="auto"/>
            <w:vAlign w:val="center"/>
          </w:tcPr>
          <w:p w14:paraId="550CE10F">
            <w:pPr>
              <w:rPr>
                <w:rFonts w:ascii="宋体" w:hAnsi="宋体" w:cs="宋体"/>
                <w:color w:val="000000"/>
                <w:sz w:val="18"/>
                <w:szCs w:val="18"/>
              </w:rPr>
            </w:pPr>
          </w:p>
        </w:tc>
        <w:tc>
          <w:tcPr>
            <w:tcW w:w="505" w:type="dxa"/>
            <w:tcBorders>
              <w:top w:val="nil"/>
              <w:left w:val="nil"/>
              <w:bottom w:val="nil"/>
              <w:right w:val="nil"/>
            </w:tcBorders>
            <w:shd w:val="clear" w:color="auto" w:fill="auto"/>
            <w:vAlign w:val="center"/>
          </w:tcPr>
          <w:p w14:paraId="58CA8AD0">
            <w:pPr>
              <w:rPr>
                <w:rFonts w:ascii="宋体" w:hAnsi="宋体" w:cs="宋体"/>
                <w:color w:val="000000"/>
                <w:sz w:val="18"/>
                <w:szCs w:val="18"/>
              </w:rPr>
            </w:pPr>
          </w:p>
        </w:tc>
        <w:tc>
          <w:tcPr>
            <w:tcW w:w="486" w:type="dxa"/>
            <w:tcBorders>
              <w:top w:val="nil"/>
              <w:left w:val="nil"/>
              <w:bottom w:val="nil"/>
              <w:right w:val="nil"/>
            </w:tcBorders>
            <w:shd w:val="clear" w:color="auto" w:fill="auto"/>
            <w:vAlign w:val="center"/>
          </w:tcPr>
          <w:p w14:paraId="7FD55CAA">
            <w:pPr>
              <w:rPr>
                <w:rFonts w:ascii="宋体" w:hAnsi="宋体" w:cs="宋体"/>
                <w:color w:val="000000"/>
                <w:sz w:val="18"/>
                <w:szCs w:val="18"/>
              </w:rPr>
            </w:pPr>
          </w:p>
        </w:tc>
        <w:tc>
          <w:tcPr>
            <w:tcW w:w="2300" w:type="dxa"/>
            <w:tcBorders>
              <w:top w:val="nil"/>
              <w:left w:val="nil"/>
              <w:bottom w:val="nil"/>
              <w:right w:val="nil"/>
            </w:tcBorders>
            <w:shd w:val="clear" w:color="auto" w:fill="auto"/>
            <w:vAlign w:val="center"/>
          </w:tcPr>
          <w:p w14:paraId="2C01DE25">
            <w:pPr>
              <w:rPr>
                <w:rFonts w:ascii="宋体" w:hAnsi="宋体" w:cs="宋体"/>
                <w:color w:val="000000"/>
                <w:sz w:val="18"/>
                <w:szCs w:val="18"/>
              </w:rPr>
            </w:pPr>
          </w:p>
        </w:tc>
      </w:tr>
      <w:tr w14:paraId="0E1A2492">
        <w:tblPrEx>
          <w:tblCellMar>
            <w:top w:w="0" w:type="dxa"/>
            <w:left w:w="108" w:type="dxa"/>
            <w:bottom w:w="0" w:type="dxa"/>
            <w:right w:w="108" w:type="dxa"/>
          </w:tblCellMar>
        </w:tblPrEx>
        <w:trPr>
          <w:trHeight w:val="904" w:hRule="atLeast"/>
        </w:trPr>
        <w:tc>
          <w:tcPr>
            <w:tcW w:w="1036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4AC7082">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kern w:val="0"/>
                <w:sz w:val="30"/>
                <w:szCs w:val="30"/>
              </w:rPr>
              <w:t>部门预算项目支出绩效自评表（2023年度）</w:t>
            </w:r>
          </w:p>
        </w:tc>
      </w:tr>
      <w:tr w14:paraId="3302015B">
        <w:tblPrEx>
          <w:tblCellMar>
            <w:top w:w="0" w:type="dxa"/>
            <w:left w:w="108" w:type="dxa"/>
            <w:bottom w:w="0" w:type="dxa"/>
            <w:right w:w="108" w:type="dxa"/>
          </w:tblCellMar>
        </w:tblPrEx>
        <w:trPr>
          <w:trHeight w:val="286" w:hRule="atLeast"/>
        </w:trPr>
        <w:tc>
          <w:tcPr>
            <w:tcW w:w="2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99D7C1">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项目名称</w:t>
            </w:r>
          </w:p>
        </w:tc>
        <w:tc>
          <w:tcPr>
            <w:tcW w:w="810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08DF5F6">
            <w:pPr>
              <w:widowControl/>
              <w:jc w:val="left"/>
              <w:textAlignment w:val="center"/>
              <w:rPr>
                <w:rFonts w:ascii="宋体" w:hAnsi="宋体" w:cs="宋体"/>
                <w:color w:val="000000"/>
                <w:sz w:val="18"/>
                <w:szCs w:val="18"/>
              </w:rPr>
            </w:pPr>
            <w:r>
              <w:rPr>
                <w:rFonts w:ascii="宋体" w:hAnsi="宋体" w:cs="宋体"/>
                <w:color w:val="000000"/>
                <w:kern w:val="0"/>
                <w:sz w:val="18"/>
                <w:szCs w:val="18"/>
              </w:rPr>
              <w:t>51172423T000009099964-幼儿活动场地及附属设施建设</w:t>
            </w:r>
          </w:p>
        </w:tc>
      </w:tr>
      <w:tr w14:paraId="2E84C5C5">
        <w:tblPrEx>
          <w:tblCellMar>
            <w:top w:w="0" w:type="dxa"/>
            <w:left w:w="108" w:type="dxa"/>
            <w:bottom w:w="0" w:type="dxa"/>
            <w:right w:w="108" w:type="dxa"/>
          </w:tblCellMar>
        </w:tblPrEx>
        <w:trPr>
          <w:trHeight w:val="512" w:hRule="atLeast"/>
        </w:trPr>
        <w:tc>
          <w:tcPr>
            <w:tcW w:w="2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EFFAB8">
            <w:pPr>
              <w:widowControl/>
              <w:jc w:val="left"/>
              <w:textAlignment w:val="center"/>
              <w:rPr>
                <w:rFonts w:ascii="宋体" w:hAnsi="宋体" w:cs="宋体"/>
                <w:color w:val="000000"/>
                <w:sz w:val="18"/>
                <w:szCs w:val="18"/>
              </w:rPr>
            </w:pPr>
            <w:r>
              <w:rPr>
                <w:rFonts w:ascii="宋体" w:hAnsi="宋体" w:cs="宋体"/>
                <w:color w:val="000000"/>
                <w:kern w:val="0"/>
                <w:sz w:val="18"/>
                <w:szCs w:val="18"/>
              </w:rPr>
              <w:t>主管部门</w:t>
            </w:r>
          </w:p>
        </w:tc>
        <w:tc>
          <w:tcPr>
            <w:tcW w:w="395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89BB6BC">
            <w:pPr>
              <w:widowControl/>
              <w:jc w:val="left"/>
              <w:textAlignment w:val="center"/>
              <w:rPr>
                <w:rFonts w:ascii="宋体" w:hAnsi="宋体" w:cs="宋体"/>
                <w:color w:val="000000"/>
                <w:sz w:val="18"/>
                <w:szCs w:val="18"/>
              </w:rPr>
            </w:pPr>
            <w:r>
              <w:rPr>
                <w:rFonts w:ascii="宋体" w:hAnsi="宋体" w:cs="宋体"/>
                <w:color w:val="000000"/>
                <w:kern w:val="0"/>
                <w:sz w:val="18"/>
                <w:szCs w:val="18"/>
              </w:rPr>
              <w:t>大竹县清水镇中心小学部门</w:t>
            </w:r>
          </w:p>
        </w:tc>
        <w:tc>
          <w:tcPr>
            <w:tcW w:w="855" w:type="dxa"/>
            <w:tcBorders>
              <w:top w:val="nil"/>
              <w:left w:val="nil"/>
              <w:bottom w:val="nil"/>
              <w:right w:val="nil"/>
            </w:tcBorders>
            <w:shd w:val="clear" w:color="auto" w:fill="auto"/>
            <w:vAlign w:val="center"/>
          </w:tcPr>
          <w:p w14:paraId="24947D43">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实施单位 （盖章）</w:t>
            </w:r>
          </w:p>
        </w:tc>
        <w:tc>
          <w:tcPr>
            <w:tcW w:w="32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AC8BB9">
            <w:pPr>
              <w:widowControl/>
              <w:jc w:val="center"/>
              <w:textAlignment w:val="center"/>
              <w:rPr>
                <w:rFonts w:ascii="宋体" w:hAnsi="宋体" w:cs="宋体"/>
                <w:color w:val="000000"/>
                <w:sz w:val="18"/>
                <w:szCs w:val="18"/>
              </w:rPr>
            </w:pPr>
            <w:r>
              <w:rPr>
                <w:rFonts w:ascii="宋体" w:hAnsi="宋体" w:cs="宋体"/>
                <w:color w:val="000000"/>
                <w:kern w:val="0"/>
                <w:sz w:val="18"/>
                <w:szCs w:val="18"/>
              </w:rPr>
              <w:t>大竹县清水镇中心小学</w:t>
            </w:r>
          </w:p>
        </w:tc>
      </w:tr>
      <w:tr w14:paraId="461C4B27">
        <w:tblPrEx>
          <w:tblCellMar>
            <w:top w:w="0" w:type="dxa"/>
            <w:left w:w="108" w:type="dxa"/>
            <w:bottom w:w="0" w:type="dxa"/>
            <w:right w:w="108" w:type="dxa"/>
          </w:tblCellMar>
        </w:tblPrEx>
        <w:trPr>
          <w:trHeight w:val="286" w:hRule="atLeast"/>
        </w:trPr>
        <w:tc>
          <w:tcPr>
            <w:tcW w:w="6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F4D5CD">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项目基本情况</w:t>
            </w:r>
          </w:p>
        </w:tc>
        <w:tc>
          <w:tcPr>
            <w:tcW w:w="15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3BE8EF">
            <w:pPr>
              <w:widowControl/>
              <w:jc w:val="left"/>
              <w:textAlignment w:val="center"/>
              <w:rPr>
                <w:rFonts w:ascii="宋体" w:hAnsi="宋体" w:cs="宋体"/>
                <w:color w:val="000000"/>
                <w:sz w:val="18"/>
                <w:szCs w:val="18"/>
              </w:rPr>
            </w:pPr>
            <w:r>
              <w:rPr>
                <w:rFonts w:ascii="宋体" w:hAnsi="宋体" w:cs="宋体"/>
                <w:color w:val="000000"/>
                <w:kern w:val="0"/>
                <w:sz w:val="18"/>
                <w:szCs w:val="18"/>
              </w:rPr>
              <w:t>1.项目年度目标完成情况</w:t>
            </w:r>
          </w:p>
        </w:tc>
        <w:tc>
          <w:tcPr>
            <w:tcW w:w="395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D119EF9">
            <w:pPr>
              <w:widowControl/>
              <w:jc w:val="center"/>
              <w:textAlignment w:val="center"/>
              <w:rPr>
                <w:rFonts w:ascii="宋体" w:hAnsi="宋体" w:cs="宋体"/>
                <w:color w:val="000000"/>
                <w:sz w:val="18"/>
                <w:szCs w:val="18"/>
              </w:rPr>
            </w:pPr>
            <w:r>
              <w:rPr>
                <w:rFonts w:ascii="宋体" w:hAnsi="宋体" w:cs="宋体"/>
                <w:color w:val="000000"/>
                <w:kern w:val="0"/>
                <w:sz w:val="18"/>
                <w:szCs w:val="18"/>
              </w:rPr>
              <w:t>项目年度目标</w:t>
            </w:r>
          </w:p>
        </w:tc>
        <w:tc>
          <w:tcPr>
            <w:tcW w:w="414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E8D4D59">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年度目标完成情况</w:t>
            </w:r>
          </w:p>
        </w:tc>
      </w:tr>
      <w:tr w14:paraId="08A3F0E1">
        <w:tblPrEx>
          <w:tblCellMar>
            <w:top w:w="0" w:type="dxa"/>
            <w:left w:w="108" w:type="dxa"/>
            <w:bottom w:w="0" w:type="dxa"/>
            <w:right w:w="108" w:type="dxa"/>
          </w:tblCellMar>
        </w:tblPrEx>
        <w:trPr>
          <w:trHeight w:val="708"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88C86C">
            <w:pPr>
              <w:rPr>
                <w:rFonts w:ascii="宋体" w:hAnsi="宋体" w:cs="宋体"/>
                <w:color w:val="000000"/>
                <w:sz w:val="18"/>
                <w:szCs w:val="18"/>
              </w:rPr>
            </w:pPr>
          </w:p>
        </w:tc>
        <w:tc>
          <w:tcPr>
            <w:tcW w:w="1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31A16B">
            <w:pPr>
              <w:rPr>
                <w:rFonts w:ascii="宋体" w:hAnsi="宋体" w:cs="宋体"/>
                <w:color w:val="000000"/>
                <w:sz w:val="18"/>
                <w:szCs w:val="18"/>
              </w:rPr>
            </w:pPr>
          </w:p>
        </w:tc>
        <w:tc>
          <w:tcPr>
            <w:tcW w:w="395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15C893B">
            <w:pPr>
              <w:widowControl/>
              <w:jc w:val="left"/>
              <w:textAlignment w:val="center"/>
              <w:rPr>
                <w:rFonts w:ascii="宋体" w:hAnsi="宋体" w:cs="宋体"/>
                <w:color w:val="000000"/>
                <w:sz w:val="18"/>
                <w:szCs w:val="18"/>
              </w:rPr>
            </w:pPr>
            <w:r>
              <w:rPr>
                <w:rFonts w:ascii="宋体" w:hAnsi="宋体" w:cs="宋体"/>
                <w:color w:val="000000"/>
                <w:kern w:val="0"/>
                <w:sz w:val="18"/>
                <w:szCs w:val="18"/>
              </w:rPr>
              <w:t>通过对幼儿活动场地及附属设施建设，改善学校教学环境。</w:t>
            </w:r>
          </w:p>
        </w:tc>
        <w:tc>
          <w:tcPr>
            <w:tcW w:w="414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B8E8278">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通过对幼儿活动场地及附属设施建设，改善学校教学环境。</w:t>
            </w:r>
          </w:p>
        </w:tc>
      </w:tr>
      <w:tr w14:paraId="4BF773BC">
        <w:tblPrEx>
          <w:tblCellMar>
            <w:top w:w="0" w:type="dxa"/>
            <w:left w:w="108" w:type="dxa"/>
            <w:bottom w:w="0" w:type="dxa"/>
            <w:right w:w="108" w:type="dxa"/>
          </w:tblCellMar>
        </w:tblPrEx>
        <w:trPr>
          <w:trHeight w:val="693"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6BD273">
            <w:pPr>
              <w:rPr>
                <w:rFonts w:ascii="宋体" w:hAnsi="宋体" w:cs="宋体"/>
                <w:color w:val="000000"/>
                <w:sz w:val="18"/>
                <w:szCs w:val="18"/>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361AB">
            <w:pPr>
              <w:widowControl/>
              <w:jc w:val="left"/>
              <w:textAlignment w:val="center"/>
              <w:rPr>
                <w:rFonts w:ascii="宋体" w:hAnsi="宋体" w:cs="宋体"/>
                <w:color w:val="000000"/>
                <w:sz w:val="18"/>
                <w:szCs w:val="18"/>
              </w:rPr>
            </w:pPr>
            <w:r>
              <w:rPr>
                <w:rFonts w:ascii="宋体" w:hAnsi="宋体" w:cs="宋体"/>
                <w:color w:val="000000"/>
                <w:kern w:val="0"/>
                <w:sz w:val="18"/>
                <w:szCs w:val="18"/>
              </w:rPr>
              <w:t>2.项目实施内容及过程概述</w:t>
            </w:r>
          </w:p>
        </w:tc>
        <w:tc>
          <w:tcPr>
            <w:tcW w:w="810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80D63DA">
            <w:pPr>
              <w:widowControl/>
              <w:jc w:val="left"/>
              <w:textAlignment w:val="center"/>
              <w:rPr>
                <w:rFonts w:ascii="宋体" w:hAnsi="宋体" w:cs="宋体"/>
                <w:color w:val="000000"/>
                <w:sz w:val="18"/>
                <w:szCs w:val="18"/>
              </w:rPr>
            </w:pPr>
            <w:r>
              <w:rPr>
                <w:rFonts w:ascii="宋体" w:hAnsi="宋体" w:cs="宋体"/>
                <w:color w:val="000000"/>
                <w:kern w:val="0"/>
                <w:sz w:val="18"/>
                <w:szCs w:val="18"/>
              </w:rPr>
              <w:t>通过对幼儿活动场地及附属设施建设，改善学校教学环境。</w:t>
            </w:r>
          </w:p>
        </w:tc>
      </w:tr>
      <w:tr w14:paraId="54331B96">
        <w:tblPrEx>
          <w:tblCellMar>
            <w:top w:w="0" w:type="dxa"/>
            <w:left w:w="108" w:type="dxa"/>
            <w:bottom w:w="0" w:type="dxa"/>
            <w:right w:w="108" w:type="dxa"/>
          </w:tblCellMar>
        </w:tblPrEx>
        <w:trPr>
          <w:trHeight w:val="361" w:hRule="atLeast"/>
        </w:trPr>
        <w:tc>
          <w:tcPr>
            <w:tcW w:w="6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FA3BD2">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预算执行情况（10分）</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7F4B6">
            <w:pPr>
              <w:widowControl/>
              <w:jc w:val="center"/>
              <w:textAlignment w:val="center"/>
              <w:rPr>
                <w:rFonts w:ascii="宋体" w:hAnsi="宋体" w:cs="宋体"/>
                <w:color w:val="000000"/>
                <w:sz w:val="18"/>
                <w:szCs w:val="18"/>
              </w:rPr>
            </w:pPr>
            <w:r>
              <w:rPr>
                <w:rFonts w:ascii="宋体" w:hAnsi="宋体" w:cs="宋体"/>
                <w:color w:val="000000"/>
                <w:kern w:val="0"/>
                <w:sz w:val="18"/>
                <w:szCs w:val="18"/>
              </w:rPr>
              <w:t>年度预算数（万元）</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63B46">
            <w:pPr>
              <w:widowControl/>
              <w:jc w:val="center"/>
              <w:textAlignment w:val="center"/>
              <w:rPr>
                <w:rFonts w:ascii="宋体" w:hAnsi="宋体" w:cs="宋体"/>
                <w:color w:val="000000"/>
                <w:sz w:val="18"/>
                <w:szCs w:val="18"/>
              </w:rPr>
            </w:pPr>
            <w:r>
              <w:rPr>
                <w:rFonts w:ascii="宋体" w:hAnsi="宋体" w:cs="宋体"/>
                <w:color w:val="000000"/>
                <w:kern w:val="0"/>
                <w:sz w:val="18"/>
                <w:szCs w:val="18"/>
              </w:rPr>
              <w:t>年初预算</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1C8BD">
            <w:pPr>
              <w:widowControl/>
              <w:jc w:val="center"/>
              <w:textAlignment w:val="center"/>
              <w:rPr>
                <w:rFonts w:ascii="宋体" w:hAnsi="宋体" w:cs="宋体"/>
                <w:color w:val="000000"/>
                <w:sz w:val="18"/>
                <w:szCs w:val="18"/>
              </w:rPr>
            </w:pPr>
            <w:r>
              <w:rPr>
                <w:rFonts w:ascii="宋体" w:hAnsi="宋体" w:cs="宋体"/>
                <w:color w:val="000000"/>
                <w:kern w:val="0"/>
                <w:sz w:val="18"/>
                <w:szCs w:val="18"/>
              </w:rPr>
              <w:t>调整后预算数</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D351D6">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预算执行数</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26ED1">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9FDCE">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D75FA">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EE55D">
            <w:pPr>
              <w:widowControl/>
              <w:jc w:val="center"/>
              <w:textAlignment w:val="center"/>
              <w:rPr>
                <w:rFonts w:ascii="宋体" w:hAnsi="宋体" w:cs="宋体"/>
                <w:color w:val="000000"/>
                <w:sz w:val="18"/>
                <w:szCs w:val="18"/>
              </w:rPr>
            </w:pPr>
            <w:r>
              <w:rPr>
                <w:rFonts w:ascii="宋体" w:hAnsi="宋体" w:cs="宋体"/>
                <w:color w:val="000000"/>
                <w:kern w:val="0"/>
                <w:sz w:val="18"/>
                <w:szCs w:val="18"/>
              </w:rPr>
              <w:t>原因</w:t>
            </w:r>
          </w:p>
        </w:tc>
      </w:tr>
      <w:tr w14:paraId="602191A2">
        <w:tblPrEx>
          <w:tblCellMar>
            <w:top w:w="0" w:type="dxa"/>
            <w:left w:w="108" w:type="dxa"/>
            <w:bottom w:w="0" w:type="dxa"/>
            <w:right w:w="108" w:type="dxa"/>
          </w:tblCellMar>
        </w:tblPrEx>
        <w:trPr>
          <w:trHeight w:val="346"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FD93DE">
            <w:pPr>
              <w:jc w:val="center"/>
              <w:rPr>
                <w:rFonts w:ascii="宋体" w:hAnsi="宋体" w:cs="宋体"/>
                <w:color w:val="000000"/>
                <w:sz w:val="18"/>
                <w:szCs w:val="18"/>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17221">
            <w:pPr>
              <w:widowControl/>
              <w:jc w:val="center"/>
              <w:textAlignment w:val="center"/>
              <w:rPr>
                <w:rFonts w:ascii="宋体" w:hAnsi="宋体" w:cs="宋体"/>
                <w:color w:val="000000"/>
                <w:sz w:val="18"/>
                <w:szCs w:val="18"/>
              </w:rPr>
            </w:pPr>
            <w:r>
              <w:rPr>
                <w:rFonts w:ascii="宋体" w:hAnsi="宋体" w:cs="宋体"/>
                <w:color w:val="000000"/>
                <w:kern w:val="0"/>
                <w:sz w:val="18"/>
                <w:szCs w:val="18"/>
              </w:rPr>
              <w:t>总额</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CC3B9">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D4D39">
            <w:pPr>
              <w:widowControl/>
              <w:jc w:val="center"/>
              <w:textAlignment w:val="center"/>
              <w:rPr>
                <w:rFonts w:ascii="宋体" w:hAnsi="宋体" w:cs="宋体"/>
                <w:color w:val="000000"/>
                <w:sz w:val="18"/>
                <w:szCs w:val="18"/>
              </w:rPr>
            </w:pPr>
            <w:r>
              <w:rPr>
                <w:rFonts w:ascii="宋体" w:hAnsi="宋体" w:cs="宋体"/>
                <w:color w:val="000000"/>
                <w:kern w:val="0"/>
                <w:sz w:val="18"/>
                <w:szCs w:val="18"/>
              </w:rPr>
              <w:t>70.00</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74AA93">
            <w:pPr>
              <w:widowControl/>
              <w:jc w:val="center"/>
              <w:textAlignment w:val="center"/>
              <w:rPr>
                <w:rFonts w:ascii="宋体" w:hAnsi="宋体" w:cs="宋体"/>
                <w:color w:val="000000"/>
                <w:sz w:val="18"/>
                <w:szCs w:val="18"/>
              </w:rPr>
            </w:pPr>
            <w:r>
              <w:rPr>
                <w:rFonts w:ascii="宋体" w:hAnsi="宋体" w:cs="宋体"/>
                <w:color w:val="000000"/>
                <w:kern w:val="0"/>
                <w:sz w:val="18"/>
                <w:szCs w:val="18"/>
              </w:rPr>
              <w:t>70.00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959D3">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9CC5F">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82697">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23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E29135">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项目资金指标追加</w:t>
            </w:r>
          </w:p>
        </w:tc>
      </w:tr>
      <w:tr w14:paraId="7AA6F4BE">
        <w:tblPrEx>
          <w:tblCellMar>
            <w:top w:w="0" w:type="dxa"/>
            <w:left w:w="108" w:type="dxa"/>
            <w:bottom w:w="0" w:type="dxa"/>
            <w:right w:w="108" w:type="dxa"/>
          </w:tblCellMar>
        </w:tblPrEx>
        <w:trPr>
          <w:trHeight w:val="391"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20986B">
            <w:pPr>
              <w:jc w:val="center"/>
              <w:rPr>
                <w:rFonts w:ascii="宋体" w:hAnsi="宋体" w:cs="宋体"/>
                <w:color w:val="000000"/>
                <w:sz w:val="18"/>
                <w:szCs w:val="18"/>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2B8F7">
            <w:pPr>
              <w:widowControl/>
              <w:jc w:val="center"/>
              <w:textAlignment w:val="center"/>
              <w:rPr>
                <w:rFonts w:ascii="宋体" w:hAnsi="宋体" w:cs="宋体"/>
                <w:color w:val="000000"/>
                <w:sz w:val="18"/>
                <w:szCs w:val="18"/>
              </w:rPr>
            </w:pPr>
            <w:r>
              <w:rPr>
                <w:rFonts w:ascii="宋体" w:hAnsi="宋体" w:cs="宋体"/>
                <w:color w:val="000000"/>
                <w:kern w:val="0"/>
                <w:sz w:val="18"/>
                <w:szCs w:val="18"/>
              </w:rPr>
              <w:t>其中：财政资金</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EBFAE">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2F4F9">
            <w:pPr>
              <w:widowControl/>
              <w:jc w:val="center"/>
              <w:textAlignment w:val="center"/>
              <w:rPr>
                <w:rFonts w:ascii="宋体" w:hAnsi="宋体" w:cs="宋体"/>
                <w:color w:val="000000"/>
                <w:sz w:val="18"/>
                <w:szCs w:val="18"/>
              </w:rPr>
            </w:pPr>
            <w:r>
              <w:rPr>
                <w:rFonts w:ascii="宋体" w:hAnsi="宋体" w:cs="宋体"/>
                <w:color w:val="000000"/>
                <w:kern w:val="0"/>
                <w:sz w:val="18"/>
                <w:szCs w:val="18"/>
              </w:rPr>
              <w:t>70.00</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8B29E5">
            <w:pPr>
              <w:widowControl/>
              <w:jc w:val="center"/>
              <w:textAlignment w:val="center"/>
              <w:rPr>
                <w:rFonts w:ascii="宋体" w:hAnsi="宋体" w:cs="宋体"/>
                <w:color w:val="000000"/>
                <w:sz w:val="18"/>
                <w:szCs w:val="18"/>
              </w:rPr>
            </w:pPr>
            <w:r>
              <w:rPr>
                <w:rFonts w:ascii="宋体" w:hAnsi="宋体" w:cs="宋体"/>
                <w:color w:val="000000"/>
                <w:kern w:val="0"/>
                <w:sz w:val="18"/>
                <w:szCs w:val="18"/>
              </w:rPr>
              <w:t>70.00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4CF08">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B0CF9">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21C04">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24D70C">
            <w:pPr>
              <w:jc w:val="center"/>
              <w:rPr>
                <w:rFonts w:ascii="黑体" w:hAnsi="黑体" w:eastAsia="黑体" w:cs="黑体"/>
                <w:color w:val="000000"/>
                <w:sz w:val="18"/>
                <w:szCs w:val="18"/>
              </w:rPr>
            </w:pPr>
          </w:p>
        </w:tc>
      </w:tr>
      <w:tr w14:paraId="03532149">
        <w:tblPrEx>
          <w:tblCellMar>
            <w:top w:w="0" w:type="dxa"/>
            <w:left w:w="108" w:type="dxa"/>
            <w:bottom w:w="0" w:type="dxa"/>
            <w:right w:w="108" w:type="dxa"/>
          </w:tblCellMar>
        </w:tblPrEx>
        <w:trPr>
          <w:trHeight w:val="407"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F13A3E">
            <w:pPr>
              <w:jc w:val="center"/>
              <w:rPr>
                <w:rFonts w:ascii="宋体" w:hAnsi="宋体" w:cs="宋体"/>
                <w:color w:val="000000"/>
                <w:sz w:val="18"/>
                <w:szCs w:val="18"/>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8217B">
            <w:pPr>
              <w:widowControl/>
              <w:jc w:val="center"/>
              <w:textAlignment w:val="center"/>
              <w:rPr>
                <w:rFonts w:ascii="宋体" w:hAnsi="宋体" w:cs="宋体"/>
                <w:color w:val="000000"/>
                <w:sz w:val="18"/>
                <w:szCs w:val="18"/>
              </w:rPr>
            </w:pPr>
            <w:r>
              <w:rPr>
                <w:rFonts w:ascii="宋体" w:hAnsi="宋体" w:cs="宋体"/>
                <w:color w:val="000000"/>
                <w:kern w:val="0"/>
                <w:sz w:val="18"/>
                <w:szCs w:val="18"/>
              </w:rPr>
              <w:t>财政专户管理资金</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1FC1C">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6229D">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D0D544">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12737">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FF9F5">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ACF13">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9063C9">
            <w:pPr>
              <w:jc w:val="center"/>
              <w:rPr>
                <w:rFonts w:ascii="黑体" w:hAnsi="黑体" w:eastAsia="黑体" w:cs="黑体"/>
                <w:color w:val="000000"/>
                <w:sz w:val="18"/>
                <w:szCs w:val="18"/>
              </w:rPr>
            </w:pPr>
          </w:p>
        </w:tc>
      </w:tr>
      <w:tr w14:paraId="277DDBCB">
        <w:tblPrEx>
          <w:tblCellMar>
            <w:top w:w="0" w:type="dxa"/>
            <w:left w:w="108" w:type="dxa"/>
            <w:bottom w:w="0" w:type="dxa"/>
            <w:right w:w="108" w:type="dxa"/>
          </w:tblCellMar>
        </w:tblPrEx>
        <w:trPr>
          <w:trHeight w:val="361"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560959">
            <w:pPr>
              <w:jc w:val="center"/>
              <w:rPr>
                <w:rFonts w:ascii="宋体" w:hAnsi="宋体" w:cs="宋体"/>
                <w:color w:val="000000"/>
                <w:sz w:val="18"/>
                <w:szCs w:val="18"/>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37A89">
            <w:pPr>
              <w:widowControl/>
              <w:jc w:val="center"/>
              <w:textAlignment w:val="center"/>
              <w:rPr>
                <w:rFonts w:ascii="宋体" w:hAnsi="宋体" w:cs="宋体"/>
                <w:color w:val="000000"/>
                <w:sz w:val="18"/>
                <w:szCs w:val="18"/>
              </w:rPr>
            </w:pPr>
            <w:r>
              <w:rPr>
                <w:rFonts w:ascii="宋体" w:hAnsi="宋体" w:cs="宋体"/>
                <w:color w:val="000000"/>
                <w:kern w:val="0"/>
                <w:sz w:val="18"/>
                <w:szCs w:val="18"/>
              </w:rPr>
              <w:t>单位资金</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AE16A">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610E1">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394FF1">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A931F">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5485F">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F54AF">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B86036">
            <w:pPr>
              <w:jc w:val="center"/>
              <w:rPr>
                <w:rFonts w:ascii="黑体" w:hAnsi="黑体" w:eastAsia="黑体" w:cs="黑体"/>
                <w:color w:val="000000"/>
                <w:sz w:val="18"/>
                <w:szCs w:val="18"/>
              </w:rPr>
            </w:pPr>
          </w:p>
        </w:tc>
      </w:tr>
      <w:tr w14:paraId="3FCAC7B0">
        <w:tblPrEx>
          <w:tblCellMar>
            <w:top w:w="0" w:type="dxa"/>
            <w:left w:w="108" w:type="dxa"/>
            <w:bottom w:w="0" w:type="dxa"/>
            <w:right w:w="108" w:type="dxa"/>
          </w:tblCellMar>
        </w:tblPrEx>
        <w:trPr>
          <w:trHeight w:val="339"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7DA418">
            <w:pPr>
              <w:jc w:val="center"/>
              <w:rPr>
                <w:rFonts w:ascii="宋体" w:hAnsi="宋体" w:cs="宋体"/>
                <w:color w:val="000000"/>
                <w:sz w:val="18"/>
                <w:szCs w:val="18"/>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D9117">
            <w:pPr>
              <w:widowControl/>
              <w:jc w:val="center"/>
              <w:textAlignment w:val="center"/>
              <w:rPr>
                <w:rFonts w:ascii="宋体" w:hAnsi="宋体" w:cs="宋体"/>
                <w:color w:val="000000"/>
                <w:sz w:val="18"/>
                <w:szCs w:val="18"/>
              </w:rPr>
            </w:pPr>
            <w:r>
              <w:rPr>
                <w:rFonts w:ascii="宋体" w:hAnsi="宋体" w:cs="宋体"/>
                <w:color w:val="000000"/>
                <w:kern w:val="0"/>
                <w:sz w:val="18"/>
                <w:szCs w:val="18"/>
              </w:rPr>
              <w:t>其他资金</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475B4">
            <w:pPr>
              <w:jc w:val="center"/>
              <w:rPr>
                <w:rFonts w:ascii="微软雅黑" w:hAnsi="微软雅黑" w:eastAsia="微软雅黑" w:cs="微软雅黑"/>
                <w:i/>
                <w:iCs/>
                <w:color w:val="000000"/>
                <w:sz w:val="16"/>
                <w:szCs w:val="16"/>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53EFA">
            <w:pPr>
              <w:jc w:val="center"/>
              <w:rPr>
                <w:rFonts w:ascii="微软雅黑" w:hAnsi="微软雅黑" w:eastAsia="微软雅黑" w:cs="微软雅黑"/>
                <w:i/>
                <w:iCs/>
                <w:color w:val="000000"/>
                <w:sz w:val="16"/>
                <w:szCs w:val="16"/>
              </w:rPr>
            </w:pP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0D1B82">
            <w:pPr>
              <w:jc w:val="center"/>
              <w:rPr>
                <w:rFonts w:ascii="微软雅黑" w:hAnsi="微软雅黑" w:eastAsia="微软雅黑" w:cs="微软雅黑"/>
                <w:i/>
                <w:iCs/>
                <w:color w:val="000000"/>
                <w:sz w:val="16"/>
                <w:szCs w:val="16"/>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073C3">
            <w:pPr>
              <w:jc w:val="center"/>
              <w:rPr>
                <w:rFonts w:ascii="微软雅黑" w:hAnsi="微软雅黑" w:eastAsia="微软雅黑" w:cs="微软雅黑"/>
                <w:i/>
                <w:iCs/>
                <w:color w:val="000000"/>
                <w:sz w:val="16"/>
                <w:szCs w:val="16"/>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B15F6">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4BE44">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D5B71E">
            <w:pPr>
              <w:jc w:val="center"/>
              <w:rPr>
                <w:rFonts w:ascii="黑体" w:hAnsi="黑体" w:eastAsia="黑体" w:cs="黑体"/>
                <w:color w:val="000000"/>
                <w:sz w:val="18"/>
                <w:szCs w:val="18"/>
              </w:rPr>
            </w:pPr>
          </w:p>
        </w:tc>
      </w:tr>
      <w:tr w14:paraId="33345E20">
        <w:tblPrEx>
          <w:tblCellMar>
            <w:top w:w="0" w:type="dxa"/>
            <w:left w:w="108" w:type="dxa"/>
            <w:bottom w:w="0" w:type="dxa"/>
            <w:right w:w="108" w:type="dxa"/>
          </w:tblCellMar>
        </w:tblPrEx>
        <w:trPr>
          <w:trHeight w:val="452" w:hRule="atLeast"/>
        </w:trPr>
        <w:tc>
          <w:tcPr>
            <w:tcW w:w="6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D4B980">
            <w:pPr>
              <w:widowControl/>
              <w:jc w:val="center"/>
              <w:textAlignment w:val="center"/>
              <w:rPr>
                <w:rFonts w:ascii="宋体" w:hAnsi="宋体" w:cs="宋体"/>
                <w:color w:val="000000"/>
                <w:sz w:val="18"/>
                <w:szCs w:val="18"/>
              </w:rPr>
            </w:pPr>
            <w:r>
              <w:rPr>
                <w:rFonts w:ascii="宋体" w:hAnsi="宋体" w:cs="宋体"/>
                <w:color w:val="000000"/>
                <w:kern w:val="0"/>
                <w:sz w:val="18"/>
                <w:szCs w:val="18"/>
              </w:rPr>
              <w:t>绩效指标（90分）</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9C68A">
            <w:pPr>
              <w:widowControl/>
              <w:jc w:val="center"/>
              <w:textAlignment w:val="center"/>
              <w:rPr>
                <w:rFonts w:ascii="宋体" w:hAnsi="宋体" w:cs="宋体"/>
                <w:color w:val="000000"/>
                <w:sz w:val="18"/>
                <w:szCs w:val="18"/>
              </w:rPr>
            </w:pPr>
            <w:r>
              <w:rPr>
                <w:rFonts w:ascii="宋体" w:hAnsi="宋体" w:cs="宋体"/>
                <w:color w:val="000000"/>
                <w:kern w:val="0"/>
                <w:sz w:val="18"/>
                <w:szCs w:val="18"/>
              </w:rPr>
              <w:t>一级指标</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82317">
            <w:pPr>
              <w:widowControl/>
              <w:jc w:val="center"/>
              <w:textAlignment w:val="center"/>
              <w:rPr>
                <w:rFonts w:ascii="宋体" w:hAnsi="宋体" w:cs="宋体"/>
                <w:color w:val="000000"/>
                <w:sz w:val="18"/>
                <w:szCs w:val="18"/>
              </w:rPr>
            </w:pPr>
            <w:r>
              <w:rPr>
                <w:rFonts w:ascii="宋体" w:hAnsi="宋体" w:cs="宋体"/>
                <w:color w:val="000000"/>
                <w:kern w:val="0"/>
                <w:sz w:val="18"/>
                <w:szCs w:val="18"/>
              </w:rPr>
              <w:t>二级指标</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A48A0">
            <w:pPr>
              <w:widowControl/>
              <w:jc w:val="center"/>
              <w:textAlignment w:val="center"/>
              <w:rPr>
                <w:rFonts w:ascii="宋体" w:hAnsi="宋体" w:cs="宋体"/>
                <w:color w:val="000000"/>
                <w:sz w:val="18"/>
                <w:szCs w:val="18"/>
              </w:rPr>
            </w:pPr>
            <w:r>
              <w:rPr>
                <w:rFonts w:ascii="宋体" w:hAnsi="宋体" w:cs="宋体"/>
                <w:color w:val="000000"/>
                <w:kern w:val="0"/>
                <w:sz w:val="18"/>
                <w:szCs w:val="18"/>
              </w:rPr>
              <w:t>三级指标</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A2251">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指标性质</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747E2">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指标值</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3B45F">
            <w:pPr>
              <w:widowControl/>
              <w:jc w:val="center"/>
              <w:textAlignment w:val="center"/>
              <w:rPr>
                <w:rFonts w:ascii="宋体" w:hAnsi="宋体" w:cs="宋体"/>
                <w:color w:val="000000"/>
                <w:sz w:val="18"/>
                <w:szCs w:val="18"/>
              </w:rPr>
            </w:pPr>
            <w:r>
              <w:rPr>
                <w:rFonts w:ascii="宋体" w:hAnsi="宋体" w:cs="宋体"/>
                <w:color w:val="000000"/>
                <w:kern w:val="0"/>
                <w:sz w:val="18"/>
                <w:szCs w:val="18"/>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876F0">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4FE81">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163B8">
            <w:pPr>
              <w:widowControl/>
              <w:jc w:val="center"/>
              <w:textAlignment w:val="center"/>
              <w:rPr>
                <w:rFonts w:ascii="宋体" w:hAnsi="宋体" w:cs="宋体"/>
                <w:color w:val="000000"/>
                <w:sz w:val="18"/>
                <w:szCs w:val="18"/>
              </w:rPr>
            </w:pPr>
            <w:r>
              <w:rPr>
                <w:rFonts w:ascii="宋体" w:hAnsi="宋体" w:cs="宋体"/>
                <w:color w:val="000000"/>
                <w:kern w:val="0"/>
                <w:sz w:val="18"/>
                <w:szCs w:val="18"/>
              </w:rPr>
              <w:t>未完成原因分析</w:t>
            </w:r>
          </w:p>
        </w:tc>
      </w:tr>
      <w:tr w14:paraId="18CA76FB">
        <w:tblPrEx>
          <w:tblCellMar>
            <w:top w:w="0" w:type="dxa"/>
            <w:left w:w="108" w:type="dxa"/>
            <w:bottom w:w="0" w:type="dxa"/>
            <w:right w:w="108" w:type="dxa"/>
          </w:tblCellMar>
        </w:tblPrEx>
        <w:trPr>
          <w:trHeight w:val="452"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6DC333">
            <w:pPr>
              <w:jc w:val="center"/>
              <w:rPr>
                <w:rFonts w:ascii="宋体" w:hAnsi="宋体" w:cs="宋体"/>
                <w:color w:val="000000"/>
                <w:sz w:val="18"/>
                <w:szCs w:val="18"/>
              </w:rPr>
            </w:pPr>
          </w:p>
        </w:tc>
        <w:tc>
          <w:tcPr>
            <w:tcW w:w="15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712087">
            <w:pPr>
              <w:widowControl/>
              <w:jc w:val="center"/>
              <w:textAlignment w:val="center"/>
              <w:rPr>
                <w:rFonts w:ascii="宋体" w:hAnsi="宋体" w:cs="宋体"/>
                <w:color w:val="000000"/>
                <w:sz w:val="18"/>
                <w:szCs w:val="18"/>
              </w:rPr>
            </w:pPr>
            <w:r>
              <w:rPr>
                <w:rFonts w:ascii="宋体" w:hAnsi="宋体" w:cs="宋体"/>
                <w:color w:val="000000"/>
                <w:kern w:val="0"/>
                <w:sz w:val="18"/>
                <w:szCs w:val="18"/>
              </w:rPr>
              <w:t>产出指标</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E0647">
            <w:pPr>
              <w:widowControl/>
              <w:jc w:val="center"/>
              <w:textAlignment w:val="center"/>
              <w:rPr>
                <w:rFonts w:ascii="宋体" w:hAnsi="宋体" w:cs="宋体"/>
                <w:color w:val="000000"/>
                <w:sz w:val="18"/>
                <w:szCs w:val="18"/>
              </w:rPr>
            </w:pPr>
            <w:r>
              <w:rPr>
                <w:rFonts w:ascii="宋体" w:hAnsi="宋体" w:cs="宋体"/>
                <w:color w:val="000000"/>
                <w:kern w:val="0"/>
                <w:sz w:val="18"/>
                <w:szCs w:val="18"/>
              </w:rPr>
              <w:t>数量指标</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A5D46">
            <w:pPr>
              <w:widowControl/>
              <w:jc w:val="center"/>
              <w:textAlignment w:val="center"/>
              <w:rPr>
                <w:rFonts w:ascii="宋体" w:hAnsi="宋体" w:cs="宋体"/>
                <w:color w:val="000000"/>
                <w:sz w:val="18"/>
                <w:szCs w:val="18"/>
              </w:rPr>
            </w:pPr>
            <w:r>
              <w:rPr>
                <w:rFonts w:ascii="宋体" w:hAnsi="宋体" w:cs="宋体"/>
                <w:color w:val="000000"/>
                <w:kern w:val="0"/>
                <w:sz w:val="18"/>
                <w:szCs w:val="18"/>
              </w:rPr>
              <w:t>运动场地维修改造</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11805">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C544A">
            <w:pPr>
              <w:widowControl/>
              <w:jc w:val="center"/>
              <w:textAlignment w:val="center"/>
              <w:rPr>
                <w:rFonts w:ascii="宋体" w:hAnsi="宋体" w:cs="宋体"/>
                <w:color w:val="000000"/>
                <w:sz w:val="18"/>
                <w:szCs w:val="18"/>
              </w:rPr>
            </w:pPr>
            <w:r>
              <w:rPr>
                <w:rFonts w:ascii="宋体" w:hAnsi="宋体" w:cs="宋体"/>
                <w:color w:val="000000"/>
                <w:kern w:val="0"/>
                <w:sz w:val="18"/>
                <w:szCs w:val="18"/>
              </w:rPr>
              <w:t>1500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3BA8A">
            <w:pPr>
              <w:widowControl/>
              <w:jc w:val="center"/>
              <w:textAlignment w:val="center"/>
              <w:rPr>
                <w:rFonts w:ascii="宋体" w:hAnsi="宋体" w:cs="宋体"/>
                <w:color w:val="000000"/>
                <w:sz w:val="18"/>
                <w:szCs w:val="18"/>
              </w:rPr>
            </w:pPr>
            <w:r>
              <w:rPr>
                <w:rFonts w:ascii="宋体" w:hAnsi="宋体" w:cs="宋体"/>
                <w:color w:val="000000"/>
                <w:kern w:val="0"/>
                <w:sz w:val="18"/>
                <w:szCs w:val="18"/>
              </w:rPr>
              <w:t>1500平方米</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28B67">
            <w:pPr>
              <w:widowControl/>
              <w:jc w:val="center"/>
              <w:textAlignment w:val="center"/>
              <w:rPr>
                <w:rFonts w:ascii="宋体" w:hAnsi="宋体" w:cs="宋体"/>
                <w:color w:val="000000"/>
                <w:sz w:val="18"/>
                <w:szCs w:val="18"/>
              </w:rPr>
            </w:pPr>
            <w:r>
              <w:rPr>
                <w:rFonts w:ascii="宋体" w:hAnsi="宋体" w:cs="宋体"/>
                <w:color w:val="000000"/>
                <w:kern w:val="0"/>
                <w:sz w:val="18"/>
                <w:szCs w:val="18"/>
              </w:rPr>
              <w:t>20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9E086">
            <w:pPr>
              <w:widowControl/>
              <w:jc w:val="center"/>
              <w:textAlignment w:val="center"/>
              <w:rPr>
                <w:rFonts w:ascii="宋体" w:hAnsi="宋体" w:cs="宋体"/>
                <w:color w:val="000000"/>
                <w:sz w:val="18"/>
                <w:szCs w:val="18"/>
              </w:rPr>
            </w:pPr>
            <w:r>
              <w:rPr>
                <w:rFonts w:ascii="宋体" w:hAnsi="宋体" w:cs="宋体"/>
                <w:color w:val="000000"/>
                <w:kern w:val="0"/>
                <w:sz w:val="18"/>
                <w:szCs w:val="18"/>
              </w:rPr>
              <w:t>20</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97097">
            <w:pPr>
              <w:jc w:val="center"/>
              <w:rPr>
                <w:rFonts w:ascii="微软雅黑" w:hAnsi="微软雅黑" w:eastAsia="微软雅黑" w:cs="微软雅黑"/>
                <w:i/>
                <w:iCs/>
                <w:color w:val="000000"/>
                <w:sz w:val="16"/>
                <w:szCs w:val="16"/>
              </w:rPr>
            </w:pPr>
          </w:p>
        </w:tc>
      </w:tr>
      <w:tr w14:paraId="66D54A00">
        <w:tblPrEx>
          <w:tblCellMar>
            <w:top w:w="0" w:type="dxa"/>
            <w:left w:w="108" w:type="dxa"/>
            <w:bottom w:w="0" w:type="dxa"/>
            <w:right w:w="108" w:type="dxa"/>
          </w:tblCellMar>
        </w:tblPrEx>
        <w:trPr>
          <w:trHeight w:val="339"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CF2E85">
            <w:pPr>
              <w:jc w:val="center"/>
              <w:rPr>
                <w:rFonts w:ascii="宋体" w:hAnsi="宋体" w:cs="宋体"/>
                <w:color w:val="000000"/>
                <w:sz w:val="18"/>
                <w:szCs w:val="18"/>
              </w:rPr>
            </w:pPr>
          </w:p>
        </w:tc>
        <w:tc>
          <w:tcPr>
            <w:tcW w:w="1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8E42C7">
            <w:pPr>
              <w:jc w:val="center"/>
              <w:rPr>
                <w:rFonts w:ascii="宋体" w:hAnsi="宋体" w:cs="宋体"/>
                <w:color w:val="000000"/>
                <w:sz w:val="18"/>
                <w:szCs w:val="18"/>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46CEB">
            <w:pPr>
              <w:widowControl/>
              <w:jc w:val="center"/>
              <w:textAlignment w:val="center"/>
              <w:rPr>
                <w:rFonts w:ascii="宋体" w:hAnsi="宋体" w:cs="宋体"/>
                <w:color w:val="000000"/>
                <w:sz w:val="18"/>
                <w:szCs w:val="18"/>
              </w:rPr>
            </w:pPr>
            <w:r>
              <w:rPr>
                <w:rFonts w:ascii="宋体" w:hAnsi="宋体" w:cs="宋体"/>
                <w:color w:val="000000"/>
                <w:kern w:val="0"/>
                <w:sz w:val="18"/>
                <w:szCs w:val="18"/>
              </w:rPr>
              <w:t>质量指标</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DF56E">
            <w:pPr>
              <w:widowControl/>
              <w:jc w:val="center"/>
              <w:textAlignment w:val="center"/>
              <w:rPr>
                <w:rFonts w:ascii="宋体" w:hAnsi="宋体" w:cs="宋体"/>
                <w:color w:val="000000"/>
                <w:sz w:val="18"/>
                <w:szCs w:val="18"/>
              </w:rPr>
            </w:pPr>
            <w:r>
              <w:rPr>
                <w:rFonts w:ascii="宋体" w:hAnsi="宋体" w:cs="宋体"/>
                <w:color w:val="000000"/>
                <w:kern w:val="0"/>
                <w:sz w:val="18"/>
                <w:szCs w:val="18"/>
              </w:rPr>
              <w:t>通过国家验收标准</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EAB47">
            <w:pPr>
              <w:widowControl/>
              <w:jc w:val="center"/>
              <w:textAlignment w:val="center"/>
              <w:rPr>
                <w:rFonts w:ascii="宋体" w:hAnsi="宋体" w:cs="宋体"/>
                <w:color w:val="000000"/>
                <w:sz w:val="18"/>
                <w:szCs w:val="18"/>
              </w:rPr>
            </w:pPr>
            <w:r>
              <w:rPr>
                <w:rFonts w:ascii="宋体" w:hAnsi="宋体" w:cs="宋体"/>
                <w:color w:val="000000"/>
                <w:kern w:val="0"/>
                <w:sz w:val="18"/>
                <w:szCs w:val="18"/>
              </w:rPr>
              <w:t>定性</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FB5F8">
            <w:pPr>
              <w:widowControl/>
              <w:jc w:val="center"/>
              <w:textAlignment w:val="center"/>
              <w:rPr>
                <w:rFonts w:ascii="宋体" w:hAnsi="宋体" w:cs="宋体"/>
                <w:color w:val="000000"/>
                <w:sz w:val="18"/>
                <w:szCs w:val="18"/>
              </w:rPr>
            </w:pPr>
            <w:r>
              <w:rPr>
                <w:rFonts w:ascii="宋体" w:hAnsi="宋体" w:cs="宋体"/>
                <w:color w:val="000000"/>
                <w:kern w:val="0"/>
                <w:sz w:val="18"/>
                <w:szCs w:val="18"/>
              </w:rPr>
              <w:t>达标</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67CCD">
            <w:pPr>
              <w:widowControl/>
              <w:jc w:val="center"/>
              <w:textAlignment w:val="center"/>
              <w:rPr>
                <w:rFonts w:ascii="宋体" w:hAnsi="宋体" w:cs="宋体"/>
                <w:color w:val="000000"/>
                <w:sz w:val="18"/>
                <w:szCs w:val="18"/>
              </w:rPr>
            </w:pPr>
            <w:r>
              <w:rPr>
                <w:rFonts w:ascii="宋体" w:hAnsi="宋体" w:cs="宋体"/>
                <w:color w:val="000000"/>
                <w:kern w:val="0"/>
                <w:sz w:val="18"/>
                <w:szCs w:val="18"/>
              </w:rPr>
              <w:t>达标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196A7">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B5114">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DFFD0">
            <w:pPr>
              <w:jc w:val="center"/>
              <w:rPr>
                <w:rFonts w:ascii="微软雅黑" w:hAnsi="微软雅黑" w:eastAsia="微软雅黑" w:cs="微软雅黑"/>
                <w:i/>
                <w:iCs/>
                <w:color w:val="000000"/>
                <w:sz w:val="16"/>
                <w:szCs w:val="16"/>
              </w:rPr>
            </w:pPr>
          </w:p>
        </w:tc>
      </w:tr>
      <w:tr w14:paraId="3503B6DD">
        <w:tblPrEx>
          <w:tblCellMar>
            <w:top w:w="0" w:type="dxa"/>
            <w:left w:w="108" w:type="dxa"/>
            <w:bottom w:w="0" w:type="dxa"/>
            <w:right w:w="108" w:type="dxa"/>
          </w:tblCellMar>
        </w:tblPrEx>
        <w:trPr>
          <w:trHeight w:val="339"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50E0C7">
            <w:pPr>
              <w:jc w:val="center"/>
              <w:rPr>
                <w:rFonts w:ascii="宋体" w:hAnsi="宋体" w:cs="宋体"/>
                <w:color w:val="000000"/>
                <w:sz w:val="18"/>
                <w:szCs w:val="18"/>
              </w:rPr>
            </w:pPr>
          </w:p>
        </w:tc>
        <w:tc>
          <w:tcPr>
            <w:tcW w:w="1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8C158F">
            <w:pPr>
              <w:jc w:val="center"/>
              <w:rPr>
                <w:rFonts w:ascii="宋体" w:hAnsi="宋体" w:cs="宋体"/>
                <w:color w:val="000000"/>
                <w:sz w:val="18"/>
                <w:szCs w:val="18"/>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7B8FC">
            <w:pPr>
              <w:widowControl/>
              <w:jc w:val="center"/>
              <w:textAlignment w:val="center"/>
              <w:rPr>
                <w:rFonts w:ascii="宋体" w:hAnsi="宋体" w:cs="宋体"/>
                <w:color w:val="000000"/>
                <w:sz w:val="18"/>
                <w:szCs w:val="18"/>
              </w:rPr>
            </w:pPr>
            <w:r>
              <w:rPr>
                <w:rFonts w:ascii="宋体" w:hAnsi="宋体" w:cs="宋体"/>
                <w:color w:val="000000"/>
                <w:kern w:val="0"/>
                <w:sz w:val="18"/>
                <w:szCs w:val="18"/>
              </w:rPr>
              <w:t>时效指标</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3CC2C">
            <w:pPr>
              <w:widowControl/>
              <w:jc w:val="center"/>
              <w:textAlignment w:val="center"/>
              <w:rPr>
                <w:rFonts w:ascii="宋体" w:hAnsi="宋体" w:cs="宋体"/>
                <w:color w:val="000000"/>
                <w:sz w:val="18"/>
                <w:szCs w:val="18"/>
              </w:rPr>
            </w:pPr>
            <w:r>
              <w:rPr>
                <w:rFonts w:ascii="宋体" w:hAnsi="宋体" w:cs="宋体"/>
                <w:color w:val="000000"/>
                <w:kern w:val="0"/>
                <w:sz w:val="18"/>
                <w:szCs w:val="18"/>
              </w:rPr>
              <w:t>维修改造工期</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F9F00">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1D386">
            <w:pPr>
              <w:widowControl/>
              <w:jc w:val="center"/>
              <w:textAlignment w:val="center"/>
              <w:rPr>
                <w:rFonts w:ascii="宋体" w:hAnsi="宋体" w:cs="宋体"/>
                <w:color w:val="000000"/>
                <w:sz w:val="18"/>
                <w:szCs w:val="18"/>
              </w:rPr>
            </w:pPr>
            <w:r>
              <w:rPr>
                <w:rFonts w:ascii="宋体" w:hAnsi="宋体" w:cs="宋体"/>
                <w:color w:val="000000"/>
                <w:kern w:val="0"/>
                <w:sz w:val="18"/>
                <w:szCs w:val="18"/>
              </w:rPr>
              <w:t>180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AF677">
            <w:pPr>
              <w:widowControl/>
              <w:jc w:val="center"/>
              <w:textAlignment w:val="center"/>
              <w:rPr>
                <w:rFonts w:ascii="宋体" w:hAnsi="宋体" w:cs="宋体"/>
                <w:color w:val="000000"/>
                <w:sz w:val="18"/>
                <w:szCs w:val="18"/>
              </w:rPr>
            </w:pPr>
            <w:r>
              <w:rPr>
                <w:rFonts w:ascii="宋体" w:hAnsi="宋体" w:cs="宋体"/>
                <w:color w:val="000000"/>
                <w:kern w:val="0"/>
                <w:sz w:val="18"/>
                <w:szCs w:val="18"/>
              </w:rPr>
              <w:t>180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B2405">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B8388">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FC9D8">
            <w:pPr>
              <w:jc w:val="center"/>
              <w:rPr>
                <w:rFonts w:ascii="微软雅黑" w:hAnsi="微软雅黑" w:eastAsia="微软雅黑" w:cs="微软雅黑"/>
                <w:i/>
                <w:iCs/>
                <w:color w:val="000000"/>
                <w:sz w:val="16"/>
                <w:szCs w:val="16"/>
              </w:rPr>
            </w:pPr>
          </w:p>
        </w:tc>
      </w:tr>
      <w:tr w14:paraId="46202257">
        <w:tblPrEx>
          <w:tblCellMar>
            <w:top w:w="0" w:type="dxa"/>
            <w:left w:w="108" w:type="dxa"/>
            <w:bottom w:w="0" w:type="dxa"/>
            <w:right w:w="108" w:type="dxa"/>
          </w:tblCellMar>
        </w:tblPrEx>
        <w:trPr>
          <w:trHeight w:val="339"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B8078F">
            <w:pPr>
              <w:jc w:val="center"/>
              <w:rPr>
                <w:rFonts w:ascii="宋体" w:hAnsi="宋体" w:cs="宋体"/>
                <w:color w:val="000000"/>
                <w:sz w:val="18"/>
                <w:szCs w:val="18"/>
              </w:rPr>
            </w:pPr>
          </w:p>
        </w:tc>
        <w:tc>
          <w:tcPr>
            <w:tcW w:w="15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65D829">
            <w:pPr>
              <w:widowControl/>
              <w:jc w:val="center"/>
              <w:textAlignment w:val="center"/>
              <w:rPr>
                <w:rFonts w:ascii="宋体" w:hAnsi="宋体" w:cs="宋体"/>
                <w:color w:val="000000"/>
                <w:sz w:val="18"/>
                <w:szCs w:val="18"/>
              </w:rPr>
            </w:pPr>
            <w:r>
              <w:rPr>
                <w:rFonts w:ascii="宋体" w:hAnsi="宋体" w:cs="宋体"/>
                <w:color w:val="000000"/>
                <w:kern w:val="0"/>
                <w:sz w:val="18"/>
                <w:szCs w:val="18"/>
              </w:rPr>
              <w:t>效益指标</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89F5C">
            <w:pPr>
              <w:widowControl/>
              <w:jc w:val="center"/>
              <w:textAlignment w:val="center"/>
              <w:rPr>
                <w:rFonts w:ascii="宋体" w:hAnsi="宋体" w:cs="宋体"/>
                <w:color w:val="000000"/>
                <w:sz w:val="18"/>
                <w:szCs w:val="18"/>
              </w:rPr>
            </w:pPr>
            <w:r>
              <w:rPr>
                <w:rFonts w:ascii="宋体" w:hAnsi="宋体" w:cs="宋体"/>
                <w:color w:val="000000"/>
                <w:kern w:val="0"/>
                <w:sz w:val="18"/>
                <w:szCs w:val="18"/>
              </w:rPr>
              <w:t>社会效益指标</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7363A">
            <w:pPr>
              <w:widowControl/>
              <w:jc w:val="center"/>
              <w:textAlignment w:val="center"/>
              <w:rPr>
                <w:rFonts w:ascii="宋体" w:hAnsi="宋体" w:cs="宋体"/>
                <w:color w:val="000000"/>
                <w:sz w:val="18"/>
                <w:szCs w:val="18"/>
              </w:rPr>
            </w:pPr>
            <w:r>
              <w:rPr>
                <w:rFonts w:ascii="宋体" w:hAnsi="宋体" w:cs="宋体"/>
                <w:color w:val="000000"/>
                <w:kern w:val="0"/>
                <w:sz w:val="18"/>
                <w:szCs w:val="18"/>
              </w:rPr>
              <w:t>提高学生整体素质</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045F4">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6B402">
            <w:pPr>
              <w:widowControl/>
              <w:jc w:val="center"/>
              <w:textAlignment w:val="center"/>
              <w:rPr>
                <w:rFonts w:ascii="宋体" w:hAnsi="宋体" w:cs="宋体"/>
                <w:color w:val="000000"/>
                <w:sz w:val="18"/>
                <w:szCs w:val="18"/>
              </w:rPr>
            </w:pPr>
            <w:r>
              <w:rPr>
                <w:rFonts w:ascii="宋体" w:hAnsi="宋体" w:cs="宋体"/>
                <w:color w:val="000000"/>
                <w:kern w:val="0"/>
                <w:sz w:val="18"/>
                <w:szCs w:val="18"/>
              </w:rPr>
              <w:t>95</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91278">
            <w:pPr>
              <w:widowControl/>
              <w:jc w:val="center"/>
              <w:textAlignment w:val="center"/>
              <w:rPr>
                <w:rFonts w:ascii="宋体" w:hAnsi="宋体" w:cs="宋体"/>
                <w:color w:val="000000"/>
                <w:sz w:val="18"/>
                <w:szCs w:val="18"/>
              </w:rPr>
            </w:pPr>
            <w:r>
              <w:rPr>
                <w:rFonts w:ascii="宋体" w:hAnsi="宋体" w:cs="宋体"/>
                <w:color w:val="000000"/>
                <w:kern w:val="0"/>
                <w:sz w:val="18"/>
                <w:szCs w:val="18"/>
              </w:rPr>
              <w:t>95%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517C9">
            <w:pPr>
              <w:widowControl/>
              <w:jc w:val="center"/>
              <w:textAlignment w:val="center"/>
              <w:rPr>
                <w:rFonts w:ascii="宋体" w:hAnsi="宋体" w:cs="宋体"/>
                <w:color w:val="000000"/>
                <w:sz w:val="18"/>
                <w:szCs w:val="18"/>
              </w:rPr>
            </w:pPr>
            <w:r>
              <w:rPr>
                <w:rFonts w:ascii="宋体" w:hAnsi="宋体" w:cs="宋体"/>
                <w:color w:val="000000"/>
                <w:kern w:val="0"/>
                <w:sz w:val="18"/>
                <w:szCs w:val="18"/>
              </w:rPr>
              <w:t>15</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0379E">
            <w:pPr>
              <w:widowControl/>
              <w:jc w:val="center"/>
              <w:textAlignment w:val="center"/>
              <w:rPr>
                <w:rFonts w:ascii="宋体" w:hAnsi="宋体" w:cs="宋体"/>
                <w:color w:val="000000"/>
                <w:sz w:val="18"/>
                <w:szCs w:val="18"/>
              </w:rPr>
            </w:pPr>
            <w:r>
              <w:rPr>
                <w:rFonts w:ascii="宋体" w:hAnsi="宋体" w:cs="宋体"/>
                <w:color w:val="000000"/>
                <w:kern w:val="0"/>
                <w:sz w:val="18"/>
                <w:szCs w:val="18"/>
              </w:rPr>
              <w:t>15</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1B6BA">
            <w:pPr>
              <w:jc w:val="center"/>
              <w:rPr>
                <w:rFonts w:ascii="微软雅黑" w:hAnsi="微软雅黑" w:eastAsia="微软雅黑" w:cs="微软雅黑"/>
                <w:i/>
                <w:iCs/>
                <w:color w:val="000000"/>
                <w:sz w:val="16"/>
                <w:szCs w:val="16"/>
              </w:rPr>
            </w:pPr>
          </w:p>
        </w:tc>
      </w:tr>
      <w:tr w14:paraId="5F1F7E91">
        <w:tblPrEx>
          <w:tblCellMar>
            <w:top w:w="0" w:type="dxa"/>
            <w:left w:w="108" w:type="dxa"/>
            <w:bottom w:w="0" w:type="dxa"/>
            <w:right w:w="108" w:type="dxa"/>
          </w:tblCellMar>
        </w:tblPrEx>
        <w:trPr>
          <w:trHeight w:val="452"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4AFD43">
            <w:pPr>
              <w:jc w:val="center"/>
              <w:rPr>
                <w:rFonts w:ascii="宋体" w:hAnsi="宋体" w:cs="宋体"/>
                <w:color w:val="000000"/>
                <w:sz w:val="18"/>
                <w:szCs w:val="18"/>
              </w:rPr>
            </w:pPr>
          </w:p>
        </w:tc>
        <w:tc>
          <w:tcPr>
            <w:tcW w:w="1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E8FC06">
            <w:pPr>
              <w:jc w:val="center"/>
              <w:rPr>
                <w:rFonts w:ascii="宋体" w:hAnsi="宋体" w:cs="宋体"/>
                <w:color w:val="000000"/>
                <w:sz w:val="18"/>
                <w:szCs w:val="18"/>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489BD">
            <w:pPr>
              <w:widowControl/>
              <w:jc w:val="center"/>
              <w:textAlignment w:val="center"/>
              <w:rPr>
                <w:rFonts w:ascii="宋体" w:hAnsi="宋体" w:cs="宋体"/>
                <w:color w:val="000000"/>
                <w:sz w:val="18"/>
                <w:szCs w:val="18"/>
              </w:rPr>
            </w:pPr>
            <w:r>
              <w:rPr>
                <w:rFonts w:ascii="宋体" w:hAnsi="宋体" w:cs="宋体"/>
                <w:color w:val="000000"/>
                <w:kern w:val="0"/>
                <w:sz w:val="18"/>
                <w:szCs w:val="18"/>
              </w:rPr>
              <w:t>可持续发展指标</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0759D">
            <w:pPr>
              <w:widowControl/>
              <w:jc w:val="center"/>
              <w:textAlignment w:val="center"/>
              <w:rPr>
                <w:rFonts w:ascii="宋体" w:hAnsi="宋体" w:cs="宋体"/>
                <w:color w:val="000000"/>
                <w:sz w:val="18"/>
                <w:szCs w:val="18"/>
              </w:rPr>
            </w:pPr>
            <w:r>
              <w:rPr>
                <w:rFonts w:ascii="宋体" w:hAnsi="宋体" w:cs="宋体"/>
                <w:color w:val="000000"/>
                <w:kern w:val="0"/>
                <w:sz w:val="18"/>
                <w:szCs w:val="18"/>
              </w:rPr>
              <w:t>对学校、学生教育的持续影响</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C5944">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F4B5C">
            <w:pPr>
              <w:widowControl/>
              <w:jc w:val="center"/>
              <w:textAlignment w:val="center"/>
              <w:rPr>
                <w:rFonts w:ascii="宋体" w:hAnsi="宋体" w:cs="宋体"/>
                <w:color w:val="000000"/>
                <w:sz w:val="18"/>
                <w:szCs w:val="18"/>
              </w:rPr>
            </w:pPr>
            <w:r>
              <w:rPr>
                <w:rFonts w:ascii="宋体" w:hAnsi="宋体" w:cs="宋体"/>
                <w:color w:val="000000"/>
                <w:kern w:val="0"/>
                <w:sz w:val="18"/>
                <w:szCs w:val="18"/>
              </w:rPr>
              <w:t>98</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D7F53">
            <w:pPr>
              <w:widowControl/>
              <w:jc w:val="center"/>
              <w:textAlignment w:val="center"/>
              <w:rPr>
                <w:rFonts w:ascii="宋体" w:hAnsi="宋体" w:cs="宋体"/>
                <w:color w:val="000000"/>
                <w:sz w:val="18"/>
                <w:szCs w:val="18"/>
              </w:rPr>
            </w:pPr>
            <w:r>
              <w:rPr>
                <w:rFonts w:ascii="宋体" w:hAnsi="宋体" w:cs="宋体"/>
                <w:color w:val="000000"/>
                <w:kern w:val="0"/>
                <w:sz w:val="18"/>
                <w:szCs w:val="18"/>
              </w:rPr>
              <w:t>98%</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74C1A">
            <w:pPr>
              <w:widowControl/>
              <w:jc w:val="center"/>
              <w:textAlignment w:val="center"/>
              <w:rPr>
                <w:rFonts w:ascii="宋体" w:hAnsi="宋体" w:cs="宋体"/>
                <w:color w:val="000000"/>
                <w:sz w:val="18"/>
                <w:szCs w:val="18"/>
              </w:rPr>
            </w:pPr>
            <w:r>
              <w:rPr>
                <w:rFonts w:ascii="宋体" w:hAnsi="宋体" w:cs="宋体"/>
                <w:color w:val="000000"/>
                <w:kern w:val="0"/>
                <w:sz w:val="18"/>
                <w:szCs w:val="18"/>
              </w:rPr>
              <w:t>15</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58BAE">
            <w:pPr>
              <w:widowControl/>
              <w:jc w:val="center"/>
              <w:textAlignment w:val="center"/>
              <w:rPr>
                <w:rFonts w:ascii="宋体" w:hAnsi="宋体" w:cs="宋体"/>
                <w:color w:val="000000"/>
                <w:sz w:val="18"/>
                <w:szCs w:val="18"/>
              </w:rPr>
            </w:pPr>
            <w:r>
              <w:rPr>
                <w:rFonts w:ascii="宋体" w:hAnsi="宋体" w:cs="宋体"/>
                <w:color w:val="000000"/>
                <w:kern w:val="0"/>
                <w:sz w:val="18"/>
                <w:szCs w:val="18"/>
              </w:rPr>
              <w:t>15</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82393">
            <w:pPr>
              <w:jc w:val="center"/>
              <w:rPr>
                <w:rFonts w:ascii="微软雅黑" w:hAnsi="微软雅黑" w:eastAsia="微软雅黑" w:cs="微软雅黑"/>
                <w:i/>
                <w:iCs/>
                <w:color w:val="000000"/>
                <w:sz w:val="16"/>
                <w:szCs w:val="16"/>
              </w:rPr>
            </w:pPr>
          </w:p>
        </w:tc>
      </w:tr>
      <w:tr w14:paraId="35040F34">
        <w:tblPrEx>
          <w:tblCellMar>
            <w:top w:w="0" w:type="dxa"/>
            <w:left w:w="108" w:type="dxa"/>
            <w:bottom w:w="0" w:type="dxa"/>
            <w:right w:w="108" w:type="dxa"/>
          </w:tblCellMar>
        </w:tblPrEx>
        <w:trPr>
          <w:trHeight w:val="452"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2C44B9">
            <w:pPr>
              <w:jc w:val="center"/>
              <w:rPr>
                <w:rFonts w:ascii="宋体" w:hAnsi="宋体" w:cs="宋体"/>
                <w:color w:val="000000"/>
                <w:sz w:val="18"/>
                <w:szCs w:val="18"/>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7D90F">
            <w:pPr>
              <w:widowControl/>
              <w:jc w:val="center"/>
              <w:textAlignment w:val="center"/>
              <w:rPr>
                <w:rFonts w:ascii="宋体" w:hAnsi="宋体" w:cs="宋体"/>
                <w:color w:val="000000"/>
                <w:sz w:val="18"/>
                <w:szCs w:val="18"/>
              </w:rPr>
            </w:pPr>
            <w:r>
              <w:rPr>
                <w:rFonts w:ascii="宋体" w:hAnsi="宋体" w:cs="宋体"/>
                <w:color w:val="000000"/>
                <w:kern w:val="0"/>
                <w:sz w:val="18"/>
                <w:szCs w:val="18"/>
              </w:rPr>
              <w:t>满意度指标</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D2671">
            <w:pPr>
              <w:widowControl/>
              <w:jc w:val="center"/>
              <w:textAlignment w:val="center"/>
              <w:rPr>
                <w:rFonts w:ascii="宋体" w:hAnsi="宋体" w:cs="宋体"/>
                <w:color w:val="000000"/>
                <w:sz w:val="18"/>
                <w:szCs w:val="18"/>
              </w:rPr>
            </w:pPr>
            <w:r>
              <w:rPr>
                <w:rFonts w:ascii="宋体" w:hAnsi="宋体" w:cs="宋体"/>
                <w:color w:val="000000"/>
                <w:kern w:val="0"/>
                <w:sz w:val="18"/>
                <w:szCs w:val="18"/>
              </w:rPr>
              <w:t>服务对象满意度指标</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A6006">
            <w:pPr>
              <w:widowControl/>
              <w:jc w:val="center"/>
              <w:textAlignment w:val="center"/>
              <w:rPr>
                <w:rFonts w:ascii="宋体" w:hAnsi="宋体" w:cs="宋体"/>
                <w:color w:val="000000"/>
                <w:sz w:val="18"/>
                <w:szCs w:val="18"/>
              </w:rPr>
            </w:pPr>
            <w:r>
              <w:rPr>
                <w:rFonts w:ascii="宋体" w:hAnsi="宋体" w:cs="宋体"/>
                <w:color w:val="000000"/>
                <w:kern w:val="0"/>
                <w:sz w:val="18"/>
                <w:szCs w:val="18"/>
              </w:rPr>
              <w:t>学校满意度</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376E5">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32918">
            <w:pPr>
              <w:widowControl/>
              <w:jc w:val="center"/>
              <w:textAlignment w:val="center"/>
              <w:rPr>
                <w:rFonts w:ascii="宋体" w:hAnsi="宋体" w:cs="宋体"/>
                <w:color w:val="000000"/>
                <w:sz w:val="18"/>
                <w:szCs w:val="18"/>
              </w:rPr>
            </w:pPr>
            <w:r>
              <w:rPr>
                <w:rFonts w:ascii="宋体" w:hAnsi="宋体" w:cs="宋体"/>
                <w:color w:val="000000"/>
                <w:kern w:val="0"/>
                <w:sz w:val="18"/>
                <w:szCs w:val="18"/>
              </w:rPr>
              <w:t>95</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A651C">
            <w:pPr>
              <w:widowControl/>
              <w:jc w:val="center"/>
              <w:textAlignment w:val="center"/>
              <w:rPr>
                <w:rFonts w:ascii="宋体" w:hAnsi="宋体" w:cs="宋体"/>
                <w:color w:val="000000"/>
                <w:sz w:val="18"/>
                <w:szCs w:val="18"/>
              </w:rPr>
            </w:pPr>
            <w:r>
              <w:rPr>
                <w:rFonts w:ascii="宋体" w:hAnsi="宋体" w:cs="宋体"/>
                <w:color w:val="000000"/>
                <w:kern w:val="0"/>
                <w:sz w:val="18"/>
                <w:szCs w:val="18"/>
              </w:rPr>
              <w:t>95%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AF738">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B8DC1">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EB601">
            <w:pPr>
              <w:jc w:val="center"/>
              <w:rPr>
                <w:rFonts w:ascii="微软雅黑" w:hAnsi="微软雅黑" w:eastAsia="微软雅黑" w:cs="微软雅黑"/>
                <w:i/>
                <w:iCs/>
                <w:color w:val="000000"/>
                <w:sz w:val="16"/>
                <w:szCs w:val="16"/>
              </w:rPr>
            </w:pPr>
          </w:p>
        </w:tc>
      </w:tr>
      <w:tr w14:paraId="05913AFC">
        <w:tblPrEx>
          <w:tblCellMar>
            <w:top w:w="0" w:type="dxa"/>
            <w:left w:w="108" w:type="dxa"/>
            <w:bottom w:w="0" w:type="dxa"/>
            <w:right w:w="108" w:type="dxa"/>
          </w:tblCellMar>
        </w:tblPrEx>
        <w:trPr>
          <w:trHeight w:val="678"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86E234">
            <w:pPr>
              <w:jc w:val="center"/>
              <w:rPr>
                <w:rFonts w:ascii="宋体" w:hAnsi="宋体" w:cs="宋体"/>
                <w:color w:val="000000"/>
                <w:sz w:val="18"/>
                <w:szCs w:val="18"/>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CC33C">
            <w:pPr>
              <w:widowControl/>
              <w:jc w:val="center"/>
              <w:textAlignment w:val="center"/>
              <w:rPr>
                <w:rFonts w:ascii="宋体" w:hAnsi="宋体" w:cs="宋体"/>
                <w:color w:val="000000"/>
                <w:sz w:val="18"/>
                <w:szCs w:val="18"/>
              </w:rPr>
            </w:pPr>
            <w:r>
              <w:rPr>
                <w:rFonts w:ascii="宋体" w:hAnsi="宋体" w:cs="宋体"/>
                <w:color w:val="000000"/>
                <w:kern w:val="0"/>
                <w:sz w:val="18"/>
                <w:szCs w:val="18"/>
              </w:rPr>
              <w:t>成本指标</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669CF">
            <w:pPr>
              <w:widowControl/>
              <w:jc w:val="center"/>
              <w:textAlignment w:val="center"/>
              <w:rPr>
                <w:rFonts w:ascii="宋体" w:hAnsi="宋体" w:cs="宋体"/>
                <w:color w:val="000000"/>
                <w:sz w:val="18"/>
                <w:szCs w:val="18"/>
              </w:rPr>
            </w:pPr>
            <w:r>
              <w:rPr>
                <w:rFonts w:ascii="宋体" w:hAnsi="宋体" w:cs="宋体"/>
                <w:color w:val="000000"/>
                <w:kern w:val="0"/>
                <w:sz w:val="18"/>
                <w:szCs w:val="18"/>
              </w:rPr>
              <w:t>经济成本指标</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D2235">
            <w:pPr>
              <w:widowControl/>
              <w:jc w:val="center"/>
              <w:textAlignment w:val="center"/>
              <w:rPr>
                <w:rFonts w:ascii="宋体" w:hAnsi="宋体" w:cs="宋体"/>
                <w:color w:val="000000"/>
                <w:sz w:val="18"/>
                <w:szCs w:val="18"/>
              </w:rPr>
            </w:pPr>
            <w:r>
              <w:rPr>
                <w:rFonts w:ascii="宋体" w:hAnsi="宋体" w:cs="宋体"/>
                <w:color w:val="000000"/>
                <w:kern w:val="0"/>
                <w:sz w:val="18"/>
                <w:szCs w:val="18"/>
              </w:rPr>
              <w:t>单位维修价格</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470A8">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AE47A">
            <w:pPr>
              <w:widowControl/>
              <w:jc w:val="center"/>
              <w:textAlignment w:val="center"/>
              <w:rPr>
                <w:rFonts w:ascii="宋体" w:hAnsi="宋体" w:cs="宋体"/>
                <w:color w:val="000000"/>
                <w:sz w:val="18"/>
                <w:szCs w:val="18"/>
              </w:rPr>
            </w:pPr>
            <w:r>
              <w:rPr>
                <w:rFonts w:ascii="宋体" w:hAnsi="宋体" w:cs="宋体"/>
                <w:color w:val="000000"/>
                <w:kern w:val="0"/>
                <w:sz w:val="18"/>
                <w:szCs w:val="18"/>
              </w:rPr>
              <w:t>300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3373F">
            <w:pPr>
              <w:widowControl/>
              <w:jc w:val="center"/>
              <w:textAlignment w:val="center"/>
              <w:rPr>
                <w:rFonts w:ascii="宋体" w:hAnsi="宋体" w:cs="宋体"/>
                <w:color w:val="000000"/>
                <w:sz w:val="18"/>
                <w:szCs w:val="18"/>
              </w:rPr>
            </w:pPr>
            <w:r>
              <w:rPr>
                <w:rFonts w:ascii="宋体" w:hAnsi="宋体" w:cs="宋体"/>
                <w:color w:val="000000"/>
                <w:kern w:val="0"/>
                <w:sz w:val="18"/>
                <w:szCs w:val="18"/>
              </w:rPr>
              <w:t>300元/平方米</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6D17D">
            <w:pPr>
              <w:widowControl/>
              <w:jc w:val="center"/>
              <w:textAlignment w:val="center"/>
              <w:rPr>
                <w:rFonts w:ascii="宋体" w:hAnsi="宋体" w:cs="宋体"/>
                <w:color w:val="000000"/>
                <w:sz w:val="18"/>
                <w:szCs w:val="18"/>
              </w:rPr>
            </w:pPr>
            <w:r>
              <w:rPr>
                <w:rFonts w:ascii="宋体" w:hAnsi="宋体" w:cs="宋体"/>
                <w:color w:val="000000"/>
                <w:kern w:val="0"/>
                <w:sz w:val="18"/>
                <w:szCs w:val="18"/>
              </w:rPr>
              <w:t>15</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E9322">
            <w:pPr>
              <w:widowControl/>
              <w:jc w:val="center"/>
              <w:textAlignment w:val="center"/>
              <w:rPr>
                <w:rFonts w:ascii="宋体" w:hAnsi="宋体" w:cs="宋体"/>
                <w:color w:val="000000"/>
                <w:sz w:val="18"/>
                <w:szCs w:val="18"/>
              </w:rPr>
            </w:pPr>
            <w:r>
              <w:rPr>
                <w:rFonts w:ascii="宋体" w:hAnsi="宋体" w:cs="宋体"/>
                <w:color w:val="000000"/>
                <w:kern w:val="0"/>
                <w:sz w:val="18"/>
                <w:szCs w:val="18"/>
              </w:rPr>
              <w:t>15</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6074F">
            <w:pPr>
              <w:jc w:val="center"/>
              <w:rPr>
                <w:rFonts w:ascii="微软雅黑" w:hAnsi="微软雅黑" w:eastAsia="微软雅黑" w:cs="微软雅黑"/>
                <w:i/>
                <w:iCs/>
                <w:color w:val="000000"/>
                <w:sz w:val="16"/>
                <w:szCs w:val="16"/>
              </w:rPr>
            </w:pPr>
          </w:p>
        </w:tc>
      </w:tr>
      <w:tr w14:paraId="398DB739">
        <w:tblPrEx>
          <w:tblCellMar>
            <w:top w:w="0" w:type="dxa"/>
            <w:left w:w="108" w:type="dxa"/>
            <w:bottom w:w="0" w:type="dxa"/>
            <w:right w:w="108" w:type="dxa"/>
          </w:tblCellMar>
        </w:tblPrEx>
        <w:trPr>
          <w:trHeight w:val="286" w:hRule="atLeast"/>
        </w:trPr>
        <w:tc>
          <w:tcPr>
            <w:tcW w:w="707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7F301A1">
            <w:pPr>
              <w:widowControl/>
              <w:jc w:val="center"/>
              <w:textAlignment w:val="center"/>
              <w:rPr>
                <w:rFonts w:ascii="宋体" w:hAnsi="宋体" w:cs="宋体"/>
                <w:color w:val="000000"/>
                <w:sz w:val="18"/>
                <w:szCs w:val="18"/>
              </w:rPr>
            </w:pPr>
            <w:r>
              <w:rPr>
                <w:rFonts w:ascii="宋体" w:hAnsi="宋体" w:cs="宋体"/>
                <w:color w:val="000000"/>
                <w:kern w:val="0"/>
                <w:sz w:val="18"/>
                <w:szCs w:val="18"/>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BB21E">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873C1">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C6917">
            <w:pPr>
              <w:rPr>
                <w:rFonts w:ascii="宋体" w:hAnsi="宋体" w:cs="宋体"/>
                <w:color w:val="000000"/>
                <w:sz w:val="18"/>
                <w:szCs w:val="18"/>
              </w:rPr>
            </w:pPr>
          </w:p>
        </w:tc>
      </w:tr>
      <w:tr w14:paraId="688B774F">
        <w:tblPrEx>
          <w:tblCellMar>
            <w:top w:w="0" w:type="dxa"/>
            <w:left w:w="108" w:type="dxa"/>
            <w:bottom w:w="0" w:type="dxa"/>
            <w:right w:w="108" w:type="dxa"/>
          </w:tblCellMar>
        </w:tblPrEx>
        <w:trPr>
          <w:trHeight w:val="603"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B4748">
            <w:pPr>
              <w:widowControl/>
              <w:jc w:val="center"/>
              <w:textAlignment w:val="center"/>
              <w:rPr>
                <w:rFonts w:ascii="宋体" w:hAnsi="宋体" w:cs="宋体"/>
                <w:color w:val="000000"/>
                <w:sz w:val="18"/>
                <w:szCs w:val="18"/>
              </w:rPr>
            </w:pPr>
            <w:r>
              <w:rPr>
                <w:rFonts w:ascii="宋体" w:hAnsi="宋体" w:cs="宋体"/>
                <w:color w:val="000000"/>
                <w:kern w:val="0"/>
                <w:sz w:val="18"/>
                <w:szCs w:val="18"/>
              </w:rPr>
              <w:t>评价结论</w:t>
            </w:r>
          </w:p>
        </w:tc>
        <w:tc>
          <w:tcPr>
            <w:tcW w:w="968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39B4103">
            <w:pPr>
              <w:widowControl/>
              <w:jc w:val="left"/>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项目自评总分达到100分。通过实施，项目达到了预期目标，解决了实际问题，取得了显著成果。</w:t>
            </w:r>
          </w:p>
        </w:tc>
      </w:tr>
      <w:tr w14:paraId="1A84C0E9">
        <w:tblPrEx>
          <w:tblCellMar>
            <w:top w:w="0" w:type="dxa"/>
            <w:left w:w="108" w:type="dxa"/>
            <w:bottom w:w="0" w:type="dxa"/>
            <w:right w:w="108" w:type="dxa"/>
          </w:tblCellMar>
        </w:tblPrEx>
        <w:trPr>
          <w:trHeight w:val="572"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3BD71">
            <w:pPr>
              <w:widowControl/>
              <w:jc w:val="center"/>
              <w:textAlignment w:val="center"/>
              <w:rPr>
                <w:rFonts w:ascii="宋体" w:hAnsi="宋体" w:cs="宋体"/>
                <w:color w:val="000000"/>
                <w:sz w:val="18"/>
                <w:szCs w:val="18"/>
              </w:rPr>
            </w:pPr>
            <w:r>
              <w:rPr>
                <w:rFonts w:ascii="宋体" w:hAnsi="宋体" w:cs="宋体"/>
                <w:color w:val="000000"/>
                <w:kern w:val="0"/>
                <w:sz w:val="18"/>
                <w:szCs w:val="18"/>
              </w:rPr>
              <w:t>存在问题</w:t>
            </w:r>
          </w:p>
        </w:tc>
        <w:tc>
          <w:tcPr>
            <w:tcW w:w="968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F25DB7F">
            <w:pPr>
              <w:widowControl/>
              <w:jc w:val="left"/>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无</w:t>
            </w:r>
          </w:p>
        </w:tc>
      </w:tr>
      <w:tr w14:paraId="09BE889F">
        <w:tblPrEx>
          <w:tblCellMar>
            <w:top w:w="0" w:type="dxa"/>
            <w:left w:w="108" w:type="dxa"/>
            <w:bottom w:w="0" w:type="dxa"/>
            <w:right w:w="108" w:type="dxa"/>
          </w:tblCellMar>
        </w:tblPrEx>
        <w:trPr>
          <w:trHeight w:val="633"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9FED7">
            <w:pPr>
              <w:widowControl/>
              <w:jc w:val="center"/>
              <w:textAlignment w:val="center"/>
              <w:rPr>
                <w:rFonts w:ascii="宋体" w:hAnsi="宋体" w:cs="宋体"/>
                <w:color w:val="000000"/>
                <w:sz w:val="18"/>
                <w:szCs w:val="18"/>
              </w:rPr>
            </w:pPr>
            <w:r>
              <w:rPr>
                <w:rFonts w:ascii="宋体" w:hAnsi="宋体" w:cs="宋体"/>
                <w:color w:val="000000"/>
                <w:kern w:val="0"/>
                <w:sz w:val="18"/>
                <w:szCs w:val="18"/>
              </w:rPr>
              <w:t>改进措施</w:t>
            </w:r>
          </w:p>
        </w:tc>
        <w:tc>
          <w:tcPr>
            <w:tcW w:w="968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173ED31">
            <w:pPr>
              <w:widowControl/>
              <w:jc w:val="left"/>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无</w:t>
            </w:r>
          </w:p>
        </w:tc>
      </w:tr>
      <w:tr w14:paraId="480EDF7C">
        <w:tblPrEx>
          <w:tblCellMar>
            <w:top w:w="0" w:type="dxa"/>
            <w:left w:w="108" w:type="dxa"/>
            <w:bottom w:w="0" w:type="dxa"/>
            <w:right w:w="108" w:type="dxa"/>
          </w:tblCellMar>
        </w:tblPrEx>
        <w:trPr>
          <w:trHeight w:val="286" w:hRule="atLeast"/>
        </w:trPr>
        <w:tc>
          <w:tcPr>
            <w:tcW w:w="500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FB6FB9B">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项目负责人：黄中成</w:t>
            </w:r>
          </w:p>
        </w:tc>
        <w:tc>
          <w:tcPr>
            <w:tcW w:w="53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FEFD877">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财务负责人：王建军</w:t>
            </w:r>
          </w:p>
        </w:tc>
      </w:tr>
      <w:tr w14:paraId="5E76C0CC">
        <w:tblPrEx>
          <w:tblCellMar>
            <w:top w:w="0" w:type="dxa"/>
            <w:left w:w="108" w:type="dxa"/>
            <w:bottom w:w="0" w:type="dxa"/>
            <w:right w:w="108" w:type="dxa"/>
          </w:tblCellMar>
        </w:tblPrEx>
        <w:trPr>
          <w:trHeight w:val="286" w:hRule="atLeast"/>
        </w:trPr>
        <w:tc>
          <w:tcPr>
            <w:tcW w:w="682" w:type="dxa"/>
            <w:tcBorders>
              <w:top w:val="nil"/>
              <w:left w:val="nil"/>
              <w:bottom w:val="nil"/>
              <w:right w:val="nil"/>
            </w:tcBorders>
            <w:shd w:val="clear" w:color="auto" w:fill="auto"/>
            <w:vAlign w:val="center"/>
          </w:tcPr>
          <w:p w14:paraId="4F673B88">
            <w:pPr>
              <w:rPr>
                <w:rFonts w:ascii="宋体" w:hAnsi="宋体" w:cs="宋体"/>
                <w:color w:val="000000"/>
                <w:sz w:val="18"/>
                <w:szCs w:val="18"/>
              </w:rPr>
            </w:pPr>
          </w:p>
        </w:tc>
        <w:tc>
          <w:tcPr>
            <w:tcW w:w="1580" w:type="dxa"/>
            <w:tcBorders>
              <w:top w:val="nil"/>
              <w:left w:val="nil"/>
              <w:bottom w:val="nil"/>
              <w:right w:val="nil"/>
            </w:tcBorders>
            <w:shd w:val="clear" w:color="auto" w:fill="auto"/>
            <w:vAlign w:val="center"/>
          </w:tcPr>
          <w:p w14:paraId="5C5AE820">
            <w:pPr>
              <w:rPr>
                <w:rFonts w:ascii="宋体" w:hAnsi="宋体" w:cs="宋体"/>
                <w:color w:val="000000"/>
                <w:sz w:val="18"/>
                <w:szCs w:val="18"/>
              </w:rPr>
            </w:pPr>
          </w:p>
        </w:tc>
        <w:tc>
          <w:tcPr>
            <w:tcW w:w="986" w:type="dxa"/>
            <w:tcBorders>
              <w:top w:val="nil"/>
              <w:left w:val="nil"/>
              <w:bottom w:val="nil"/>
              <w:right w:val="nil"/>
            </w:tcBorders>
            <w:shd w:val="clear" w:color="auto" w:fill="auto"/>
            <w:vAlign w:val="center"/>
          </w:tcPr>
          <w:p w14:paraId="77670BF8">
            <w:pPr>
              <w:rPr>
                <w:rFonts w:ascii="宋体" w:hAnsi="宋体" w:cs="宋体"/>
                <w:color w:val="000000"/>
                <w:sz w:val="18"/>
                <w:szCs w:val="18"/>
              </w:rPr>
            </w:pPr>
          </w:p>
        </w:tc>
        <w:tc>
          <w:tcPr>
            <w:tcW w:w="1354" w:type="dxa"/>
            <w:tcBorders>
              <w:top w:val="nil"/>
              <w:left w:val="nil"/>
              <w:bottom w:val="nil"/>
              <w:right w:val="nil"/>
            </w:tcBorders>
            <w:shd w:val="clear" w:color="auto" w:fill="auto"/>
            <w:vAlign w:val="center"/>
          </w:tcPr>
          <w:p w14:paraId="4E131414">
            <w:pPr>
              <w:rPr>
                <w:rFonts w:ascii="宋体" w:hAnsi="宋体" w:cs="宋体"/>
                <w:color w:val="000000"/>
                <w:sz w:val="18"/>
                <w:szCs w:val="18"/>
              </w:rPr>
            </w:pPr>
          </w:p>
        </w:tc>
        <w:tc>
          <w:tcPr>
            <w:tcW w:w="405" w:type="dxa"/>
            <w:tcBorders>
              <w:top w:val="nil"/>
              <w:left w:val="nil"/>
              <w:bottom w:val="nil"/>
              <w:right w:val="nil"/>
            </w:tcBorders>
            <w:shd w:val="clear" w:color="auto" w:fill="auto"/>
            <w:vAlign w:val="center"/>
          </w:tcPr>
          <w:p w14:paraId="379A2CF2">
            <w:pPr>
              <w:rPr>
                <w:rFonts w:ascii="宋体" w:hAnsi="宋体" w:cs="宋体"/>
                <w:color w:val="000000"/>
                <w:sz w:val="18"/>
                <w:szCs w:val="18"/>
              </w:rPr>
            </w:pPr>
          </w:p>
        </w:tc>
        <w:tc>
          <w:tcPr>
            <w:tcW w:w="1209" w:type="dxa"/>
            <w:tcBorders>
              <w:top w:val="nil"/>
              <w:left w:val="nil"/>
              <w:bottom w:val="nil"/>
              <w:right w:val="nil"/>
            </w:tcBorders>
            <w:shd w:val="clear" w:color="auto" w:fill="auto"/>
            <w:vAlign w:val="center"/>
          </w:tcPr>
          <w:p w14:paraId="50A94574">
            <w:pPr>
              <w:rPr>
                <w:rFonts w:ascii="宋体" w:hAnsi="宋体" w:cs="宋体"/>
                <w:color w:val="000000"/>
                <w:sz w:val="18"/>
                <w:szCs w:val="18"/>
              </w:rPr>
            </w:pPr>
          </w:p>
        </w:tc>
        <w:tc>
          <w:tcPr>
            <w:tcW w:w="855" w:type="dxa"/>
            <w:tcBorders>
              <w:top w:val="nil"/>
              <w:left w:val="nil"/>
              <w:bottom w:val="nil"/>
              <w:right w:val="nil"/>
            </w:tcBorders>
            <w:shd w:val="clear" w:color="auto" w:fill="auto"/>
            <w:vAlign w:val="center"/>
          </w:tcPr>
          <w:p w14:paraId="5BA1613D">
            <w:pPr>
              <w:rPr>
                <w:rFonts w:ascii="宋体" w:hAnsi="宋体" w:cs="宋体"/>
                <w:color w:val="000000"/>
                <w:sz w:val="18"/>
                <w:szCs w:val="18"/>
              </w:rPr>
            </w:pPr>
          </w:p>
        </w:tc>
        <w:tc>
          <w:tcPr>
            <w:tcW w:w="505" w:type="dxa"/>
            <w:tcBorders>
              <w:top w:val="nil"/>
              <w:left w:val="nil"/>
              <w:bottom w:val="nil"/>
              <w:right w:val="nil"/>
            </w:tcBorders>
            <w:shd w:val="clear" w:color="auto" w:fill="auto"/>
            <w:vAlign w:val="center"/>
          </w:tcPr>
          <w:p w14:paraId="141CA4A2">
            <w:pPr>
              <w:rPr>
                <w:rFonts w:ascii="宋体" w:hAnsi="宋体" w:cs="宋体"/>
                <w:color w:val="000000"/>
                <w:sz w:val="18"/>
                <w:szCs w:val="18"/>
              </w:rPr>
            </w:pPr>
          </w:p>
        </w:tc>
        <w:tc>
          <w:tcPr>
            <w:tcW w:w="486" w:type="dxa"/>
            <w:tcBorders>
              <w:top w:val="nil"/>
              <w:left w:val="nil"/>
              <w:bottom w:val="nil"/>
              <w:right w:val="nil"/>
            </w:tcBorders>
            <w:shd w:val="clear" w:color="auto" w:fill="auto"/>
            <w:vAlign w:val="center"/>
          </w:tcPr>
          <w:p w14:paraId="34C74940">
            <w:pPr>
              <w:rPr>
                <w:rFonts w:ascii="宋体" w:hAnsi="宋体" w:cs="宋体"/>
                <w:color w:val="000000"/>
                <w:sz w:val="18"/>
                <w:szCs w:val="18"/>
              </w:rPr>
            </w:pPr>
          </w:p>
        </w:tc>
        <w:tc>
          <w:tcPr>
            <w:tcW w:w="2300" w:type="dxa"/>
            <w:tcBorders>
              <w:top w:val="nil"/>
              <w:left w:val="nil"/>
              <w:bottom w:val="nil"/>
              <w:right w:val="nil"/>
            </w:tcBorders>
            <w:shd w:val="clear" w:color="auto" w:fill="auto"/>
            <w:vAlign w:val="center"/>
          </w:tcPr>
          <w:p w14:paraId="7836122F">
            <w:pPr>
              <w:rPr>
                <w:rFonts w:ascii="宋体" w:hAnsi="宋体" w:cs="宋体"/>
                <w:color w:val="000000"/>
                <w:sz w:val="18"/>
                <w:szCs w:val="18"/>
              </w:rPr>
            </w:pPr>
          </w:p>
        </w:tc>
      </w:tr>
      <w:tr w14:paraId="29E37F6C">
        <w:tblPrEx>
          <w:tblCellMar>
            <w:top w:w="0" w:type="dxa"/>
            <w:left w:w="108" w:type="dxa"/>
            <w:bottom w:w="0" w:type="dxa"/>
            <w:right w:w="108" w:type="dxa"/>
          </w:tblCellMar>
        </w:tblPrEx>
        <w:trPr>
          <w:trHeight w:val="904" w:hRule="atLeast"/>
        </w:trPr>
        <w:tc>
          <w:tcPr>
            <w:tcW w:w="1036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6FC144C">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kern w:val="0"/>
                <w:sz w:val="30"/>
                <w:szCs w:val="30"/>
              </w:rPr>
              <w:t>部门预算项目支出绩效自评表（2023年度）</w:t>
            </w:r>
          </w:p>
        </w:tc>
      </w:tr>
      <w:tr w14:paraId="763C148B">
        <w:tblPrEx>
          <w:tblCellMar>
            <w:top w:w="0" w:type="dxa"/>
            <w:left w:w="108" w:type="dxa"/>
            <w:bottom w:w="0" w:type="dxa"/>
            <w:right w:w="108" w:type="dxa"/>
          </w:tblCellMar>
        </w:tblPrEx>
        <w:trPr>
          <w:trHeight w:val="286" w:hRule="atLeast"/>
        </w:trPr>
        <w:tc>
          <w:tcPr>
            <w:tcW w:w="2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10FB0E">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项目名称</w:t>
            </w:r>
          </w:p>
        </w:tc>
        <w:tc>
          <w:tcPr>
            <w:tcW w:w="810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AF62BAF">
            <w:pPr>
              <w:widowControl/>
              <w:jc w:val="left"/>
              <w:textAlignment w:val="center"/>
              <w:rPr>
                <w:rFonts w:ascii="宋体" w:hAnsi="宋体" w:cs="宋体"/>
                <w:color w:val="000000"/>
                <w:sz w:val="18"/>
                <w:szCs w:val="18"/>
              </w:rPr>
            </w:pPr>
            <w:r>
              <w:rPr>
                <w:rFonts w:ascii="宋体" w:hAnsi="宋体" w:cs="宋体"/>
                <w:color w:val="000000"/>
                <w:kern w:val="0"/>
                <w:sz w:val="18"/>
                <w:szCs w:val="18"/>
              </w:rPr>
              <w:t>51172423T000009099978-校舍维修改造资金</w:t>
            </w:r>
          </w:p>
        </w:tc>
      </w:tr>
      <w:tr w14:paraId="61FD9103">
        <w:tblPrEx>
          <w:tblCellMar>
            <w:top w:w="0" w:type="dxa"/>
            <w:left w:w="108" w:type="dxa"/>
            <w:bottom w:w="0" w:type="dxa"/>
            <w:right w:w="108" w:type="dxa"/>
          </w:tblCellMar>
        </w:tblPrEx>
        <w:trPr>
          <w:trHeight w:val="512" w:hRule="atLeast"/>
        </w:trPr>
        <w:tc>
          <w:tcPr>
            <w:tcW w:w="2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00BADF">
            <w:pPr>
              <w:widowControl/>
              <w:jc w:val="left"/>
              <w:textAlignment w:val="center"/>
              <w:rPr>
                <w:rFonts w:ascii="宋体" w:hAnsi="宋体" w:cs="宋体"/>
                <w:color w:val="000000"/>
                <w:sz w:val="18"/>
                <w:szCs w:val="18"/>
              </w:rPr>
            </w:pPr>
            <w:r>
              <w:rPr>
                <w:rFonts w:ascii="宋体" w:hAnsi="宋体" w:cs="宋体"/>
                <w:color w:val="000000"/>
                <w:kern w:val="0"/>
                <w:sz w:val="18"/>
                <w:szCs w:val="18"/>
              </w:rPr>
              <w:t>主管部门</w:t>
            </w:r>
          </w:p>
        </w:tc>
        <w:tc>
          <w:tcPr>
            <w:tcW w:w="395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8367178">
            <w:pPr>
              <w:widowControl/>
              <w:jc w:val="left"/>
              <w:textAlignment w:val="center"/>
              <w:rPr>
                <w:rFonts w:ascii="宋体" w:hAnsi="宋体" w:cs="宋体"/>
                <w:color w:val="000000"/>
                <w:sz w:val="18"/>
                <w:szCs w:val="18"/>
              </w:rPr>
            </w:pPr>
            <w:r>
              <w:rPr>
                <w:rFonts w:ascii="宋体" w:hAnsi="宋体" w:cs="宋体"/>
                <w:color w:val="000000"/>
                <w:kern w:val="0"/>
                <w:sz w:val="18"/>
                <w:szCs w:val="18"/>
              </w:rPr>
              <w:t>大竹县清水镇中心小学部门</w:t>
            </w:r>
          </w:p>
        </w:tc>
        <w:tc>
          <w:tcPr>
            <w:tcW w:w="855" w:type="dxa"/>
            <w:tcBorders>
              <w:top w:val="nil"/>
              <w:left w:val="nil"/>
              <w:bottom w:val="nil"/>
              <w:right w:val="nil"/>
            </w:tcBorders>
            <w:shd w:val="clear" w:color="auto" w:fill="auto"/>
            <w:vAlign w:val="center"/>
          </w:tcPr>
          <w:p w14:paraId="2A8ABCF8">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实施单位 （盖章）</w:t>
            </w:r>
          </w:p>
        </w:tc>
        <w:tc>
          <w:tcPr>
            <w:tcW w:w="32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CA71FD">
            <w:pPr>
              <w:widowControl/>
              <w:jc w:val="center"/>
              <w:textAlignment w:val="center"/>
              <w:rPr>
                <w:rFonts w:ascii="宋体" w:hAnsi="宋体" w:cs="宋体"/>
                <w:color w:val="000000"/>
                <w:sz w:val="18"/>
                <w:szCs w:val="18"/>
              </w:rPr>
            </w:pPr>
            <w:r>
              <w:rPr>
                <w:rFonts w:ascii="宋体" w:hAnsi="宋体" w:cs="宋体"/>
                <w:color w:val="000000"/>
                <w:kern w:val="0"/>
                <w:sz w:val="18"/>
                <w:szCs w:val="18"/>
              </w:rPr>
              <w:t>大竹县清水镇中心小学</w:t>
            </w:r>
          </w:p>
        </w:tc>
      </w:tr>
      <w:tr w14:paraId="7ABA7829">
        <w:tblPrEx>
          <w:tblCellMar>
            <w:top w:w="0" w:type="dxa"/>
            <w:left w:w="108" w:type="dxa"/>
            <w:bottom w:w="0" w:type="dxa"/>
            <w:right w:w="108" w:type="dxa"/>
          </w:tblCellMar>
        </w:tblPrEx>
        <w:trPr>
          <w:trHeight w:val="286" w:hRule="atLeast"/>
        </w:trPr>
        <w:tc>
          <w:tcPr>
            <w:tcW w:w="6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71DF53">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项目基本情况</w:t>
            </w:r>
          </w:p>
        </w:tc>
        <w:tc>
          <w:tcPr>
            <w:tcW w:w="15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41B1AB">
            <w:pPr>
              <w:widowControl/>
              <w:jc w:val="left"/>
              <w:textAlignment w:val="center"/>
              <w:rPr>
                <w:rFonts w:ascii="宋体" w:hAnsi="宋体" w:cs="宋体"/>
                <w:color w:val="000000"/>
                <w:sz w:val="18"/>
                <w:szCs w:val="18"/>
              </w:rPr>
            </w:pPr>
            <w:r>
              <w:rPr>
                <w:rFonts w:ascii="宋体" w:hAnsi="宋体" w:cs="宋体"/>
                <w:color w:val="000000"/>
                <w:kern w:val="0"/>
                <w:sz w:val="18"/>
                <w:szCs w:val="18"/>
              </w:rPr>
              <w:t>1.项目年度目标完成情况</w:t>
            </w:r>
          </w:p>
        </w:tc>
        <w:tc>
          <w:tcPr>
            <w:tcW w:w="395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79BF8DC">
            <w:pPr>
              <w:widowControl/>
              <w:jc w:val="center"/>
              <w:textAlignment w:val="center"/>
              <w:rPr>
                <w:rFonts w:ascii="宋体" w:hAnsi="宋体" w:cs="宋体"/>
                <w:color w:val="000000"/>
                <w:sz w:val="18"/>
                <w:szCs w:val="18"/>
              </w:rPr>
            </w:pPr>
            <w:r>
              <w:rPr>
                <w:rFonts w:ascii="宋体" w:hAnsi="宋体" w:cs="宋体"/>
                <w:color w:val="000000"/>
                <w:kern w:val="0"/>
                <w:sz w:val="18"/>
                <w:szCs w:val="18"/>
              </w:rPr>
              <w:t>项目年度目标</w:t>
            </w:r>
          </w:p>
        </w:tc>
        <w:tc>
          <w:tcPr>
            <w:tcW w:w="414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EAABA44">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年度目标完成情况</w:t>
            </w:r>
          </w:p>
        </w:tc>
      </w:tr>
      <w:tr w14:paraId="4C2FE74F">
        <w:tblPrEx>
          <w:tblCellMar>
            <w:top w:w="0" w:type="dxa"/>
            <w:left w:w="108" w:type="dxa"/>
            <w:bottom w:w="0" w:type="dxa"/>
            <w:right w:w="108" w:type="dxa"/>
          </w:tblCellMar>
        </w:tblPrEx>
        <w:trPr>
          <w:trHeight w:val="708"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6FFD2B">
            <w:pPr>
              <w:rPr>
                <w:rFonts w:ascii="宋体" w:hAnsi="宋体" w:cs="宋体"/>
                <w:color w:val="000000"/>
                <w:sz w:val="18"/>
                <w:szCs w:val="18"/>
              </w:rPr>
            </w:pPr>
          </w:p>
        </w:tc>
        <w:tc>
          <w:tcPr>
            <w:tcW w:w="1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1B9FD1">
            <w:pPr>
              <w:rPr>
                <w:rFonts w:ascii="宋体" w:hAnsi="宋体" w:cs="宋体"/>
                <w:color w:val="000000"/>
                <w:sz w:val="18"/>
                <w:szCs w:val="18"/>
              </w:rPr>
            </w:pPr>
          </w:p>
        </w:tc>
        <w:tc>
          <w:tcPr>
            <w:tcW w:w="395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0BDEC84">
            <w:pPr>
              <w:widowControl/>
              <w:jc w:val="left"/>
              <w:textAlignment w:val="center"/>
              <w:rPr>
                <w:rFonts w:ascii="宋体" w:hAnsi="宋体" w:cs="宋体"/>
                <w:color w:val="000000"/>
                <w:sz w:val="18"/>
                <w:szCs w:val="18"/>
              </w:rPr>
            </w:pPr>
            <w:r>
              <w:rPr>
                <w:rFonts w:ascii="宋体" w:hAnsi="宋体" w:cs="宋体"/>
                <w:color w:val="000000"/>
                <w:kern w:val="0"/>
                <w:sz w:val="18"/>
                <w:szCs w:val="18"/>
              </w:rPr>
              <w:t>通过围墙即堡坎维修，排除安全隐患，改善师生学习环境</w:t>
            </w:r>
          </w:p>
        </w:tc>
        <w:tc>
          <w:tcPr>
            <w:tcW w:w="414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8E03371">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通过围墙即堡坎维修，排除安全隐患，改善师生学习环境</w:t>
            </w:r>
          </w:p>
        </w:tc>
      </w:tr>
      <w:tr w14:paraId="08E7E938">
        <w:tblPrEx>
          <w:tblCellMar>
            <w:top w:w="0" w:type="dxa"/>
            <w:left w:w="108" w:type="dxa"/>
            <w:bottom w:w="0" w:type="dxa"/>
            <w:right w:w="108" w:type="dxa"/>
          </w:tblCellMar>
        </w:tblPrEx>
        <w:trPr>
          <w:trHeight w:val="693"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2A770C">
            <w:pPr>
              <w:rPr>
                <w:rFonts w:ascii="宋体" w:hAnsi="宋体" w:cs="宋体"/>
                <w:color w:val="000000"/>
                <w:sz w:val="18"/>
                <w:szCs w:val="18"/>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65E08">
            <w:pPr>
              <w:widowControl/>
              <w:jc w:val="left"/>
              <w:textAlignment w:val="center"/>
              <w:rPr>
                <w:rFonts w:ascii="宋体" w:hAnsi="宋体" w:cs="宋体"/>
                <w:color w:val="000000"/>
                <w:sz w:val="18"/>
                <w:szCs w:val="18"/>
              </w:rPr>
            </w:pPr>
            <w:r>
              <w:rPr>
                <w:rFonts w:ascii="宋体" w:hAnsi="宋体" w:cs="宋体"/>
                <w:color w:val="000000"/>
                <w:kern w:val="0"/>
                <w:sz w:val="18"/>
                <w:szCs w:val="18"/>
              </w:rPr>
              <w:t>2.项目实施内容及过程概述</w:t>
            </w:r>
          </w:p>
        </w:tc>
        <w:tc>
          <w:tcPr>
            <w:tcW w:w="810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17B9049">
            <w:pPr>
              <w:widowControl/>
              <w:jc w:val="left"/>
              <w:textAlignment w:val="center"/>
              <w:rPr>
                <w:rFonts w:ascii="宋体" w:hAnsi="宋体" w:cs="宋体"/>
                <w:color w:val="000000"/>
                <w:sz w:val="18"/>
                <w:szCs w:val="18"/>
              </w:rPr>
            </w:pPr>
            <w:r>
              <w:rPr>
                <w:rFonts w:ascii="宋体" w:hAnsi="宋体" w:cs="宋体"/>
                <w:color w:val="000000"/>
                <w:kern w:val="0"/>
                <w:sz w:val="18"/>
                <w:szCs w:val="18"/>
              </w:rPr>
              <w:t>通过围墙即堡坎维修，排除安全隐患，改善师生学习环境</w:t>
            </w:r>
          </w:p>
        </w:tc>
      </w:tr>
      <w:tr w14:paraId="5E48F221">
        <w:tblPrEx>
          <w:tblCellMar>
            <w:top w:w="0" w:type="dxa"/>
            <w:left w:w="108" w:type="dxa"/>
            <w:bottom w:w="0" w:type="dxa"/>
            <w:right w:w="108" w:type="dxa"/>
          </w:tblCellMar>
        </w:tblPrEx>
        <w:trPr>
          <w:trHeight w:val="361" w:hRule="atLeast"/>
        </w:trPr>
        <w:tc>
          <w:tcPr>
            <w:tcW w:w="6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799CB2">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预算执行情况（10分）</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2A1AE">
            <w:pPr>
              <w:widowControl/>
              <w:jc w:val="center"/>
              <w:textAlignment w:val="center"/>
              <w:rPr>
                <w:rFonts w:ascii="宋体" w:hAnsi="宋体" w:cs="宋体"/>
                <w:color w:val="000000"/>
                <w:sz w:val="18"/>
                <w:szCs w:val="18"/>
              </w:rPr>
            </w:pPr>
            <w:r>
              <w:rPr>
                <w:rFonts w:ascii="宋体" w:hAnsi="宋体" w:cs="宋体"/>
                <w:color w:val="000000"/>
                <w:kern w:val="0"/>
                <w:sz w:val="18"/>
                <w:szCs w:val="18"/>
              </w:rPr>
              <w:t>年度预算数（万元）</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E42E8">
            <w:pPr>
              <w:widowControl/>
              <w:jc w:val="center"/>
              <w:textAlignment w:val="center"/>
              <w:rPr>
                <w:rFonts w:ascii="宋体" w:hAnsi="宋体" w:cs="宋体"/>
                <w:color w:val="000000"/>
                <w:sz w:val="18"/>
                <w:szCs w:val="18"/>
              </w:rPr>
            </w:pPr>
            <w:r>
              <w:rPr>
                <w:rFonts w:ascii="宋体" w:hAnsi="宋体" w:cs="宋体"/>
                <w:color w:val="000000"/>
                <w:kern w:val="0"/>
                <w:sz w:val="18"/>
                <w:szCs w:val="18"/>
              </w:rPr>
              <w:t>年初预算</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947B3">
            <w:pPr>
              <w:widowControl/>
              <w:jc w:val="center"/>
              <w:textAlignment w:val="center"/>
              <w:rPr>
                <w:rFonts w:ascii="宋体" w:hAnsi="宋体" w:cs="宋体"/>
                <w:color w:val="000000"/>
                <w:sz w:val="18"/>
                <w:szCs w:val="18"/>
              </w:rPr>
            </w:pPr>
            <w:r>
              <w:rPr>
                <w:rFonts w:ascii="宋体" w:hAnsi="宋体" w:cs="宋体"/>
                <w:color w:val="000000"/>
                <w:kern w:val="0"/>
                <w:sz w:val="18"/>
                <w:szCs w:val="18"/>
              </w:rPr>
              <w:t>调整后预算数</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66CF85">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预算执行数</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15016">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B4488">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6CF59">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04420">
            <w:pPr>
              <w:widowControl/>
              <w:jc w:val="center"/>
              <w:textAlignment w:val="center"/>
              <w:rPr>
                <w:rFonts w:ascii="宋体" w:hAnsi="宋体" w:cs="宋体"/>
                <w:color w:val="000000"/>
                <w:sz w:val="18"/>
                <w:szCs w:val="18"/>
              </w:rPr>
            </w:pPr>
            <w:r>
              <w:rPr>
                <w:rFonts w:ascii="宋体" w:hAnsi="宋体" w:cs="宋体"/>
                <w:color w:val="000000"/>
                <w:kern w:val="0"/>
                <w:sz w:val="18"/>
                <w:szCs w:val="18"/>
              </w:rPr>
              <w:t>原因</w:t>
            </w:r>
          </w:p>
        </w:tc>
      </w:tr>
      <w:tr w14:paraId="642038E3">
        <w:tblPrEx>
          <w:tblCellMar>
            <w:top w:w="0" w:type="dxa"/>
            <w:left w:w="108" w:type="dxa"/>
            <w:bottom w:w="0" w:type="dxa"/>
            <w:right w:w="108" w:type="dxa"/>
          </w:tblCellMar>
        </w:tblPrEx>
        <w:trPr>
          <w:trHeight w:val="346"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87E9EB">
            <w:pPr>
              <w:jc w:val="center"/>
              <w:rPr>
                <w:rFonts w:ascii="宋体" w:hAnsi="宋体" w:cs="宋体"/>
                <w:color w:val="000000"/>
                <w:sz w:val="18"/>
                <w:szCs w:val="18"/>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BE06A">
            <w:pPr>
              <w:widowControl/>
              <w:jc w:val="center"/>
              <w:textAlignment w:val="center"/>
              <w:rPr>
                <w:rFonts w:ascii="宋体" w:hAnsi="宋体" w:cs="宋体"/>
                <w:color w:val="000000"/>
                <w:sz w:val="18"/>
                <w:szCs w:val="18"/>
              </w:rPr>
            </w:pPr>
            <w:r>
              <w:rPr>
                <w:rFonts w:ascii="宋体" w:hAnsi="宋体" w:cs="宋体"/>
                <w:color w:val="000000"/>
                <w:kern w:val="0"/>
                <w:sz w:val="18"/>
                <w:szCs w:val="18"/>
              </w:rPr>
              <w:t>总额</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6A94F">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2EFF7">
            <w:pPr>
              <w:widowControl/>
              <w:jc w:val="center"/>
              <w:textAlignment w:val="center"/>
              <w:rPr>
                <w:rFonts w:ascii="宋体" w:hAnsi="宋体" w:cs="宋体"/>
                <w:color w:val="000000"/>
                <w:sz w:val="18"/>
                <w:szCs w:val="18"/>
              </w:rPr>
            </w:pPr>
            <w:r>
              <w:rPr>
                <w:rFonts w:ascii="宋体" w:hAnsi="宋体" w:cs="宋体"/>
                <w:color w:val="000000"/>
                <w:kern w:val="0"/>
                <w:sz w:val="18"/>
                <w:szCs w:val="18"/>
              </w:rPr>
              <w:t>10.00</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6BA751">
            <w:pPr>
              <w:widowControl/>
              <w:jc w:val="center"/>
              <w:textAlignment w:val="center"/>
              <w:rPr>
                <w:rFonts w:ascii="宋体" w:hAnsi="宋体" w:cs="宋体"/>
                <w:color w:val="000000"/>
                <w:sz w:val="18"/>
                <w:szCs w:val="18"/>
              </w:rPr>
            </w:pPr>
            <w:r>
              <w:rPr>
                <w:rFonts w:ascii="宋体" w:hAnsi="宋体" w:cs="宋体"/>
                <w:color w:val="000000"/>
                <w:kern w:val="0"/>
                <w:sz w:val="18"/>
                <w:szCs w:val="18"/>
              </w:rPr>
              <w:t>10.00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B6158">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FF7A6">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4DBD9">
            <w:pPr>
              <w:jc w:val="center"/>
              <w:rPr>
                <w:rFonts w:ascii="宋体" w:hAnsi="宋体" w:cs="宋体"/>
                <w:color w:val="000000"/>
                <w:sz w:val="18"/>
                <w:szCs w:val="18"/>
              </w:rPr>
            </w:pPr>
          </w:p>
        </w:tc>
        <w:tc>
          <w:tcPr>
            <w:tcW w:w="23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EC738E">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项目资金指标追加</w:t>
            </w:r>
          </w:p>
        </w:tc>
      </w:tr>
      <w:tr w14:paraId="1399773F">
        <w:tblPrEx>
          <w:tblCellMar>
            <w:top w:w="0" w:type="dxa"/>
            <w:left w:w="108" w:type="dxa"/>
            <w:bottom w:w="0" w:type="dxa"/>
            <w:right w:w="108" w:type="dxa"/>
          </w:tblCellMar>
        </w:tblPrEx>
        <w:trPr>
          <w:trHeight w:val="391"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9C75A5">
            <w:pPr>
              <w:jc w:val="center"/>
              <w:rPr>
                <w:rFonts w:ascii="宋体" w:hAnsi="宋体" w:cs="宋体"/>
                <w:color w:val="000000"/>
                <w:sz w:val="18"/>
                <w:szCs w:val="18"/>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21691">
            <w:pPr>
              <w:widowControl/>
              <w:jc w:val="center"/>
              <w:textAlignment w:val="center"/>
              <w:rPr>
                <w:rFonts w:ascii="宋体" w:hAnsi="宋体" w:cs="宋体"/>
                <w:color w:val="000000"/>
                <w:sz w:val="18"/>
                <w:szCs w:val="18"/>
              </w:rPr>
            </w:pPr>
            <w:r>
              <w:rPr>
                <w:rFonts w:ascii="宋体" w:hAnsi="宋体" w:cs="宋体"/>
                <w:color w:val="000000"/>
                <w:kern w:val="0"/>
                <w:sz w:val="18"/>
                <w:szCs w:val="18"/>
              </w:rPr>
              <w:t>其中：财政资金</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CD058">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E6A0C">
            <w:pPr>
              <w:widowControl/>
              <w:jc w:val="center"/>
              <w:textAlignment w:val="center"/>
              <w:rPr>
                <w:rFonts w:ascii="宋体" w:hAnsi="宋体" w:cs="宋体"/>
                <w:color w:val="000000"/>
                <w:sz w:val="18"/>
                <w:szCs w:val="18"/>
              </w:rPr>
            </w:pPr>
            <w:r>
              <w:rPr>
                <w:rFonts w:ascii="宋体" w:hAnsi="宋体" w:cs="宋体"/>
                <w:color w:val="000000"/>
                <w:kern w:val="0"/>
                <w:sz w:val="18"/>
                <w:szCs w:val="18"/>
              </w:rPr>
              <w:t>10.00</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1CE037">
            <w:pPr>
              <w:widowControl/>
              <w:jc w:val="center"/>
              <w:textAlignment w:val="center"/>
              <w:rPr>
                <w:rFonts w:ascii="宋体" w:hAnsi="宋体" w:cs="宋体"/>
                <w:color w:val="000000"/>
                <w:sz w:val="18"/>
                <w:szCs w:val="18"/>
              </w:rPr>
            </w:pPr>
            <w:r>
              <w:rPr>
                <w:rFonts w:ascii="宋体" w:hAnsi="宋体" w:cs="宋体"/>
                <w:color w:val="000000"/>
                <w:kern w:val="0"/>
                <w:sz w:val="18"/>
                <w:szCs w:val="18"/>
              </w:rPr>
              <w:t>10.00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74E6B">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5E6FF">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ECCB9">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72AD3B">
            <w:pPr>
              <w:jc w:val="center"/>
              <w:rPr>
                <w:rFonts w:ascii="黑体" w:hAnsi="黑体" w:eastAsia="黑体" w:cs="黑体"/>
                <w:color w:val="000000"/>
                <w:sz w:val="18"/>
                <w:szCs w:val="18"/>
              </w:rPr>
            </w:pPr>
          </w:p>
        </w:tc>
      </w:tr>
      <w:tr w14:paraId="2DB963D7">
        <w:tblPrEx>
          <w:tblCellMar>
            <w:top w:w="0" w:type="dxa"/>
            <w:left w:w="108" w:type="dxa"/>
            <w:bottom w:w="0" w:type="dxa"/>
            <w:right w:w="108" w:type="dxa"/>
          </w:tblCellMar>
        </w:tblPrEx>
        <w:trPr>
          <w:trHeight w:val="407"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6C00A1">
            <w:pPr>
              <w:jc w:val="center"/>
              <w:rPr>
                <w:rFonts w:ascii="宋体" w:hAnsi="宋体" w:cs="宋体"/>
                <w:color w:val="000000"/>
                <w:sz w:val="18"/>
                <w:szCs w:val="18"/>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32A96">
            <w:pPr>
              <w:widowControl/>
              <w:jc w:val="center"/>
              <w:textAlignment w:val="center"/>
              <w:rPr>
                <w:rFonts w:ascii="宋体" w:hAnsi="宋体" w:cs="宋体"/>
                <w:color w:val="000000"/>
                <w:sz w:val="18"/>
                <w:szCs w:val="18"/>
              </w:rPr>
            </w:pPr>
            <w:r>
              <w:rPr>
                <w:rFonts w:ascii="宋体" w:hAnsi="宋体" w:cs="宋体"/>
                <w:color w:val="000000"/>
                <w:kern w:val="0"/>
                <w:sz w:val="18"/>
                <w:szCs w:val="18"/>
              </w:rPr>
              <w:t>财政专户管理资金</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774E3">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10BAC">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452F44">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67509">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40EFB">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F20BA">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6EF956">
            <w:pPr>
              <w:jc w:val="center"/>
              <w:rPr>
                <w:rFonts w:ascii="黑体" w:hAnsi="黑体" w:eastAsia="黑体" w:cs="黑体"/>
                <w:color w:val="000000"/>
                <w:sz w:val="18"/>
                <w:szCs w:val="18"/>
              </w:rPr>
            </w:pPr>
          </w:p>
        </w:tc>
      </w:tr>
      <w:tr w14:paraId="15B24EBE">
        <w:tblPrEx>
          <w:tblCellMar>
            <w:top w:w="0" w:type="dxa"/>
            <w:left w:w="108" w:type="dxa"/>
            <w:bottom w:w="0" w:type="dxa"/>
            <w:right w:w="108" w:type="dxa"/>
          </w:tblCellMar>
        </w:tblPrEx>
        <w:trPr>
          <w:trHeight w:val="361"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7A6753">
            <w:pPr>
              <w:jc w:val="center"/>
              <w:rPr>
                <w:rFonts w:ascii="宋体" w:hAnsi="宋体" w:cs="宋体"/>
                <w:color w:val="000000"/>
                <w:sz w:val="18"/>
                <w:szCs w:val="18"/>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A31FB">
            <w:pPr>
              <w:widowControl/>
              <w:jc w:val="center"/>
              <w:textAlignment w:val="center"/>
              <w:rPr>
                <w:rFonts w:ascii="宋体" w:hAnsi="宋体" w:cs="宋体"/>
                <w:color w:val="000000"/>
                <w:sz w:val="18"/>
                <w:szCs w:val="18"/>
              </w:rPr>
            </w:pPr>
            <w:r>
              <w:rPr>
                <w:rFonts w:ascii="宋体" w:hAnsi="宋体" w:cs="宋体"/>
                <w:color w:val="000000"/>
                <w:kern w:val="0"/>
                <w:sz w:val="18"/>
                <w:szCs w:val="18"/>
              </w:rPr>
              <w:t>单位资金</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7FC67">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2CB85">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D163BD">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9EF61">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F7BCC">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A9872">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93EF50">
            <w:pPr>
              <w:jc w:val="center"/>
              <w:rPr>
                <w:rFonts w:ascii="黑体" w:hAnsi="黑体" w:eastAsia="黑体" w:cs="黑体"/>
                <w:color w:val="000000"/>
                <w:sz w:val="18"/>
                <w:szCs w:val="18"/>
              </w:rPr>
            </w:pPr>
          </w:p>
        </w:tc>
      </w:tr>
      <w:tr w14:paraId="54602896">
        <w:tblPrEx>
          <w:tblCellMar>
            <w:top w:w="0" w:type="dxa"/>
            <w:left w:w="108" w:type="dxa"/>
            <w:bottom w:w="0" w:type="dxa"/>
            <w:right w:w="108" w:type="dxa"/>
          </w:tblCellMar>
        </w:tblPrEx>
        <w:trPr>
          <w:trHeight w:val="339"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12D94C">
            <w:pPr>
              <w:jc w:val="center"/>
              <w:rPr>
                <w:rFonts w:ascii="宋体" w:hAnsi="宋体" w:cs="宋体"/>
                <w:color w:val="000000"/>
                <w:sz w:val="18"/>
                <w:szCs w:val="18"/>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54A32">
            <w:pPr>
              <w:widowControl/>
              <w:jc w:val="center"/>
              <w:textAlignment w:val="center"/>
              <w:rPr>
                <w:rFonts w:ascii="宋体" w:hAnsi="宋体" w:cs="宋体"/>
                <w:color w:val="000000"/>
                <w:sz w:val="18"/>
                <w:szCs w:val="18"/>
              </w:rPr>
            </w:pPr>
            <w:r>
              <w:rPr>
                <w:rFonts w:ascii="宋体" w:hAnsi="宋体" w:cs="宋体"/>
                <w:color w:val="000000"/>
                <w:kern w:val="0"/>
                <w:sz w:val="18"/>
                <w:szCs w:val="18"/>
              </w:rPr>
              <w:t>其他资金</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2EFD3">
            <w:pPr>
              <w:jc w:val="center"/>
              <w:rPr>
                <w:rFonts w:ascii="微软雅黑" w:hAnsi="微软雅黑" w:eastAsia="微软雅黑" w:cs="微软雅黑"/>
                <w:i/>
                <w:iCs/>
                <w:color w:val="000000"/>
                <w:sz w:val="16"/>
                <w:szCs w:val="16"/>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A14D2">
            <w:pPr>
              <w:jc w:val="center"/>
              <w:rPr>
                <w:rFonts w:ascii="微软雅黑" w:hAnsi="微软雅黑" w:eastAsia="微软雅黑" w:cs="微软雅黑"/>
                <w:i/>
                <w:iCs/>
                <w:color w:val="000000"/>
                <w:sz w:val="16"/>
                <w:szCs w:val="16"/>
              </w:rPr>
            </w:pP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4BA19C">
            <w:pPr>
              <w:jc w:val="center"/>
              <w:rPr>
                <w:rFonts w:ascii="微软雅黑" w:hAnsi="微软雅黑" w:eastAsia="微软雅黑" w:cs="微软雅黑"/>
                <w:i/>
                <w:iCs/>
                <w:color w:val="000000"/>
                <w:sz w:val="16"/>
                <w:szCs w:val="16"/>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39416">
            <w:pPr>
              <w:jc w:val="center"/>
              <w:rPr>
                <w:rFonts w:ascii="微软雅黑" w:hAnsi="微软雅黑" w:eastAsia="微软雅黑" w:cs="微软雅黑"/>
                <w:i/>
                <w:iCs/>
                <w:color w:val="000000"/>
                <w:sz w:val="16"/>
                <w:szCs w:val="16"/>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B294F">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0F683">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D76EC9">
            <w:pPr>
              <w:jc w:val="center"/>
              <w:rPr>
                <w:rFonts w:ascii="黑体" w:hAnsi="黑体" w:eastAsia="黑体" w:cs="黑体"/>
                <w:color w:val="000000"/>
                <w:sz w:val="18"/>
                <w:szCs w:val="18"/>
              </w:rPr>
            </w:pPr>
          </w:p>
        </w:tc>
      </w:tr>
      <w:tr w14:paraId="3605DB50">
        <w:tblPrEx>
          <w:tblCellMar>
            <w:top w:w="0" w:type="dxa"/>
            <w:left w:w="108" w:type="dxa"/>
            <w:bottom w:w="0" w:type="dxa"/>
            <w:right w:w="108" w:type="dxa"/>
          </w:tblCellMar>
        </w:tblPrEx>
        <w:trPr>
          <w:trHeight w:val="452" w:hRule="atLeast"/>
        </w:trPr>
        <w:tc>
          <w:tcPr>
            <w:tcW w:w="6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AF1B4C">
            <w:pPr>
              <w:widowControl/>
              <w:jc w:val="center"/>
              <w:textAlignment w:val="center"/>
              <w:rPr>
                <w:rFonts w:ascii="宋体" w:hAnsi="宋体" w:cs="宋体"/>
                <w:color w:val="000000"/>
                <w:sz w:val="18"/>
                <w:szCs w:val="18"/>
              </w:rPr>
            </w:pPr>
            <w:r>
              <w:rPr>
                <w:rFonts w:ascii="宋体" w:hAnsi="宋体" w:cs="宋体"/>
                <w:color w:val="000000"/>
                <w:kern w:val="0"/>
                <w:sz w:val="18"/>
                <w:szCs w:val="18"/>
              </w:rPr>
              <w:t>绩效指标（90分）</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73A4C">
            <w:pPr>
              <w:widowControl/>
              <w:jc w:val="center"/>
              <w:textAlignment w:val="center"/>
              <w:rPr>
                <w:rFonts w:ascii="宋体" w:hAnsi="宋体" w:cs="宋体"/>
                <w:color w:val="000000"/>
                <w:sz w:val="18"/>
                <w:szCs w:val="18"/>
              </w:rPr>
            </w:pPr>
            <w:r>
              <w:rPr>
                <w:rFonts w:ascii="宋体" w:hAnsi="宋体" w:cs="宋体"/>
                <w:color w:val="000000"/>
                <w:kern w:val="0"/>
                <w:sz w:val="18"/>
                <w:szCs w:val="18"/>
              </w:rPr>
              <w:t>一级指标</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E5C65">
            <w:pPr>
              <w:widowControl/>
              <w:jc w:val="center"/>
              <w:textAlignment w:val="center"/>
              <w:rPr>
                <w:rFonts w:ascii="宋体" w:hAnsi="宋体" w:cs="宋体"/>
                <w:color w:val="000000"/>
                <w:sz w:val="18"/>
                <w:szCs w:val="18"/>
              </w:rPr>
            </w:pPr>
            <w:r>
              <w:rPr>
                <w:rFonts w:ascii="宋体" w:hAnsi="宋体" w:cs="宋体"/>
                <w:color w:val="000000"/>
                <w:kern w:val="0"/>
                <w:sz w:val="18"/>
                <w:szCs w:val="18"/>
              </w:rPr>
              <w:t>二级指标</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50BEC">
            <w:pPr>
              <w:widowControl/>
              <w:jc w:val="center"/>
              <w:textAlignment w:val="center"/>
              <w:rPr>
                <w:rFonts w:ascii="宋体" w:hAnsi="宋体" w:cs="宋体"/>
                <w:color w:val="000000"/>
                <w:sz w:val="18"/>
                <w:szCs w:val="18"/>
              </w:rPr>
            </w:pPr>
            <w:r>
              <w:rPr>
                <w:rFonts w:ascii="宋体" w:hAnsi="宋体" w:cs="宋体"/>
                <w:color w:val="000000"/>
                <w:kern w:val="0"/>
                <w:sz w:val="18"/>
                <w:szCs w:val="18"/>
              </w:rPr>
              <w:t>三级指标</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0E8E4">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指标性质</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1FC29">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指标值</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BB53B">
            <w:pPr>
              <w:widowControl/>
              <w:jc w:val="center"/>
              <w:textAlignment w:val="center"/>
              <w:rPr>
                <w:rFonts w:ascii="宋体" w:hAnsi="宋体" w:cs="宋体"/>
                <w:color w:val="000000"/>
                <w:sz w:val="18"/>
                <w:szCs w:val="18"/>
              </w:rPr>
            </w:pPr>
            <w:r>
              <w:rPr>
                <w:rFonts w:ascii="宋体" w:hAnsi="宋体" w:cs="宋体"/>
                <w:color w:val="000000"/>
                <w:kern w:val="0"/>
                <w:sz w:val="18"/>
                <w:szCs w:val="18"/>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DC695">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F877B">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0C6EE">
            <w:pPr>
              <w:widowControl/>
              <w:jc w:val="center"/>
              <w:textAlignment w:val="center"/>
              <w:rPr>
                <w:rFonts w:ascii="宋体" w:hAnsi="宋体" w:cs="宋体"/>
                <w:color w:val="000000"/>
                <w:sz w:val="18"/>
                <w:szCs w:val="18"/>
              </w:rPr>
            </w:pPr>
            <w:r>
              <w:rPr>
                <w:rFonts w:ascii="宋体" w:hAnsi="宋体" w:cs="宋体"/>
                <w:color w:val="000000"/>
                <w:kern w:val="0"/>
                <w:sz w:val="18"/>
                <w:szCs w:val="18"/>
              </w:rPr>
              <w:t>未完成原因分析</w:t>
            </w:r>
          </w:p>
        </w:tc>
      </w:tr>
      <w:tr w14:paraId="5997E1F1">
        <w:tblPrEx>
          <w:tblCellMar>
            <w:top w:w="0" w:type="dxa"/>
            <w:left w:w="108" w:type="dxa"/>
            <w:bottom w:w="0" w:type="dxa"/>
            <w:right w:w="108" w:type="dxa"/>
          </w:tblCellMar>
        </w:tblPrEx>
        <w:trPr>
          <w:trHeight w:val="452"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4A8250">
            <w:pPr>
              <w:jc w:val="center"/>
              <w:rPr>
                <w:rFonts w:ascii="宋体" w:hAnsi="宋体" w:cs="宋体"/>
                <w:color w:val="000000"/>
                <w:sz w:val="18"/>
                <w:szCs w:val="18"/>
              </w:rPr>
            </w:pPr>
          </w:p>
        </w:tc>
        <w:tc>
          <w:tcPr>
            <w:tcW w:w="15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614EB8">
            <w:pPr>
              <w:widowControl/>
              <w:jc w:val="center"/>
              <w:textAlignment w:val="center"/>
              <w:rPr>
                <w:rFonts w:ascii="宋体" w:hAnsi="宋体" w:cs="宋体"/>
                <w:color w:val="000000"/>
                <w:sz w:val="18"/>
                <w:szCs w:val="18"/>
              </w:rPr>
            </w:pPr>
            <w:r>
              <w:rPr>
                <w:rFonts w:ascii="宋体" w:hAnsi="宋体" w:cs="宋体"/>
                <w:color w:val="000000"/>
                <w:kern w:val="0"/>
                <w:sz w:val="18"/>
                <w:szCs w:val="18"/>
              </w:rPr>
              <w:t>产出指标</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DD52C">
            <w:pPr>
              <w:widowControl/>
              <w:jc w:val="center"/>
              <w:textAlignment w:val="center"/>
              <w:rPr>
                <w:rFonts w:ascii="宋体" w:hAnsi="宋体" w:cs="宋体"/>
                <w:color w:val="000000"/>
                <w:sz w:val="18"/>
                <w:szCs w:val="18"/>
              </w:rPr>
            </w:pPr>
            <w:r>
              <w:rPr>
                <w:rFonts w:ascii="宋体" w:hAnsi="宋体" w:cs="宋体"/>
                <w:color w:val="000000"/>
                <w:kern w:val="0"/>
                <w:sz w:val="18"/>
                <w:szCs w:val="18"/>
              </w:rPr>
              <w:t>数量指标</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9E6B7">
            <w:pPr>
              <w:widowControl/>
              <w:jc w:val="center"/>
              <w:textAlignment w:val="center"/>
              <w:rPr>
                <w:rFonts w:ascii="宋体" w:hAnsi="宋体" w:cs="宋体"/>
                <w:color w:val="000000"/>
                <w:sz w:val="18"/>
                <w:szCs w:val="18"/>
              </w:rPr>
            </w:pPr>
            <w:r>
              <w:rPr>
                <w:rFonts w:ascii="宋体" w:hAnsi="宋体" w:cs="宋体"/>
                <w:color w:val="000000"/>
                <w:kern w:val="0"/>
                <w:sz w:val="18"/>
                <w:szCs w:val="18"/>
              </w:rPr>
              <w:t>围墙及堡坎维修</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24B8E">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1FA48">
            <w:pPr>
              <w:widowControl/>
              <w:jc w:val="center"/>
              <w:textAlignment w:val="center"/>
              <w:rPr>
                <w:rFonts w:ascii="宋体" w:hAnsi="宋体" w:cs="宋体"/>
                <w:color w:val="000000"/>
                <w:sz w:val="18"/>
                <w:szCs w:val="18"/>
              </w:rPr>
            </w:pPr>
            <w:r>
              <w:rPr>
                <w:rFonts w:ascii="宋体" w:hAnsi="宋体" w:cs="宋体"/>
                <w:color w:val="000000"/>
                <w:kern w:val="0"/>
                <w:sz w:val="18"/>
                <w:szCs w:val="18"/>
              </w:rPr>
              <w:t>430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4E235">
            <w:pPr>
              <w:widowControl/>
              <w:jc w:val="center"/>
              <w:textAlignment w:val="center"/>
              <w:rPr>
                <w:rFonts w:ascii="宋体" w:hAnsi="宋体" w:cs="宋体"/>
                <w:color w:val="000000"/>
                <w:sz w:val="18"/>
                <w:szCs w:val="18"/>
              </w:rPr>
            </w:pPr>
            <w:r>
              <w:rPr>
                <w:rFonts w:ascii="宋体" w:hAnsi="宋体" w:cs="宋体"/>
                <w:color w:val="000000"/>
                <w:kern w:val="0"/>
                <w:sz w:val="18"/>
                <w:szCs w:val="18"/>
              </w:rPr>
              <w:t>430立方米</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27595">
            <w:pPr>
              <w:widowControl/>
              <w:jc w:val="center"/>
              <w:textAlignment w:val="center"/>
              <w:rPr>
                <w:rFonts w:ascii="宋体" w:hAnsi="宋体" w:cs="宋体"/>
                <w:color w:val="000000"/>
                <w:sz w:val="18"/>
                <w:szCs w:val="18"/>
              </w:rPr>
            </w:pPr>
            <w:r>
              <w:rPr>
                <w:rFonts w:ascii="宋体" w:hAnsi="宋体" w:cs="宋体"/>
                <w:color w:val="000000"/>
                <w:kern w:val="0"/>
                <w:sz w:val="18"/>
                <w:szCs w:val="18"/>
              </w:rPr>
              <w:t>20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B0B2B">
            <w:pPr>
              <w:widowControl/>
              <w:jc w:val="center"/>
              <w:textAlignment w:val="center"/>
              <w:rPr>
                <w:rFonts w:ascii="宋体" w:hAnsi="宋体" w:cs="宋体"/>
                <w:color w:val="000000"/>
                <w:sz w:val="18"/>
                <w:szCs w:val="18"/>
              </w:rPr>
            </w:pPr>
            <w:r>
              <w:rPr>
                <w:rFonts w:ascii="宋体" w:hAnsi="宋体" w:cs="宋体"/>
                <w:color w:val="000000"/>
                <w:kern w:val="0"/>
                <w:sz w:val="18"/>
                <w:szCs w:val="18"/>
              </w:rPr>
              <w:t>20</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2A2CC">
            <w:pPr>
              <w:jc w:val="center"/>
              <w:rPr>
                <w:rFonts w:ascii="微软雅黑" w:hAnsi="微软雅黑" w:eastAsia="微软雅黑" w:cs="微软雅黑"/>
                <w:i/>
                <w:iCs/>
                <w:color w:val="000000"/>
                <w:sz w:val="16"/>
                <w:szCs w:val="16"/>
              </w:rPr>
            </w:pPr>
          </w:p>
        </w:tc>
      </w:tr>
      <w:tr w14:paraId="3BCC5544">
        <w:tblPrEx>
          <w:tblCellMar>
            <w:top w:w="0" w:type="dxa"/>
            <w:left w:w="108" w:type="dxa"/>
            <w:bottom w:w="0" w:type="dxa"/>
            <w:right w:w="108" w:type="dxa"/>
          </w:tblCellMar>
        </w:tblPrEx>
        <w:trPr>
          <w:trHeight w:val="339"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AFA6E8">
            <w:pPr>
              <w:jc w:val="center"/>
              <w:rPr>
                <w:rFonts w:ascii="宋体" w:hAnsi="宋体" w:cs="宋体"/>
                <w:color w:val="000000"/>
                <w:sz w:val="18"/>
                <w:szCs w:val="18"/>
              </w:rPr>
            </w:pPr>
          </w:p>
        </w:tc>
        <w:tc>
          <w:tcPr>
            <w:tcW w:w="1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1A15CE">
            <w:pPr>
              <w:jc w:val="center"/>
              <w:rPr>
                <w:rFonts w:ascii="宋体" w:hAnsi="宋体" w:cs="宋体"/>
                <w:color w:val="000000"/>
                <w:sz w:val="18"/>
                <w:szCs w:val="18"/>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B600D">
            <w:pPr>
              <w:widowControl/>
              <w:jc w:val="center"/>
              <w:textAlignment w:val="center"/>
              <w:rPr>
                <w:rFonts w:ascii="宋体" w:hAnsi="宋体" w:cs="宋体"/>
                <w:color w:val="000000"/>
                <w:sz w:val="18"/>
                <w:szCs w:val="18"/>
              </w:rPr>
            </w:pPr>
            <w:r>
              <w:rPr>
                <w:rFonts w:ascii="宋体" w:hAnsi="宋体" w:cs="宋体"/>
                <w:color w:val="000000"/>
                <w:kern w:val="0"/>
                <w:sz w:val="18"/>
                <w:szCs w:val="18"/>
              </w:rPr>
              <w:t>质量指标</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E1267">
            <w:pPr>
              <w:widowControl/>
              <w:jc w:val="center"/>
              <w:textAlignment w:val="center"/>
              <w:rPr>
                <w:rFonts w:ascii="宋体" w:hAnsi="宋体" w:cs="宋体"/>
                <w:color w:val="000000"/>
                <w:sz w:val="18"/>
                <w:szCs w:val="18"/>
              </w:rPr>
            </w:pPr>
            <w:r>
              <w:rPr>
                <w:rFonts w:ascii="宋体" w:hAnsi="宋体" w:cs="宋体"/>
                <w:color w:val="000000"/>
                <w:kern w:val="0"/>
                <w:sz w:val="18"/>
                <w:szCs w:val="18"/>
              </w:rPr>
              <w:t>达到国家标准</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31770">
            <w:pPr>
              <w:widowControl/>
              <w:jc w:val="center"/>
              <w:textAlignment w:val="center"/>
              <w:rPr>
                <w:rFonts w:ascii="宋体" w:hAnsi="宋体" w:cs="宋体"/>
                <w:color w:val="000000"/>
                <w:sz w:val="18"/>
                <w:szCs w:val="18"/>
              </w:rPr>
            </w:pPr>
            <w:r>
              <w:rPr>
                <w:rFonts w:ascii="宋体" w:hAnsi="宋体" w:cs="宋体"/>
                <w:color w:val="000000"/>
                <w:kern w:val="0"/>
                <w:sz w:val="18"/>
                <w:szCs w:val="18"/>
              </w:rPr>
              <w:t>定性</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3A620">
            <w:pPr>
              <w:widowControl/>
              <w:jc w:val="center"/>
              <w:textAlignment w:val="center"/>
              <w:rPr>
                <w:rFonts w:ascii="宋体" w:hAnsi="宋体" w:cs="宋体"/>
                <w:color w:val="000000"/>
                <w:sz w:val="18"/>
                <w:szCs w:val="18"/>
              </w:rPr>
            </w:pPr>
            <w:r>
              <w:rPr>
                <w:rFonts w:ascii="宋体" w:hAnsi="宋体" w:cs="宋体"/>
                <w:color w:val="000000"/>
                <w:kern w:val="0"/>
                <w:sz w:val="18"/>
                <w:szCs w:val="18"/>
              </w:rPr>
              <w:t>达标</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CF6C6">
            <w:pPr>
              <w:widowControl/>
              <w:jc w:val="center"/>
              <w:textAlignment w:val="center"/>
              <w:rPr>
                <w:rFonts w:ascii="宋体" w:hAnsi="宋体" w:cs="宋体"/>
                <w:color w:val="000000"/>
                <w:sz w:val="18"/>
                <w:szCs w:val="18"/>
              </w:rPr>
            </w:pPr>
            <w:r>
              <w:rPr>
                <w:rFonts w:ascii="宋体" w:hAnsi="宋体" w:cs="宋体"/>
                <w:color w:val="000000"/>
                <w:kern w:val="0"/>
                <w:sz w:val="18"/>
                <w:szCs w:val="18"/>
              </w:rPr>
              <w:t>达标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7F315">
            <w:pPr>
              <w:widowControl/>
              <w:jc w:val="center"/>
              <w:textAlignment w:val="center"/>
              <w:rPr>
                <w:rFonts w:ascii="宋体" w:hAnsi="宋体" w:cs="宋体"/>
                <w:color w:val="000000"/>
                <w:sz w:val="18"/>
                <w:szCs w:val="18"/>
              </w:rPr>
            </w:pPr>
            <w:r>
              <w:rPr>
                <w:rFonts w:ascii="宋体" w:hAnsi="宋体" w:cs="宋体"/>
                <w:color w:val="000000"/>
                <w:kern w:val="0"/>
                <w:sz w:val="18"/>
                <w:szCs w:val="18"/>
              </w:rPr>
              <w:t>15</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11527">
            <w:pPr>
              <w:widowControl/>
              <w:jc w:val="center"/>
              <w:textAlignment w:val="center"/>
              <w:rPr>
                <w:rFonts w:ascii="宋体" w:hAnsi="宋体" w:cs="宋体"/>
                <w:color w:val="000000"/>
                <w:sz w:val="18"/>
                <w:szCs w:val="18"/>
              </w:rPr>
            </w:pPr>
            <w:r>
              <w:rPr>
                <w:rFonts w:ascii="宋体" w:hAnsi="宋体" w:cs="宋体"/>
                <w:color w:val="000000"/>
                <w:kern w:val="0"/>
                <w:sz w:val="18"/>
                <w:szCs w:val="18"/>
              </w:rPr>
              <w:t>15</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096FD">
            <w:pPr>
              <w:jc w:val="center"/>
              <w:rPr>
                <w:rFonts w:ascii="微软雅黑" w:hAnsi="微软雅黑" w:eastAsia="微软雅黑" w:cs="微软雅黑"/>
                <w:i/>
                <w:iCs/>
                <w:color w:val="000000"/>
                <w:sz w:val="16"/>
                <w:szCs w:val="16"/>
              </w:rPr>
            </w:pPr>
          </w:p>
        </w:tc>
      </w:tr>
      <w:tr w14:paraId="17EA22A7">
        <w:tblPrEx>
          <w:tblCellMar>
            <w:top w:w="0" w:type="dxa"/>
            <w:left w:w="108" w:type="dxa"/>
            <w:bottom w:w="0" w:type="dxa"/>
            <w:right w:w="108" w:type="dxa"/>
          </w:tblCellMar>
        </w:tblPrEx>
        <w:trPr>
          <w:trHeight w:val="339"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2400B7">
            <w:pPr>
              <w:jc w:val="center"/>
              <w:rPr>
                <w:rFonts w:ascii="宋体" w:hAnsi="宋体" w:cs="宋体"/>
                <w:color w:val="000000"/>
                <w:sz w:val="18"/>
                <w:szCs w:val="18"/>
              </w:rPr>
            </w:pPr>
          </w:p>
        </w:tc>
        <w:tc>
          <w:tcPr>
            <w:tcW w:w="1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6BA5D6">
            <w:pPr>
              <w:jc w:val="center"/>
              <w:rPr>
                <w:rFonts w:ascii="宋体" w:hAnsi="宋体" w:cs="宋体"/>
                <w:color w:val="000000"/>
                <w:sz w:val="18"/>
                <w:szCs w:val="18"/>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E451F">
            <w:pPr>
              <w:widowControl/>
              <w:jc w:val="center"/>
              <w:textAlignment w:val="center"/>
              <w:rPr>
                <w:rFonts w:ascii="宋体" w:hAnsi="宋体" w:cs="宋体"/>
                <w:color w:val="000000"/>
                <w:sz w:val="18"/>
                <w:szCs w:val="18"/>
              </w:rPr>
            </w:pPr>
            <w:r>
              <w:rPr>
                <w:rFonts w:ascii="宋体" w:hAnsi="宋体" w:cs="宋体"/>
                <w:color w:val="000000"/>
                <w:kern w:val="0"/>
                <w:sz w:val="18"/>
                <w:szCs w:val="18"/>
              </w:rPr>
              <w:t>时效指标</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9D5EB">
            <w:pPr>
              <w:widowControl/>
              <w:jc w:val="center"/>
              <w:textAlignment w:val="center"/>
              <w:rPr>
                <w:rFonts w:ascii="宋体" w:hAnsi="宋体" w:cs="宋体"/>
                <w:color w:val="000000"/>
                <w:sz w:val="18"/>
                <w:szCs w:val="18"/>
              </w:rPr>
            </w:pPr>
            <w:r>
              <w:rPr>
                <w:rFonts w:ascii="宋体" w:hAnsi="宋体" w:cs="宋体"/>
                <w:color w:val="000000"/>
                <w:kern w:val="0"/>
                <w:sz w:val="18"/>
                <w:szCs w:val="18"/>
              </w:rPr>
              <w:t>维修工期</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78B2F">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F5EDD">
            <w:pPr>
              <w:widowControl/>
              <w:jc w:val="center"/>
              <w:textAlignment w:val="center"/>
              <w:rPr>
                <w:rFonts w:ascii="宋体" w:hAnsi="宋体" w:cs="宋体"/>
                <w:color w:val="000000"/>
                <w:sz w:val="18"/>
                <w:szCs w:val="18"/>
              </w:rPr>
            </w:pPr>
            <w:r>
              <w:rPr>
                <w:rFonts w:ascii="宋体" w:hAnsi="宋体" w:cs="宋体"/>
                <w:color w:val="000000"/>
                <w:kern w:val="0"/>
                <w:sz w:val="18"/>
                <w:szCs w:val="18"/>
              </w:rPr>
              <w:t>2</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8B4E3">
            <w:pPr>
              <w:widowControl/>
              <w:jc w:val="center"/>
              <w:textAlignment w:val="center"/>
              <w:rPr>
                <w:rFonts w:ascii="宋体" w:hAnsi="宋体" w:cs="宋体"/>
                <w:color w:val="000000"/>
                <w:sz w:val="18"/>
                <w:szCs w:val="18"/>
              </w:rPr>
            </w:pPr>
            <w:r>
              <w:rPr>
                <w:rFonts w:ascii="宋体" w:hAnsi="宋体" w:cs="宋体"/>
                <w:color w:val="000000"/>
                <w:kern w:val="0"/>
                <w:sz w:val="18"/>
                <w:szCs w:val="18"/>
              </w:rPr>
              <w:t>2月</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F9FBE">
            <w:pPr>
              <w:widowControl/>
              <w:jc w:val="center"/>
              <w:textAlignment w:val="center"/>
              <w:rPr>
                <w:rFonts w:ascii="宋体" w:hAnsi="宋体" w:cs="宋体"/>
                <w:color w:val="000000"/>
                <w:sz w:val="18"/>
                <w:szCs w:val="18"/>
              </w:rPr>
            </w:pPr>
            <w:r>
              <w:rPr>
                <w:rFonts w:ascii="宋体" w:hAnsi="宋体" w:cs="宋体"/>
                <w:color w:val="000000"/>
                <w:kern w:val="0"/>
                <w:sz w:val="18"/>
                <w:szCs w:val="18"/>
              </w:rPr>
              <w:t>15</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015FD">
            <w:pPr>
              <w:widowControl/>
              <w:jc w:val="center"/>
              <w:textAlignment w:val="center"/>
              <w:rPr>
                <w:rFonts w:ascii="宋体" w:hAnsi="宋体" w:cs="宋体"/>
                <w:color w:val="000000"/>
                <w:sz w:val="18"/>
                <w:szCs w:val="18"/>
              </w:rPr>
            </w:pPr>
            <w:r>
              <w:rPr>
                <w:rFonts w:ascii="宋体" w:hAnsi="宋体" w:cs="宋体"/>
                <w:color w:val="000000"/>
                <w:kern w:val="0"/>
                <w:sz w:val="18"/>
                <w:szCs w:val="18"/>
              </w:rPr>
              <w:t>15</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89C22">
            <w:pPr>
              <w:jc w:val="center"/>
              <w:rPr>
                <w:rFonts w:ascii="微软雅黑" w:hAnsi="微软雅黑" w:eastAsia="微软雅黑" w:cs="微软雅黑"/>
                <w:i/>
                <w:iCs/>
                <w:color w:val="000000"/>
                <w:sz w:val="16"/>
                <w:szCs w:val="16"/>
              </w:rPr>
            </w:pPr>
          </w:p>
        </w:tc>
      </w:tr>
      <w:tr w14:paraId="1881288B">
        <w:tblPrEx>
          <w:tblCellMar>
            <w:top w:w="0" w:type="dxa"/>
            <w:left w:w="108" w:type="dxa"/>
            <w:bottom w:w="0" w:type="dxa"/>
            <w:right w:w="108" w:type="dxa"/>
          </w:tblCellMar>
        </w:tblPrEx>
        <w:trPr>
          <w:trHeight w:val="339"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FCF24A">
            <w:pPr>
              <w:jc w:val="center"/>
              <w:rPr>
                <w:rFonts w:ascii="宋体" w:hAnsi="宋体" w:cs="宋体"/>
                <w:color w:val="000000"/>
                <w:sz w:val="18"/>
                <w:szCs w:val="18"/>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F22BD">
            <w:pPr>
              <w:widowControl/>
              <w:jc w:val="center"/>
              <w:textAlignment w:val="center"/>
              <w:rPr>
                <w:rFonts w:ascii="宋体" w:hAnsi="宋体" w:cs="宋体"/>
                <w:color w:val="000000"/>
                <w:sz w:val="18"/>
                <w:szCs w:val="18"/>
              </w:rPr>
            </w:pPr>
            <w:r>
              <w:rPr>
                <w:rFonts w:ascii="宋体" w:hAnsi="宋体" w:cs="宋体"/>
                <w:color w:val="000000"/>
                <w:kern w:val="0"/>
                <w:sz w:val="18"/>
                <w:szCs w:val="18"/>
              </w:rPr>
              <w:t>效益指标</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64A4F">
            <w:pPr>
              <w:widowControl/>
              <w:jc w:val="center"/>
              <w:textAlignment w:val="center"/>
              <w:rPr>
                <w:rFonts w:ascii="宋体" w:hAnsi="宋体" w:cs="宋体"/>
                <w:color w:val="000000"/>
                <w:sz w:val="18"/>
                <w:szCs w:val="18"/>
              </w:rPr>
            </w:pPr>
            <w:r>
              <w:rPr>
                <w:rFonts w:ascii="宋体" w:hAnsi="宋体" w:cs="宋体"/>
                <w:color w:val="000000"/>
                <w:kern w:val="0"/>
                <w:sz w:val="18"/>
                <w:szCs w:val="18"/>
              </w:rPr>
              <w:t>社会效益指标</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34DAA">
            <w:pPr>
              <w:widowControl/>
              <w:jc w:val="center"/>
              <w:textAlignment w:val="center"/>
              <w:rPr>
                <w:rFonts w:ascii="宋体" w:hAnsi="宋体" w:cs="宋体"/>
                <w:color w:val="000000"/>
                <w:sz w:val="18"/>
                <w:szCs w:val="18"/>
              </w:rPr>
            </w:pPr>
            <w:r>
              <w:rPr>
                <w:rFonts w:ascii="宋体" w:hAnsi="宋体" w:cs="宋体"/>
                <w:color w:val="000000"/>
                <w:kern w:val="0"/>
                <w:sz w:val="18"/>
                <w:szCs w:val="18"/>
              </w:rPr>
              <w:t>改善师生学习环境</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96C52">
            <w:pPr>
              <w:widowControl/>
              <w:jc w:val="center"/>
              <w:textAlignment w:val="center"/>
              <w:rPr>
                <w:rFonts w:ascii="宋体" w:hAnsi="宋体" w:cs="宋体"/>
                <w:color w:val="000000"/>
                <w:sz w:val="18"/>
                <w:szCs w:val="18"/>
              </w:rPr>
            </w:pPr>
            <w:r>
              <w:rPr>
                <w:rFonts w:ascii="宋体" w:hAnsi="宋体" w:cs="宋体"/>
                <w:color w:val="000000"/>
                <w:kern w:val="0"/>
                <w:sz w:val="18"/>
                <w:szCs w:val="18"/>
              </w:rPr>
              <w:t>定性</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F483F">
            <w:pPr>
              <w:widowControl/>
              <w:jc w:val="center"/>
              <w:textAlignment w:val="center"/>
              <w:rPr>
                <w:rFonts w:ascii="宋体" w:hAnsi="宋体" w:cs="宋体"/>
                <w:color w:val="000000"/>
                <w:sz w:val="18"/>
                <w:szCs w:val="18"/>
              </w:rPr>
            </w:pPr>
            <w:r>
              <w:rPr>
                <w:rFonts w:ascii="宋体" w:hAnsi="宋体" w:cs="宋体"/>
                <w:color w:val="000000"/>
                <w:kern w:val="0"/>
                <w:sz w:val="18"/>
                <w:szCs w:val="18"/>
              </w:rPr>
              <w:t>良好</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2B575">
            <w:pPr>
              <w:widowControl/>
              <w:jc w:val="center"/>
              <w:textAlignment w:val="center"/>
              <w:rPr>
                <w:rFonts w:ascii="宋体" w:hAnsi="宋体" w:cs="宋体"/>
                <w:color w:val="000000"/>
                <w:sz w:val="18"/>
                <w:szCs w:val="18"/>
              </w:rPr>
            </w:pPr>
            <w:r>
              <w:rPr>
                <w:rFonts w:ascii="宋体" w:hAnsi="宋体" w:cs="宋体"/>
                <w:color w:val="000000"/>
                <w:kern w:val="0"/>
                <w:sz w:val="18"/>
                <w:szCs w:val="18"/>
              </w:rPr>
              <w:t>良好</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BA0CE">
            <w:pPr>
              <w:widowControl/>
              <w:jc w:val="center"/>
              <w:textAlignment w:val="center"/>
              <w:rPr>
                <w:rFonts w:ascii="宋体" w:hAnsi="宋体" w:cs="宋体"/>
                <w:color w:val="000000"/>
                <w:sz w:val="18"/>
                <w:szCs w:val="18"/>
              </w:rPr>
            </w:pPr>
            <w:r>
              <w:rPr>
                <w:rFonts w:ascii="宋体" w:hAnsi="宋体" w:cs="宋体"/>
                <w:color w:val="000000"/>
                <w:kern w:val="0"/>
                <w:sz w:val="18"/>
                <w:szCs w:val="18"/>
              </w:rPr>
              <w:t>20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69D51">
            <w:pPr>
              <w:widowControl/>
              <w:jc w:val="center"/>
              <w:textAlignment w:val="center"/>
              <w:rPr>
                <w:rFonts w:ascii="宋体" w:hAnsi="宋体" w:cs="宋体"/>
                <w:color w:val="000000"/>
                <w:sz w:val="18"/>
                <w:szCs w:val="18"/>
              </w:rPr>
            </w:pPr>
            <w:r>
              <w:rPr>
                <w:rFonts w:ascii="宋体" w:hAnsi="宋体" w:cs="宋体"/>
                <w:color w:val="000000"/>
                <w:kern w:val="0"/>
                <w:sz w:val="18"/>
                <w:szCs w:val="18"/>
              </w:rPr>
              <w:t>20</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C3989">
            <w:pPr>
              <w:jc w:val="center"/>
              <w:rPr>
                <w:rFonts w:ascii="微软雅黑" w:hAnsi="微软雅黑" w:eastAsia="微软雅黑" w:cs="微软雅黑"/>
                <w:i/>
                <w:iCs/>
                <w:color w:val="000000"/>
                <w:sz w:val="16"/>
                <w:szCs w:val="16"/>
              </w:rPr>
            </w:pPr>
          </w:p>
        </w:tc>
      </w:tr>
      <w:tr w14:paraId="5BE5FC31">
        <w:tblPrEx>
          <w:tblCellMar>
            <w:top w:w="0" w:type="dxa"/>
            <w:left w:w="108" w:type="dxa"/>
            <w:bottom w:w="0" w:type="dxa"/>
            <w:right w:w="108" w:type="dxa"/>
          </w:tblCellMar>
        </w:tblPrEx>
        <w:trPr>
          <w:trHeight w:val="452"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426C53">
            <w:pPr>
              <w:jc w:val="center"/>
              <w:rPr>
                <w:rFonts w:ascii="宋体" w:hAnsi="宋体" w:cs="宋体"/>
                <w:color w:val="000000"/>
                <w:sz w:val="18"/>
                <w:szCs w:val="18"/>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6D33D">
            <w:pPr>
              <w:widowControl/>
              <w:jc w:val="center"/>
              <w:textAlignment w:val="center"/>
              <w:rPr>
                <w:rFonts w:ascii="宋体" w:hAnsi="宋体" w:cs="宋体"/>
                <w:color w:val="000000"/>
                <w:sz w:val="18"/>
                <w:szCs w:val="18"/>
              </w:rPr>
            </w:pPr>
            <w:r>
              <w:rPr>
                <w:rFonts w:ascii="宋体" w:hAnsi="宋体" w:cs="宋体"/>
                <w:color w:val="000000"/>
                <w:kern w:val="0"/>
                <w:sz w:val="18"/>
                <w:szCs w:val="18"/>
              </w:rPr>
              <w:t>满意度指标</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B2BA3">
            <w:pPr>
              <w:widowControl/>
              <w:jc w:val="center"/>
              <w:textAlignment w:val="center"/>
              <w:rPr>
                <w:rFonts w:ascii="宋体" w:hAnsi="宋体" w:cs="宋体"/>
                <w:color w:val="000000"/>
                <w:sz w:val="18"/>
                <w:szCs w:val="18"/>
              </w:rPr>
            </w:pPr>
            <w:r>
              <w:rPr>
                <w:rFonts w:ascii="宋体" w:hAnsi="宋体" w:cs="宋体"/>
                <w:color w:val="000000"/>
                <w:kern w:val="0"/>
                <w:sz w:val="18"/>
                <w:szCs w:val="18"/>
              </w:rPr>
              <w:t>服务对象满意度指标</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E24EF">
            <w:pPr>
              <w:widowControl/>
              <w:jc w:val="center"/>
              <w:textAlignment w:val="center"/>
              <w:rPr>
                <w:rFonts w:ascii="宋体" w:hAnsi="宋体" w:cs="宋体"/>
                <w:color w:val="000000"/>
                <w:sz w:val="18"/>
                <w:szCs w:val="18"/>
              </w:rPr>
            </w:pPr>
            <w:r>
              <w:rPr>
                <w:rFonts w:ascii="宋体" w:hAnsi="宋体" w:cs="宋体"/>
                <w:color w:val="000000"/>
                <w:kern w:val="0"/>
                <w:sz w:val="18"/>
                <w:szCs w:val="18"/>
              </w:rPr>
              <w:t>教职工满意</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79FF8">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3BFD9">
            <w:pPr>
              <w:widowControl/>
              <w:jc w:val="center"/>
              <w:textAlignment w:val="center"/>
              <w:rPr>
                <w:rFonts w:ascii="宋体" w:hAnsi="宋体" w:cs="宋体"/>
                <w:color w:val="000000"/>
                <w:sz w:val="18"/>
                <w:szCs w:val="18"/>
              </w:rPr>
            </w:pPr>
            <w:r>
              <w:rPr>
                <w:rFonts w:ascii="宋体" w:hAnsi="宋体" w:cs="宋体"/>
                <w:color w:val="000000"/>
                <w:kern w:val="0"/>
                <w:sz w:val="18"/>
                <w:szCs w:val="18"/>
              </w:rPr>
              <w:t>95</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159AC">
            <w:pPr>
              <w:widowControl/>
              <w:jc w:val="center"/>
              <w:textAlignment w:val="center"/>
              <w:rPr>
                <w:rFonts w:ascii="宋体" w:hAnsi="宋体" w:cs="宋体"/>
                <w:color w:val="000000"/>
                <w:sz w:val="18"/>
                <w:szCs w:val="18"/>
              </w:rPr>
            </w:pPr>
            <w:r>
              <w:rPr>
                <w:rFonts w:ascii="宋体" w:hAnsi="宋体" w:cs="宋体"/>
                <w:color w:val="000000"/>
                <w:kern w:val="0"/>
                <w:sz w:val="18"/>
                <w:szCs w:val="18"/>
              </w:rPr>
              <w:t>95%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58FC3">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AFB08">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9BA54">
            <w:pPr>
              <w:jc w:val="center"/>
              <w:rPr>
                <w:rFonts w:ascii="微软雅黑" w:hAnsi="微软雅黑" w:eastAsia="微软雅黑" w:cs="微软雅黑"/>
                <w:i/>
                <w:iCs/>
                <w:color w:val="000000"/>
                <w:sz w:val="16"/>
                <w:szCs w:val="16"/>
              </w:rPr>
            </w:pPr>
          </w:p>
        </w:tc>
      </w:tr>
      <w:tr w14:paraId="6258611B">
        <w:tblPrEx>
          <w:tblCellMar>
            <w:top w:w="0" w:type="dxa"/>
            <w:left w:w="108" w:type="dxa"/>
            <w:bottom w:w="0" w:type="dxa"/>
            <w:right w:w="108" w:type="dxa"/>
          </w:tblCellMar>
        </w:tblPrEx>
        <w:trPr>
          <w:trHeight w:val="678"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E293FE">
            <w:pPr>
              <w:jc w:val="center"/>
              <w:rPr>
                <w:rFonts w:ascii="宋体" w:hAnsi="宋体" w:cs="宋体"/>
                <w:color w:val="000000"/>
                <w:sz w:val="18"/>
                <w:szCs w:val="18"/>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86CC3">
            <w:pPr>
              <w:widowControl/>
              <w:jc w:val="center"/>
              <w:textAlignment w:val="center"/>
              <w:rPr>
                <w:rFonts w:ascii="宋体" w:hAnsi="宋体" w:cs="宋体"/>
                <w:color w:val="000000"/>
                <w:sz w:val="18"/>
                <w:szCs w:val="18"/>
              </w:rPr>
            </w:pPr>
            <w:r>
              <w:rPr>
                <w:rFonts w:ascii="宋体" w:hAnsi="宋体" w:cs="宋体"/>
                <w:color w:val="000000"/>
                <w:kern w:val="0"/>
                <w:sz w:val="18"/>
                <w:szCs w:val="18"/>
              </w:rPr>
              <w:t>成本指标</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93CBE">
            <w:pPr>
              <w:widowControl/>
              <w:jc w:val="center"/>
              <w:textAlignment w:val="center"/>
              <w:rPr>
                <w:rFonts w:ascii="宋体" w:hAnsi="宋体" w:cs="宋体"/>
                <w:color w:val="000000"/>
                <w:sz w:val="18"/>
                <w:szCs w:val="18"/>
              </w:rPr>
            </w:pPr>
            <w:r>
              <w:rPr>
                <w:rFonts w:ascii="宋体" w:hAnsi="宋体" w:cs="宋体"/>
                <w:color w:val="000000"/>
                <w:kern w:val="0"/>
                <w:sz w:val="18"/>
                <w:szCs w:val="18"/>
              </w:rPr>
              <w:t>经济成本指标</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E4FCF">
            <w:pPr>
              <w:widowControl/>
              <w:jc w:val="center"/>
              <w:textAlignment w:val="center"/>
              <w:rPr>
                <w:rFonts w:ascii="宋体" w:hAnsi="宋体" w:cs="宋体"/>
                <w:color w:val="000000"/>
                <w:sz w:val="18"/>
                <w:szCs w:val="18"/>
              </w:rPr>
            </w:pPr>
            <w:r>
              <w:rPr>
                <w:rFonts w:ascii="宋体" w:hAnsi="宋体" w:cs="宋体"/>
                <w:color w:val="000000"/>
                <w:kern w:val="0"/>
                <w:sz w:val="18"/>
                <w:szCs w:val="18"/>
              </w:rPr>
              <w:t>单位维修价格</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C8FC6">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62096">
            <w:pPr>
              <w:widowControl/>
              <w:jc w:val="center"/>
              <w:textAlignment w:val="center"/>
              <w:rPr>
                <w:rFonts w:ascii="宋体" w:hAnsi="宋体" w:cs="宋体"/>
                <w:color w:val="000000"/>
                <w:sz w:val="18"/>
                <w:szCs w:val="18"/>
              </w:rPr>
            </w:pPr>
            <w:r>
              <w:rPr>
                <w:rFonts w:ascii="宋体" w:hAnsi="宋体" w:cs="宋体"/>
                <w:color w:val="000000"/>
                <w:kern w:val="0"/>
                <w:sz w:val="18"/>
                <w:szCs w:val="18"/>
              </w:rPr>
              <w:t>300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89156">
            <w:pPr>
              <w:widowControl/>
              <w:jc w:val="center"/>
              <w:textAlignment w:val="center"/>
              <w:rPr>
                <w:rFonts w:ascii="宋体" w:hAnsi="宋体" w:cs="宋体"/>
                <w:color w:val="000000"/>
                <w:sz w:val="18"/>
                <w:szCs w:val="18"/>
              </w:rPr>
            </w:pPr>
            <w:r>
              <w:rPr>
                <w:rFonts w:ascii="宋体" w:hAnsi="宋体" w:cs="宋体"/>
                <w:color w:val="000000"/>
                <w:kern w:val="0"/>
                <w:sz w:val="18"/>
                <w:szCs w:val="18"/>
              </w:rPr>
              <w:t>300元/立方米</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7189E">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DBB33">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4D1AF">
            <w:pPr>
              <w:jc w:val="center"/>
              <w:rPr>
                <w:rFonts w:ascii="微软雅黑" w:hAnsi="微软雅黑" w:eastAsia="微软雅黑" w:cs="微软雅黑"/>
                <w:i/>
                <w:iCs/>
                <w:color w:val="000000"/>
                <w:sz w:val="16"/>
                <w:szCs w:val="16"/>
              </w:rPr>
            </w:pPr>
          </w:p>
        </w:tc>
      </w:tr>
      <w:tr w14:paraId="052857DA">
        <w:tblPrEx>
          <w:tblCellMar>
            <w:top w:w="0" w:type="dxa"/>
            <w:left w:w="108" w:type="dxa"/>
            <w:bottom w:w="0" w:type="dxa"/>
            <w:right w:w="108" w:type="dxa"/>
          </w:tblCellMar>
        </w:tblPrEx>
        <w:trPr>
          <w:trHeight w:val="286" w:hRule="atLeast"/>
        </w:trPr>
        <w:tc>
          <w:tcPr>
            <w:tcW w:w="707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803B39C">
            <w:pPr>
              <w:widowControl/>
              <w:jc w:val="center"/>
              <w:textAlignment w:val="center"/>
              <w:rPr>
                <w:rFonts w:ascii="宋体" w:hAnsi="宋体" w:cs="宋体"/>
                <w:color w:val="000000"/>
                <w:sz w:val="18"/>
                <w:szCs w:val="18"/>
              </w:rPr>
            </w:pPr>
            <w:r>
              <w:rPr>
                <w:rFonts w:ascii="宋体" w:hAnsi="宋体" w:cs="宋体"/>
                <w:color w:val="000000"/>
                <w:kern w:val="0"/>
                <w:sz w:val="18"/>
                <w:szCs w:val="18"/>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96F13">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D43CC">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96CFA">
            <w:pPr>
              <w:rPr>
                <w:rFonts w:ascii="宋体" w:hAnsi="宋体" w:cs="宋体"/>
                <w:color w:val="000000"/>
                <w:sz w:val="18"/>
                <w:szCs w:val="18"/>
              </w:rPr>
            </w:pPr>
          </w:p>
        </w:tc>
      </w:tr>
      <w:tr w14:paraId="4FD47AD4">
        <w:tblPrEx>
          <w:tblCellMar>
            <w:top w:w="0" w:type="dxa"/>
            <w:left w:w="108" w:type="dxa"/>
            <w:bottom w:w="0" w:type="dxa"/>
            <w:right w:w="108" w:type="dxa"/>
          </w:tblCellMar>
        </w:tblPrEx>
        <w:trPr>
          <w:trHeight w:val="603"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C1FB2">
            <w:pPr>
              <w:widowControl/>
              <w:jc w:val="center"/>
              <w:textAlignment w:val="center"/>
              <w:rPr>
                <w:rFonts w:ascii="宋体" w:hAnsi="宋体" w:cs="宋体"/>
                <w:color w:val="000000"/>
                <w:sz w:val="18"/>
                <w:szCs w:val="18"/>
              </w:rPr>
            </w:pPr>
            <w:r>
              <w:rPr>
                <w:rFonts w:ascii="宋体" w:hAnsi="宋体" w:cs="宋体"/>
                <w:color w:val="000000"/>
                <w:kern w:val="0"/>
                <w:sz w:val="18"/>
                <w:szCs w:val="18"/>
              </w:rPr>
              <w:t>评价结论</w:t>
            </w:r>
          </w:p>
        </w:tc>
        <w:tc>
          <w:tcPr>
            <w:tcW w:w="968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C1E262B">
            <w:pPr>
              <w:widowControl/>
              <w:jc w:val="left"/>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项目自评总分达到100分。通过实施，项目达到了预期目标，解决了实际问题，取得了显著成果。</w:t>
            </w:r>
          </w:p>
        </w:tc>
      </w:tr>
      <w:tr w14:paraId="6B1EF08B">
        <w:tblPrEx>
          <w:tblCellMar>
            <w:top w:w="0" w:type="dxa"/>
            <w:left w:w="108" w:type="dxa"/>
            <w:bottom w:w="0" w:type="dxa"/>
            <w:right w:w="108" w:type="dxa"/>
          </w:tblCellMar>
        </w:tblPrEx>
        <w:trPr>
          <w:trHeight w:val="572"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46F1F">
            <w:pPr>
              <w:widowControl/>
              <w:jc w:val="center"/>
              <w:textAlignment w:val="center"/>
              <w:rPr>
                <w:rFonts w:ascii="宋体" w:hAnsi="宋体" w:cs="宋体"/>
                <w:color w:val="000000"/>
                <w:sz w:val="18"/>
                <w:szCs w:val="18"/>
              </w:rPr>
            </w:pPr>
            <w:r>
              <w:rPr>
                <w:rFonts w:ascii="宋体" w:hAnsi="宋体" w:cs="宋体"/>
                <w:color w:val="000000"/>
                <w:kern w:val="0"/>
                <w:sz w:val="18"/>
                <w:szCs w:val="18"/>
              </w:rPr>
              <w:t>存在问题</w:t>
            </w:r>
          </w:p>
        </w:tc>
        <w:tc>
          <w:tcPr>
            <w:tcW w:w="968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B2448E6">
            <w:pPr>
              <w:widowControl/>
              <w:jc w:val="left"/>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无</w:t>
            </w:r>
          </w:p>
        </w:tc>
      </w:tr>
      <w:tr w14:paraId="19AF310F">
        <w:tblPrEx>
          <w:tblCellMar>
            <w:top w:w="0" w:type="dxa"/>
            <w:left w:w="108" w:type="dxa"/>
            <w:bottom w:w="0" w:type="dxa"/>
            <w:right w:w="108" w:type="dxa"/>
          </w:tblCellMar>
        </w:tblPrEx>
        <w:trPr>
          <w:trHeight w:val="633"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95195">
            <w:pPr>
              <w:widowControl/>
              <w:jc w:val="center"/>
              <w:textAlignment w:val="center"/>
              <w:rPr>
                <w:rFonts w:ascii="宋体" w:hAnsi="宋体" w:cs="宋体"/>
                <w:color w:val="000000"/>
                <w:sz w:val="18"/>
                <w:szCs w:val="18"/>
              </w:rPr>
            </w:pPr>
            <w:r>
              <w:rPr>
                <w:rFonts w:ascii="宋体" w:hAnsi="宋体" w:cs="宋体"/>
                <w:color w:val="000000"/>
                <w:kern w:val="0"/>
                <w:sz w:val="18"/>
                <w:szCs w:val="18"/>
              </w:rPr>
              <w:t>改进措施</w:t>
            </w:r>
          </w:p>
        </w:tc>
        <w:tc>
          <w:tcPr>
            <w:tcW w:w="968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54B042A">
            <w:pPr>
              <w:widowControl/>
              <w:jc w:val="left"/>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无</w:t>
            </w:r>
          </w:p>
        </w:tc>
      </w:tr>
      <w:tr w14:paraId="3D98922E">
        <w:tblPrEx>
          <w:tblCellMar>
            <w:top w:w="0" w:type="dxa"/>
            <w:left w:w="108" w:type="dxa"/>
            <w:bottom w:w="0" w:type="dxa"/>
            <w:right w:w="108" w:type="dxa"/>
          </w:tblCellMar>
        </w:tblPrEx>
        <w:trPr>
          <w:trHeight w:val="286" w:hRule="atLeast"/>
        </w:trPr>
        <w:tc>
          <w:tcPr>
            <w:tcW w:w="500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EF8432E">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项目负责人：黄中成</w:t>
            </w:r>
          </w:p>
        </w:tc>
        <w:tc>
          <w:tcPr>
            <w:tcW w:w="53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9F53FA5">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财务负责人：王建军</w:t>
            </w:r>
          </w:p>
        </w:tc>
      </w:tr>
    </w:tbl>
    <w:p w14:paraId="69924752">
      <w:pPr>
        <w:pStyle w:val="16"/>
      </w:pPr>
    </w:p>
    <w:p w14:paraId="362E3A1A">
      <w:pPr>
        <w:jc w:val="left"/>
        <w:rPr>
          <w:rFonts w:ascii="黑体" w:hAnsi="黑体" w:eastAsia="黑体"/>
          <w:sz w:val="44"/>
          <w:szCs w:val="44"/>
        </w:rPr>
        <w:sectPr>
          <w:pgSz w:w="16838" w:h="11906" w:orient="landscape"/>
          <w:pgMar w:top="1803" w:right="1440" w:bottom="1803" w:left="1440" w:header="851" w:footer="992" w:gutter="0"/>
          <w:cols w:space="0" w:num="1"/>
          <w:titlePg/>
          <w:docGrid w:type="lines" w:linePitch="319" w:charSpace="0"/>
        </w:sectPr>
      </w:pPr>
    </w:p>
    <w:p w14:paraId="08950A83">
      <w:pPr>
        <w:jc w:val="center"/>
        <w:rPr>
          <w:rFonts w:ascii="黑体" w:hAnsi="黑体" w:eastAsia="黑体"/>
          <w:sz w:val="44"/>
          <w:szCs w:val="44"/>
        </w:rPr>
      </w:pPr>
    </w:p>
    <w:p w14:paraId="55002B90">
      <w:pPr>
        <w:jc w:val="center"/>
        <w:rPr>
          <w:rFonts w:ascii="仿宋" w:hAnsi="仿宋" w:eastAsia="仿宋"/>
        </w:rPr>
      </w:pPr>
      <w:r>
        <w:rPr>
          <w:rFonts w:hint="eastAsia" w:ascii="黑体" w:hAnsi="黑体" w:eastAsia="黑体"/>
          <w:sz w:val="44"/>
          <w:szCs w:val="44"/>
        </w:rPr>
        <w:t>第</w:t>
      </w:r>
      <w:r>
        <w:rPr>
          <w:rStyle w:val="25"/>
          <w:rFonts w:hint="eastAsia" w:ascii="黑体" w:hAnsi="黑体" w:eastAsia="黑体"/>
          <w:b w:val="0"/>
        </w:rPr>
        <w:t>五部分 附表</w:t>
      </w:r>
      <w:bookmarkEnd w:id="72"/>
      <w:bookmarkStart w:id="74" w:name="_Toc15396619"/>
    </w:p>
    <w:p w14:paraId="6F9A6EA1">
      <w:pPr>
        <w:pStyle w:val="3"/>
        <w:rPr>
          <w:rFonts w:ascii="仿宋" w:hAnsi="仿宋" w:eastAsia="仿宋"/>
        </w:rPr>
      </w:pPr>
      <w:bookmarkStart w:id="75" w:name="_Toc21540"/>
      <w:r>
        <w:rPr>
          <w:rFonts w:hint="eastAsia" w:ascii="仿宋" w:hAnsi="仿宋" w:eastAsia="仿宋"/>
          <w:b w:val="0"/>
        </w:rPr>
        <w:t>一、收</w:t>
      </w:r>
      <w:r>
        <w:rPr>
          <w:rStyle w:val="26"/>
          <w:rFonts w:hint="eastAsia" w:ascii="仿宋" w:hAnsi="仿宋" w:eastAsia="仿宋"/>
          <w:b w:val="0"/>
          <w:bCs w:val="0"/>
        </w:rPr>
        <w:t>入支出决算总表</w:t>
      </w:r>
      <w:bookmarkEnd w:id="74"/>
      <w:bookmarkEnd w:id="75"/>
    </w:p>
    <w:p w14:paraId="5F27273D">
      <w:pPr>
        <w:pStyle w:val="3"/>
        <w:rPr>
          <w:rFonts w:ascii="仿宋" w:hAnsi="仿宋" w:eastAsia="仿宋"/>
        </w:rPr>
      </w:pPr>
      <w:bookmarkStart w:id="76" w:name="_Toc14740"/>
      <w:bookmarkStart w:id="77" w:name="_Toc15396620"/>
      <w:r>
        <w:rPr>
          <w:rFonts w:hint="eastAsia" w:ascii="仿宋" w:hAnsi="仿宋" w:eastAsia="仿宋"/>
          <w:b w:val="0"/>
        </w:rPr>
        <w:t>二、收</w:t>
      </w:r>
      <w:r>
        <w:rPr>
          <w:rStyle w:val="26"/>
          <w:rFonts w:hint="eastAsia" w:ascii="仿宋" w:hAnsi="仿宋" w:eastAsia="仿宋"/>
          <w:b w:val="0"/>
          <w:bCs w:val="0"/>
        </w:rPr>
        <w:t>入决算表</w:t>
      </w:r>
      <w:bookmarkEnd w:id="76"/>
      <w:bookmarkEnd w:id="77"/>
    </w:p>
    <w:p w14:paraId="4D20E302">
      <w:pPr>
        <w:pStyle w:val="3"/>
        <w:rPr>
          <w:rFonts w:ascii="仿宋" w:hAnsi="仿宋" w:eastAsia="仿宋"/>
        </w:rPr>
      </w:pPr>
      <w:bookmarkStart w:id="78" w:name="_Toc26490"/>
      <w:bookmarkStart w:id="79" w:name="_Toc15396621"/>
      <w:r>
        <w:rPr>
          <w:rStyle w:val="26"/>
          <w:rFonts w:hint="eastAsia" w:ascii="仿宋" w:hAnsi="仿宋" w:eastAsia="仿宋"/>
          <w:b w:val="0"/>
          <w:bCs w:val="0"/>
        </w:rPr>
        <w:t>三、</w:t>
      </w:r>
      <w:r>
        <w:rPr>
          <w:rFonts w:hint="eastAsia" w:ascii="仿宋" w:hAnsi="仿宋" w:eastAsia="仿宋"/>
          <w:b w:val="0"/>
        </w:rPr>
        <w:t>支</w:t>
      </w:r>
      <w:r>
        <w:rPr>
          <w:rStyle w:val="26"/>
          <w:rFonts w:hint="eastAsia" w:ascii="仿宋" w:hAnsi="仿宋" w:eastAsia="仿宋"/>
          <w:b w:val="0"/>
          <w:bCs w:val="0"/>
        </w:rPr>
        <w:t>出决算表</w:t>
      </w:r>
      <w:bookmarkEnd w:id="78"/>
      <w:bookmarkEnd w:id="79"/>
    </w:p>
    <w:p w14:paraId="435C74F2">
      <w:pPr>
        <w:pStyle w:val="3"/>
        <w:rPr>
          <w:rFonts w:ascii="仿宋" w:hAnsi="仿宋" w:eastAsia="仿宋"/>
          <w:b w:val="0"/>
        </w:rPr>
      </w:pPr>
      <w:bookmarkStart w:id="80" w:name="_Toc4249"/>
      <w:bookmarkStart w:id="81" w:name="_Toc15396622"/>
      <w:r>
        <w:rPr>
          <w:rStyle w:val="26"/>
          <w:rFonts w:hint="eastAsia" w:ascii="仿宋" w:hAnsi="仿宋" w:eastAsia="仿宋"/>
          <w:b w:val="0"/>
          <w:bCs w:val="0"/>
        </w:rPr>
        <w:t>四、</w:t>
      </w:r>
      <w:r>
        <w:rPr>
          <w:rFonts w:hint="eastAsia" w:ascii="仿宋" w:hAnsi="仿宋" w:eastAsia="仿宋"/>
          <w:b w:val="0"/>
        </w:rPr>
        <w:t>财</w:t>
      </w:r>
      <w:r>
        <w:rPr>
          <w:rStyle w:val="26"/>
          <w:rFonts w:hint="eastAsia" w:ascii="仿宋" w:hAnsi="仿宋" w:eastAsia="仿宋"/>
          <w:b w:val="0"/>
          <w:bCs w:val="0"/>
        </w:rPr>
        <w:t>政拨款收入支出决算总表</w:t>
      </w:r>
      <w:bookmarkEnd w:id="80"/>
      <w:bookmarkEnd w:id="81"/>
    </w:p>
    <w:p w14:paraId="02FE0FDC">
      <w:pPr>
        <w:pStyle w:val="3"/>
        <w:rPr>
          <w:rStyle w:val="26"/>
          <w:rFonts w:ascii="仿宋" w:hAnsi="仿宋" w:eastAsia="仿宋"/>
          <w:b w:val="0"/>
          <w:bCs w:val="0"/>
        </w:rPr>
      </w:pPr>
      <w:bookmarkStart w:id="82" w:name="_Toc15396623"/>
      <w:bookmarkStart w:id="83" w:name="_Toc21621"/>
      <w:r>
        <w:rPr>
          <w:rStyle w:val="26"/>
          <w:rFonts w:hint="eastAsia" w:ascii="仿宋" w:hAnsi="仿宋" w:eastAsia="仿宋"/>
          <w:b w:val="0"/>
          <w:bCs w:val="0"/>
        </w:rPr>
        <w:t>五、</w:t>
      </w:r>
      <w:r>
        <w:rPr>
          <w:rFonts w:hint="eastAsia" w:ascii="仿宋" w:hAnsi="仿宋" w:eastAsia="仿宋"/>
          <w:b w:val="0"/>
        </w:rPr>
        <w:t>财</w:t>
      </w:r>
      <w:r>
        <w:rPr>
          <w:rStyle w:val="26"/>
          <w:rFonts w:hint="eastAsia" w:ascii="仿宋" w:hAnsi="仿宋" w:eastAsia="仿宋"/>
          <w:b w:val="0"/>
          <w:bCs w:val="0"/>
        </w:rPr>
        <w:t>政拨款支出决算明细表</w:t>
      </w:r>
      <w:bookmarkEnd w:id="82"/>
      <w:bookmarkEnd w:id="83"/>
      <w:bookmarkStart w:id="84" w:name="_Toc15396624"/>
    </w:p>
    <w:p w14:paraId="64A0A328">
      <w:pPr>
        <w:pStyle w:val="3"/>
        <w:rPr>
          <w:rFonts w:ascii="仿宋" w:hAnsi="仿宋" w:eastAsia="仿宋"/>
        </w:rPr>
      </w:pPr>
      <w:bookmarkStart w:id="85" w:name="_Toc1061"/>
      <w:r>
        <w:rPr>
          <w:rStyle w:val="26"/>
          <w:rFonts w:hint="eastAsia" w:ascii="仿宋" w:hAnsi="仿宋" w:eastAsia="仿宋"/>
          <w:b w:val="0"/>
          <w:bCs w:val="0"/>
        </w:rPr>
        <w:t>六、</w:t>
      </w:r>
      <w:r>
        <w:rPr>
          <w:rFonts w:hint="eastAsia" w:ascii="仿宋" w:hAnsi="仿宋" w:eastAsia="仿宋"/>
          <w:b w:val="0"/>
        </w:rPr>
        <w:t>一</w:t>
      </w:r>
      <w:r>
        <w:rPr>
          <w:rStyle w:val="26"/>
          <w:rFonts w:hint="eastAsia" w:ascii="仿宋" w:hAnsi="仿宋" w:eastAsia="仿宋"/>
          <w:b w:val="0"/>
          <w:bCs w:val="0"/>
        </w:rPr>
        <w:t>般公共预算财政拨款支出决算表</w:t>
      </w:r>
      <w:bookmarkEnd w:id="84"/>
      <w:bookmarkEnd w:id="85"/>
    </w:p>
    <w:p w14:paraId="64021D6E">
      <w:pPr>
        <w:pStyle w:val="3"/>
        <w:rPr>
          <w:rFonts w:ascii="仿宋" w:hAnsi="仿宋" w:eastAsia="仿宋"/>
        </w:rPr>
      </w:pPr>
      <w:bookmarkStart w:id="86" w:name="_Toc6268"/>
      <w:bookmarkStart w:id="87" w:name="_Toc15396625"/>
      <w:r>
        <w:rPr>
          <w:rStyle w:val="26"/>
          <w:rFonts w:hint="eastAsia" w:ascii="仿宋" w:hAnsi="仿宋" w:eastAsia="仿宋"/>
          <w:b w:val="0"/>
          <w:bCs w:val="0"/>
        </w:rPr>
        <w:t>七、</w:t>
      </w:r>
      <w:r>
        <w:rPr>
          <w:rFonts w:hint="eastAsia" w:ascii="仿宋" w:hAnsi="仿宋" w:eastAsia="仿宋"/>
          <w:b w:val="0"/>
        </w:rPr>
        <w:t>一</w:t>
      </w:r>
      <w:r>
        <w:rPr>
          <w:rStyle w:val="26"/>
          <w:rFonts w:hint="eastAsia" w:ascii="仿宋" w:hAnsi="仿宋" w:eastAsia="仿宋"/>
          <w:b w:val="0"/>
          <w:bCs w:val="0"/>
        </w:rPr>
        <w:t>般公共预算财政拨款支出决算明细表</w:t>
      </w:r>
      <w:bookmarkEnd w:id="86"/>
      <w:bookmarkEnd w:id="87"/>
    </w:p>
    <w:p w14:paraId="7F363E56">
      <w:pPr>
        <w:pStyle w:val="3"/>
        <w:rPr>
          <w:rFonts w:ascii="仿宋" w:hAnsi="仿宋" w:eastAsia="仿宋"/>
        </w:rPr>
      </w:pPr>
      <w:bookmarkStart w:id="88" w:name="_Toc15396626"/>
      <w:bookmarkStart w:id="89" w:name="_Toc29111"/>
      <w:r>
        <w:rPr>
          <w:rStyle w:val="26"/>
          <w:rFonts w:hint="eastAsia" w:ascii="仿宋" w:hAnsi="仿宋" w:eastAsia="仿宋"/>
          <w:b w:val="0"/>
          <w:bCs w:val="0"/>
        </w:rPr>
        <w:t>八、</w:t>
      </w:r>
      <w:r>
        <w:rPr>
          <w:rFonts w:hint="eastAsia" w:ascii="仿宋" w:hAnsi="仿宋" w:eastAsia="仿宋"/>
          <w:b w:val="0"/>
        </w:rPr>
        <w:t>一</w:t>
      </w:r>
      <w:r>
        <w:rPr>
          <w:rStyle w:val="26"/>
          <w:rFonts w:hint="eastAsia" w:ascii="仿宋" w:hAnsi="仿宋" w:eastAsia="仿宋"/>
          <w:b w:val="0"/>
          <w:bCs w:val="0"/>
        </w:rPr>
        <w:t>般公共预算财政拨款基本支出决算表</w:t>
      </w:r>
      <w:bookmarkEnd w:id="88"/>
      <w:bookmarkEnd w:id="89"/>
    </w:p>
    <w:p w14:paraId="357906B9">
      <w:pPr>
        <w:pStyle w:val="3"/>
        <w:rPr>
          <w:rFonts w:ascii="仿宋" w:hAnsi="仿宋" w:eastAsia="仿宋"/>
        </w:rPr>
      </w:pPr>
      <w:bookmarkStart w:id="90" w:name="_Toc15396627"/>
      <w:bookmarkStart w:id="91" w:name="_Toc25077"/>
      <w:r>
        <w:rPr>
          <w:rStyle w:val="26"/>
          <w:rFonts w:hint="eastAsia" w:ascii="仿宋" w:hAnsi="仿宋" w:eastAsia="仿宋"/>
          <w:b w:val="0"/>
          <w:bCs w:val="0"/>
        </w:rPr>
        <w:t>九、</w:t>
      </w:r>
      <w:r>
        <w:rPr>
          <w:rFonts w:hint="eastAsia" w:ascii="仿宋" w:hAnsi="仿宋" w:eastAsia="仿宋"/>
          <w:b w:val="0"/>
        </w:rPr>
        <w:t>一</w:t>
      </w:r>
      <w:r>
        <w:rPr>
          <w:rStyle w:val="26"/>
          <w:rFonts w:hint="eastAsia" w:ascii="仿宋" w:hAnsi="仿宋" w:eastAsia="仿宋"/>
          <w:b w:val="0"/>
          <w:bCs w:val="0"/>
        </w:rPr>
        <w:t>般公共预算财政拨款项目支出决算表</w:t>
      </w:r>
      <w:bookmarkEnd w:id="90"/>
      <w:bookmarkEnd w:id="91"/>
    </w:p>
    <w:p w14:paraId="53D10F0A">
      <w:pPr>
        <w:pStyle w:val="3"/>
        <w:rPr>
          <w:rFonts w:ascii="仿宋" w:hAnsi="仿宋" w:eastAsia="仿宋"/>
        </w:rPr>
      </w:pPr>
      <w:bookmarkStart w:id="92" w:name="_Toc15396628"/>
      <w:bookmarkStart w:id="93" w:name="_Toc8538"/>
      <w:r>
        <w:rPr>
          <w:rStyle w:val="26"/>
          <w:rFonts w:hint="eastAsia" w:ascii="仿宋" w:hAnsi="仿宋" w:eastAsia="仿宋"/>
          <w:b w:val="0"/>
          <w:bCs w:val="0"/>
        </w:rPr>
        <w:t>十、</w:t>
      </w:r>
      <w:bookmarkEnd w:id="92"/>
      <w:r>
        <w:rPr>
          <w:rFonts w:hint="eastAsia" w:ascii="仿宋" w:hAnsi="仿宋" w:eastAsia="仿宋"/>
          <w:b w:val="0"/>
        </w:rPr>
        <w:t>政</w:t>
      </w:r>
      <w:r>
        <w:rPr>
          <w:rStyle w:val="26"/>
          <w:rFonts w:hint="eastAsia" w:ascii="仿宋" w:hAnsi="仿宋" w:eastAsia="仿宋"/>
          <w:b w:val="0"/>
          <w:bCs w:val="0"/>
        </w:rPr>
        <w:t>府性基金预算财政拨款收入支出决算表</w:t>
      </w:r>
      <w:bookmarkEnd w:id="93"/>
    </w:p>
    <w:p w14:paraId="479B5E7B">
      <w:pPr>
        <w:pStyle w:val="3"/>
        <w:rPr>
          <w:rFonts w:ascii="仿宋" w:hAnsi="仿宋" w:eastAsia="仿宋"/>
        </w:rPr>
      </w:pPr>
      <w:bookmarkStart w:id="94" w:name="_Toc15396629"/>
      <w:bookmarkStart w:id="95" w:name="_Toc26365"/>
      <w:r>
        <w:rPr>
          <w:rStyle w:val="26"/>
          <w:rFonts w:hint="eastAsia" w:ascii="仿宋" w:hAnsi="仿宋" w:eastAsia="仿宋"/>
          <w:b w:val="0"/>
          <w:bCs w:val="0"/>
        </w:rPr>
        <w:t>十一、</w:t>
      </w:r>
      <w:bookmarkEnd w:id="94"/>
      <w:r>
        <w:rPr>
          <w:rFonts w:hint="eastAsia" w:ascii="仿宋" w:hAnsi="仿宋" w:eastAsia="仿宋"/>
          <w:b w:val="0"/>
        </w:rPr>
        <w:t>国</w:t>
      </w:r>
      <w:r>
        <w:rPr>
          <w:rStyle w:val="26"/>
          <w:rFonts w:hint="eastAsia" w:ascii="仿宋" w:hAnsi="仿宋" w:eastAsia="仿宋"/>
          <w:b w:val="0"/>
          <w:bCs w:val="0"/>
        </w:rPr>
        <w:t>有资本经营预算财政拨款收入支出决算表</w:t>
      </w:r>
      <w:bookmarkEnd w:id="95"/>
    </w:p>
    <w:p w14:paraId="5C094BC0">
      <w:pPr>
        <w:pStyle w:val="3"/>
        <w:rPr>
          <w:rFonts w:ascii="仿宋" w:hAnsi="仿宋" w:eastAsia="仿宋"/>
        </w:rPr>
      </w:pPr>
      <w:bookmarkStart w:id="96" w:name="_Toc15396630"/>
      <w:bookmarkStart w:id="97" w:name="_Toc11791"/>
      <w:r>
        <w:rPr>
          <w:rStyle w:val="26"/>
          <w:rFonts w:hint="eastAsia" w:ascii="仿宋" w:hAnsi="仿宋" w:eastAsia="仿宋"/>
          <w:b w:val="0"/>
          <w:bCs w:val="0"/>
        </w:rPr>
        <w:t>十二、</w:t>
      </w:r>
      <w:bookmarkEnd w:id="96"/>
      <w:r>
        <w:rPr>
          <w:rStyle w:val="26"/>
          <w:rFonts w:hint="eastAsia" w:ascii="仿宋" w:hAnsi="仿宋" w:eastAsia="仿宋"/>
          <w:b w:val="0"/>
          <w:bCs w:val="0"/>
        </w:rPr>
        <w:t>国有资本经营预算财政拨款支出决算表</w:t>
      </w:r>
      <w:bookmarkEnd w:id="97"/>
    </w:p>
    <w:p w14:paraId="2BEA9A06">
      <w:pPr>
        <w:pStyle w:val="3"/>
        <w:rPr>
          <w:rFonts w:eastAsia="仿宋"/>
        </w:rPr>
      </w:pPr>
      <w:bookmarkStart w:id="98" w:name="_Toc15396631"/>
      <w:bookmarkStart w:id="99" w:name="_Toc26267"/>
      <w:r>
        <w:rPr>
          <w:rStyle w:val="26"/>
          <w:rFonts w:hint="eastAsia" w:ascii="仿宋" w:hAnsi="仿宋" w:eastAsia="仿宋"/>
          <w:b w:val="0"/>
          <w:bCs w:val="0"/>
        </w:rPr>
        <w:t>十三、</w:t>
      </w:r>
      <w:bookmarkEnd w:id="98"/>
      <w:r>
        <w:rPr>
          <w:rStyle w:val="26"/>
          <w:rFonts w:hint="eastAsia" w:ascii="仿宋" w:hAnsi="仿宋" w:eastAsia="仿宋"/>
          <w:b w:val="0"/>
          <w:bCs w:val="0"/>
        </w:rPr>
        <w:t>财政拨款“三公”经费支出决算表</w:t>
      </w:r>
      <w:bookmarkEnd w:id="99"/>
    </w:p>
    <w:p w14:paraId="1F1199A1">
      <w:pPr>
        <w:rPr>
          <w:rFonts w:eastAsia="仿宋"/>
        </w:rPr>
      </w:pPr>
    </w:p>
    <w:sectPr>
      <w:pgSz w:w="11906" w:h="16838"/>
      <w:pgMar w:top="1440" w:right="1803" w:bottom="1440" w:left="1803" w:header="851" w:footer="992" w:gutter="0"/>
      <w:cols w:space="0" w:num="1"/>
      <w:titlePg/>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0204E1">
    <w:pPr>
      <w:pStyle w:val="8"/>
      <w:jc w:val="center"/>
    </w:pPr>
  </w:p>
  <w:p w14:paraId="0988AF47">
    <w:pPr>
      <w:pStyle w:val="8"/>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7ADED5">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A57C557">
                          <w:pPr>
                            <w:pStyle w:val="8"/>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rBCXA3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R+vqQ9U9&#10;wBxaFrZ6Z3lME6XydnUMkDYpHgXqVEGn4gGTmHrWb00c9T/PKerx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awQlwNwIAAHEEAAAOAAAAAAAAAAEAIAAAAB8BAABkcnMvZTJvRG9jLnht&#10;bFBLBQYAAAAABgAGAFkBAADIBQAAAAA=&#10;">
              <v:fill on="f" focussize="0,0"/>
              <v:stroke on="f" weight="0.5pt"/>
              <v:imagedata o:title=""/>
              <o:lock v:ext="edit" aspectratio="f"/>
              <v:textbox inset="0mm,0mm,0mm,0mm" style="mso-fit-shape-to-text:t;">
                <w:txbxContent>
                  <w:p w14:paraId="2A57C557">
                    <w:pPr>
                      <w:pStyle w:val="8"/>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629CB0">
    <w:pPr>
      <w:pStyle w:val="8"/>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1591291">
                          <w:pPr>
                            <w:pStyle w:val="8"/>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zQzU3AgAAc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zqGCvSNPQwkVJXerRCu297&#10;nntTnEHTmW5SvOWbGqVsmQ8PzGE0UD4eT7jHUkqDlKa3KKmM+/Kv8xiPjsFLSYNRy6nGy6JEvtfo&#10;JADDYLjB2A+GPqo7g9lFc1BLMnHBBTmYpTPqM17UKuaAi2mOTDkNg3kXunHHi+RitUpBR+vqQ9Vd&#10;wBxaFrZ6Z3lME6XydnUMkDYpHgXqVEGn4gaTmHrWv5o46n/uU9Tj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7c0M1NwIAAHEEAAAOAAAAAAAAAAEAIAAAAB8BAABkcnMvZTJvRG9jLnht&#10;bFBLBQYAAAAABgAGAFkBAADIBQAAAAA=&#10;">
              <v:fill on="f" focussize="0,0"/>
              <v:stroke on="f" weight="0.5pt"/>
              <v:imagedata o:title=""/>
              <o:lock v:ext="edit" aspectratio="f"/>
              <v:textbox inset="0mm,0mm,0mm,0mm" style="mso-fit-shape-to-text:t;">
                <w:txbxContent>
                  <w:p w14:paraId="21591291">
                    <w:pPr>
                      <w:pStyle w:val="8"/>
                    </w:pPr>
                    <w:r>
                      <w:fldChar w:fldCharType="begin"/>
                    </w:r>
                    <w:r>
                      <w:instrText xml:space="preserve"> PAGE  \* MERGEFORMAT </w:instrText>
                    </w:r>
                    <w:r>
                      <w:fldChar w:fldCharType="separate"/>
                    </w:r>
                    <w:r>
                      <w:t>24</w:t>
                    </w:r>
                    <w:r>
                      <w:fldChar w:fldCharType="end"/>
                    </w:r>
                  </w:p>
                </w:txbxContent>
              </v:textbox>
            </v:shape>
          </w:pict>
        </mc:Fallback>
      </mc:AlternateContent>
    </w:r>
  </w:p>
  <w:p w14:paraId="34158A36">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491FF3">
    <w:pPr>
      <w:pStyle w:val="8"/>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3517663">
                          <w:pPr>
                            <w:pStyle w:val="8"/>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t59vU4AgAAcA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a3n29TgCAABwBAAADgAAAAAAAAABACAAAAAfAQAAZHJzL2Uyb0RvYy54&#10;bWxQSwUGAAAAAAYABgBZAQAAyQUAAAAA&#10;">
              <v:fill on="f" focussize="0,0"/>
              <v:stroke on="f" weight="0.5pt"/>
              <v:imagedata o:title=""/>
              <o:lock v:ext="edit" aspectratio="f"/>
              <v:textbox inset="0mm,0mm,0mm,0mm" style="mso-fit-shape-to-text:t;">
                <w:txbxContent>
                  <w:p w14:paraId="73517663">
                    <w:pPr>
                      <w:pStyle w:val="8"/>
                    </w:pPr>
                    <w:r>
                      <w:fldChar w:fldCharType="begin"/>
                    </w:r>
                    <w:r>
                      <w:instrText xml:space="preserve"> PAGE  \* MERGEFORMAT </w:instrText>
                    </w:r>
                    <w:r>
                      <w:fldChar w:fldCharType="separate"/>
                    </w:r>
                    <w:r>
                      <w:t>25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285686">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2E49C5"/>
    <w:multiLevelType w:val="singleLevel"/>
    <w:tmpl w:val="C42E49C5"/>
    <w:lvl w:ilvl="0" w:tentative="0">
      <w:start w:val="1"/>
      <w:numFmt w:val="chineseCounting"/>
      <w:suff w:val="nothing"/>
      <w:lvlText w:val="%1、"/>
      <w:lvlJc w:val="left"/>
      <w:rPr>
        <w:rFonts w:hint="eastAsia"/>
      </w:r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420"/>
  <w:drawingGridHorizontalSpacing w:val="105"/>
  <w:drawingGridVerticalSpacing w:val="159"/>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zYWI4ZjdiZGZiMjBmNWNkOTk3YzE2YWQxNmQyZDEifQ=="/>
  </w:docVars>
  <w:rsids>
    <w:rsidRoot w:val="00F1361C"/>
    <w:rsid w:val="000222C6"/>
    <w:rsid w:val="0002549F"/>
    <w:rsid w:val="000468DB"/>
    <w:rsid w:val="0006487A"/>
    <w:rsid w:val="00065F8F"/>
    <w:rsid w:val="00070A43"/>
    <w:rsid w:val="000736D4"/>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1FE8"/>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E01C1"/>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638AA"/>
    <w:rsid w:val="00871F71"/>
    <w:rsid w:val="00872FD8"/>
    <w:rsid w:val="00885AF4"/>
    <w:rsid w:val="00893649"/>
    <w:rsid w:val="008939CD"/>
    <w:rsid w:val="008B768C"/>
    <w:rsid w:val="008C4DB1"/>
    <w:rsid w:val="008C4EAF"/>
    <w:rsid w:val="008C5176"/>
    <w:rsid w:val="008C7FD0"/>
    <w:rsid w:val="008E1DE7"/>
    <w:rsid w:val="008E707C"/>
    <w:rsid w:val="00900B08"/>
    <w:rsid w:val="00901DE7"/>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0705"/>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254BA9"/>
    <w:rsid w:val="01457570"/>
    <w:rsid w:val="031F2FB1"/>
    <w:rsid w:val="043F0511"/>
    <w:rsid w:val="04C05C8C"/>
    <w:rsid w:val="04CD4A4D"/>
    <w:rsid w:val="05314C23"/>
    <w:rsid w:val="06773E49"/>
    <w:rsid w:val="06902E7C"/>
    <w:rsid w:val="07C16533"/>
    <w:rsid w:val="086A485C"/>
    <w:rsid w:val="08A46358"/>
    <w:rsid w:val="091A6C9B"/>
    <w:rsid w:val="092A168D"/>
    <w:rsid w:val="09310CCD"/>
    <w:rsid w:val="09B607FB"/>
    <w:rsid w:val="09DF63B5"/>
    <w:rsid w:val="0A2032A3"/>
    <w:rsid w:val="0B8A37D8"/>
    <w:rsid w:val="0BE35E7C"/>
    <w:rsid w:val="0BEB4259"/>
    <w:rsid w:val="0C434FF4"/>
    <w:rsid w:val="0EC82D54"/>
    <w:rsid w:val="0FB029A1"/>
    <w:rsid w:val="10923E54"/>
    <w:rsid w:val="10A03C51"/>
    <w:rsid w:val="10A73F01"/>
    <w:rsid w:val="10C055FF"/>
    <w:rsid w:val="11765FEF"/>
    <w:rsid w:val="118107EC"/>
    <w:rsid w:val="11DD6519"/>
    <w:rsid w:val="11E24299"/>
    <w:rsid w:val="11E4478E"/>
    <w:rsid w:val="121A6898"/>
    <w:rsid w:val="12C0114D"/>
    <w:rsid w:val="136151FC"/>
    <w:rsid w:val="13A917F7"/>
    <w:rsid w:val="14CB534A"/>
    <w:rsid w:val="14DB6BA2"/>
    <w:rsid w:val="15636B6C"/>
    <w:rsid w:val="15D867AD"/>
    <w:rsid w:val="15F629F5"/>
    <w:rsid w:val="160F7CF5"/>
    <w:rsid w:val="165C4B9F"/>
    <w:rsid w:val="1675334D"/>
    <w:rsid w:val="16BB723D"/>
    <w:rsid w:val="1737343F"/>
    <w:rsid w:val="176A798F"/>
    <w:rsid w:val="18015F3F"/>
    <w:rsid w:val="183D6D9C"/>
    <w:rsid w:val="194864A4"/>
    <w:rsid w:val="1A312E6E"/>
    <w:rsid w:val="1A6505DB"/>
    <w:rsid w:val="1A964B36"/>
    <w:rsid w:val="1AA40C35"/>
    <w:rsid w:val="1BE8440E"/>
    <w:rsid w:val="1C1819CF"/>
    <w:rsid w:val="1D155CEE"/>
    <w:rsid w:val="1D334A43"/>
    <w:rsid w:val="1DB91DEC"/>
    <w:rsid w:val="1DC34B22"/>
    <w:rsid w:val="1DFA6CCA"/>
    <w:rsid w:val="1E2E5180"/>
    <w:rsid w:val="1E3429EF"/>
    <w:rsid w:val="1F144E73"/>
    <w:rsid w:val="1F274302"/>
    <w:rsid w:val="1F494278"/>
    <w:rsid w:val="1F5C04BB"/>
    <w:rsid w:val="1F7D3462"/>
    <w:rsid w:val="1FD6204F"/>
    <w:rsid w:val="2022604C"/>
    <w:rsid w:val="2076170E"/>
    <w:rsid w:val="20E53DA9"/>
    <w:rsid w:val="20F57F95"/>
    <w:rsid w:val="211B5721"/>
    <w:rsid w:val="217549F7"/>
    <w:rsid w:val="21A10D23"/>
    <w:rsid w:val="21CD2F3E"/>
    <w:rsid w:val="233E1464"/>
    <w:rsid w:val="235510EC"/>
    <w:rsid w:val="240371BF"/>
    <w:rsid w:val="245A5EE0"/>
    <w:rsid w:val="25732943"/>
    <w:rsid w:val="25C741E6"/>
    <w:rsid w:val="25D24E5D"/>
    <w:rsid w:val="268421B7"/>
    <w:rsid w:val="26E94F60"/>
    <w:rsid w:val="2765048D"/>
    <w:rsid w:val="27842671"/>
    <w:rsid w:val="27D329F5"/>
    <w:rsid w:val="28534B6C"/>
    <w:rsid w:val="28AD5878"/>
    <w:rsid w:val="29FD04D3"/>
    <w:rsid w:val="2ABE7A3E"/>
    <w:rsid w:val="2AE637EB"/>
    <w:rsid w:val="2C3826C8"/>
    <w:rsid w:val="2EFA178C"/>
    <w:rsid w:val="2F753DEB"/>
    <w:rsid w:val="2F8B61E7"/>
    <w:rsid w:val="2F9823F8"/>
    <w:rsid w:val="30182170"/>
    <w:rsid w:val="30517430"/>
    <w:rsid w:val="30B46D73"/>
    <w:rsid w:val="30B5105F"/>
    <w:rsid w:val="319F7F4E"/>
    <w:rsid w:val="32A66287"/>
    <w:rsid w:val="335A484E"/>
    <w:rsid w:val="3373083E"/>
    <w:rsid w:val="33765052"/>
    <w:rsid w:val="3390099F"/>
    <w:rsid w:val="33BD7F35"/>
    <w:rsid w:val="34441786"/>
    <w:rsid w:val="359F0C3E"/>
    <w:rsid w:val="360D30D4"/>
    <w:rsid w:val="362B1604"/>
    <w:rsid w:val="36687282"/>
    <w:rsid w:val="36F15979"/>
    <w:rsid w:val="375459D8"/>
    <w:rsid w:val="388A1731"/>
    <w:rsid w:val="38CC295C"/>
    <w:rsid w:val="394231C4"/>
    <w:rsid w:val="39AE70AB"/>
    <w:rsid w:val="3A303161"/>
    <w:rsid w:val="3A640B2C"/>
    <w:rsid w:val="3B361297"/>
    <w:rsid w:val="3B4A3072"/>
    <w:rsid w:val="3B702D0A"/>
    <w:rsid w:val="3C0C0783"/>
    <w:rsid w:val="3C8D7A42"/>
    <w:rsid w:val="3C9227A7"/>
    <w:rsid w:val="3C947C5C"/>
    <w:rsid w:val="3E3A290E"/>
    <w:rsid w:val="3E5C76CC"/>
    <w:rsid w:val="3E78202C"/>
    <w:rsid w:val="3F5C7D12"/>
    <w:rsid w:val="3F9F3A96"/>
    <w:rsid w:val="3FAC68AA"/>
    <w:rsid w:val="4024617A"/>
    <w:rsid w:val="406B6A21"/>
    <w:rsid w:val="406D5354"/>
    <w:rsid w:val="413F6365"/>
    <w:rsid w:val="41483F38"/>
    <w:rsid w:val="42002A64"/>
    <w:rsid w:val="42666D6B"/>
    <w:rsid w:val="432F5FED"/>
    <w:rsid w:val="43697068"/>
    <w:rsid w:val="437817D5"/>
    <w:rsid w:val="43CC52F4"/>
    <w:rsid w:val="452D47A4"/>
    <w:rsid w:val="464E04AD"/>
    <w:rsid w:val="47CF4745"/>
    <w:rsid w:val="481D46A7"/>
    <w:rsid w:val="489606D1"/>
    <w:rsid w:val="48D76FE1"/>
    <w:rsid w:val="493C27E9"/>
    <w:rsid w:val="496F39ED"/>
    <w:rsid w:val="4979505A"/>
    <w:rsid w:val="4990798C"/>
    <w:rsid w:val="49B7710D"/>
    <w:rsid w:val="49FF41D3"/>
    <w:rsid w:val="4ADD7DE7"/>
    <w:rsid w:val="4BE068DB"/>
    <w:rsid w:val="4BED5EEE"/>
    <w:rsid w:val="4BF6002B"/>
    <w:rsid w:val="4C2D49E9"/>
    <w:rsid w:val="4C624C58"/>
    <w:rsid w:val="4CC4764D"/>
    <w:rsid w:val="4CE03BBE"/>
    <w:rsid w:val="4CFF4044"/>
    <w:rsid w:val="4E1E6055"/>
    <w:rsid w:val="4E501D7D"/>
    <w:rsid w:val="4ECE2238"/>
    <w:rsid w:val="4EF23735"/>
    <w:rsid w:val="4F300D96"/>
    <w:rsid w:val="4F97381A"/>
    <w:rsid w:val="50A767D4"/>
    <w:rsid w:val="50BB6EA5"/>
    <w:rsid w:val="50C438B8"/>
    <w:rsid w:val="51DB4B86"/>
    <w:rsid w:val="52383BF4"/>
    <w:rsid w:val="526811C1"/>
    <w:rsid w:val="5325057D"/>
    <w:rsid w:val="532E7431"/>
    <w:rsid w:val="539820DA"/>
    <w:rsid w:val="539F2D17"/>
    <w:rsid w:val="53D762DF"/>
    <w:rsid w:val="55333C3E"/>
    <w:rsid w:val="55501DDF"/>
    <w:rsid w:val="558772CD"/>
    <w:rsid w:val="55C755E0"/>
    <w:rsid w:val="562156F5"/>
    <w:rsid w:val="57875151"/>
    <w:rsid w:val="57AA68BE"/>
    <w:rsid w:val="58382B00"/>
    <w:rsid w:val="587C0C3F"/>
    <w:rsid w:val="58982421"/>
    <w:rsid w:val="58BF15F0"/>
    <w:rsid w:val="597C7B91"/>
    <w:rsid w:val="599D3949"/>
    <w:rsid w:val="59BD208B"/>
    <w:rsid w:val="59FA039C"/>
    <w:rsid w:val="5B1E5490"/>
    <w:rsid w:val="5B2E1D2D"/>
    <w:rsid w:val="5B372BFB"/>
    <w:rsid w:val="5BF820B8"/>
    <w:rsid w:val="5CD2776D"/>
    <w:rsid w:val="5DB46E67"/>
    <w:rsid w:val="5DE62663"/>
    <w:rsid w:val="5E186C77"/>
    <w:rsid w:val="5E684BD8"/>
    <w:rsid w:val="5ED73318"/>
    <w:rsid w:val="5FAC19D9"/>
    <w:rsid w:val="604E34A2"/>
    <w:rsid w:val="60FB7B42"/>
    <w:rsid w:val="61C242D9"/>
    <w:rsid w:val="62031FFB"/>
    <w:rsid w:val="62951AC2"/>
    <w:rsid w:val="633F7E12"/>
    <w:rsid w:val="63462647"/>
    <w:rsid w:val="63E47698"/>
    <w:rsid w:val="64486CB6"/>
    <w:rsid w:val="64BE01BC"/>
    <w:rsid w:val="64CA39A1"/>
    <w:rsid w:val="653D52B2"/>
    <w:rsid w:val="65425D45"/>
    <w:rsid w:val="65540B1E"/>
    <w:rsid w:val="65DF609E"/>
    <w:rsid w:val="66076194"/>
    <w:rsid w:val="66551C4A"/>
    <w:rsid w:val="66855163"/>
    <w:rsid w:val="66AA24CB"/>
    <w:rsid w:val="66E22CF2"/>
    <w:rsid w:val="67087745"/>
    <w:rsid w:val="67D56C28"/>
    <w:rsid w:val="67F4570A"/>
    <w:rsid w:val="682B7F8C"/>
    <w:rsid w:val="686E24C2"/>
    <w:rsid w:val="691A6407"/>
    <w:rsid w:val="6A1C2A31"/>
    <w:rsid w:val="6B4F5D3F"/>
    <w:rsid w:val="6B815B3B"/>
    <w:rsid w:val="6B9D2F4E"/>
    <w:rsid w:val="6BB26425"/>
    <w:rsid w:val="6C4A05C8"/>
    <w:rsid w:val="6C8E6038"/>
    <w:rsid w:val="6CD75DC0"/>
    <w:rsid w:val="6CFA357F"/>
    <w:rsid w:val="6E277803"/>
    <w:rsid w:val="706A6832"/>
    <w:rsid w:val="715B710B"/>
    <w:rsid w:val="71807FD6"/>
    <w:rsid w:val="71B07493"/>
    <w:rsid w:val="71C94AD1"/>
    <w:rsid w:val="72572EB0"/>
    <w:rsid w:val="725B7B36"/>
    <w:rsid w:val="72734D90"/>
    <w:rsid w:val="73186D71"/>
    <w:rsid w:val="73BF0CBC"/>
    <w:rsid w:val="75B75ABB"/>
    <w:rsid w:val="765B1A3C"/>
    <w:rsid w:val="76F34012"/>
    <w:rsid w:val="77E84BE4"/>
    <w:rsid w:val="7891051A"/>
    <w:rsid w:val="78F271CC"/>
    <w:rsid w:val="79E7B28D"/>
    <w:rsid w:val="7A21770D"/>
    <w:rsid w:val="7A5B16D3"/>
    <w:rsid w:val="7ACC2C39"/>
    <w:rsid w:val="7ACF29F8"/>
    <w:rsid w:val="7AD34C58"/>
    <w:rsid w:val="7C606577"/>
    <w:rsid w:val="7D0E502D"/>
    <w:rsid w:val="7E4F3A42"/>
    <w:rsid w:val="7E520F7B"/>
    <w:rsid w:val="7F9F20EE"/>
    <w:rsid w:val="9E3A10E2"/>
    <w:rsid w:val="F2E1F9D4"/>
    <w:rsid w:val="F788081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2"/>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8"/>
    <w:semiHidden/>
    <w:unhideWhenUsed/>
    <w:qFormat/>
    <w:uiPriority w:val="99"/>
    <w:rPr>
      <w:sz w:val="18"/>
      <w:szCs w:val="18"/>
    </w:rPr>
  </w:style>
  <w:style w:type="paragraph" w:styleId="8">
    <w:name w:val="footer"/>
    <w:basedOn w:val="1"/>
    <w:link w:val="20"/>
    <w:autoRedefine/>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8"/>
    <w:autoRedefine/>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autoRedefine/>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autoRedefine/>
    <w:unhideWhenUsed/>
    <w:qFormat/>
    <w:uiPriority w:val="39"/>
    <w:pPr>
      <w:tabs>
        <w:tab w:val="right" w:leader="dot" w:pos="8296"/>
      </w:tabs>
      <w:ind w:left="420" w:leftChars="200"/>
    </w:pPr>
  </w:style>
  <w:style w:type="character" w:styleId="14">
    <w:name w:val="Strong"/>
    <w:basedOn w:val="13"/>
    <w:autoRedefine/>
    <w:qFormat/>
    <w:uiPriority w:val="99"/>
    <w:rPr>
      <w:b/>
    </w:rPr>
  </w:style>
  <w:style w:type="character" w:styleId="15">
    <w:name w:val="Hyperlink"/>
    <w:basedOn w:val="13"/>
    <w:unhideWhenUsed/>
    <w:qFormat/>
    <w:uiPriority w:val="99"/>
    <w:rPr>
      <w:color w:val="3399FF" w:themeColor="hyperlink"/>
      <w:u w:val="single"/>
      <w14:textFill>
        <w14:solidFill>
          <w14:schemeClr w14:val="hlink"/>
        </w14:solidFill>
      </w14:textFill>
    </w:rPr>
  </w:style>
  <w:style w:type="paragraph" w:customStyle="1" w:styleId="16">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17">
    <w:name w:val="Header Char"/>
    <w:basedOn w:val="13"/>
    <w:autoRedefine/>
    <w:semiHidden/>
    <w:qFormat/>
    <w:uiPriority w:val="99"/>
    <w:rPr>
      <w:rFonts w:ascii="Times New Roman" w:hAnsi="Times New Roman"/>
      <w:sz w:val="18"/>
      <w:szCs w:val="18"/>
    </w:rPr>
  </w:style>
  <w:style w:type="character" w:customStyle="1" w:styleId="18">
    <w:name w:val="页眉 Char"/>
    <w:link w:val="9"/>
    <w:autoRedefine/>
    <w:semiHidden/>
    <w:qFormat/>
    <w:locked/>
    <w:uiPriority w:val="99"/>
    <w:rPr>
      <w:sz w:val="18"/>
    </w:rPr>
  </w:style>
  <w:style w:type="character" w:customStyle="1" w:styleId="19">
    <w:name w:val="Footer Char"/>
    <w:basedOn w:val="13"/>
    <w:semiHidden/>
    <w:qFormat/>
    <w:uiPriority w:val="99"/>
    <w:rPr>
      <w:rFonts w:ascii="Times New Roman" w:hAnsi="Times New Roman"/>
      <w:sz w:val="18"/>
      <w:szCs w:val="18"/>
    </w:rPr>
  </w:style>
  <w:style w:type="character" w:customStyle="1" w:styleId="20">
    <w:name w:val="页脚 Char"/>
    <w:link w:val="8"/>
    <w:autoRedefine/>
    <w:qFormat/>
    <w:locked/>
    <w:uiPriority w:val="99"/>
    <w:rPr>
      <w:sz w:val="18"/>
    </w:rPr>
  </w:style>
  <w:style w:type="character" w:customStyle="1" w:styleId="21">
    <w:name w:val="Body Text Char"/>
    <w:basedOn w:val="13"/>
    <w:autoRedefine/>
    <w:semiHidden/>
    <w:qFormat/>
    <w:uiPriority w:val="99"/>
    <w:rPr>
      <w:rFonts w:ascii="Times New Roman" w:hAnsi="Times New Roman"/>
      <w:szCs w:val="24"/>
    </w:rPr>
  </w:style>
  <w:style w:type="character" w:customStyle="1" w:styleId="22">
    <w:name w:val="正文文本 Char"/>
    <w:link w:val="5"/>
    <w:autoRedefine/>
    <w:qFormat/>
    <w:locked/>
    <w:uiPriority w:val="99"/>
    <w:rPr>
      <w:rFonts w:ascii="仿宋_GB2312" w:hAnsi="Times New Roman" w:eastAsia="仿宋_GB2312"/>
      <w:sz w:val="24"/>
    </w:rPr>
  </w:style>
  <w:style w:type="paragraph" w:customStyle="1" w:styleId="23">
    <w:name w:val="Default"/>
    <w:autoRedefine/>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4">
    <w:name w:val="List Paragraph"/>
    <w:basedOn w:val="1"/>
    <w:autoRedefine/>
    <w:qFormat/>
    <w:uiPriority w:val="34"/>
    <w:pPr>
      <w:ind w:firstLine="420" w:firstLineChars="200"/>
    </w:pPr>
  </w:style>
  <w:style w:type="character" w:customStyle="1" w:styleId="25">
    <w:name w:val="标题 1 Char"/>
    <w:basedOn w:val="13"/>
    <w:link w:val="2"/>
    <w:autoRedefine/>
    <w:qFormat/>
    <w:uiPriority w:val="9"/>
    <w:rPr>
      <w:rFonts w:ascii="Times New Roman" w:hAnsi="Times New Roman"/>
      <w:b/>
      <w:bCs/>
      <w:kern w:val="44"/>
      <w:sz w:val="44"/>
      <w:szCs w:val="44"/>
    </w:rPr>
  </w:style>
  <w:style w:type="character" w:customStyle="1" w:styleId="26">
    <w:name w:val="标题 2 Char"/>
    <w:basedOn w:val="13"/>
    <w:link w:val="3"/>
    <w:autoRedefine/>
    <w:qFormat/>
    <w:uiPriority w:val="9"/>
    <w:rPr>
      <w:rFonts w:asciiTheme="majorHAnsi" w:hAnsiTheme="majorHAnsi" w:eastAsiaTheme="majorEastAsia" w:cstheme="majorBidi"/>
      <w:b/>
      <w:bCs/>
      <w:kern w:val="2"/>
      <w:sz w:val="32"/>
      <w:szCs w:val="32"/>
    </w:rPr>
  </w:style>
  <w:style w:type="paragraph" w:customStyle="1" w:styleId="27">
    <w:name w:val="TOC 标题1"/>
    <w:basedOn w:val="2"/>
    <w:next w:val="1"/>
    <w:autoRedefine/>
    <w:unhideWhenUsed/>
    <w:qFormat/>
    <w:uiPriority w:val="39"/>
    <w:pPr>
      <w:widowControl/>
      <w:spacing w:before="480" w:after="0" w:line="276" w:lineRule="auto"/>
      <w:jc w:val="left"/>
      <w:outlineLvl w:val="9"/>
    </w:pPr>
    <w:rPr>
      <w:rFonts w:asciiTheme="majorHAnsi" w:hAnsiTheme="majorHAnsi" w:eastAsiaTheme="majorEastAsia" w:cstheme="majorBidi"/>
      <w:color w:val="42568D" w:themeColor="accent1" w:themeShade="BF"/>
      <w:kern w:val="0"/>
      <w:sz w:val="28"/>
      <w:szCs w:val="28"/>
    </w:rPr>
  </w:style>
  <w:style w:type="character" w:customStyle="1" w:styleId="28">
    <w:name w:val="批注框文本 Char"/>
    <w:basedOn w:val="13"/>
    <w:link w:val="7"/>
    <w:autoRedefine/>
    <w:semiHidden/>
    <w:qFormat/>
    <w:uiPriority w:val="99"/>
    <w:rPr>
      <w:rFonts w:ascii="Times New Roman" w:hAnsi="Times New Roman"/>
      <w:kern w:val="2"/>
      <w:sz w:val="18"/>
      <w:szCs w:val="18"/>
    </w:rPr>
  </w:style>
  <w:style w:type="character" w:customStyle="1" w:styleId="29">
    <w:name w:val="标题 3 Char"/>
    <w:basedOn w:val="13"/>
    <w:link w:val="4"/>
    <w:autoRedefine/>
    <w:qFormat/>
    <w:uiPriority w:val="9"/>
    <w:rPr>
      <w:rFonts w:ascii="Times New Roman" w:hAnsi="Times New Roman"/>
      <w:b/>
      <w:bCs/>
      <w:kern w:val="2"/>
      <w:sz w:val="32"/>
      <w:szCs w:val="32"/>
    </w:rPr>
  </w:style>
  <w:style w:type="paragraph" w:customStyle="1" w:styleId="30">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42568D" w:themeColor="accent1" w:themeShade="BF"/>
      <w:kern w:val="0"/>
      <w:sz w:val="28"/>
      <w:szCs w:val="28"/>
    </w:rPr>
  </w:style>
  <w:style w:type="paragraph" w:customStyle="1" w:styleId="31">
    <w:name w:val="WPSOffice手动目录 1"/>
    <w:autoRedefine/>
    <w:qFormat/>
    <w:uiPriority w:val="0"/>
    <w:rPr>
      <w:rFonts w:ascii="Calibri" w:hAnsi="Calibri" w:eastAsia="宋体" w:cs="Times New Roman"/>
      <w:lang w:val="en-US" w:eastAsia="zh-CN" w:bidi="ar-SA"/>
    </w:rPr>
  </w:style>
  <w:style w:type="paragraph" w:customStyle="1" w:styleId="32">
    <w:name w:val="WPSOffice手动目录 2"/>
    <w:qFormat/>
    <w:uiPriority w:val="0"/>
    <w:pPr>
      <w:ind w:left="200" w:leftChars="200"/>
    </w:pPr>
    <w:rPr>
      <w:rFonts w:ascii="Calibri" w:hAnsi="Calibri" w:eastAsia="宋体" w:cs="Times New Roman"/>
      <w:lang w:val="en-US" w:eastAsia="zh-CN" w:bidi="ar-SA"/>
    </w:rPr>
  </w:style>
  <w:style w:type="paragraph" w:customStyle="1" w:styleId="33">
    <w:name w:val="WPSOffice手动目录 3"/>
    <w:autoRedefine/>
    <w:qFormat/>
    <w:uiPriority w:val="0"/>
    <w:pPr>
      <w:ind w:left="400" w:leftChars="400"/>
    </w:pPr>
    <w:rPr>
      <w:rFonts w:ascii="Calibri" w:hAnsi="Calibri"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hart" Target="charts/chart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chart" Target="charts/chart7.xml"/><Relationship Id="rId14" Type="http://schemas.openxmlformats.org/officeDocument/2006/relationships/chart" Target="charts/chart6.xml"/><Relationship Id="rId13" Type="http://schemas.openxmlformats.org/officeDocument/2006/relationships/chart" Target="charts/chart5.xml"/><Relationship Id="rId12" Type="http://schemas.openxmlformats.org/officeDocument/2006/relationships/chart" Target="charts/chart4.xml"/><Relationship Id="rId11" Type="http://schemas.openxmlformats.org/officeDocument/2006/relationships/chart" Target="charts/chart3.xml"/><Relationship Id="rId10" Type="http://schemas.openxmlformats.org/officeDocument/2006/relationships/chart" Target="charts/chart2.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7.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spc="0" baseline="0">
                <a:solidFill>
                  <a:schemeClr val="tx1">
                    <a:lumMod val="65000"/>
                    <a:lumOff val="35000"/>
                  </a:schemeClr>
                </a:solidFill>
                <a:latin typeface="+mn-lt"/>
                <a:ea typeface="+mn-ea"/>
                <a:cs typeface="+mn-cs"/>
              </a:defRPr>
            </a:pPr>
            <a:r>
              <a:rPr lang="en-US" altLang="zh-CN" sz="1400" b="1"/>
              <a:t>2023</a:t>
            </a:r>
            <a:r>
              <a:rPr altLang="en-US" sz="1400" b="1"/>
              <a:t>年收、支决算变动情况表</a:t>
            </a:r>
            <a:r>
              <a:rPr lang="en-US" altLang="zh-CN" sz="1400" b="1"/>
              <a:t> </a:t>
            </a:r>
            <a:endParaRPr lang="en-US" altLang="zh-CN" sz="1400" b="1"/>
          </a:p>
          <a:p>
            <a:pPr defTabSz="914400">
              <a:defRPr lang="zh-CN" sz="1400" b="1" i="0" u="none" strike="noStrike" kern="1200" spc="0" baseline="0">
                <a:solidFill>
                  <a:schemeClr val="tx1">
                    <a:lumMod val="65000"/>
                    <a:lumOff val="35000"/>
                  </a:schemeClr>
                </a:solidFill>
                <a:latin typeface="+mn-lt"/>
                <a:ea typeface="+mn-ea"/>
                <a:cs typeface="+mn-cs"/>
              </a:defRPr>
            </a:pPr>
            <a:r>
              <a:rPr altLang="en-US" sz="1000" b="1"/>
              <a:t>单位（万元）</a:t>
            </a:r>
            <a:endParaRPr lang="en-US" altLang="en-US" sz="1000" b="1"/>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收入</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2022年</c:v>
                </c:pt>
                <c:pt idx="1">
                  <c:v>2023年</c:v>
                </c:pt>
              </c:strCache>
            </c:strRef>
          </c:cat>
          <c:val>
            <c:numRef>
              <c:f>Sheet1!$B$2:$B$3</c:f>
              <c:numCache>
                <c:formatCode>#,##0.00</c:formatCode>
                <c:ptCount val="2"/>
                <c:pt idx="0">
                  <c:v>1890.66</c:v>
                </c:pt>
                <c:pt idx="1">
                  <c:v>2409.27</c:v>
                </c:pt>
              </c:numCache>
            </c:numRef>
          </c:val>
        </c:ser>
        <c:ser>
          <c:idx val="1"/>
          <c:order val="1"/>
          <c:tx>
            <c:strRef>
              <c:f>Sheet1!$C$1</c:f>
              <c:strCache>
                <c:ptCount val="1"/>
                <c:pt idx="0">
                  <c:v>支出</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2022年</c:v>
                </c:pt>
                <c:pt idx="1">
                  <c:v>2023年</c:v>
                </c:pt>
              </c:strCache>
            </c:strRef>
          </c:cat>
          <c:val>
            <c:numRef>
              <c:f>Sheet1!$C$2:$C$3</c:f>
              <c:numCache>
                <c:formatCode>#,##0.00</c:formatCode>
                <c:ptCount val="2"/>
                <c:pt idx="0">
                  <c:v>1890.66</c:v>
                </c:pt>
                <c:pt idx="1">
                  <c:v>2409.27</c:v>
                </c:pt>
              </c:numCache>
            </c:numRef>
          </c:val>
        </c:ser>
        <c:dLbls>
          <c:showLegendKey val="0"/>
          <c:showVal val="1"/>
          <c:showCatName val="0"/>
          <c:showSerName val="0"/>
          <c:showPercent val="0"/>
          <c:showBubbleSize val="0"/>
        </c:dLbls>
        <c:gapWidth val="219"/>
        <c:overlap val="-27"/>
        <c:axId val="45109632"/>
        <c:axId val="45111168"/>
      </c:barChart>
      <c:catAx>
        <c:axId val="45109632"/>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5111168"/>
        <c:crosses val="autoZero"/>
        <c:auto val="1"/>
        <c:lblAlgn val="ctr"/>
        <c:lblOffset val="100"/>
        <c:noMultiLvlLbl val="0"/>
      </c:catAx>
      <c:valAx>
        <c:axId val="4511116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00"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5109632"/>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2092914d-0020-46dc-a28a-69dd310a1f27}"/>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spc="0" baseline="0">
                <a:solidFill>
                  <a:schemeClr val="tx1">
                    <a:lumMod val="65000"/>
                    <a:lumOff val="35000"/>
                  </a:schemeClr>
                </a:solidFill>
                <a:latin typeface="+mn-lt"/>
                <a:ea typeface="+mn-ea"/>
                <a:cs typeface="+mn-cs"/>
              </a:defRPr>
            </a:pPr>
            <a:r>
              <a:rPr lang="en-US" altLang="zh-CN" sz="1400" b="1"/>
              <a:t>2023</a:t>
            </a:r>
            <a:r>
              <a:rPr altLang="en-US" sz="1400" b="1"/>
              <a:t>年收入决算结构图</a:t>
            </a:r>
            <a:endParaRPr lang="en-US" altLang="zh-CN" sz="1400" b="1"/>
          </a:p>
        </c:rich>
      </c:tx>
      <c:layout/>
      <c:overlay val="0"/>
      <c:spPr>
        <a:noFill/>
        <a:ln>
          <a:noFill/>
        </a:ln>
        <a:effectLst/>
      </c:spPr>
    </c:title>
    <c:autoTitleDeleted val="0"/>
    <c:plotArea>
      <c:layout/>
      <c:pieChart>
        <c:varyColors val="1"/>
        <c:ser>
          <c:idx val="0"/>
          <c:order val="0"/>
          <c:tx>
            <c:strRef>
              <c:f>Sheet1!$B$1</c:f>
              <c:strCache>
                <c:ptCount val="1"/>
                <c:pt idx="0">
                  <c:v>本年收入</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Lbl>
              <c:idx val="0"/>
              <c:layout>
                <c:manualLayout>
                  <c:x val="0.15158820725159"/>
                  <c:y val="-0.072222536496462"/>
                </c:manualLayout>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lang="en-US" altLang="zh-CN"/>
                      <a:t>2308.71</a:t>
                    </a:r>
                    <a:r>
                      <a:t>万元</a:t>
                    </a:r>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lang="en-US" altLang="zh-CN"/>
                      <a:t>56.13</a:t>
                    </a:r>
                    <a:r>
                      <a:t>万元</a:t>
                    </a:r>
                  </a:p>
                </c:rich>
              </c:tx>
              <c:dLblPos val="bestFi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一般公共预算拨款</c:v>
                </c:pt>
                <c:pt idx="1">
                  <c:v>其他收入</c:v>
                </c:pt>
              </c:strCache>
            </c:strRef>
          </c:cat>
          <c:val>
            <c:numRef>
              <c:f>Sheet1!$B$2:$B$3</c:f>
              <c:numCache>
                <c:formatCode>General</c:formatCode>
                <c:ptCount val="2"/>
                <c:pt idx="0">
                  <c:v>2308.71</c:v>
                </c:pt>
                <c:pt idx="1">
                  <c:v>56.13</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extLst>
      <c:ext uri="{0b15fc19-7d7d-44ad-8c2d-2c3a37ce22c3}">
        <chartProps xmlns="https://web.wps.cn/et/2018/main" chartId="{b9198d89-a7c6-4439-a6f1-394883ed0c40}"/>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spc="0" baseline="0">
                <a:solidFill>
                  <a:schemeClr val="tx1">
                    <a:lumMod val="65000"/>
                    <a:lumOff val="35000"/>
                  </a:schemeClr>
                </a:solidFill>
                <a:latin typeface="+mn-lt"/>
                <a:ea typeface="+mn-ea"/>
                <a:cs typeface="+mn-cs"/>
              </a:defRPr>
            </a:pPr>
            <a:r>
              <a:rPr lang="en-US" altLang="zh-CN" sz="1400" b="1"/>
              <a:t>2023</a:t>
            </a:r>
            <a:r>
              <a:rPr altLang="en-US" sz="1400" b="1"/>
              <a:t>年支出决算结构图</a:t>
            </a:r>
            <a:endParaRPr lang="en-US" altLang="zh-CN" sz="1400" b="1"/>
          </a:p>
        </c:rich>
      </c:tx>
      <c:layout/>
      <c:overlay val="0"/>
      <c:spPr>
        <a:noFill/>
        <a:ln>
          <a:noFill/>
        </a:ln>
        <a:effectLst/>
      </c:spPr>
    </c:title>
    <c:autoTitleDeleted val="0"/>
    <c:plotArea>
      <c:layout/>
      <c:pieChart>
        <c:varyColors val="1"/>
        <c:ser>
          <c:idx val="0"/>
          <c:order val="0"/>
          <c:tx>
            <c:strRef>
              <c:f>Sheet1!$B$1</c:f>
              <c:strCache>
                <c:ptCount val="1"/>
                <c:pt idx="0">
                  <c:v>支出</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Lbl>
              <c:idx val="0"/>
              <c:layout>
                <c:manualLayout>
                  <c:x val="0.110926201259294"/>
                  <c:y val="-0.0463381534075923"/>
                </c:manualLayout>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lang="en-US" altLang="zh-CN"/>
                      <a:t>2325.37</a:t>
                    </a:r>
                    <a:r>
                      <a:t>万元</a:t>
                    </a:r>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lang="en-US" altLang="zh-CN"/>
                      <a:t>83.90</a:t>
                    </a:r>
                    <a:r>
                      <a:t>万元</a:t>
                    </a:r>
                  </a:p>
                </c:rich>
              </c:tx>
              <c:dLblPos val="bestFi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2325.36</c:v>
                </c:pt>
                <c:pt idx="1">
                  <c:v>83.9</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extLst>
      <c:ext uri="{0b15fc19-7d7d-44ad-8c2d-2c3a37ce22c3}">
        <chartProps xmlns="https://web.wps.cn/et/2018/main" chartId="{24d75cab-75ec-43a9-a4a9-3feaf96b49be}"/>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spc="0" baseline="0">
                <a:solidFill>
                  <a:schemeClr val="tx1">
                    <a:lumMod val="65000"/>
                    <a:lumOff val="35000"/>
                  </a:schemeClr>
                </a:solidFill>
                <a:latin typeface="+mn-lt"/>
                <a:ea typeface="+mn-ea"/>
                <a:cs typeface="+mn-cs"/>
              </a:defRPr>
            </a:pPr>
            <a:r>
              <a:rPr altLang="en-US" sz="1400" b="1"/>
              <a:t>财政拨款收、支出总体变动情况</a:t>
            </a:r>
            <a:endParaRPr altLang="en-US" sz="1400" b="1"/>
          </a:p>
          <a:p>
            <a:pPr defTabSz="914400">
              <a:defRPr lang="zh-CN" sz="1400" b="1" i="0" u="none" strike="noStrike" kern="1200" spc="0" baseline="0">
                <a:solidFill>
                  <a:schemeClr val="tx1">
                    <a:lumMod val="65000"/>
                    <a:lumOff val="35000"/>
                  </a:schemeClr>
                </a:solidFill>
                <a:latin typeface="+mn-lt"/>
                <a:ea typeface="+mn-ea"/>
                <a:cs typeface="+mn-cs"/>
              </a:defRPr>
            </a:pPr>
            <a:r>
              <a:rPr altLang="en-US" sz="1000" b="1"/>
              <a:t>单位（万元）</a:t>
            </a:r>
            <a:endParaRPr lang="en-US" altLang="en-US" sz="1000" b="1"/>
          </a:p>
        </c:rich>
      </c:tx>
      <c:layout>
        <c:manualLayout>
          <c:xMode val="edge"/>
          <c:yMode val="edge"/>
          <c:x val="0.213181888425282"/>
          <c:y val="0.0381944444444444"/>
        </c:manualLayout>
      </c:layout>
      <c:overlay val="0"/>
      <c:spPr>
        <a:noFill/>
        <a:ln>
          <a:noFill/>
        </a:ln>
        <a:effectLst/>
      </c:spPr>
    </c:title>
    <c:autoTitleDeleted val="0"/>
    <c:plotArea>
      <c:layout/>
      <c:barChart>
        <c:barDir val="col"/>
        <c:grouping val="clustered"/>
        <c:varyColors val="0"/>
        <c:ser>
          <c:idx val="0"/>
          <c:order val="0"/>
          <c:tx>
            <c:strRef>
              <c:f>Sheet1!$B$1</c:f>
              <c:strCache>
                <c:ptCount val="1"/>
                <c:pt idx="0">
                  <c:v>2022年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财政拨款收入</c:v>
                </c:pt>
                <c:pt idx="1">
                  <c:v>财政拨款支出</c:v>
                </c:pt>
              </c:strCache>
            </c:strRef>
          </c:cat>
          <c:val>
            <c:numRef>
              <c:f>Sheet1!$B$2:$B$3</c:f>
              <c:numCache>
                <c:formatCode>General</c:formatCode>
                <c:ptCount val="2"/>
                <c:pt idx="0">
                  <c:v>1890.66</c:v>
                </c:pt>
                <c:pt idx="1">
                  <c:v>1890.66</c:v>
                </c:pt>
              </c:numCache>
            </c:numRef>
          </c:val>
        </c:ser>
        <c:ser>
          <c:idx val="1"/>
          <c:order val="1"/>
          <c:tx>
            <c:strRef>
              <c:f>Sheet1!$C$1</c:f>
              <c:strCache>
                <c:ptCount val="1"/>
                <c:pt idx="0">
                  <c:v>2023年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财政拨款收入</c:v>
                </c:pt>
                <c:pt idx="1">
                  <c:v>财政拨款支出</c:v>
                </c:pt>
              </c:strCache>
            </c:strRef>
          </c:cat>
          <c:val>
            <c:numRef>
              <c:f>Sheet1!$C$2:$C$3</c:f>
              <c:numCache>
                <c:formatCode>General</c:formatCode>
                <c:ptCount val="2"/>
                <c:pt idx="0">
                  <c:v>2535.13</c:v>
                </c:pt>
                <c:pt idx="1">
                  <c:v>2535.13</c:v>
                </c:pt>
              </c:numCache>
            </c:numRef>
          </c:val>
        </c:ser>
        <c:dLbls>
          <c:showLegendKey val="0"/>
          <c:showVal val="1"/>
          <c:showCatName val="0"/>
          <c:showSerName val="0"/>
          <c:showPercent val="0"/>
          <c:showBubbleSize val="0"/>
        </c:dLbls>
        <c:gapWidth val="219"/>
        <c:overlap val="-27"/>
        <c:axId val="76955648"/>
        <c:axId val="76957184"/>
      </c:barChart>
      <c:catAx>
        <c:axId val="76955648"/>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6957184"/>
        <c:crosses val="autoZero"/>
        <c:auto val="1"/>
        <c:lblAlgn val="ctr"/>
        <c:lblOffset val="100"/>
        <c:noMultiLvlLbl val="0"/>
      </c:catAx>
      <c:valAx>
        <c:axId val="76957184"/>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6955648"/>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1f020dfd-cc53-43de-a307-70c347d6b8ac}"/>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spc="0" baseline="0">
                <a:solidFill>
                  <a:schemeClr val="tx1">
                    <a:lumMod val="65000"/>
                    <a:lumOff val="35000"/>
                  </a:schemeClr>
                </a:solidFill>
                <a:latin typeface="+mn-lt"/>
                <a:ea typeface="+mn-ea"/>
                <a:cs typeface="+mn-cs"/>
              </a:defRPr>
            </a:pPr>
            <a:r>
              <a:rPr sz="1400" b="1"/>
              <a:t>一般公共预算财政拨款支出</a:t>
            </a:r>
            <a:endParaRPr sz="1400" b="1"/>
          </a:p>
        </c:rich>
      </c:tx>
      <c:layout>
        <c:manualLayout>
          <c:xMode val="edge"/>
          <c:yMode val="edge"/>
          <c:x val="0.214729105808316"/>
          <c:y val="0.0290539821730792"/>
        </c:manualLayout>
      </c:layout>
      <c:overlay val="0"/>
      <c:spPr>
        <a:noFill/>
        <a:ln>
          <a:noFill/>
        </a:ln>
        <a:effectLst/>
      </c:spPr>
    </c:title>
    <c:autoTitleDeleted val="0"/>
    <c:plotArea>
      <c:layout>
        <c:manualLayout>
          <c:layoutTarget val="inner"/>
          <c:xMode val="edge"/>
          <c:yMode val="edge"/>
          <c:x val="0.0887765419615776"/>
          <c:y val="0.176921290921755"/>
          <c:w val="0.877278636429295"/>
          <c:h val="0.666357093104249"/>
        </c:manualLayout>
      </c:layout>
      <c:barChart>
        <c:barDir val="col"/>
        <c:grouping val="clustered"/>
        <c:varyColors val="0"/>
        <c:ser>
          <c:idx val="0"/>
          <c:order val="0"/>
          <c:tx>
            <c:strRef>
              <c:f>Sheet1!$B$1</c:f>
              <c:strCache>
                <c:ptCount val="1"/>
                <c:pt idx="0">
                  <c:v>2022年</c:v>
                </c:pt>
              </c:strCache>
            </c:strRef>
          </c:tx>
          <c:spPr>
            <a:solidFill>
              <a:schemeClr val="accent1"/>
            </a:solidFill>
            <a:ln>
              <a:noFill/>
            </a:ln>
            <a:effectLst/>
          </c:spPr>
          <c:invertIfNegative val="0"/>
          <c:dLbls>
            <c:dLbl>
              <c:idx val="0"/>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lang="en-US" altLang="zh-CN"/>
                      <a:t>1890.66</a:t>
                    </a:r>
                    <a:r>
                      <a:t>万元</a:t>
                    </a:r>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c:f>
              <c:strCache>
                <c:ptCount val="1"/>
                <c:pt idx="0">
                  <c:v>一般公共预算财政拨款支出</c:v>
                </c:pt>
              </c:strCache>
            </c:strRef>
          </c:cat>
          <c:val>
            <c:numRef>
              <c:f>Sheet1!$B$2</c:f>
              <c:numCache>
                <c:formatCode>General</c:formatCode>
                <c:ptCount val="1"/>
                <c:pt idx="0">
                  <c:v>1890.66</c:v>
                </c:pt>
              </c:numCache>
            </c:numRef>
          </c:val>
        </c:ser>
        <c:ser>
          <c:idx val="1"/>
          <c:order val="1"/>
          <c:tx>
            <c:strRef>
              <c:f>Sheet1!$C$1</c:f>
              <c:strCache>
                <c:ptCount val="1"/>
                <c:pt idx="0">
                  <c:v>2023年</c:v>
                </c:pt>
              </c:strCache>
            </c:strRef>
          </c:tx>
          <c:spPr>
            <a:solidFill>
              <a:schemeClr val="accent2"/>
            </a:solidFill>
            <a:ln>
              <a:noFill/>
            </a:ln>
            <a:effectLst/>
          </c:spPr>
          <c:invertIfNegative val="0"/>
          <c:dLbls>
            <c:dLbl>
              <c:idx val="0"/>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lang="en-US" altLang="zh-CN"/>
                      <a:t>2353.13</a:t>
                    </a:r>
                    <a:r>
                      <a:t>万元</a:t>
                    </a:r>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c:f>
              <c:strCache>
                <c:ptCount val="1"/>
                <c:pt idx="0">
                  <c:v>一般公共预算财政拨款支出</c:v>
                </c:pt>
              </c:strCache>
            </c:strRef>
          </c:cat>
          <c:val>
            <c:numRef>
              <c:f>Sheet1!$C$2</c:f>
              <c:numCache>
                <c:formatCode>General</c:formatCode>
                <c:ptCount val="1"/>
                <c:pt idx="0">
                  <c:v>2535.13</c:v>
                </c:pt>
              </c:numCache>
            </c:numRef>
          </c:val>
        </c:ser>
        <c:dLbls>
          <c:showLegendKey val="0"/>
          <c:showVal val="1"/>
          <c:showCatName val="0"/>
          <c:showSerName val="0"/>
          <c:showPercent val="0"/>
          <c:showBubbleSize val="0"/>
        </c:dLbls>
        <c:gapWidth val="212"/>
        <c:overlap val="-90"/>
        <c:axId val="77273728"/>
        <c:axId val="77291904"/>
      </c:barChart>
      <c:catAx>
        <c:axId val="77273728"/>
        <c:scaling>
          <c:orientation val="minMax"/>
        </c:scaling>
        <c:delete val="1"/>
        <c:axPos val="b"/>
        <c:majorTickMark val="none"/>
        <c:minorTickMark val="none"/>
        <c:tickLblPos val="none"/>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77291904"/>
        <c:crosses val="autoZero"/>
        <c:auto val="1"/>
        <c:lblAlgn val="ctr"/>
        <c:lblOffset val="100"/>
        <c:noMultiLvlLbl val="0"/>
      </c:catAx>
      <c:valAx>
        <c:axId val="77291904"/>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7273728"/>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cb8b8ab3-268d-4809-abaa-24b373bcb36e}"/>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spc="0" baseline="0">
                <a:solidFill>
                  <a:schemeClr val="tx1">
                    <a:lumMod val="65000"/>
                    <a:lumOff val="35000"/>
                  </a:schemeClr>
                </a:solidFill>
                <a:latin typeface="+mn-lt"/>
                <a:ea typeface="+mn-ea"/>
                <a:cs typeface="+mn-cs"/>
              </a:defRPr>
            </a:pPr>
            <a:r>
              <a:rPr sz="1400" b="1"/>
              <a:t>一般公共预算财政拨款支出</a:t>
            </a:r>
            <a:r>
              <a:rPr lang="en-US" altLang="zh-CN" sz="1400" b="1"/>
              <a:t>  </a:t>
            </a:r>
            <a:endParaRPr lang="en-US" altLang="zh-CN" sz="1400" b="1"/>
          </a:p>
          <a:p>
            <a:pPr defTabSz="914400">
              <a:defRPr lang="zh-CN" sz="1400" b="1" i="0" u="none" strike="noStrike" kern="1200" spc="0" baseline="0">
                <a:solidFill>
                  <a:schemeClr val="tx1">
                    <a:lumMod val="65000"/>
                    <a:lumOff val="35000"/>
                  </a:schemeClr>
                </a:solidFill>
                <a:latin typeface="+mn-lt"/>
                <a:ea typeface="+mn-ea"/>
                <a:cs typeface="+mn-cs"/>
              </a:defRPr>
            </a:pPr>
            <a:r>
              <a:rPr altLang="en-US" sz="1000" b="1"/>
              <a:t>单位</a:t>
            </a:r>
            <a:r>
              <a:rPr lang="en-US" altLang="zh-CN" sz="1000" b="1"/>
              <a:t> (</a:t>
            </a:r>
            <a:r>
              <a:rPr altLang="en-US" sz="1000" b="1"/>
              <a:t>万元）</a:t>
            </a:r>
            <a:endParaRPr lang="en-US" altLang="en-US" sz="1000" b="1"/>
          </a:p>
        </c:rich>
      </c:tx>
      <c:layout>
        <c:manualLayout>
          <c:xMode val="edge"/>
          <c:yMode val="edge"/>
          <c:x val="0.215414382457272"/>
          <c:y val="0.0276752767527675"/>
        </c:manualLayout>
      </c:layout>
      <c:overlay val="0"/>
      <c:spPr>
        <a:noFill/>
        <a:ln>
          <a:noFill/>
        </a:ln>
        <a:effectLst/>
      </c:spPr>
    </c:title>
    <c:autoTitleDeleted val="0"/>
    <c:plotArea>
      <c:layout/>
      <c:pieChart>
        <c:varyColors val="1"/>
        <c:ser>
          <c:idx val="0"/>
          <c:order val="0"/>
          <c:tx>
            <c:strRef>
              <c:f>Sheet1!$B$1</c:f>
              <c:strCache>
                <c:ptCount val="1"/>
                <c:pt idx="0">
                  <c:v>销售额</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Lbl>
              <c:idx val="0"/>
              <c:layout>
                <c:manualLayout>
                  <c:x val="0.0309287159245086"/>
                  <c:y val="-0.185701709033557"/>
                </c:manualLayout>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lang="en-US" altLang="zh-CN"/>
                      <a:t>1601.32</a:t>
                    </a:r>
                    <a:endParaRPr lang="en-US" altLang="zh-CN"/>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510960798077102"/>
                  <c:y val="0.0359320709964415"/>
                </c:manualLayout>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lang="en-US" altLang="zh-CN"/>
                      <a:t>481.7</a:t>
                    </a:r>
                    <a:r>
                      <a:t>6</a:t>
                    </a:r>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0490696472156228"/>
                  <c:y val="0.0218748231644789"/>
                </c:manualLayout>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lang="en-US" altLang="zh-CN"/>
                      <a:t>84.6</a:t>
                    </a:r>
                    <a:r>
                      <a:t>9</a:t>
                    </a:r>
                  </a:p>
                </c:rich>
              </c:tx>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Sheet1!$A$2:$A$5</c:f>
              <c:strCache>
                <c:ptCount val="4"/>
                <c:pt idx="0">
                  <c:v>教育支出</c:v>
                </c:pt>
                <c:pt idx="1">
                  <c:v>社保保障和就业支出</c:v>
                </c:pt>
                <c:pt idx="2">
                  <c:v>卫生健康支出</c:v>
                </c:pt>
                <c:pt idx="3">
                  <c:v>住房保障支出</c:v>
                </c:pt>
              </c:strCache>
            </c:strRef>
          </c:cat>
          <c:val>
            <c:numRef>
              <c:f>Sheet1!$B$2:$B$5</c:f>
              <c:numCache>
                <c:formatCode>General</c:formatCode>
                <c:ptCount val="4"/>
                <c:pt idx="0">
                  <c:v>1601.32</c:v>
                </c:pt>
                <c:pt idx="1" c:formatCode="#,##0.00">
                  <c:v>481.76</c:v>
                </c:pt>
                <c:pt idx="2" c:formatCode="#,##0.00">
                  <c:v>84.69</c:v>
                </c:pt>
                <c:pt idx="3" c:formatCode="#,##0.00">
                  <c:v>185.36</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extLst>
      <c:ext uri="{0b15fc19-7d7d-44ad-8c2d-2c3a37ce22c3}">
        <chartProps xmlns="https://web.wps.cn/et/2018/main" chartId="{915b00fe-11f2-449e-9714-941fe9e42217}"/>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spc="0" baseline="0">
                <a:solidFill>
                  <a:schemeClr val="tx1">
                    <a:lumMod val="65000"/>
                    <a:lumOff val="35000"/>
                  </a:schemeClr>
                </a:solidFill>
                <a:latin typeface="+mn-lt"/>
                <a:ea typeface="+mn-ea"/>
                <a:cs typeface="+mn-cs"/>
              </a:defRPr>
            </a:pPr>
            <a:r>
              <a:rPr lang="en-US" altLang="zh-CN" sz="1400" b="1"/>
              <a:t>“</a:t>
            </a:r>
            <a:r>
              <a:rPr altLang="en-US" sz="1400" b="1"/>
              <a:t>三公</a:t>
            </a:r>
            <a:r>
              <a:rPr lang="en-US" altLang="zh-CN" sz="1400" b="1"/>
              <a:t>”</a:t>
            </a:r>
            <a:r>
              <a:rPr altLang="en-US" sz="1400" b="1"/>
              <a:t>经费</a:t>
            </a:r>
            <a:r>
              <a:rPr sz="1400" b="1"/>
              <a:t>财政拨款支出决算结构图</a:t>
            </a:r>
            <a:endParaRPr sz="1400" b="1"/>
          </a:p>
          <a:p>
            <a:pPr defTabSz="914400">
              <a:defRPr lang="zh-CN" sz="1400" b="1" i="0" u="none" strike="noStrike" kern="1200" spc="0" baseline="0">
                <a:solidFill>
                  <a:schemeClr val="tx1">
                    <a:lumMod val="65000"/>
                    <a:lumOff val="35000"/>
                  </a:schemeClr>
                </a:solidFill>
                <a:latin typeface="+mn-lt"/>
                <a:ea typeface="+mn-ea"/>
                <a:cs typeface="+mn-cs"/>
              </a:defRPr>
            </a:pPr>
            <a:r>
              <a:rPr sz="1000" b="1"/>
              <a:t>单位（万元）</a:t>
            </a:r>
            <a:endParaRPr sz="1000" b="1"/>
          </a:p>
        </c:rich>
      </c:tx>
      <c:layout/>
      <c:overlay val="0"/>
      <c:spPr>
        <a:noFill/>
        <a:ln>
          <a:noFill/>
        </a:ln>
        <a:effectLst/>
      </c:spPr>
    </c:title>
    <c:autoTitleDeleted val="0"/>
    <c:plotArea>
      <c:layout/>
      <c:pieChart>
        <c:varyColors val="1"/>
        <c:ser>
          <c:idx val="0"/>
          <c:order val="0"/>
          <c:tx>
            <c:strRef>
              <c:f>Sheet1!$B$1</c:f>
              <c:strCache>
                <c:ptCount val="1"/>
                <c:pt idx="0">
                  <c:v>销售额</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Sheet1!$A$2:$A$4</c:f>
              <c:strCache>
                <c:ptCount val="3"/>
                <c:pt idx="0">
                  <c:v>公务接待费</c:v>
                </c:pt>
                <c:pt idx="1">
                  <c:v>因公出国（境）费</c:v>
                </c:pt>
                <c:pt idx="2">
                  <c:v>公务用车购置及运行维护费</c:v>
                </c:pt>
              </c:strCache>
            </c:strRef>
          </c:cat>
          <c:val>
            <c:numRef>
              <c:f>Sheet1!$B$2:$B$4</c:f>
              <c:numCache>
                <c:formatCode>General</c:formatCode>
                <c:ptCount val="3"/>
                <c:pt idx="0">
                  <c:v>1.78</c:v>
                </c:pt>
                <c:pt idx="1" c:formatCode="#,##0.00">
                  <c:v>0</c:v>
                </c:pt>
                <c:pt idx="2" c:formatCode="#,##0.00">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extLst>
      <c:ext uri="{0b15fc19-7d7d-44ad-8c2d-2c3a37ce22c3}">
        <chartProps xmlns="https://web.wps.cn/et/2018/main" chartId="{eaae2d43-a48e-4ce3-8bb7-1f1e594cde0c}"/>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Executive">
      <a:dk1>
        <a:sysClr val="windowText" lastClr="000000"/>
      </a:dk1>
      <a:lt1>
        <a:sysClr val="window" lastClr="FFFFFF"/>
      </a:lt1>
      <a:dk2>
        <a:srgbClr val="2F5897"/>
      </a:dk2>
      <a:lt2>
        <a:srgbClr val="E4E9EF"/>
      </a:lt2>
      <a:accent1>
        <a:srgbClr val="6076B4"/>
      </a:accent1>
      <a:accent2>
        <a:srgbClr val="9C5252"/>
      </a:accent2>
      <a:accent3>
        <a:srgbClr val="E68422"/>
      </a:accent3>
      <a:accent4>
        <a:srgbClr val="846648"/>
      </a:accent4>
      <a:accent5>
        <a:srgbClr val="63891F"/>
      </a:accent5>
      <a:accent6>
        <a:srgbClr val="758085"/>
      </a:accent6>
      <a:hlink>
        <a:srgbClr val="3399FF"/>
      </a:hlink>
      <a:folHlink>
        <a:srgbClr val="B2B2B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xecutiv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noFill/>
        <a:noFill/>
        <a:no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26</Pages>
  <Words>5139</Words>
  <Characters>5866</Characters>
  <Lines>30</Lines>
  <Paragraphs>21</Paragraphs>
  <TotalTime>3</TotalTime>
  <ScaleCrop>false</ScaleCrop>
  <LinksUpToDate>false</LinksUpToDate>
  <CharactersWithSpaces>5989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Nancy</cp:lastModifiedBy>
  <cp:lastPrinted>2024-10-23T23:38:00Z</cp:lastPrinted>
  <dcterms:modified xsi:type="dcterms:W3CDTF">2024-10-25T09:03:49Z</dcterms:modified>
  <dc:title>四川省***</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5884DBA2B50F4B0D80006C158239A34E_13</vt:lpwstr>
  </property>
</Properties>
</file>