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76CE0">
      <w:pPr>
        <w:spacing w:line="600" w:lineRule="exact"/>
        <w:jc w:val="left"/>
        <w:outlineLvl w:val="9"/>
        <w:rPr>
          <w:rFonts w:ascii="方正小标宋简体" w:hAnsi="宋体" w:eastAsia="方正小标宋简体"/>
          <w:szCs w:val="21"/>
        </w:rPr>
      </w:pPr>
      <w:bookmarkStart w:id="0" w:name="_Toc15306267"/>
    </w:p>
    <w:p w14:paraId="7DB0F37A">
      <w:pPr>
        <w:pStyle w:val="6"/>
        <w:spacing w:before="93"/>
      </w:pPr>
    </w:p>
    <w:p w14:paraId="05C4165F">
      <w:pPr>
        <w:spacing w:line="600" w:lineRule="exact"/>
        <w:jc w:val="center"/>
        <w:outlineLvl w:val="9"/>
        <w:rPr>
          <w:rFonts w:ascii="方正小标宋简体" w:hAnsi="宋体" w:eastAsia="方正小标宋简体"/>
          <w:sz w:val="72"/>
          <w:szCs w:val="72"/>
        </w:rPr>
      </w:pPr>
    </w:p>
    <w:p w14:paraId="14EEE804">
      <w:pPr>
        <w:spacing w:line="600" w:lineRule="exact"/>
        <w:jc w:val="center"/>
        <w:outlineLvl w:val="9"/>
        <w:rPr>
          <w:rFonts w:ascii="方正小标宋简体" w:hAnsi="宋体" w:eastAsia="方正小标宋简体"/>
          <w:sz w:val="72"/>
          <w:szCs w:val="72"/>
        </w:rPr>
      </w:pPr>
    </w:p>
    <w:p w14:paraId="359D81E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4262"/>
      <w:bookmarkStart w:id="4" w:name="_Toc15377425"/>
      <w:bookmarkStart w:id="5" w:name="_Toc15377193"/>
      <w:bookmarkStart w:id="6"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43972D88">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bookmarkStart w:id="7" w:name="_Toc16276"/>
      <w:r>
        <w:rPr>
          <w:rFonts w:hint="eastAsia" w:ascii="方正小标宋简体" w:hAnsi="方正小标宋简体" w:eastAsia="方正小标宋简体" w:cs="方正小标宋简体"/>
          <w:sz w:val="72"/>
          <w:szCs w:val="72"/>
          <w:lang w:val="en-US" w:eastAsia="zh-CN"/>
        </w:rPr>
        <w:t>大竹县文星中学</w:t>
      </w:r>
      <w:bookmarkEnd w:id="7"/>
    </w:p>
    <w:p w14:paraId="415D520A">
      <w:pPr>
        <w:adjustRightInd w:val="0"/>
        <w:snapToGrid w:val="0"/>
        <w:spacing w:line="360" w:lineRule="auto"/>
        <w:jc w:val="center"/>
        <w:outlineLvl w:val="0"/>
        <w:rPr>
          <w:rFonts w:hint="default" w:ascii="方正小标宋简体" w:hAnsi="宋体" w:eastAsia="方正小标宋简体"/>
          <w:b/>
          <w:bCs/>
          <w:sz w:val="52"/>
          <w:szCs w:val="52"/>
          <w:lang w:val="en-US" w:eastAsia="zh-CN"/>
        </w:rPr>
      </w:pPr>
      <w:bookmarkStart w:id="8" w:name="_Toc30379"/>
      <w:r>
        <w:rPr>
          <w:rFonts w:hint="eastAsia" w:ascii="方正小标宋简体" w:hAnsi="宋体" w:eastAsia="方正小标宋简体"/>
          <w:b/>
          <w:bCs/>
          <w:sz w:val="52"/>
          <w:szCs w:val="52"/>
          <w:lang w:val="en-US" w:eastAsia="zh-CN"/>
        </w:rPr>
        <w:t>单位决算</w:t>
      </w:r>
      <w:bookmarkEnd w:id="8"/>
    </w:p>
    <w:p w14:paraId="34A3D0A7">
      <w:pPr>
        <w:widowControl/>
        <w:jc w:val="center"/>
        <w:rPr>
          <w:rFonts w:hint="eastAsia" w:ascii="黑体" w:hAnsi="黑体" w:eastAsia="黑体"/>
          <w:sz w:val="48"/>
          <w:szCs w:val="48"/>
        </w:rPr>
        <w:sectPr>
          <w:footerReference r:id="rId4" w:type="first"/>
          <w:footerReference r:id="rId3" w:type="default"/>
          <w:pgSz w:w="11906" w:h="16838"/>
          <w:pgMar w:top="1440" w:right="1800" w:bottom="1440" w:left="1800" w:header="851" w:footer="992" w:gutter="0"/>
          <w:pgNumType w:fmt="decimal" w:start="2"/>
          <w:cols w:space="425" w:num="1"/>
          <w:docGrid w:type="lines" w:linePitch="312" w:charSpace="0"/>
        </w:sectPr>
      </w:pPr>
    </w:p>
    <w:p w14:paraId="1DDA188A">
      <w:pPr>
        <w:widowControl/>
        <w:jc w:val="center"/>
        <w:rPr>
          <w:rFonts w:ascii="黑体" w:hAnsi="黑体" w:eastAsia="黑体"/>
          <w:sz w:val="48"/>
          <w:szCs w:val="48"/>
        </w:rPr>
      </w:pPr>
      <w:r>
        <w:rPr>
          <w:rFonts w:hint="eastAsia" w:ascii="黑体" w:hAnsi="黑体" w:eastAsia="黑体"/>
          <w:sz w:val="48"/>
          <w:szCs w:val="48"/>
        </w:rPr>
        <w:t>目录</w:t>
      </w:r>
    </w:p>
    <w:p w14:paraId="3EAD95E7">
      <w:pPr>
        <w:widowControl/>
        <w:jc w:val="center"/>
        <w:rPr>
          <w:rFonts w:ascii="黑体" w:hAnsi="黑体" w:eastAsia="黑体" w:cstheme="minorBidi"/>
          <w:sz w:val="28"/>
          <w:szCs w:val="28"/>
        </w:rPr>
      </w:pPr>
    </w:p>
    <w:p w14:paraId="29590409">
      <w:pPr>
        <w:pStyle w:val="12"/>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0215D1C4"/>
    <w:sdt>
      <w:sdtPr>
        <w:rPr>
          <w:rFonts w:ascii="宋体" w:hAnsi="宋体" w:eastAsia="宋体" w:cs="Times New Roman"/>
          <w:kern w:val="2"/>
          <w:sz w:val="21"/>
          <w:szCs w:val="24"/>
          <w:lang w:val="en-US" w:eastAsia="zh-CN" w:bidi="ar-SA"/>
        </w:rPr>
        <w:id w:val="147461188"/>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14:paraId="49379AF5">
          <w:pPr>
            <w:spacing w:before="0" w:beforeLines="0" w:after="0" w:afterLines="0" w:line="240" w:lineRule="auto"/>
            <w:ind w:left="0" w:leftChars="0" w:right="0" w:rightChars="0" w:firstLine="0" w:firstLineChars="0"/>
            <w:jc w:val="center"/>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2EDF2D47">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688139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_Toc17832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一、 </w:t>
          </w:r>
          <w:r>
            <w:rPr>
              <w:rFonts w:hint="eastAsia" w:ascii="仿宋" w:hAnsi="仿宋" w:eastAsia="仿宋" w:cs="仿宋"/>
              <w:bCs w:val="0"/>
              <w:sz w:val="28"/>
              <w:szCs w:val="28"/>
              <w:highlight w:val="none"/>
            </w:rPr>
            <w:t>主要职责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_Toc17832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650BE9">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highlight w:val="none"/>
            </w:rPr>
            <w:t>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9BE2DD">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C8B624A">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B2EC1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C2EA1D">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CEA509">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_Toc29631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_Toc29631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DF51BAF">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1AF321">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w:t>
          </w:r>
          <w:bookmarkStart w:id="100" w:name="_GoBack"/>
          <w:bookmarkEnd w:id="100"/>
          <w:r>
            <w:rPr>
              <w:rFonts w:hint="eastAsia" w:ascii="仿宋" w:hAnsi="仿宋" w:eastAsia="仿宋" w:cs="仿宋"/>
              <w:sz w:val="28"/>
              <w:szCs w:val="28"/>
            </w:rPr>
            <w:t>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FFCA1E">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43AF3B">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C9377F">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4E42F2">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3CCEA6">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_Toc32723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_Toc32723 </w:instrText>
          </w:r>
          <w:r>
            <w:rPr>
              <w:rFonts w:hint="eastAsia" w:ascii="仿宋" w:hAnsi="仿宋" w:eastAsia="仿宋" w:cs="仿宋"/>
              <w:b/>
              <w:sz w:val="28"/>
              <w:szCs w:val="28"/>
            </w:rPr>
            <w:fldChar w:fldCharType="separate"/>
          </w:r>
          <w:r>
            <w:rPr>
              <w:rFonts w:hint="eastAsia" w:ascii="仿宋" w:hAnsi="仿宋" w:eastAsia="仿宋" w:cs="仿宋"/>
              <w:b/>
              <w:sz w:val="28"/>
              <w:szCs w:val="28"/>
            </w:rPr>
            <w:t>14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C96CC61">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_Toc3339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_Toc3339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D7FAC29">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_Toc15696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_Toc15696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3FE1F22">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_Toc9002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_Toc9002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62AB32">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_Toc21070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_Toc21070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3CD4F8">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_Toc5304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_Toc5304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5F4CE1">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_Toc18475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BDB962">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_Toc16175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22D383">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_Toc25025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_Toc25025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CD6F33">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_Toc28702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_Toc28702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0473D3">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_Toc31737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_Toc31737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BE1C38">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_Toc10240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_Toc10240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9D3286">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_Toc6097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_Toc6097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FC885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_Toc1183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F1C070">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ECDD43">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_Toc6075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D6650A">
          <w:pPr>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14:paraId="50691210">
      <w:pPr>
        <w:pStyle w:val="3"/>
        <w:spacing w:before="0" w:after="0" w:line="240" w:lineRule="auto"/>
        <w:jc w:val="both"/>
        <w:rPr>
          <w:rFonts w:hint="eastAsia" w:ascii="黑体" w:hAnsi="黑体" w:eastAsia="黑体"/>
          <w:b w:val="0"/>
        </w:rPr>
      </w:pPr>
      <w:bookmarkStart w:id="9" w:name="_Toc15396599"/>
      <w:bookmarkStart w:id="10" w:name="_Toc28792"/>
      <w:bookmarkStart w:id="11" w:name="_Toc15377196"/>
    </w:p>
    <w:p w14:paraId="6371CA35">
      <w:pPr>
        <w:pStyle w:val="3"/>
        <w:spacing w:before="0" w:after="0" w:line="240" w:lineRule="auto"/>
        <w:jc w:val="center"/>
        <w:rPr>
          <w:rFonts w:hint="eastAsia" w:ascii="黑体" w:hAnsi="黑体" w:eastAsia="黑体"/>
          <w:b w:val="0"/>
        </w:rPr>
      </w:pPr>
    </w:p>
    <w:p w14:paraId="1D250D9F">
      <w:pPr>
        <w:rPr>
          <w:rFonts w:hint="eastAsia"/>
        </w:rPr>
      </w:pPr>
    </w:p>
    <w:p w14:paraId="1FF604D3">
      <w:pPr>
        <w:pStyle w:val="3"/>
        <w:spacing w:before="0" w:after="0" w:line="240" w:lineRule="auto"/>
        <w:jc w:val="center"/>
        <w:rPr>
          <w:rFonts w:hint="eastAsia" w:ascii="黑体" w:hAnsi="黑体" w:eastAsia="黑体"/>
          <w:b w:val="0"/>
        </w:rPr>
      </w:pPr>
    </w:p>
    <w:p w14:paraId="26C1A52C">
      <w:pPr>
        <w:rPr>
          <w:rFonts w:hint="eastAsia"/>
        </w:rPr>
      </w:pPr>
    </w:p>
    <w:p w14:paraId="2248DC05">
      <w:pPr>
        <w:pStyle w:val="3"/>
        <w:jc w:val="center"/>
        <w:rPr>
          <w:rFonts w:hint="eastAsia" w:ascii="黑体" w:hAnsi="黑体" w:eastAsia="黑体"/>
          <w:b w:val="0"/>
        </w:rPr>
      </w:pPr>
    </w:p>
    <w:p w14:paraId="0971F9F3">
      <w:pPr>
        <w:rPr>
          <w:rFonts w:hint="eastAsia" w:ascii="黑体" w:hAnsi="黑体" w:eastAsia="黑体"/>
          <w:b w:val="0"/>
        </w:rPr>
      </w:pPr>
    </w:p>
    <w:p w14:paraId="7BED486D">
      <w:pPr>
        <w:rPr>
          <w:rFonts w:hint="eastAsia" w:ascii="黑体" w:hAnsi="黑体" w:eastAsia="黑体"/>
          <w:b w:val="0"/>
        </w:rPr>
      </w:pPr>
    </w:p>
    <w:p w14:paraId="2F277C54">
      <w:pPr>
        <w:rPr>
          <w:rFonts w:hint="eastAsia" w:ascii="黑体" w:hAnsi="黑体" w:eastAsia="黑体"/>
          <w:b w:val="0"/>
        </w:rPr>
      </w:pPr>
    </w:p>
    <w:p w14:paraId="1B5F29DA">
      <w:pPr>
        <w:rPr>
          <w:rFonts w:hint="eastAsia"/>
        </w:rPr>
      </w:pPr>
    </w:p>
    <w:p w14:paraId="0D7EE55C">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9"/>
      <w:bookmarkEnd w:id="10"/>
      <w:bookmarkEnd w:id="11"/>
    </w:p>
    <w:p w14:paraId="40D69A36">
      <w:pPr>
        <w:widowControl/>
        <w:jc w:val="left"/>
        <w:rPr>
          <w:rFonts w:ascii="黑体" w:eastAsia="黑体"/>
          <w:sz w:val="32"/>
          <w:szCs w:val="32"/>
        </w:rPr>
      </w:pPr>
    </w:p>
    <w:p w14:paraId="2474BF76">
      <w:pPr>
        <w:pStyle w:val="4"/>
        <w:numPr>
          <w:ilvl w:val="0"/>
          <w:numId w:val="1"/>
        </w:numPr>
        <w:rPr>
          <w:rStyle w:val="28"/>
          <w:rFonts w:ascii="黑体" w:hAnsi="黑体" w:eastAsia="黑体"/>
          <w:b w:val="0"/>
          <w:bCs w:val="0"/>
          <w:highlight w:val="none"/>
        </w:rPr>
      </w:pPr>
      <w:bookmarkStart w:id="12" w:name="_Toc17832"/>
      <w:bookmarkStart w:id="13" w:name="_Toc15377197"/>
      <w:bookmarkStart w:id="14" w:name="_Toc15396600"/>
      <w:r>
        <w:rPr>
          <w:rStyle w:val="28"/>
          <w:rFonts w:hint="eastAsia" w:ascii="黑体" w:hAnsi="黑体" w:eastAsia="黑体"/>
          <w:b w:val="0"/>
          <w:bCs w:val="0"/>
          <w:highlight w:val="none"/>
        </w:rPr>
        <w:t>主要职责</w:t>
      </w:r>
      <w:bookmarkEnd w:id="12"/>
    </w:p>
    <w:p w14:paraId="30F276CD">
      <w:pPr>
        <w:adjustRightInd w:val="0"/>
        <w:snapToGrid w:val="0"/>
        <w:spacing w:before="72" w:after="120" w:line="600" w:lineRule="exact"/>
        <w:ind w:firstLine="672" w:firstLineChars="210"/>
        <w:rPr>
          <w:rFonts w:ascii="仿宋" w:hAnsi="仿宋" w:eastAsia="仿宋"/>
          <w:bCs/>
          <w:sz w:val="32"/>
          <w:szCs w:val="32"/>
        </w:rPr>
      </w:pPr>
      <w:bookmarkStart w:id="15" w:name="_Toc24780"/>
      <w:bookmarkStart w:id="16" w:name="_Toc18420"/>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文星中</w:t>
      </w:r>
      <w:r>
        <w:rPr>
          <w:rFonts w:hint="eastAsia" w:ascii="仿宋" w:hAnsi="仿宋" w:eastAsia="仿宋"/>
          <w:bCs/>
          <w:color w:val="auto"/>
          <w:kern w:val="0"/>
          <w:sz w:val="32"/>
          <w:szCs w:val="32"/>
        </w:rPr>
        <w:t>学是大竹县教育局举办的一所</w:t>
      </w:r>
      <w:r>
        <w:rPr>
          <w:rFonts w:hint="eastAsia" w:ascii="仿宋" w:hAnsi="仿宋" w:eastAsia="仿宋"/>
          <w:sz w:val="32"/>
          <w:szCs w:val="32"/>
        </w:rPr>
        <w:t>农村完全中学</w:t>
      </w:r>
      <w:r>
        <w:rPr>
          <w:rFonts w:hint="eastAsia" w:ascii="仿宋" w:hAnsi="仿宋" w:eastAsia="仿宋"/>
          <w:bCs/>
          <w:color w:val="auto"/>
          <w:kern w:val="0"/>
          <w:sz w:val="32"/>
          <w:szCs w:val="32"/>
        </w:rPr>
        <w:t>，属于全额拨款事业单位，</w:t>
      </w:r>
      <w:r>
        <w:rPr>
          <w:rFonts w:hint="eastAsia" w:ascii="仿宋" w:hAnsi="仿宋" w:eastAsia="仿宋"/>
          <w:b w:val="0"/>
          <w:bCs w:val="0"/>
          <w:color w:val="000000"/>
          <w:sz w:val="32"/>
          <w:szCs w:val="32"/>
          <w:lang w:val="en-US" w:eastAsia="zh-CN"/>
        </w:rPr>
        <w:t>贯彻执行党和国家的教育方针、教育政策、教育法律和教育法规，贯彻执行上级教育行政部门的行政规章。根据县委、县政府制定的教育事业发展规划，结合实际制定并组织实施本校的教育事业发展规划。</w:t>
      </w:r>
      <w:bookmarkEnd w:id="15"/>
      <w:bookmarkEnd w:id="16"/>
      <w:r>
        <w:rPr>
          <w:rFonts w:hint="eastAsia" w:ascii="仿宋" w:hAnsi="仿宋" w:eastAsia="仿宋"/>
          <w:sz w:val="32"/>
          <w:szCs w:val="32"/>
        </w:rPr>
        <w:t>工作职能及主要工作是贯彻执行国家教育方针政策，承担本辖区内义务教育</w:t>
      </w:r>
      <w:r>
        <w:rPr>
          <w:rFonts w:ascii="仿宋" w:hAnsi="仿宋" w:eastAsia="仿宋"/>
          <w:sz w:val="32"/>
          <w:szCs w:val="32"/>
        </w:rPr>
        <w:t>7-9</w:t>
      </w:r>
      <w:r>
        <w:rPr>
          <w:rFonts w:hint="eastAsia" w:ascii="仿宋" w:hAnsi="仿宋" w:eastAsia="仿宋"/>
          <w:sz w:val="32"/>
          <w:szCs w:val="32"/>
        </w:rPr>
        <w:t>年级及高中年级的各项教育教学义务，实施中学义务教育，促进基础教育发展及中学学历教育。</w:t>
      </w:r>
    </w:p>
    <w:p w14:paraId="694BAD1F">
      <w:pPr>
        <w:ind w:firstLine="420" w:firstLineChars="200"/>
      </w:pPr>
    </w:p>
    <w:p w14:paraId="0E039FD9">
      <w:pPr>
        <w:pStyle w:val="4"/>
        <w:numPr>
          <w:ilvl w:val="0"/>
          <w:numId w:val="1"/>
        </w:numPr>
        <w:ind w:left="0" w:leftChars="0" w:firstLine="0" w:firstLineChars="0"/>
        <w:rPr>
          <w:rFonts w:hint="eastAsia" w:ascii="黑体" w:hAnsi="黑体" w:eastAsia="黑体"/>
          <w:b w:val="0"/>
          <w:highlight w:val="none"/>
        </w:rPr>
      </w:pPr>
      <w:bookmarkStart w:id="17" w:name="_Toc7884"/>
      <w:r>
        <w:rPr>
          <w:rFonts w:hint="eastAsia" w:ascii="黑体" w:hAnsi="黑体" w:eastAsia="黑体"/>
          <w:b w:val="0"/>
          <w:highlight w:val="none"/>
        </w:rPr>
        <w:t>机构设置</w:t>
      </w:r>
      <w:bookmarkEnd w:id="17"/>
    </w:p>
    <w:p w14:paraId="41F15CA1">
      <w:pPr>
        <w:pStyle w:val="6"/>
        <w:adjustRightInd w:val="0"/>
        <w:snapToGrid w:val="0"/>
        <w:spacing w:before="93" w:line="600" w:lineRule="exact"/>
        <w:ind w:firstLine="672" w:firstLineChars="210"/>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大竹县文星中学为一级预算单位，下属的二级预算单位0个，下设独立编制机构0个，其中行政机构0个，参照公务员法管理的事业机构0个，其它事业机构0个。</w:t>
      </w:r>
    </w:p>
    <w:p w14:paraId="07D56A0C">
      <w:pPr>
        <w:pStyle w:val="6"/>
        <w:spacing w:before="93"/>
        <w:ind w:firstLine="640" w:firstLineChars="200"/>
      </w:pPr>
      <w:r>
        <w:rPr>
          <w:rFonts w:hint="eastAsia" w:ascii="仿宋" w:hAnsi="仿宋" w:eastAsia="仿宋" w:cs="仿宋_GB2312"/>
          <w:sz w:val="32"/>
          <w:szCs w:val="32"/>
        </w:rPr>
        <w:t>纳入大竹县</w:t>
      </w:r>
      <w:r>
        <w:rPr>
          <w:rFonts w:hint="eastAsia" w:ascii="仿宋" w:hAnsi="仿宋" w:eastAsia="仿宋" w:cs="仿宋_GB2312"/>
          <w:sz w:val="32"/>
          <w:szCs w:val="32"/>
          <w:lang w:val="en-US" w:eastAsia="zh-CN"/>
        </w:rPr>
        <w:t>文星中学</w:t>
      </w:r>
      <w:r>
        <w:rPr>
          <w:rFonts w:hint="eastAsia" w:ascii="仿宋" w:hAnsi="仿宋" w:eastAsia="仿宋" w:cs="仿宋_GB2312"/>
          <w:sz w:val="32"/>
          <w:szCs w:val="32"/>
        </w:rPr>
        <w:t>2</w:t>
      </w:r>
      <w:r>
        <w:rPr>
          <w:rFonts w:ascii="仿宋" w:hAnsi="仿宋" w:eastAsia="仿宋" w:cs="仿宋_GB2312"/>
          <w:sz w:val="32"/>
          <w:szCs w:val="32"/>
        </w:rPr>
        <w:t>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年度部门决算编制范围的二级预算单位包括：无。</w:t>
      </w:r>
    </w:p>
    <w:p w14:paraId="01F0F3B9">
      <w:pPr>
        <w:numPr>
          <w:ilvl w:val="0"/>
          <w:numId w:val="0"/>
        </w:numPr>
        <w:ind w:leftChars="0"/>
      </w:pPr>
    </w:p>
    <w:bookmarkEnd w:id="13"/>
    <w:bookmarkEnd w:id="14"/>
    <w:p w14:paraId="294EB038">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2C28387D">
      <w:pPr>
        <w:pStyle w:val="3"/>
        <w:ind w:right="440"/>
        <w:jc w:val="center"/>
        <w:rPr>
          <w:rStyle w:val="27"/>
          <w:rFonts w:ascii="黑体" w:hAnsi="黑体" w:eastAsia="黑体"/>
          <w:b w:val="0"/>
          <w:bCs/>
        </w:rPr>
      </w:pPr>
      <w:bookmarkStart w:id="18" w:name="_Toc23483"/>
      <w:bookmarkStart w:id="19" w:name="_Toc15377204"/>
      <w:bookmarkStart w:id="20"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8"/>
      <w:bookmarkEnd w:id="19"/>
      <w:bookmarkEnd w:id="20"/>
    </w:p>
    <w:p w14:paraId="27C4180B"/>
    <w:p w14:paraId="66215FBD">
      <w:pPr>
        <w:pStyle w:val="26"/>
        <w:numPr>
          <w:ilvl w:val="0"/>
          <w:numId w:val="2"/>
        </w:numPr>
        <w:spacing w:line="600" w:lineRule="exact"/>
        <w:ind w:firstLineChars="0"/>
        <w:outlineLvl w:val="1"/>
        <w:rPr>
          <w:rStyle w:val="28"/>
          <w:rFonts w:ascii="黑体" w:hAnsi="黑体" w:eastAsia="黑体"/>
          <w:b w:val="0"/>
        </w:rPr>
      </w:pPr>
      <w:bookmarkStart w:id="21" w:name="_Toc15396603"/>
      <w:bookmarkStart w:id="22" w:name="_Toc5261"/>
      <w:bookmarkStart w:id="2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bookmarkEnd w:id="23"/>
    </w:p>
    <w:p w14:paraId="03E40BD0">
      <w:pPr>
        <w:spacing w:line="600" w:lineRule="exact"/>
        <w:ind w:firstLine="640" w:firstLineChars="200"/>
        <w:rPr>
          <w:rStyle w:val="17"/>
          <w:rFonts w:hint="eastAsia" w:ascii="仿宋" w:hAnsi="仿宋" w:eastAsia="仿宋"/>
          <w:b w:val="0"/>
          <w:bCs w:val="0"/>
          <w:color w:val="auto"/>
          <w:sz w:val="32"/>
          <w:szCs w:val="32"/>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3848.2</w:t>
      </w:r>
      <w:r>
        <w:rPr>
          <w:rFonts w:hint="eastAsia" w:ascii="仿宋" w:hAnsi="仿宋" w:eastAsia="仿宋"/>
          <w:sz w:val="32"/>
          <w:szCs w:val="32"/>
        </w:rPr>
        <w:t>万元。与2022年度相比，收、支总计各</w:t>
      </w:r>
      <w:r>
        <w:rPr>
          <w:rFonts w:hint="eastAsia" w:ascii="仿宋" w:hAnsi="仿宋" w:eastAsia="仿宋"/>
          <w:sz w:val="32"/>
          <w:szCs w:val="32"/>
          <w:lang w:val="en-US" w:eastAsia="zh-CN"/>
        </w:rPr>
        <w:t>增加241.7</w:t>
      </w:r>
      <w:r>
        <w:rPr>
          <w:rFonts w:hint="eastAsia" w:ascii="仿宋" w:hAnsi="仿宋" w:eastAsia="仿宋"/>
          <w:sz w:val="32"/>
          <w:szCs w:val="32"/>
        </w:rPr>
        <w:t>万元，</w:t>
      </w:r>
      <w:r>
        <w:rPr>
          <w:rFonts w:hint="eastAsia" w:ascii="仿宋" w:hAnsi="仿宋" w:eastAsia="仿宋"/>
          <w:sz w:val="32"/>
          <w:szCs w:val="32"/>
          <w:lang w:val="en-US" w:eastAsia="zh-CN"/>
        </w:rPr>
        <w:t>增涨6.29</w:t>
      </w:r>
      <w:r>
        <w:rPr>
          <w:rFonts w:hint="eastAsia" w:ascii="仿宋" w:hAnsi="仿宋" w:eastAsia="仿宋"/>
          <w:sz w:val="32"/>
          <w:szCs w:val="32"/>
        </w:rPr>
        <w:t>%。</w:t>
      </w:r>
      <w:r>
        <w:rPr>
          <w:rStyle w:val="17"/>
          <w:rFonts w:hint="eastAsia" w:ascii="仿宋" w:hAnsi="仿宋" w:eastAsia="仿宋"/>
          <w:b w:val="0"/>
          <w:bCs w:val="0"/>
          <w:color w:val="auto"/>
          <w:sz w:val="32"/>
          <w:szCs w:val="32"/>
        </w:rPr>
        <w:t>主要变动原因是</w:t>
      </w:r>
      <w:r>
        <w:rPr>
          <w:rStyle w:val="17"/>
          <w:rFonts w:hint="eastAsia" w:ascii="仿宋" w:hAnsi="仿宋" w:eastAsia="仿宋"/>
          <w:b w:val="0"/>
          <w:bCs w:val="0"/>
          <w:color w:val="auto"/>
          <w:sz w:val="32"/>
          <w:szCs w:val="32"/>
          <w:lang w:val="en-US" w:eastAsia="zh-CN"/>
        </w:rPr>
        <w:t>支付了上年度存量资金五险一金欠缴部分。</w:t>
      </w:r>
    </w:p>
    <w:p w14:paraId="7C825E05">
      <w:pPr>
        <w:spacing w:line="600" w:lineRule="exact"/>
        <w:ind w:firstLine="640" w:firstLineChars="200"/>
        <w:rPr>
          <w:rFonts w:hint="eastAsia" w:ascii="仿宋" w:hAnsi="仿宋" w:eastAsia="仿宋"/>
          <w:sz w:val="32"/>
          <w:szCs w:val="32"/>
        </w:rPr>
      </w:pPr>
    </w:p>
    <w:p w14:paraId="01F45F07">
      <w:pPr>
        <w:spacing w:line="240" w:lineRule="auto"/>
        <w:ind w:firstLine="0" w:firstLineChars="0"/>
        <w:rPr>
          <w:rFonts w:hint="eastAsia" w:ascii="仿宋" w:hAnsi="仿宋" w:eastAsia="仿宋"/>
          <w:sz w:val="32"/>
          <w:szCs w:val="32"/>
          <w:highlight w:val="yellow"/>
        </w:rPr>
      </w:pPr>
      <w:r>
        <w:rPr>
          <w:rFonts w:ascii="宋体" w:hAnsi="宋体" w:eastAsia="宋体" w:cs="宋体"/>
          <w:sz w:val="24"/>
          <w:szCs w:val="24"/>
        </w:rPr>
        <w:drawing>
          <wp:inline distT="0" distB="0" distL="114300" distR="114300">
            <wp:extent cx="5648325" cy="2733675"/>
            <wp:effectExtent l="0" t="0" r="9525" b="952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9"/>
                    <a:stretch>
                      <a:fillRect/>
                    </a:stretch>
                  </pic:blipFill>
                  <pic:spPr>
                    <a:xfrm>
                      <a:off x="0" y="0"/>
                      <a:ext cx="5648325" cy="2733675"/>
                    </a:xfrm>
                    <a:prstGeom prst="rect">
                      <a:avLst/>
                    </a:prstGeom>
                    <a:noFill/>
                    <a:ln w="9525">
                      <a:noFill/>
                    </a:ln>
                  </pic:spPr>
                </pic:pic>
              </a:graphicData>
            </a:graphic>
          </wp:inline>
        </w:drawing>
      </w:r>
    </w:p>
    <w:p w14:paraId="5B69C054">
      <w:pPr>
        <w:spacing w:line="240" w:lineRule="auto"/>
        <w:ind w:firstLine="0" w:firstLineChars="0"/>
        <w:rPr>
          <w:rFonts w:hint="eastAsia" w:ascii="仿宋" w:hAnsi="仿宋" w:eastAsia="仿宋"/>
          <w:sz w:val="32"/>
          <w:szCs w:val="32"/>
          <w:highlight w:val="yellow"/>
        </w:rPr>
      </w:pPr>
    </w:p>
    <w:p w14:paraId="2E0FBCEA">
      <w:pPr>
        <w:spacing w:line="60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4F09151E">
      <w:pPr>
        <w:spacing w:line="600" w:lineRule="exact"/>
        <w:ind w:firstLine="640" w:firstLineChars="200"/>
        <w:jc w:val="left"/>
        <w:rPr>
          <w:rFonts w:ascii="仿宋_GB2312" w:eastAsia="仿宋_GB2312"/>
          <w:sz w:val="32"/>
          <w:szCs w:val="32"/>
        </w:rPr>
      </w:pPr>
    </w:p>
    <w:p w14:paraId="1555A2C9">
      <w:pPr>
        <w:pStyle w:val="26"/>
        <w:numPr>
          <w:ilvl w:val="0"/>
          <w:numId w:val="2"/>
        </w:numPr>
        <w:spacing w:line="600" w:lineRule="exact"/>
        <w:ind w:firstLineChars="0"/>
        <w:outlineLvl w:val="1"/>
        <w:rPr>
          <w:rStyle w:val="28"/>
          <w:rFonts w:ascii="黑体" w:hAnsi="黑体" w:eastAsia="黑体"/>
          <w:b w:val="0"/>
        </w:rPr>
      </w:pPr>
      <w:bookmarkStart w:id="24" w:name="_Toc293"/>
      <w:bookmarkStart w:id="25" w:name="_Toc15396604"/>
      <w:bookmarkStart w:id="26" w:name="_Toc15377206"/>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bookmarkEnd w:id="26"/>
    </w:p>
    <w:p w14:paraId="13622D76">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2023年度本年收入合计</w:t>
      </w:r>
      <w:r>
        <w:rPr>
          <w:rFonts w:ascii="仿宋" w:hAnsi="仿宋" w:eastAsia="仿宋"/>
          <w:b w:val="0"/>
          <w:bCs/>
          <w:sz w:val="32"/>
          <w:szCs w:val="32"/>
        </w:rPr>
        <w:t>3843.01</w:t>
      </w:r>
      <w:r>
        <w:rPr>
          <w:rFonts w:hint="eastAsia" w:ascii="仿宋" w:hAnsi="仿宋" w:eastAsia="仿宋"/>
          <w:sz w:val="32"/>
          <w:szCs w:val="32"/>
          <w:lang w:val="en-US" w:eastAsia="zh-CN"/>
        </w:rPr>
        <w:t>万元，其中：一般公共预算财政拨款收入</w:t>
      </w:r>
      <w:r>
        <w:rPr>
          <w:rFonts w:ascii="仿宋" w:hAnsi="仿宋" w:eastAsia="仿宋"/>
          <w:b w:val="0"/>
          <w:bCs/>
          <w:sz w:val="32"/>
          <w:szCs w:val="32"/>
        </w:rPr>
        <w:t>3689.36</w:t>
      </w:r>
      <w:r>
        <w:rPr>
          <w:rFonts w:hint="eastAsia" w:ascii="仿宋" w:hAnsi="仿宋" w:eastAsia="仿宋"/>
          <w:b w:val="0"/>
          <w:bCs/>
          <w:sz w:val="32"/>
          <w:szCs w:val="32"/>
        </w:rPr>
        <w:t>万元，占</w:t>
      </w:r>
      <w:r>
        <w:rPr>
          <w:rFonts w:ascii="仿宋" w:hAnsi="仿宋" w:eastAsia="仿宋"/>
          <w:b w:val="0"/>
          <w:bCs/>
          <w:sz w:val="32"/>
          <w:szCs w:val="32"/>
        </w:rPr>
        <w:t>96%</w:t>
      </w:r>
      <w:r>
        <w:rPr>
          <w:rFonts w:hint="eastAsia" w:ascii="仿宋" w:hAnsi="仿宋" w:eastAsia="仿宋"/>
          <w:b w:val="0"/>
          <w:bCs/>
          <w:sz w:val="32"/>
          <w:szCs w:val="32"/>
          <w:lang w:eastAsia="zh-CN"/>
        </w:rPr>
        <w:t>；</w:t>
      </w:r>
      <w:r>
        <w:rPr>
          <w:rFonts w:hint="eastAsia" w:ascii="仿宋" w:hAnsi="仿宋" w:eastAsia="仿宋"/>
          <w:sz w:val="32"/>
          <w:szCs w:val="32"/>
        </w:rPr>
        <w:t>事业收入</w:t>
      </w:r>
      <w:r>
        <w:rPr>
          <w:rFonts w:ascii="仿宋" w:hAnsi="仿宋" w:eastAsia="仿宋"/>
          <w:b/>
          <w:sz w:val="32"/>
          <w:szCs w:val="32"/>
        </w:rPr>
        <w:t>153.65</w:t>
      </w:r>
      <w:r>
        <w:rPr>
          <w:rFonts w:hint="eastAsia" w:ascii="仿宋" w:hAnsi="仿宋" w:eastAsia="仿宋"/>
          <w:sz w:val="32"/>
          <w:szCs w:val="32"/>
        </w:rPr>
        <w:t>万元，占</w:t>
      </w:r>
      <w:r>
        <w:rPr>
          <w:rFonts w:hint="eastAsia" w:ascii="仿宋" w:hAnsi="仿宋" w:eastAsia="仿宋"/>
          <w:b/>
          <w:sz w:val="32"/>
          <w:szCs w:val="32"/>
          <w:lang w:val="en-US" w:eastAsia="zh-CN"/>
        </w:rPr>
        <w:t>4</w:t>
      </w:r>
      <w:r>
        <w:rPr>
          <w:rFonts w:ascii="仿宋" w:hAnsi="仿宋" w:eastAsia="仿宋"/>
          <w:sz w:val="32"/>
          <w:szCs w:val="32"/>
        </w:rPr>
        <w:t>%</w:t>
      </w:r>
      <w:r>
        <w:rPr>
          <w:rFonts w:hint="eastAsia" w:ascii="仿宋" w:hAnsi="仿宋" w:eastAsia="仿宋"/>
          <w:sz w:val="32"/>
          <w:szCs w:val="32"/>
          <w:lang w:eastAsia="zh-CN"/>
        </w:rPr>
        <w:t>。</w:t>
      </w:r>
    </w:p>
    <w:p w14:paraId="3FC2DA64">
      <w:pPr>
        <w:spacing w:line="600" w:lineRule="exact"/>
        <w:ind w:firstLine="640" w:firstLineChars="200"/>
        <w:outlineLvl w:val="9"/>
        <w:rPr>
          <w:rFonts w:ascii="仿宋" w:hAnsi="仿宋" w:eastAsia="仿宋"/>
          <w:sz w:val="32"/>
          <w:szCs w:val="32"/>
        </w:rPr>
      </w:pPr>
    </w:p>
    <w:p w14:paraId="61A6E740">
      <w:pPr>
        <w:spacing w:line="240" w:lineRule="auto"/>
        <w:ind w:firstLine="0" w:firstLineChars="0"/>
        <w:outlineLvl w:val="9"/>
        <w:rPr>
          <w:rFonts w:ascii="仿宋" w:hAnsi="仿宋" w:eastAsia="仿宋"/>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A822CA">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（图2：收入决算结构图）</w:t>
      </w:r>
    </w:p>
    <w:p w14:paraId="4D3451FF">
      <w:pPr>
        <w:spacing w:line="600" w:lineRule="exact"/>
        <w:rPr>
          <w:rFonts w:ascii="仿宋_GB2312" w:eastAsia="仿宋_GB2312"/>
          <w:sz w:val="32"/>
          <w:szCs w:val="32"/>
          <w:highlight w:val="yellow"/>
        </w:rPr>
      </w:pPr>
    </w:p>
    <w:p w14:paraId="678E92EC">
      <w:pPr>
        <w:pStyle w:val="26"/>
        <w:numPr>
          <w:ilvl w:val="0"/>
          <w:numId w:val="2"/>
        </w:numPr>
        <w:spacing w:line="600" w:lineRule="exact"/>
        <w:ind w:firstLineChars="0"/>
        <w:outlineLvl w:val="1"/>
        <w:rPr>
          <w:rStyle w:val="28"/>
          <w:rFonts w:ascii="黑体" w:hAnsi="黑体" w:eastAsia="黑体"/>
          <w:b w:val="0"/>
        </w:rPr>
      </w:pPr>
      <w:bookmarkStart w:id="27" w:name="_Toc15396605"/>
      <w:bookmarkStart w:id="28" w:name="_Toc1124"/>
      <w:bookmarkStart w:id="29" w:name="_Toc15377207"/>
      <w:r>
        <w:rPr>
          <w:rFonts w:hint="eastAsia" w:ascii="黑体" w:hAnsi="黑体" w:eastAsia="黑体"/>
          <w:sz w:val="32"/>
          <w:szCs w:val="32"/>
        </w:rPr>
        <w:t>支</w:t>
      </w:r>
      <w:r>
        <w:rPr>
          <w:rStyle w:val="28"/>
          <w:rFonts w:hint="eastAsia" w:ascii="黑体" w:hAnsi="黑体" w:eastAsia="黑体"/>
          <w:b w:val="0"/>
        </w:rPr>
        <w:t>出决算情况说明</w:t>
      </w:r>
      <w:bookmarkEnd w:id="27"/>
      <w:bookmarkEnd w:id="28"/>
      <w:bookmarkEnd w:id="29"/>
    </w:p>
    <w:p w14:paraId="479DD6EE">
      <w:pPr>
        <w:spacing w:line="600" w:lineRule="exact"/>
        <w:ind w:firstLine="640" w:firstLineChars="200"/>
        <w:outlineLvl w:val="1"/>
        <w:rPr>
          <w:rFonts w:ascii="仿宋" w:hAnsi="仿宋" w:eastAsia="仿宋"/>
          <w:sz w:val="32"/>
          <w:szCs w:val="32"/>
        </w:rPr>
      </w:pPr>
      <w:bookmarkStart w:id="30" w:name="_Toc13572"/>
      <w:r>
        <w:rPr>
          <w:rFonts w:hint="eastAsia" w:ascii="仿宋" w:hAnsi="仿宋" w:eastAsia="仿宋"/>
          <w:sz w:val="32"/>
          <w:szCs w:val="32"/>
          <w:lang w:val="en-US" w:eastAsia="zh-CN"/>
        </w:rPr>
        <w:t>2023年度本年支出合计3745.56万元，其中：基本支出3593.11万元，占95.73%；项目支出152.45万元，占4.07%。</w:t>
      </w:r>
      <w:bookmarkEnd w:id="30"/>
    </w:p>
    <w:p w14:paraId="13EFE6F3">
      <w:pPr>
        <w:spacing w:line="240" w:lineRule="auto"/>
        <w:ind w:firstLine="0"/>
        <w:rPr>
          <w:rFonts w:ascii="仿宋" w:hAnsi="仿宋" w:eastAsia="仿宋"/>
          <w:sz w:val="32"/>
          <w:szCs w:val="32"/>
          <w:shd w:val="pct10" w:color="auto" w:fill="FFFFFF"/>
        </w:rPr>
      </w:pPr>
      <w:r>
        <w:drawing>
          <wp:inline distT="0" distB="0" distL="114300" distR="114300">
            <wp:extent cx="5143500" cy="264795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D8FC04">
      <w:pPr>
        <w:spacing w:line="600" w:lineRule="exact"/>
        <w:ind w:firstLine="640" w:firstLineChars="200"/>
        <w:jc w:val="center"/>
        <w:rPr>
          <w:rFonts w:ascii="仿宋_GB2312" w:eastAsia="仿宋_GB2312"/>
          <w:sz w:val="32"/>
          <w:szCs w:val="32"/>
          <w:highlight w:val="yellow"/>
        </w:rPr>
      </w:pPr>
      <w:r>
        <w:rPr>
          <w:rFonts w:hint="eastAsia" w:ascii="仿宋" w:hAnsi="仿宋" w:eastAsia="仿宋"/>
          <w:sz w:val="32"/>
          <w:szCs w:val="32"/>
          <w:highlight w:val="none"/>
        </w:rPr>
        <w:t>（图3：支出决算结构图）</w:t>
      </w:r>
    </w:p>
    <w:p w14:paraId="75B43BDA">
      <w:pPr>
        <w:spacing w:line="600" w:lineRule="exact"/>
        <w:ind w:firstLine="640" w:firstLineChars="200"/>
        <w:outlineLvl w:val="1"/>
        <w:rPr>
          <w:rStyle w:val="28"/>
          <w:rFonts w:ascii="黑体" w:hAnsi="黑体" w:eastAsia="黑体"/>
          <w:b w:val="0"/>
        </w:rPr>
      </w:pPr>
      <w:bookmarkStart w:id="31" w:name="_Toc29631"/>
      <w:bookmarkStart w:id="32" w:name="_Toc15377208"/>
      <w:bookmarkStart w:id="33"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1"/>
      <w:bookmarkEnd w:id="32"/>
      <w:bookmarkEnd w:id="33"/>
    </w:p>
    <w:p w14:paraId="1C6F5609">
      <w:pPr>
        <w:spacing w:line="600" w:lineRule="exact"/>
        <w:ind w:firstLine="640" w:firstLineChars="200"/>
        <w:rPr>
          <w:rStyle w:val="17"/>
          <w:rFonts w:hint="eastAsia" w:ascii="仿宋" w:hAnsi="仿宋" w:eastAsia="仿宋"/>
          <w:b w:val="0"/>
          <w:bCs w:val="0"/>
          <w:color w:val="auto"/>
          <w:sz w:val="32"/>
          <w:szCs w:val="32"/>
        </w:rPr>
      </w:pPr>
      <w:r>
        <w:rPr>
          <w:rStyle w:val="17"/>
          <w:rFonts w:hint="eastAsia" w:ascii="仿宋" w:hAnsi="仿宋" w:eastAsia="仿宋"/>
          <w:b w:val="0"/>
          <w:bCs w:val="0"/>
          <w:color w:val="auto"/>
          <w:sz w:val="32"/>
          <w:szCs w:val="32"/>
        </w:rPr>
        <w:t>2023年度财政拨款收、支总计均为</w:t>
      </w:r>
      <w:r>
        <w:rPr>
          <w:rFonts w:ascii="仿宋" w:hAnsi="仿宋" w:eastAsia="仿宋"/>
          <w:b w:val="0"/>
          <w:bCs/>
          <w:sz w:val="32"/>
          <w:szCs w:val="32"/>
        </w:rPr>
        <w:t>3694.55</w:t>
      </w:r>
      <w:r>
        <w:rPr>
          <w:rStyle w:val="17"/>
          <w:rFonts w:hint="eastAsia" w:ascii="仿宋" w:hAnsi="仿宋" w:eastAsia="仿宋"/>
          <w:b w:val="0"/>
          <w:bCs w:val="0"/>
          <w:color w:val="auto"/>
          <w:sz w:val="32"/>
          <w:szCs w:val="32"/>
        </w:rPr>
        <w:t>万元。与2022年度相比，财政拨款收、支总计各增加</w:t>
      </w:r>
      <w:r>
        <w:rPr>
          <w:rStyle w:val="17"/>
          <w:rFonts w:hint="eastAsia" w:ascii="仿宋" w:hAnsi="仿宋" w:eastAsia="仿宋"/>
          <w:b w:val="0"/>
          <w:bCs w:val="0"/>
          <w:color w:val="auto"/>
          <w:sz w:val="32"/>
          <w:szCs w:val="32"/>
          <w:lang w:val="en-US" w:eastAsia="zh-CN"/>
        </w:rPr>
        <w:t>88.05</w:t>
      </w:r>
      <w:r>
        <w:rPr>
          <w:rStyle w:val="17"/>
          <w:rFonts w:hint="eastAsia" w:ascii="仿宋" w:hAnsi="仿宋" w:eastAsia="仿宋"/>
          <w:b w:val="0"/>
          <w:bCs w:val="0"/>
          <w:color w:val="auto"/>
          <w:sz w:val="32"/>
          <w:szCs w:val="32"/>
        </w:rPr>
        <w:t>万元，增涨2.8</w:t>
      </w:r>
      <w:r>
        <w:rPr>
          <w:rStyle w:val="17"/>
          <w:rFonts w:hint="eastAsia" w:ascii="仿宋" w:hAnsi="仿宋" w:eastAsia="仿宋"/>
          <w:b w:val="0"/>
          <w:bCs w:val="0"/>
          <w:color w:val="auto"/>
          <w:sz w:val="32"/>
          <w:szCs w:val="32"/>
          <w:lang w:val="en-US" w:eastAsia="zh-CN"/>
        </w:rPr>
        <w:t>3</w:t>
      </w:r>
      <w:r>
        <w:rPr>
          <w:rStyle w:val="17"/>
          <w:rFonts w:hint="eastAsia" w:ascii="仿宋" w:hAnsi="仿宋" w:eastAsia="仿宋"/>
          <w:b w:val="0"/>
          <w:bCs w:val="0"/>
          <w:color w:val="auto"/>
          <w:sz w:val="32"/>
          <w:szCs w:val="32"/>
        </w:rPr>
        <w:t>%。主要变动原因是</w:t>
      </w:r>
      <w:r>
        <w:rPr>
          <w:rStyle w:val="17"/>
          <w:rFonts w:hint="eastAsia" w:ascii="仿宋" w:hAnsi="仿宋" w:eastAsia="仿宋"/>
          <w:b w:val="0"/>
          <w:bCs w:val="0"/>
          <w:color w:val="auto"/>
          <w:sz w:val="32"/>
          <w:szCs w:val="32"/>
          <w:lang w:val="en-US" w:eastAsia="zh-CN"/>
        </w:rPr>
        <w:t>支付了上年度存量资金五险一金欠缴部分。</w:t>
      </w:r>
    </w:p>
    <w:p w14:paraId="08D5D0B2">
      <w:pPr>
        <w:spacing w:line="240" w:lineRule="auto"/>
        <w:rPr>
          <w:rFonts w:ascii="仿宋" w:hAnsi="仿宋" w:eastAsia="仿宋"/>
          <w:sz w:val="32"/>
          <w:szCs w:val="32"/>
        </w:rPr>
      </w:pPr>
      <w:r>
        <w:drawing>
          <wp:inline distT="0" distB="0" distL="114300" distR="114300">
            <wp:extent cx="5228590" cy="3057525"/>
            <wp:effectExtent l="4445" t="4445" r="5715"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1703FD">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（图4：财政拨款收、支决算总计变动情况）</w:t>
      </w:r>
    </w:p>
    <w:p w14:paraId="12D3AD38">
      <w:pPr>
        <w:spacing w:line="600" w:lineRule="exact"/>
        <w:ind w:firstLine="640"/>
        <w:rPr>
          <w:rFonts w:ascii="仿宋" w:hAnsi="仿宋" w:eastAsia="仿宋"/>
          <w:b/>
          <w:sz w:val="32"/>
          <w:szCs w:val="32"/>
        </w:rPr>
      </w:pPr>
    </w:p>
    <w:p w14:paraId="7B7AD112">
      <w:pPr>
        <w:spacing w:line="600" w:lineRule="exact"/>
        <w:ind w:firstLine="640" w:firstLineChars="200"/>
        <w:outlineLvl w:val="1"/>
        <w:rPr>
          <w:rStyle w:val="28"/>
          <w:rFonts w:ascii="黑体" w:hAnsi="黑体" w:eastAsia="黑体"/>
          <w:b w:val="0"/>
        </w:rPr>
      </w:pPr>
      <w:bookmarkStart w:id="34" w:name="_Toc15377209"/>
      <w:bookmarkStart w:id="35" w:name="_Toc1707"/>
      <w:bookmarkStart w:id="36"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4"/>
      <w:bookmarkEnd w:id="35"/>
      <w:bookmarkEnd w:id="36"/>
    </w:p>
    <w:p w14:paraId="30D6395B">
      <w:pPr>
        <w:spacing w:line="600" w:lineRule="exact"/>
        <w:ind w:firstLine="643" w:firstLineChars="200"/>
        <w:outlineLvl w:val="2"/>
        <w:rPr>
          <w:rFonts w:ascii="仿宋" w:hAnsi="仿宋" w:eastAsia="仿宋"/>
          <w:b/>
          <w:sz w:val="32"/>
          <w:szCs w:val="32"/>
        </w:rPr>
      </w:pPr>
      <w:bookmarkStart w:id="37" w:name="_Toc15377210"/>
      <w:r>
        <w:rPr>
          <w:rFonts w:hint="eastAsia" w:ascii="仿宋" w:hAnsi="仿宋" w:eastAsia="仿宋"/>
          <w:b/>
          <w:sz w:val="32"/>
          <w:szCs w:val="32"/>
        </w:rPr>
        <w:t>（一）一般公共预算财政拨款支出决算总体情况</w:t>
      </w:r>
      <w:bookmarkEnd w:id="37"/>
    </w:p>
    <w:p w14:paraId="77E8C006">
      <w:pPr>
        <w:spacing w:line="60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rPr>
        <w:t>2023年度一般公共预算财政拨款支出</w:t>
      </w:r>
      <w:r>
        <w:rPr>
          <w:rFonts w:ascii="仿宋" w:hAnsi="仿宋" w:eastAsia="仿宋"/>
          <w:b w:val="0"/>
          <w:bCs/>
          <w:sz w:val="32"/>
          <w:szCs w:val="32"/>
        </w:rPr>
        <w:t>3694.55</w:t>
      </w:r>
      <w:r>
        <w:rPr>
          <w:rFonts w:hint="eastAsia" w:ascii="仿宋" w:hAnsi="仿宋" w:eastAsia="仿宋"/>
          <w:sz w:val="32"/>
          <w:szCs w:val="32"/>
        </w:rPr>
        <w:t>万元，占本年支出合计的</w:t>
      </w:r>
      <w:r>
        <w:rPr>
          <w:rFonts w:ascii="仿宋" w:hAnsi="仿宋" w:eastAsia="仿宋"/>
          <w:b w:val="0"/>
          <w:bCs/>
          <w:sz w:val="32"/>
          <w:szCs w:val="32"/>
        </w:rPr>
        <w:t>98.63</w:t>
      </w:r>
      <w:r>
        <w:rPr>
          <w:rFonts w:hint="eastAsia" w:ascii="仿宋" w:hAnsi="仿宋" w:eastAsia="仿宋"/>
          <w:sz w:val="32"/>
          <w:szCs w:val="32"/>
        </w:rPr>
        <w:t>%。与2</w:t>
      </w:r>
      <w:r>
        <w:rPr>
          <w:rFonts w:hint="eastAsia" w:ascii="仿宋" w:hAnsi="仿宋" w:eastAsia="仿宋"/>
          <w:sz w:val="32"/>
          <w:szCs w:val="32"/>
          <w:highlight w:val="none"/>
        </w:rPr>
        <w:t>022年度相比，一般公共预算财政拨款支出增加</w:t>
      </w:r>
      <w:r>
        <w:rPr>
          <w:rFonts w:hint="eastAsia" w:ascii="仿宋" w:hAnsi="仿宋" w:eastAsia="仿宋"/>
          <w:sz w:val="32"/>
          <w:szCs w:val="32"/>
          <w:highlight w:val="none"/>
          <w:lang w:val="en-US" w:eastAsia="zh-CN"/>
        </w:rPr>
        <w:t>88.05万元，增涨2.83%</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支付了上年度存量资金五险一金欠缴部分。</w:t>
      </w:r>
    </w:p>
    <w:p w14:paraId="6BD6FA4D">
      <w:pPr>
        <w:spacing w:line="600" w:lineRule="exact"/>
        <w:ind w:firstLine="640" w:firstLineChars="200"/>
        <w:rPr>
          <w:rFonts w:ascii="仿宋" w:hAnsi="仿宋" w:eastAsia="仿宋"/>
          <w:sz w:val="32"/>
          <w:szCs w:val="32"/>
          <w:highlight w:val="yellow"/>
        </w:rPr>
      </w:pPr>
    </w:p>
    <w:p w14:paraId="46550BA0">
      <w:pPr>
        <w:spacing w:line="240" w:lineRule="auto"/>
        <w:ind w:firstLine="0" w:firstLineChars="0"/>
        <w:rPr>
          <w:rFonts w:ascii="仿宋" w:hAnsi="仿宋" w:eastAsia="仿宋"/>
          <w:sz w:val="32"/>
          <w:szCs w:val="32"/>
        </w:rPr>
      </w:pPr>
      <w:r>
        <w:drawing>
          <wp:inline distT="0" distB="0" distL="114300" distR="114300">
            <wp:extent cx="5143500" cy="2600960"/>
            <wp:effectExtent l="4445" t="4445" r="14605" b="23495"/>
            <wp:docPr id="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F7B5C9">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14:paraId="739648D7">
      <w:pPr>
        <w:spacing w:line="600" w:lineRule="exact"/>
        <w:ind w:firstLine="643" w:firstLineChars="200"/>
        <w:outlineLvl w:val="9"/>
        <w:rPr>
          <w:rFonts w:hint="eastAsia" w:ascii="仿宋" w:hAnsi="仿宋" w:eastAsia="仿宋"/>
          <w:b/>
          <w:sz w:val="32"/>
          <w:szCs w:val="32"/>
        </w:rPr>
      </w:pPr>
      <w:bookmarkStart w:id="38" w:name="_Toc15377211"/>
    </w:p>
    <w:p w14:paraId="562D384A">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8"/>
    </w:p>
    <w:p w14:paraId="1811A415">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2023年度一般公共预算财政拨</w:t>
      </w:r>
      <w:r>
        <w:rPr>
          <w:rFonts w:hint="eastAsia" w:ascii="仿宋" w:hAnsi="仿宋" w:eastAsia="仿宋"/>
          <w:sz w:val="32"/>
          <w:szCs w:val="32"/>
          <w:lang w:val="en-US" w:eastAsia="zh-CN"/>
        </w:rPr>
        <w:t>款支出</w:t>
      </w:r>
      <w:r>
        <w:rPr>
          <w:rFonts w:ascii="仿宋" w:hAnsi="仿宋" w:eastAsia="仿宋"/>
          <w:b w:val="0"/>
          <w:bCs/>
          <w:sz w:val="32"/>
          <w:szCs w:val="32"/>
        </w:rPr>
        <w:t>3694.55</w:t>
      </w:r>
      <w:r>
        <w:rPr>
          <w:rFonts w:hint="eastAsia" w:ascii="仿宋" w:hAnsi="仿宋" w:eastAsia="仿宋"/>
          <w:sz w:val="32"/>
          <w:szCs w:val="32"/>
          <w:lang w:val="en-US" w:eastAsia="zh-CN"/>
        </w:rPr>
        <w:t>万元，主要用于以下方面:教育支出3029.57万元，占82%；社会保障和就业支出373.05万元，占10.1%；卫生健康支出124.97万元，占3.38%；住房保障支出166.95万元，占4.52%。</w:t>
      </w:r>
    </w:p>
    <w:p w14:paraId="5E4E16E1">
      <w:pPr>
        <w:spacing w:line="240" w:lineRule="auto"/>
        <w:ind w:firstLine="0"/>
        <w:rPr>
          <w:rFonts w:ascii="仿宋" w:hAnsi="仿宋" w:eastAsia="仿宋"/>
          <w:sz w:val="32"/>
          <w:szCs w:val="32"/>
        </w:rPr>
      </w:pPr>
      <w:r>
        <w:drawing>
          <wp:inline distT="0" distB="0" distL="114300" distR="114300">
            <wp:extent cx="5189855" cy="2933065"/>
            <wp:effectExtent l="4445" t="4445" r="12700" b="889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E0536E">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14:paraId="079C2CAA">
      <w:pPr>
        <w:spacing w:line="600" w:lineRule="exact"/>
        <w:ind w:firstLine="643"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14:paraId="20422EBD">
      <w:pPr>
        <w:spacing w:line="600" w:lineRule="exact"/>
        <w:ind w:firstLine="640"/>
        <w:rPr>
          <w:rFonts w:hint="eastAsia" w:ascii="仿宋" w:hAnsi="仿宋" w:eastAsia="仿宋"/>
          <w:sz w:val="32"/>
          <w:szCs w:val="32"/>
          <w:lang w:val="en-US" w:eastAsia="zh-CN"/>
        </w:rPr>
      </w:pPr>
      <w:bookmarkStart w:id="40" w:name="_Toc15378460"/>
      <w:bookmarkStart w:id="41" w:name="_Toc15377213"/>
      <w:bookmarkStart w:id="42" w:name="_Toc15377444"/>
      <w:r>
        <w:rPr>
          <w:rFonts w:hint="eastAsia" w:ascii="仿宋" w:hAnsi="仿宋" w:eastAsia="仿宋"/>
          <w:sz w:val="32"/>
          <w:szCs w:val="32"/>
          <w:lang w:val="en-US" w:eastAsia="zh-CN"/>
        </w:rPr>
        <w:t>2023年度一般公共预算支出决算数为</w:t>
      </w:r>
      <w:r>
        <w:rPr>
          <w:rFonts w:ascii="仿宋" w:hAnsi="仿宋" w:eastAsia="仿宋"/>
          <w:b w:val="0"/>
          <w:bCs/>
          <w:sz w:val="32"/>
          <w:szCs w:val="32"/>
        </w:rPr>
        <w:t>3694.55</w:t>
      </w:r>
      <w:r>
        <w:rPr>
          <w:rFonts w:hint="eastAsia" w:ascii="仿宋" w:hAnsi="仿宋" w:eastAsia="仿宋"/>
          <w:sz w:val="32"/>
          <w:szCs w:val="32"/>
          <w:lang w:val="en-US" w:eastAsia="zh-CN"/>
        </w:rPr>
        <w:t>万元，完成预算100%。其中：</w:t>
      </w:r>
      <w:bookmarkEnd w:id="40"/>
      <w:bookmarkEnd w:id="41"/>
      <w:bookmarkEnd w:id="42"/>
    </w:p>
    <w:p w14:paraId="7CF9AD0A">
      <w:pPr>
        <w:numPr>
          <w:ilvl w:val="0"/>
          <w:numId w:val="3"/>
        </w:num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教育支出（205）普通教育（02）初中教育（03）: 支出决算为</w:t>
      </w:r>
      <w:r>
        <w:rPr>
          <w:rFonts w:hint="eastAsia" w:ascii="仿宋_GB2312" w:hAnsi="仿宋_GB2312" w:eastAsia="仿宋_GB2312" w:cs="仿宋_GB2312"/>
          <w:sz w:val="32"/>
          <w:szCs w:val="32"/>
          <w:lang w:val="en-US" w:eastAsia="zh-CN"/>
        </w:rPr>
        <w:t>2028.54</w:t>
      </w:r>
      <w:r>
        <w:rPr>
          <w:rFonts w:hint="eastAsia" w:ascii="仿宋_GB2312" w:hAnsi="仿宋_GB2312" w:eastAsia="仿宋_GB2312" w:cs="仿宋_GB2312"/>
          <w:sz w:val="32"/>
          <w:szCs w:val="32"/>
        </w:rPr>
        <w:t>万元，完成预算100%。</w:t>
      </w:r>
    </w:p>
    <w:p w14:paraId="44C3604F">
      <w:pPr>
        <w:numPr>
          <w:ilvl w:val="0"/>
          <w:numId w:val="3"/>
        </w:numPr>
        <w:spacing w:line="600" w:lineRule="exact"/>
        <w:ind w:left="0" w:leftChars="0" w:firstLine="64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教育（205）普通教育（02）小学教育（02）: 支出决算为0.47万元，完成预算100%。</w:t>
      </w:r>
    </w:p>
    <w:p w14:paraId="5122076C">
      <w:pPr>
        <w:numPr>
          <w:ilvl w:val="0"/>
          <w:numId w:val="3"/>
        </w:numPr>
        <w:spacing w:line="600" w:lineRule="exact"/>
        <w:ind w:left="0" w:leftChars="0" w:firstLine="640" w:firstLineChars="0"/>
        <w:rPr>
          <w:rFonts w:hint="eastAsia" w:ascii="仿宋" w:hAnsi="仿宋" w:eastAsia="仿宋"/>
          <w:sz w:val="32"/>
          <w:szCs w:val="32"/>
          <w:lang w:val="en-US" w:eastAsia="zh-CN"/>
        </w:rPr>
      </w:pPr>
      <w:r>
        <w:rPr>
          <w:rFonts w:hint="eastAsia" w:ascii="仿宋_GB2312" w:hAnsi="仿宋_GB2312" w:eastAsia="仿宋_GB2312" w:cs="仿宋_GB2312"/>
          <w:sz w:val="32"/>
          <w:szCs w:val="32"/>
        </w:rPr>
        <w:t>教育支出（205）普通教育（02）高中教育（04）：支出决算为</w:t>
      </w:r>
      <w:r>
        <w:rPr>
          <w:rFonts w:hint="eastAsia" w:ascii="仿宋_GB2312" w:hAnsi="仿宋_GB2312" w:eastAsia="仿宋_GB2312" w:cs="仿宋_GB2312"/>
          <w:sz w:val="32"/>
          <w:szCs w:val="32"/>
          <w:lang w:val="en-US" w:eastAsia="zh-CN"/>
        </w:rPr>
        <w:t>1000.56</w:t>
      </w:r>
      <w:r>
        <w:rPr>
          <w:rFonts w:hint="eastAsia" w:ascii="仿宋_GB2312" w:hAnsi="仿宋_GB2312" w:eastAsia="仿宋_GB2312" w:cs="仿宋_GB2312"/>
          <w:sz w:val="32"/>
          <w:szCs w:val="32"/>
        </w:rPr>
        <w:t>万元，完成预算100%</w:t>
      </w:r>
    </w:p>
    <w:p w14:paraId="20C8C9C6">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4. 社会保障和就业（208）行政事业单位养老支出（05） 事业单位离退休（02）支出决算为24.05万元，完成预算100%。</w:t>
      </w:r>
    </w:p>
    <w:p w14:paraId="6471A354">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5. 社会保障和就业（208）行政事业单位养老支出（05） 机关事业单位基本养老保险缴费支出（05）支出决算为230.71万元，完成预算100%。</w:t>
      </w:r>
    </w:p>
    <w:p w14:paraId="11A50B3E">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6、 社会保障和就业（208）行政事业单位养老支出（05） 其他行政事业单位养老支出（99）支出决算为107.071万元，完成预算100%。</w:t>
      </w:r>
    </w:p>
    <w:p w14:paraId="4D25C5BC">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7、 社会保障和就业（208）抚恤（08）死亡抚恤（01）支出决算为11.22万元，完成预算100%。</w:t>
      </w:r>
    </w:p>
    <w:p w14:paraId="6797776E">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8.卫生健康（210）行政事业单位医疗（11）事业单位医疗（02）:支出决算为124.97万元，完成预算100%。</w:t>
      </w:r>
    </w:p>
    <w:p w14:paraId="7DEFA56C">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9.住房保障支出（221）住房改革支出（02）住房公积金（01）:支出决算为166.95万元，完成预算100%。</w:t>
      </w:r>
    </w:p>
    <w:p w14:paraId="17E5F008">
      <w:pPr>
        <w:spacing w:line="600" w:lineRule="exact"/>
        <w:ind w:firstLine="640"/>
        <w:rPr>
          <w:rFonts w:hint="eastAsia" w:ascii="仿宋" w:hAnsi="仿宋" w:eastAsia="仿宋"/>
          <w:sz w:val="32"/>
          <w:szCs w:val="32"/>
          <w:lang w:val="en-US" w:eastAsia="zh-CN"/>
        </w:rPr>
      </w:pPr>
    </w:p>
    <w:p w14:paraId="277E9EE0">
      <w:pPr>
        <w:tabs>
          <w:tab w:val="right" w:pos="8306"/>
        </w:tabs>
        <w:spacing w:line="600" w:lineRule="exact"/>
        <w:ind w:firstLine="640"/>
        <w:outlineLvl w:val="1"/>
        <w:rPr>
          <w:rStyle w:val="28"/>
        </w:rPr>
      </w:pPr>
      <w:bookmarkStart w:id="43" w:name="_Toc15396608"/>
      <w:bookmarkStart w:id="44" w:name="_Toc2399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3"/>
      <w:bookmarkEnd w:id="44"/>
      <w:bookmarkEnd w:id="45"/>
      <w:r>
        <w:rPr>
          <w:rStyle w:val="28"/>
          <w:rFonts w:ascii="黑体" w:hAnsi="黑体" w:eastAsia="黑体"/>
          <w:b w:val="0"/>
        </w:rPr>
        <w:tab/>
      </w:r>
    </w:p>
    <w:p w14:paraId="636940DA">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2023年度一般公共预算财政拨款基本支出</w:t>
      </w:r>
      <w:r>
        <w:rPr>
          <w:rFonts w:ascii="仿宋" w:hAnsi="仿宋" w:eastAsia="仿宋"/>
          <w:b w:val="0"/>
          <w:bCs/>
          <w:sz w:val="32"/>
          <w:szCs w:val="32"/>
        </w:rPr>
        <w:t>3542.1</w:t>
      </w:r>
      <w:r>
        <w:rPr>
          <w:rFonts w:hint="eastAsia" w:ascii="仿宋" w:hAnsi="仿宋" w:eastAsia="仿宋"/>
          <w:sz w:val="32"/>
          <w:szCs w:val="32"/>
          <w:lang w:val="en-US" w:eastAsia="zh-CN"/>
        </w:rPr>
        <w:t>万元，其中：</w:t>
      </w:r>
    </w:p>
    <w:p w14:paraId="2BB5F7CA">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lang w:val="en-US" w:eastAsia="zh-CN"/>
        </w:rPr>
        <w:t>人员经费3104.35万元，主要包括：基本工资1004.1万元、津贴补贴181.94万元、绩效工资563.73万元、机关事业单位基本养老保险缴费230.71万元、其他工资福利</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689.30万元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11.22万元、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131.43万元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职工基本医疗保险缴费124.97万元、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166.95万元。</w:t>
      </w:r>
    </w:p>
    <w:p w14:paraId="67D800B6">
      <w:pPr>
        <w:spacing w:line="600" w:lineRule="exact"/>
        <w:ind w:firstLine="645"/>
        <w:rPr>
          <w:rFonts w:hint="default" w:ascii="仿宋" w:hAnsi="仿宋" w:eastAsia="仿宋"/>
          <w:color w:val="auto"/>
          <w:sz w:val="32"/>
          <w:szCs w:val="32"/>
          <w:highlight w:val="none"/>
          <w:lang w:val="en-US" w:eastAsia="zh-CN"/>
        </w:rPr>
      </w:pPr>
      <w:bookmarkStart w:id="46" w:name="_Toc15389"/>
      <w:bookmarkStart w:id="47" w:name="_Toc29038"/>
      <w:bookmarkStart w:id="48" w:name="_Toc30650"/>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437.74</w:t>
      </w:r>
      <w:r>
        <w:rPr>
          <w:rFonts w:hint="eastAsia" w:ascii="仿宋" w:hAnsi="仿宋" w:eastAsia="仿宋"/>
          <w:color w:val="auto"/>
          <w:sz w:val="32"/>
          <w:szCs w:val="32"/>
          <w:highlight w:val="none"/>
        </w:rPr>
        <w:t>万元，</w:t>
      </w:r>
      <w:bookmarkEnd w:id="46"/>
      <w:bookmarkEnd w:id="47"/>
      <w:bookmarkEnd w:id="48"/>
      <w:r>
        <w:rPr>
          <w:rFonts w:hint="eastAsia" w:ascii="仿宋" w:hAnsi="仿宋" w:eastAsia="仿宋"/>
          <w:sz w:val="32"/>
          <w:szCs w:val="32"/>
        </w:rPr>
        <w:t>主要包括：办公费</w:t>
      </w:r>
      <w:r>
        <w:rPr>
          <w:rFonts w:hint="eastAsia" w:ascii="仿宋" w:hAnsi="仿宋" w:eastAsia="仿宋"/>
          <w:sz w:val="32"/>
          <w:szCs w:val="32"/>
          <w:lang w:val="en-US" w:eastAsia="zh-CN"/>
        </w:rPr>
        <w:t>30.36</w:t>
      </w:r>
      <w:r>
        <w:rPr>
          <w:rFonts w:hint="eastAsia" w:ascii="仿宋" w:hAnsi="仿宋" w:eastAsia="仿宋"/>
          <w:sz w:val="32"/>
          <w:szCs w:val="32"/>
        </w:rPr>
        <w:t>万元、</w:t>
      </w:r>
      <w:r>
        <w:rPr>
          <w:rFonts w:hint="eastAsia" w:ascii="仿宋" w:hAnsi="仿宋" w:eastAsia="仿宋"/>
          <w:sz w:val="32"/>
          <w:szCs w:val="32"/>
          <w:lang w:eastAsia="zh-CN"/>
        </w:rPr>
        <w:t>印刷费</w:t>
      </w:r>
      <w:r>
        <w:rPr>
          <w:rFonts w:hint="eastAsia" w:ascii="仿宋" w:hAnsi="仿宋" w:eastAsia="仿宋"/>
          <w:sz w:val="32"/>
          <w:szCs w:val="32"/>
          <w:lang w:val="en-US" w:eastAsia="zh-CN"/>
        </w:rPr>
        <w:t>10万元、</w:t>
      </w:r>
      <w:r>
        <w:rPr>
          <w:rFonts w:hint="eastAsia" w:ascii="仿宋" w:hAnsi="仿宋" w:eastAsia="仿宋"/>
          <w:sz w:val="32"/>
          <w:szCs w:val="32"/>
        </w:rPr>
        <w:t>水费</w:t>
      </w:r>
      <w:r>
        <w:rPr>
          <w:rFonts w:hint="eastAsia" w:ascii="仿宋" w:hAnsi="仿宋" w:eastAsia="仿宋"/>
          <w:sz w:val="32"/>
          <w:szCs w:val="32"/>
          <w:lang w:val="en-US" w:eastAsia="zh-CN"/>
        </w:rPr>
        <w:t>10</w:t>
      </w:r>
      <w:r>
        <w:rPr>
          <w:rFonts w:hint="eastAsia" w:ascii="仿宋" w:hAnsi="仿宋" w:eastAsia="仿宋"/>
          <w:sz w:val="32"/>
          <w:szCs w:val="32"/>
        </w:rPr>
        <w:t>万元、电费</w:t>
      </w:r>
      <w:r>
        <w:rPr>
          <w:rFonts w:hint="eastAsia" w:ascii="仿宋" w:hAnsi="仿宋" w:eastAsia="仿宋"/>
          <w:sz w:val="32"/>
          <w:szCs w:val="32"/>
          <w:lang w:val="en-US" w:eastAsia="zh-CN"/>
        </w:rPr>
        <w:t>15</w:t>
      </w:r>
      <w:r>
        <w:rPr>
          <w:rFonts w:hint="eastAsia" w:ascii="仿宋" w:hAnsi="仿宋" w:eastAsia="仿宋"/>
          <w:sz w:val="32"/>
          <w:szCs w:val="32"/>
        </w:rPr>
        <w:t>万元、邮电费</w:t>
      </w:r>
      <w:r>
        <w:rPr>
          <w:rFonts w:hint="eastAsia" w:ascii="仿宋" w:hAnsi="仿宋" w:eastAsia="仿宋"/>
          <w:sz w:val="32"/>
          <w:szCs w:val="32"/>
          <w:lang w:val="en-US" w:eastAsia="zh-CN"/>
        </w:rPr>
        <w:t>5</w:t>
      </w:r>
      <w:r>
        <w:rPr>
          <w:rFonts w:hint="eastAsia" w:ascii="仿宋" w:hAnsi="仿宋" w:eastAsia="仿宋"/>
          <w:sz w:val="32"/>
          <w:szCs w:val="32"/>
        </w:rPr>
        <w:t>万元、物业管理费</w:t>
      </w:r>
      <w:r>
        <w:rPr>
          <w:rFonts w:hint="eastAsia" w:ascii="仿宋" w:hAnsi="仿宋" w:eastAsia="仿宋"/>
          <w:sz w:val="32"/>
          <w:szCs w:val="32"/>
          <w:lang w:val="en-US" w:eastAsia="zh-CN"/>
        </w:rPr>
        <w:t>15</w:t>
      </w:r>
      <w:r>
        <w:rPr>
          <w:rFonts w:hint="eastAsia" w:ascii="仿宋" w:hAnsi="仿宋" w:eastAsia="仿宋"/>
          <w:sz w:val="32"/>
          <w:szCs w:val="32"/>
        </w:rPr>
        <w:t>万元、差旅费</w:t>
      </w:r>
      <w:r>
        <w:rPr>
          <w:rFonts w:hint="eastAsia" w:ascii="仿宋" w:hAnsi="仿宋" w:eastAsia="仿宋"/>
          <w:sz w:val="32"/>
          <w:szCs w:val="32"/>
          <w:lang w:val="en-US" w:eastAsia="zh-CN"/>
        </w:rPr>
        <w:t>1.11</w:t>
      </w:r>
      <w:r>
        <w:rPr>
          <w:rFonts w:hint="eastAsia" w:ascii="仿宋" w:hAnsi="仿宋" w:eastAsia="仿宋"/>
          <w:sz w:val="32"/>
          <w:szCs w:val="32"/>
        </w:rPr>
        <w:t>万元、维修（护）费</w:t>
      </w:r>
      <w:r>
        <w:rPr>
          <w:rFonts w:hint="eastAsia" w:ascii="仿宋" w:hAnsi="仿宋" w:eastAsia="仿宋"/>
          <w:sz w:val="32"/>
          <w:szCs w:val="32"/>
          <w:lang w:val="en-US" w:eastAsia="zh-CN"/>
        </w:rPr>
        <w:t>66.39</w:t>
      </w:r>
      <w:r>
        <w:rPr>
          <w:rFonts w:hint="eastAsia" w:ascii="仿宋" w:hAnsi="仿宋" w:eastAsia="仿宋"/>
          <w:sz w:val="32"/>
          <w:szCs w:val="32"/>
        </w:rPr>
        <w:t>万元、</w:t>
      </w:r>
      <w:r>
        <w:rPr>
          <w:rFonts w:hint="eastAsia" w:ascii="仿宋" w:hAnsi="仿宋" w:eastAsia="仿宋"/>
          <w:sz w:val="32"/>
          <w:szCs w:val="32"/>
          <w:lang w:eastAsia="zh-CN"/>
        </w:rPr>
        <w:t>会议费</w:t>
      </w:r>
      <w:r>
        <w:rPr>
          <w:rFonts w:hint="eastAsia" w:ascii="仿宋" w:hAnsi="仿宋" w:eastAsia="仿宋"/>
          <w:sz w:val="32"/>
          <w:szCs w:val="32"/>
          <w:lang w:val="en-US" w:eastAsia="zh-CN"/>
        </w:rPr>
        <w:t>5万元、</w:t>
      </w:r>
      <w:r>
        <w:rPr>
          <w:rFonts w:hint="eastAsia" w:ascii="仿宋" w:hAnsi="仿宋" w:eastAsia="仿宋"/>
          <w:sz w:val="32"/>
          <w:szCs w:val="32"/>
        </w:rPr>
        <w:t>培训费</w:t>
      </w:r>
      <w:r>
        <w:rPr>
          <w:rFonts w:hint="eastAsia" w:ascii="仿宋" w:hAnsi="仿宋" w:eastAsia="仿宋"/>
          <w:sz w:val="32"/>
          <w:szCs w:val="32"/>
          <w:lang w:val="en-US" w:eastAsia="zh-CN"/>
        </w:rPr>
        <w:t>7</w:t>
      </w:r>
      <w:r>
        <w:rPr>
          <w:rFonts w:hint="eastAsia" w:ascii="仿宋" w:hAnsi="仿宋" w:eastAsia="仿宋"/>
          <w:sz w:val="32"/>
          <w:szCs w:val="32"/>
        </w:rPr>
        <w:t>万元、公务接待费</w:t>
      </w:r>
      <w:r>
        <w:rPr>
          <w:rFonts w:hint="eastAsia" w:ascii="仿宋" w:hAnsi="仿宋" w:eastAsia="仿宋"/>
          <w:sz w:val="32"/>
          <w:szCs w:val="32"/>
          <w:lang w:val="en-US" w:eastAsia="zh-CN"/>
        </w:rPr>
        <w:t>2.5</w:t>
      </w:r>
      <w:r>
        <w:rPr>
          <w:rFonts w:hint="eastAsia" w:ascii="仿宋" w:hAnsi="仿宋" w:eastAsia="仿宋"/>
          <w:sz w:val="32"/>
          <w:szCs w:val="32"/>
        </w:rPr>
        <w:t>万元、劳务费</w:t>
      </w:r>
      <w:r>
        <w:rPr>
          <w:rFonts w:hint="eastAsia" w:ascii="仿宋" w:hAnsi="仿宋" w:eastAsia="仿宋"/>
          <w:sz w:val="32"/>
          <w:szCs w:val="32"/>
          <w:lang w:val="en-US" w:eastAsia="zh-CN"/>
        </w:rPr>
        <w:t>30.5</w:t>
      </w:r>
      <w:r>
        <w:rPr>
          <w:rFonts w:hint="eastAsia" w:ascii="仿宋" w:hAnsi="仿宋" w:eastAsia="仿宋"/>
          <w:sz w:val="32"/>
          <w:szCs w:val="32"/>
        </w:rPr>
        <w:t>万元、</w:t>
      </w:r>
      <w:r>
        <w:rPr>
          <w:rFonts w:hint="eastAsia" w:ascii="仿宋" w:hAnsi="仿宋" w:eastAsia="仿宋"/>
          <w:sz w:val="32"/>
          <w:szCs w:val="32"/>
          <w:lang w:eastAsia="zh-CN"/>
        </w:rPr>
        <w:t>委托业务费</w:t>
      </w:r>
      <w:r>
        <w:rPr>
          <w:rFonts w:hint="eastAsia" w:ascii="仿宋" w:hAnsi="仿宋" w:eastAsia="仿宋"/>
          <w:sz w:val="32"/>
          <w:szCs w:val="32"/>
          <w:lang w:val="en-US" w:eastAsia="zh-CN"/>
        </w:rPr>
        <w:t>60万元、</w:t>
      </w:r>
      <w:r>
        <w:rPr>
          <w:rFonts w:hint="eastAsia" w:ascii="仿宋" w:hAnsi="仿宋" w:eastAsia="仿宋"/>
          <w:sz w:val="32"/>
          <w:szCs w:val="32"/>
        </w:rPr>
        <w:t>工会经费</w:t>
      </w:r>
      <w:r>
        <w:rPr>
          <w:rFonts w:hint="eastAsia" w:ascii="仿宋" w:hAnsi="仿宋" w:eastAsia="仿宋"/>
          <w:sz w:val="32"/>
          <w:szCs w:val="32"/>
          <w:lang w:val="en-US" w:eastAsia="zh-CN"/>
        </w:rPr>
        <w:t>53.41</w:t>
      </w:r>
      <w:r>
        <w:rPr>
          <w:rFonts w:hint="eastAsia" w:ascii="仿宋" w:hAnsi="仿宋" w:eastAsia="仿宋"/>
          <w:sz w:val="32"/>
          <w:szCs w:val="32"/>
        </w:rPr>
        <w:t>万元、福利费</w:t>
      </w:r>
      <w:r>
        <w:rPr>
          <w:rFonts w:hint="eastAsia" w:ascii="仿宋" w:hAnsi="仿宋" w:eastAsia="仿宋"/>
          <w:sz w:val="32"/>
          <w:szCs w:val="32"/>
          <w:lang w:val="en-US" w:eastAsia="zh-CN"/>
        </w:rPr>
        <w:t>56.39</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67.77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专用设备购置1.78万元。</w:t>
      </w:r>
    </w:p>
    <w:p w14:paraId="10AB1F67">
      <w:pPr>
        <w:spacing w:line="600" w:lineRule="exact"/>
        <w:ind w:firstLine="640"/>
        <w:outlineLvl w:val="1"/>
        <w:rPr>
          <w:rStyle w:val="28"/>
          <w:rFonts w:ascii="黑体" w:hAnsi="黑体" w:eastAsia="黑体"/>
          <w:b w:val="0"/>
        </w:rPr>
      </w:pPr>
      <w:bookmarkStart w:id="49" w:name="_Toc15377215"/>
      <w:bookmarkStart w:id="50" w:name="_Toc15396609"/>
      <w:bookmarkStart w:id="51" w:name="_Toc21074"/>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9"/>
      <w:bookmarkEnd w:id="50"/>
      <w:bookmarkEnd w:id="51"/>
    </w:p>
    <w:p w14:paraId="1FE3C1C3">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14:paraId="1C591572">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2023年度“三公”经费财政拨款支出决</w:t>
      </w:r>
      <w:r>
        <w:rPr>
          <w:rFonts w:hint="eastAsia" w:ascii="仿宋" w:hAnsi="仿宋" w:eastAsia="仿宋"/>
          <w:sz w:val="32"/>
          <w:szCs w:val="32"/>
          <w:lang w:val="en-US" w:eastAsia="zh-CN"/>
        </w:rPr>
        <w:t>算为</w:t>
      </w:r>
      <w:r>
        <w:rPr>
          <w:rFonts w:ascii="仿宋" w:hAnsi="仿宋" w:eastAsia="仿宋"/>
          <w:b/>
          <w:sz w:val="32"/>
          <w:szCs w:val="32"/>
        </w:rPr>
        <w:t>2.5</w:t>
      </w:r>
      <w:r>
        <w:rPr>
          <w:rFonts w:hint="eastAsia" w:ascii="仿宋" w:hAnsi="仿宋" w:eastAsia="仿宋"/>
          <w:sz w:val="32"/>
          <w:szCs w:val="32"/>
          <w:lang w:val="en-US" w:eastAsia="zh-CN"/>
        </w:rPr>
        <w:t>万元，完成预算100%。</w:t>
      </w:r>
    </w:p>
    <w:p w14:paraId="1128307F">
      <w:pPr>
        <w:spacing w:line="600" w:lineRule="exact"/>
        <w:ind w:firstLine="640"/>
        <w:outlineLvl w:val="9"/>
        <w:rPr>
          <w:rFonts w:hint="eastAsia" w:ascii="仿宋" w:hAnsi="仿宋" w:eastAsia="仿宋"/>
          <w:b/>
          <w:sz w:val="32"/>
          <w:szCs w:val="32"/>
        </w:rPr>
      </w:pPr>
      <w:bookmarkStart w:id="53" w:name="_Toc15377217"/>
    </w:p>
    <w:p w14:paraId="5121287C">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53"/>
    </w:p>
    <w:p w14:paraId="49122759">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2.5</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。具体情况如下：</w:t>
      </w:r>
    </w:p>
    <w:p w14:paraId="79EE3A36">
      <w:pPr>
        <w:spacing w:line="600" w:lineRule="exact"/>
        <w:ind w:firstLine="640"/>
        <w:rPr>
          <w:rFonts w:hint="eastAsia" w:ascii="仿宋" w:hAnsi="仿宋" w:eastAsia="仿宋"/>
          <w:sz w:val="32"/>
          <w:szCs w:val="32"/>
        </w:rPr>
      </w:pPr>
    </w:p>
    <w:p w14:paraId="3F2836E9">
      <w:pPr>
        <w:spacing w:line="600" w:lineRule="exact"/>
        <w:rPr>
          <w:rFonts w:hint="eastAsia" w:ascii="仿宋" w:hAnsi="仿宋" w:eastAsia="仿宋"/>
          <w:sz w:val="32"/>
          <w:szCs w:val="32"/>
          <w:lang w:val="en-US" w:eastAsia="zh-CN"/>
        </w:rPr>
      </w:pPr>
      <w:r>
        <w:drawing>
          <wp:anchor distT="0" distB="0" distL="114300" distR="114300" simplePos="0" relativeHeight="251659264" behindDoc="0" locked="0" layoutInCell="1" allowOverlap="1">
            <wp:simplePos x="0" y="0"/>
            <wp:positionH relativeFrom="column">
              <wp:posOffset>156845</wp:posOffset>
            </wp:positionH>
            <wp:positionV relativeFrom="paragraph">
              <wp:posOffset>299720</wp:posOffset>
            </wp:positionV>
            <wp:extent cx="4826000" cy="2743200"/>
            <wp:effectExtent l="4445" t="4445" r="8255" b="14605"/>
            <wp:wrapSquare wrapText="bothSides"/>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E1EE70E">
      <w:pPr>
        <w:spacing w:line="600" w:lineRule="exact"/>
        <w:ind w:firstLine="960" w:firstLineChars="300"/>
        <w:rPr>
          <w:rFonts w:ascii="仿宋" w:hAnsi="仿宋" w:eastAsia="仿宋"/>
          <w:sz w:val="32"/>
          <w:szCs w:val="32"/>
          <w:highlight w:val="none"/>
        </w:rPr>
      </w:pPr>
      <w:r>
        <w:rPr>
          <w:rFonts w:hint="eastAsia" w:ascii="仿宋" w:hAnsi="仿宋" w:eastAsia="仿宋"/>
          <w:sz w:val="32"/>
          <w:szCs w:val="32"/>
          <w:highlight w:val="none"/>
        </w:rPr>
        <w:t>（图7：“三公”经费财政拨款支出结构）</w:t>
      </w:r>
    </w:p>
    <w:p w14:paraId="29D4E1FE">
      <w:pPr>
        <w:spacing w:line="600" w:lineRule="exact"/>
        <w:ind w:firstLine="640"/>
        <w:rPr>
          <w:rFonts w:ascii="仿宋_GB2312" w:eastAsia="仿宋_GB2312"/>
          <w:color w:val="auto"/>
          <w:sz w:val="32"/>
          <w:szCs w:val="32"/>
          <w:highlight w:val="none"/>
        </w:rPr>
      </w:pPr>
      <w:bookmarkStart w:id="54" w:name="_Toc15377218"/>
      <w:bookmarkStart w:id="55" w:name="_Toc15396610"/>
      <w:r>
        <w:rPr>
          <w:rFonts w:ascii="仿宋_GB2312" w:eastAsia="仿宋_GB2312"/>
          <w:color w:val="auto"/>
          <w:sz w:val="32"/>
          <w:szCs w:val="32"/>
          <w:highlight w:val="none"/>
        </w:rPr>
        <w:t>1.</w:t>
      </w:r>
      <w:r>
        <w:rPr>
          <w:rFonts w:hint="eastAsia" w:ascii="仿宋_GB2312" w:eastAsia="仿宋_GB2312"/>
          <w:b w:val="0"/>
          <w:bCs/>
          <w:sz w:val="32"/>
          <w:szCs w:val="32"/>
        </w:rPr>
        <w:t>因公出国（境）经费支</w:t>
      </w:r>
      <w:r>
        <w:rPr>
          <w:rFonts w:hint="eastAsia" w:ascii="仿宋_GB2312" w:eastAsia="仿宋_GB2312"/>
          <w:b/>
          <w:sz w:val="32"/>
          <w:szCs w:val="32"/>
        </w:rPr>
        <w:t>出</w:t>
      </w:r>
      <w:r>
        <w:rPr>
          <w:rFonts w:hint="eastAsia" w:ascii="仿宋_GB2312" w:eastAsia="仿宋_GB2312"/>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年增加0万元，增长0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hAnsi="仿宋_GB2312" w:eastAsia="仿宋_GB2312" w:cs="仿宋_GB2312"/>
          <w:sz w:val="32"/>
          <w:szCs w:val="32"/>
        </w:rPr>
        <w:t>没有出国（境）经费</w:t>
      </w:r>
      <w:r>
        <w:rPr>
          <w:rFonts w:hint="eastAsia" w:ascii="仿宋_GB2312" w:eastAsia="仿宋_GB2312"/>
          <w:color w:val="auto"/>
          <w:sz w:val="32"/>
          <w:szCs w:val="32"/>
          <w:highlight w:val="none"/>
        </w:rPr>
        <w:t>。</w:t>
      </w:r>
    </w:p>
    <w:p w14:paraId="3BDCC14E">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公务用车购置及运行维护费支出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万元,完成预算</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与2022年一致</w:t>
      </w:r>
      <w:r>
        <w:rPr>
          <w:rFonts w:hint="eastAsia" w:ascii="仿宋_GB2312" w:eastAsia="仿宋_GB2312"/>
          <w:color w:val="auto"/>
          <w:sz w:val="32"/>
          <w:szCs w:val="32"/>
          <w:highlight w:val="none"/>
        </w:rPr>
        <w:t>。</w:t>
      </w:r>
    </w:p>
    <w:p w14:paraId="7CF3790F">
      <w:pPr>
        <w:spacing w:line="600" w:lineRule="exact"/>
        <w:ind w:firstLine="640"/>
        <w:rPr>
          <w:rFonts w:ascii="仿宋_GB2312" w:eastAsia="仿宋_GB2312"/>
          <w:b/>
          <w:sz w:val="32"/>
          <w:szCs w:val="32"/>
          <w:highlight w:val="yellow"/>
        </w:rPr>
      </w:pPr>
      <w:r>
        <w:rPr>
          <w:rFonts w:hint="eastAsia" w:ascii="仿宋_GB2312" w:eastAsia="仿宋_GB2312"/>
          <w:color w:val="auto"/>
          <w:sz w:val="32"/>
          <w:szCs w:val="32"/>
          <w:highlight w:val="none"/>
        </w:rPr>
        <w:t>其中：公务用车购置支出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月31日，单位共有公务用车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6E747E82">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公务用车运行维护费支出0万元。</w:t>
      </w:r>
    </w:p>
    <w:p w14:paraId="577DA407">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2.5</w:t>
      </w:r>
      <w:r>
        <w:rPr>
          <w:rFonts w:hint="eastAsia" w:ascii="仿宋_GB2312" w:eastAsia="仿宋_GB2312"/>
          <w:sz w:val="32"/>
          <w:szCs w:val="32"/>
        </w:rPr>
        <w:t>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rPr>
        <w:t>0</w:t>
      </w:r>
      <w:r>
        <w:rPr>
          <w:rFonts w:hint="eastAsia" w:ascii="仿宋_GB2312" w:eastAsia="仿宋_GB2312"/>
          <w:sz w:val="32"/>
          <w:szCs w:val="32"/>
          <w:lang w:val="en-US" w:eastAsia="zh-CN"/>
        </w:rPr>
        <w:t>.72</w:t>
      </w:r>
      <w:r>
        <w:rPr>
          <w:rFonts w:hint="eastAsia" w:ascii="仿宋_GB2312" w:eastAsia="仿宋_GB2312"/>
          <w:sz w:val="32"/>
          <w:szCs w:val="32"/>
        </w:rPr>
        <w:t>万元。其中：</w:t>
      </w:r>
    </w:p>
    <w:p w14:paraId="77822312">
      <w:pPr>
        <w:spacing w:line="600" w:lineRule="exact"/>
        <w:ind w:firstLine="640"/>
        <w:rPr>
          <w:rFonts w:ascii="仿宋_GB2312" w:eastAsia="仿宋_GB2312"/>
          <w:sz w:val="32"/>
          <w:szCs w:val="32"/>
        </w:rPr>
      </w:pPr>
    </w:p>
    <w:p w14:paraId="27C0E1FA">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2.5</w:t>
      </w:r>
      <w:r>
        <w:rPr>
          <w:rFonts w:hint="eastAsia" w:ascii="仿宋_GB2312" w:eastAsia="仿宋_GB2312"/>
          <w:sz w:val="32"/>
          <w:szCs w:val="32"/>
        </w:rPr>
        <w:t>万元，主要用于</w:t>
      </w:r>
      <w:r>
        <w:rPr>
          <w:rFonts w:hint="eastAsia" w:ascii="仿宋_GB2312" w:hAnsi="仿宋_GB2312" w:eastAsia="仿宋_GB2312" w:cs="仿宋_GB2312"/>
          <w:sz w:val="32"/>
          <w:szCs w:val="32"/>
        </w:rPr>
        <w:t>业务开展及上级部门工作指导用餐</w:t>
      </w:r>
      <w:r>
        <w:rPr>
          <w:rFonts w:hint="eastAsia" w:ascii="仿宋_GB2312" w:eastAsia="仿宋_GB2312"/>
          <w:sz w:val="32"/>
          <w:szCs w:val="32"/>
        </w:rPr>
        <w:t>。国内公务接待</w:t>
      </w:r>
      <w:r>
        <w:rPr>
          <w:rFonts w:hint="eastAsia" w:ascii="仿宋_GB2312" w:eastAsia="仿宋_GB2312"/>
          <w:sz w:val="32"/>
          <w:szCs w:val="32"/>
          <w:highlight w:val="none"/>
          <w:lang w:val="en-US" w:eastAsia="zh-CN"/>
        </w:rPr>
        <w:t>110</w:t>
      </w:r>
      <w:r>
        <w:rPr>
          <w:rFonts w:hint="eastAsia" w:ascii="仿宋_GB2312" w:eastAsia="仿宋_GB2312"/>
          <w:sz w:val="32"/>
          <w:szCs w:val="32"/>
          <w:highlight w:val="none"/>
        </w:rPr>
        <w:t>批次，</w:t>
      </w:r>
      <w:r>
        <w:rPr>
          <w:rFonts w:hint="eastAsia" w:ascii="仿宋_GB2312" w:eastAsia="仿宋_GB2312"/>
          <w:sz w:val="32"/>
          <w:szCs w:val="32"/>
          <w:lang w:val="en-US" w:eastAsia="zh-CN"/>
        </w:rPr>
        <w:t>650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2.5</w:t>
      </w:r>
      <w:r>
        <w:rPr>
          <w:rFonts w:hint="eastAsia" w:ascii="仿宋_GB2312" w:eastAsia="仿宋_GB2312"/>
          <w:sz w:val="32"/>
          <w:szCs w:val="32"/>
        </w:rPr>
        <w:t>万元，具体内容包括：</w:t>
      </w:r>
      <w:r>
        <w:rPr>
          <w:rFonts w:hint="eastAsia" w:ascii="仿宋_GB2312" w:hAnsi="仿宋_GB2312" w:eastAsia="仿宋_GB2312" w:cs="仿宋_GB2312"/>
          <w:sz w:val="32"/>
          <w:szCs w:val="32"/>
        </w:rPr>
        <w:t>业务开展及上级部门工作指导</w:t>
      </w:r>
      <w:r>
        <w:rPr>
          <w:rFonts w:hint="eastAsia" w:ascii="仿宋_GB2312" w:hAnsi="仿宋_GB2312" w:eastAsia="仿宋_GB2312" w:cs="仿宋_GB2312"/>
          <w:sz w:val="32"/>
          <w:szCs w:val="32"/>
          <w:lang w:val="en-US" w:eastAsia="zh-CN"/>
        </w:rPr>
        <w:t>2.5</w:t>
      </w:r>
      <w:r>
        <w:rPr>
          <w:rFonts w:hint="eastAsia" w:ascii="仿宋_GB2312" w:eastAsia="仿宋_GB2312"/>
          <w:sz w:val="32"/>
          <w:szCs w:val="32"/>
        </w:rPr>
        <w:t>万元。</w:t>
      </w:r>
    </w:p>
    <w:p w14:paraId="0C158F9B">
      <w:pPr>
        <w:spacing w:line="600" w:lineRule="exact"/>
        <w:ind w:firstLine="640"/>
        <w:rPr>
          <w:rFonts w:hint="eastAsia" w:ascii="仿宋_GB2312" w:eastAsia="仿宋_GB2312"/>
          <w:color w:val="auto"/>
          <w:sz w:val="32"/>
          <w:szCs w:val="32"/>
          <w:highlight w:val="none"/>
        </w:rPr>
      </w:pPr>
    </w:p>
    <w:p w14:paraId="7DC3C6FD">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外事接待支出0万元。外事接待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DC0DE3B">
      <w:pPr>
        <w:spacing w:line="600" w:lineRule="exact"/>
        <w:ind w:firstLine="640"/>
        <w:outlineLvl w:val="1"/>
        <w:rPr>
          <w:rFonts w:hint="eastAsia" w:ascii="黑体" w:eastAsia="黑体"/>
          <w:sz w:val="32"/>
          <w:szCs w:val="32"/>
        </w:rPr>
      </w:pPr>
      <w:bookmarkStart w:id="56" w:name="_Toc26560"/>
    </w:p>
    <w:p w14:paraId="79EAE722">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54"/>
      <w:bookmarkEnd w:id="55"/>
      <w:bookmarkEnd w:id="56"/>
    </w:p>
    <w:p w14:paraId="0C083DD5">
      <w:pPr>
        <w:spacing w:line="600" w:lineRule="exact"/>
        <w:ind w:firstLine="640"/>
        <w:rPr>
          <w:rFonts w:hint="eastAsia"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sz w:val="32"/>
          <w:szCs w:val="32"/>
          <w:lang w:val="en-US" w:eastAsia="zh-CN"/>
        </w:rPr>
        <w:t>0万</w:t>
      </w:r>
      <w:r>
        <w:rPr>
          <w:rFonts w:hint="eastAsia" w:ascii="仿宋_GB2312" w:eastAsia="仿宋_GB2312"/>
          <w:sz w:val="32"/>
          <w:szCs w:val="32"/>
        </w:rPr>
        <w:t>元。</w:t>
      </w:r>
    </w:p>
    <w:p w14:paraId="4A3234F7">
      <w:pPr>
        <w:spacing w:line="600" w:lineRule="exact"/>
        <w:ind w:firstLine="640"/>
        <w:rPr>
          <w:rFonts w:hint="eastAsia" w:ascii="仿宋_GB2312" w:eastAsia="仿宋_GB2312"/>
          <w:sz w:val="32"/>
          <w:szCs w:val="32"/>
        </w:rPr>
      </w:pPr>
    </w:p>
    <w:p w14:paraId="593B95EF">
      <w:pPr>
        <w:numPr>
          <w:ilvl w:val="0"/>
          <w:numId w:val="4"/>
        </w:numPr>
        <w:spacing w:line="600" w:lineRule="exact"/>
        <w:ind w:firstLine="640"/>
        <w:outlineLvl w:val="1"/>
        <w:rPr>
          <w:rStyle w:val="28"/>
          <w:rFonts w:ascii="黑体" w:hAnsi="黑体" w:eastAsia="黑体"/>
          <w:b w:val="0"/>
        </w:rPr>
      </w:pPr>
      <w:bookmarkStart w:id="57" w:name="_Toc7002"/>
      <w:bookmarkStart w:id="58" w:name="_Toc15377219"/>
      <w:bookmarkStart w:id="59" w:name="_Toc15396611"/>
      <w:r>
        <w:rPr>
          <w:rStyle w:val="28"/>
          <w:rFonts w:hint="eastAsia" w:ascii="黑体" w:hAnsi="黑体" w:eastAsia="黑体"/>
          <w:b w:val="0"/>
        </w:rPr>
        <w:t>国有资本经营预算支出决算情况说明</w:t>
      </w:r>
      <w:bookmarkEnd w:id="57"/>
      <w:bookmarkEnd w:id="58"/>
      <w:bookmarkEnd w:id="59"/>
    </w:p>
    <w:p w14:paraId="0051283B">
      <w:pPr>
        <w:spacing w:line="600" w:lineRule="exact"/>
        <w:ind w:firstLine="640"/>
        <w:rPr>
          <w:rFonts w:hint="eastAsia" w:ascii="仿宋_GB2312" w:eastAsia="仿宋_GB2312"/>
          <w:sz w:val="32"/>
          <w:szCs w:val="32"/>
        </w:rPr>
      </w:pPr>
      <w:r>
        <w:rPr>
          <w:rFonts w:hint="eastAsia" w:ascii="仿宋_GB2312" w:eastAsia="仿宋_GB2312"/>
          <w:sz w:val="32"/>
          <w:szCs w:val="32"/>
        </w:rPr>
        <w:t>2023年度国有资本经营预算财政拨款支出</w:t>
      </w:r>
      <w:r>
        <w:rPr>
          <w:rFonts w:hint="eastAsia" w:ascii="仿宋" w:hAnsi="仿宋" w:eastAsia="仿宋"/>
          <w:sz w:val="32"/>
          <w:szCs w:val="32"/>
          <w:lang w:val="en-US" w:eastAsia="zh-CN"/>
        </w:rPr>
        <w:t>0</w:t>
      </w:r>
      <w:r>
        <w:rPr>
          <w:rFonts w:hint="eastAsia" w:ascii="仿宋_GB2312" w:eastAsia="仿宋_GB2312"/>
          <w:sz w:val="32"/>
          <w:szCs w:val="32"/>
        </w:rPr>
        <w:t>万元。</w:t>
      </w:r>
    </w:p>
    <w:p w14:paraId="0AE55029">
      <w:pPr>
        <w:spacing w:line="600" w:lineRule="exact"/>
        <w:ind w:firstLine="640"/>
        <w:rPr>
          <w:rFonts w:hint="eastAsia" w:ascii="仿宋_GB2312" w:eastAsia="仿宋_GB2312"/>
          <w:sz w:val="32"/>
          <w:szCs w:val="32"/>
        </w:rPr>
      </w:pPr>
    </w:p>
    <w:p w14:paraId="0EDC896F">
      <w:pPr>
        <w:numPr>
          <w:ilvl w:val="0"/>
          <w:numId w:val="4"/>
        </w:numPr>
        <w:spacing w:line="600" w:lineRule="exact"/>
        <w:ind w:firstLine="640"/>
        <w:outlineLvl w:val="1"/>
        <w:rPr>
          <w:rStyle w:val="28"/>
          <w:rFonts w:ascii="黑体" w:hAnsi="黑体" w:eastAsia="黑体"/>
          <w:b w:val="0"/>
        </w:rPr>
      </w:pPr>
      <w:bookmarkStart w:id="60" w:name="_Toc15396612"/>
      <w:bookmarkStart w:id="61" w:name="_Toc4176"/>
      <w:bookmarkStart w:id="62" w:name="_Toc15377221"/>
      <w:r>
        <w:rPr>
          <w:rStyle w:val="28"/>
          <w:rFonts w:hint="eastAsia" w:ascii="黑体" w:hAnsi="黑体" w:eastAsia="黑体"/>
          <w:b w:val="0"/>
        </w:rPr>
        <w:t>其他重要事项的情况说明</w:t>
      </w:r>
      <w:bookmarkEnd w:id="60"/>
      <w:bookmarkEnd w:id="61"/>
      <w:bookmarkEnd w:id="62"/>
    </w:p>
    <w:p w14:paraId="03D4A666">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4604F175">
      <w:pPr>
        <w:spacing w:line="600" w:lineRule="exact"/>
        <w:ind w:firstLine="640" w:firstLineChars="200"/>
        <w:rPr>
          <w:rFonts w:ascii="仿宋" w:hAnsi="仿宋" w:eastAsia="仿宋"/>
          <w:b/>
          <w:sz w:val="32"/>
          <w:szCs w:val="32"/>
        </w:rPr>
      </w:pPr>
      <w:r>
        <w:rPr>
          <w:rFonts w:hint="eastAsia" w:ascii="仿宋_GB2312" w:eastAsia="仿宋_GB2312"/>
          <w:color w:val="auto"/>
          <w:sz w:val="32"/>
          <w:szCs w:val="32"/>
        </w:rPr>
        <w:t>我单位为事业单位（学校），执行政府会计制度，无机关运行经费。</w:t>
      </w:r>
    </w:p>
    <w:p w14:paraId="6A203A1D">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174EE3CC">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w:t>
      </w:r>
      <w:r>
        <w:rPr>
          <w:rFonts w:hint="eastAsia" w:ascii="仿宋_GB2312" w:eastAsia="仿宋_GB2312"/>
          <w:color w:val="auto"/>
          <w:sz w:val="32"/>
          <w:szCs w:val="32"/>
          <w:lang w:val="en-US" w:eastAsia="zh-CN"/>
        </w:rPr>
        <w:t>大竹县文星中学</w:t>
      </w:r>
      <w:r>
        <w:rPr>
          <w:rFonts w:hint="eastAsia" w:ascii="仿宋_GB2312" w:eastAsia="仿宋_GB2312"/>
          <w:color w:val="auto"/>
          <w:sz w:val="32"/>
          <w:szCs w:val="32"/>
        </w:rPr>
        <w:t>政府采购支出总额0万元，其中：政府采购货物支出0万元、政府采购工程支出0万元、政府采购服务支出0万元。</w:t>
      </w:r>
    </w:p>
    <w:p w14:paraId="24F5861A">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41203400">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sz w:val="32"/>
          <w:szCs w:val="32"/>
        </w:rPr>
        <w:t>大竹县</w:t>
      </w:r>
      <w:r>
        <w:rPr>
          <w:rFonts w:hint="eastAsia" w:ascii="仿宋_GB2312" w:eastAsia="仿宋_GB2312"/>
          <w:sz w:val="32"/>
          <w:szCs w:val="32"/>
          <w:lang w:val="en-US" w:eastAsia="zh-CN"/>
        </w:rPr>
        <w:t>文星中</w:t>
      </w:r>
      <w:r>
        <w:rPr>
          <w:rFonts w:hint="eastAsia" w:ascii="仿宋_GB2312" w:eastAsia="仿宋_GB2312"/>
          <w:sz w:val="32"/>
          <w:szCs w:val="32"/>
        </w:rPr>
        <w:t>学</w:t>
      </w:r>
      <w:r>
        <w:rPr>
          <w:rFonts w:hint="eastAsia" w:ascii="仿宋_GB2312" w:eastAsia="仿宋_GB2312"/>
          <w:color w:val="000000"/>
          <w:sz w:val="32"/>
          <w:szCs w:val="32"/>
        </w:rPr>
        <w:t>共有车辆0辆，其中：主要领导干部用车0辆、机要通信用车0辆、应急保障用车0辆、其他用车0辆、其他用车0辆。单价50万元以上通用设备0台（套），单价100万元以上专用设备0台（套）。</w:t>
      </w:r>
    </w:p>
    <w:p w14:paraId="132A88E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6FAD64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营养餐和校舍维修</w:t>
      </w:r>
      <w:r>
        <w:rPr>
          <w:rFonts w:hint="eastAsia" w:ascii="仿宋_GB2312" w:eastAsia="仿宋_GB2312"/>
          <w:sz w:val="32"/>
          <w:szCs w:val="32"/>
        </w:rPr>
        <w:t>项目等</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w:t>
      </w:r>
      <w:r>
        <w:rPr>
          <w:rFonts w:hint="eastAsia" w:ascii="仿宋_GB2312" w:eastAsia="仿宋_GB2312"/>
          <w:sz w:val="32"/>
          <w:szCs w:val="32"/>
          <w:lang w:val="en-US" w:eastAsia="zh-CN"/>
        </w:rPr>
        <w:t>对</w:t>
      </w:r>
      <w:r>
        <w:rPr>
          <w:rFonts w:hint="eastAsia" w:ascii="仿宋_GB2312" w:eastAsia="仿宋_GB2312"/>
          <w:sz w:val="32"/>
          <w:szCs w:val="32"/>
        </w:rPr>
        <w:t>开展绩效监控，</w:t>
      </w:r>
      <w:r>
        <w:rPr>
          <w:rFonts w:hint="eastAsia" w:ascii="仿宋_GB2312" w:eastAsia="仿宋_GB2312"/>
          <w:sz w:val="32"/>
          <w:szCs w:val="32"/>
          <w:lang w:val="en-US" w:eastAsia="zh-CN"/>
        </w:rPr>
        <w:t>和</w:t>
      </w:r>
      <w:r>
        <w:rPr>
          <w:rFonts w:hint="eastAsia" w:ascii="仿宋_GB2312" w:eastAsia="仿宋_GB2312"/>
          <w:sz w:val="32"/>
          <w:szCs w:val="32"/>
        </w:rPr>
        <w:t>绩效自评，绩效自评表详见第四部分附件。</w:t>
      </w:r>
    </w:p>
    <w:p w14:paraId="76E2FCC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br w:type="page"/>
      </w:r>
    </w:p>
    <w:p w14:paraId="52C1C337">
      <w:pPr>
        <w:numPr>
          <w:ilvl w:val="0"/>
          <w:numId w:val="5"/>
        </w:numPr>
        <w:spacing w:line="600" w:lineRule="exact"/>
        <w:ind w:firstLine="660" w:firstLineChars="150"/>
        <w:jc w:val="center"/>
        <w:outlineLvl w:val="0"/>
        <w:rPr>
          <w:rStyle w:val="27"/>
          <w:rFonts w:ascii="黑体" w:hAnsi="黑体" w:eastAsia="黑体"/>
          <w:b w:val="0"/>
        </w:rPr>
      </w:pPr>
      <w:bookmarkStart w:id="66" w:name="_Toc15377225"/>
      <w:bookmarkStart w:id="67" w:name="_Toc32723"/>
      <w:bookmarkStart w:id="68" w:name="_Toc15396613"/>
      <w:r>
        <w:rPr>
          <w:rFonts w:hint="eastAsia" w:ascii="黑体" w:hAnsi="黑体" w:eastAsia="黑体"/>
          <w:sz w:val="44"/>
          <w:szCs w:val="44"/>
        </w:rPr>
        <w:t>名</w:t>
      </w:r>
      <w:r>
        <w:rPr>
          <w:rStyle w:val="27"/>
          <w:rFonts w:hint="eastAsia" w:ascii="黑体" w:hAnsi="黑体" w:eastAsia="黑体"/>
          <w:b w:val="0"/>
        </w:rPr>
        <w:t>词解释</w:t>
      </w:r>
      <w:bookmarkEnd w:id="66"/>
      <w:bookmarkEnd w:id="67"/>
      <w:bookmarkEnd w:id="68"/>
    </w:p>
    <w:p w14:paraId="723D3839">
      <w:pPr>
        <w:spacing w:line="600" w:lineRule="exact"/>
        <w:jc w:val="left"/>
        <w:rPr>
          <w:rFonts w:ascii="宋体"/>
          <w:b/>
          <w:sz w:val="44"/>
          <w:szCs w:val="44"/>
        </w:rPr>
      </w:pPr>
    </w:p>
    <w:p w14:paraId="4393F85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605718CD">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749866C9">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3885D4CA">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1E77290A">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3D7ED5B9">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042694BC">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288AEF8C">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10DD7E9D">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DE00689">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A3E27B4">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2866F655">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22D4E980">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11F5059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1EF4C1A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24A59F9D">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684D25F4">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07C5ACA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AC45F2B">
      <w:pPr>
        <w:spacing w:line="600" w:lineRule="exact"/>
        <w:ind w:firstLine="64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Calibri" w:eastAsia="仿宋_GB2312" w:cs="仿宋"/>
          <w:color w:val="auto"/>
          <w:kern w:val="0"/>
          <w:sz w:val="32"/>
          <w:szCs w:val="32"/>
          <w:lang w:eastAsia="zh-CN"/>
        </w:rPr>
        <w:t>。</w:t>
      </w:r>
    </w:p>
    <w:p w14:paraId="4E517FE7">
      <w:pPr>
        <w:spacing w:line="600" w:lineRule="exact"/>
        <w:ind w:firstLine="640"/>
        <w:rPr>
          <w:rFonts w:hint="eastAsia" w:ascii="仿宋_GB2312" w:hAnsi="Calibri" w:eastAsia="仿宋_GB2312" w:cs="仿宋"/>
          <w:color w:val="auto"/>
          <w:kern w:val="0"/>
          <w:sz w:val="32"/>
          <w:szCs w:val="32"/>
          <w:lang w:eastAsia="zh-CN"/>
        </w:rPr>
      </w:pPr>
    </w:p>
    <w:p w14:paraId="5452388F">
      <w:pPr>
        <w:spacing w:line="600" w:lineRule="exact"/>
        <w:ind w:firstLine="640"/>
        <w:rPr>
          <w:rFonts w:hint="eastAsia" w:ascii="仿宋_GB2312" w:hAnsi="Calibri" w:eastAsia="仿宋_GB2312" w:cs="仿宋"/>
          <w:color w:val="auto"/>
          <w:kern w:val="0"/>
          <w:sz w:val="32"/>
          <w:szCs w:val="32"/>
          <w:lang w:eastAsia="zh-CN"/>
        </w:rPr>
      </w:pPr>
    </w:p>
    <w:p w14:paraId="275F506C">
      <w:pPr>
        <w:spacing w:line="600" w:lineRule="exact"/>
        <w:ind w:firstLine="640"/>
        <w:rPr>
          <w:rFonts w:hint="eastAsia" w:ascii="仿宋_GB2312" w:hAnsi="Calibri" w:eastAsia="仿宋_GB2312" w:cs="仿宋"/>
          <w:color w:val="auto"/>
          <w:kern w:val="0"/>
          <w:sz w:val="32"/>
          <w:szCs w:val="32"/>
          <w:lang w:eastAsia="zh-CN"/>
        </w:rPr>
      </w:pPr>
    </w:p>
    <w:p w14:paraId="38958492">
      <w:pPr>
        <w:spacing w:line="600" w:lineRule="exact"/>
        <w:ind w:firstLine="640"/>
        <w:rPr>
          <w:rFonts w:hint="eastAsia" w:ascii="仿宋_GB2312" w:hAnsi="Calibri" w:eastAsia="仿宋_GB2312" w:cs="仿宋"/>
          <w:color w:val="auto"/>
          <w:kern w:val="0"/>
          <w:sz w:val="32"/>
          <w:szCs w:val="32"/>
          <w:lang w:eastAsia="zh-CN"/>
        </w:rPr>
      </w:pPr>
    </w:p>
    <w:p w14:paraId="4D4961F5">
      <w:pPr>
        <w:spacing w:line="600" w:lineRule="exact"/>
        <w:ind w:firstLine="640"/>
        <w:rPr>
          <w:rFonts w:hint="eastAsia" w:ascii="仿宋_GB2312" w:hAnsi="Calibri" w:eastAsia="仿宋_GB2312" w:cs="仿宋"/>
          <w:color w:val="auto"/>
          <w:kern w:val="0"/>
          <w:sz w:val="32"/>
          <w:szCs w:val="32"/>
          <w:lang w:eastAsia="zh-CN"/>
        </w:rPr>
      </w:pPr>
    </w:p>
    <w:p w14:paraId="0147858E">
      <w:pPr>
        <w:spacing w:line="600" w:lineRule="exact"/>
        <w:ind w:firstLine="640"/>
        <w:rPr>
          <w:rFonts w:hint="eastAsia" w:ascii="仿宋_GB2312" w:hAnsi="Calibri" w:eastAsia="仿宋_GB2312" w:cs="仿宋"/>
          <w:color w:val="auto"/>
          <w:kern w:val="0"/>
          <w:sz w:val="32"/>
          <w:szCs w:val="32"/>
          <w:lang w:eastAsia="zh-CN"/>
        </w:rPr>
      </w:pPr>
    </w:p>
    <w:p w14:paraId="7ECC949E">
      <w:pPr>
        <w:spacing w:line="600" w:lineRule="exact"/>
        <w:ind w:firstLine="640"/>
        <w:rPr>
          <w:rFonts w:hint="eastAsia" w:ascii="仿宋_GB2312" w:hAnsi="Calibri" w:eastAsia="仿宋_GB2312" w:cs="仿宋"/>
          <w:color w:val="auto"/>
          <w:kern w:val="0"/>
          <w:sz w:val="32"/>
          <w:szCs w:val="32"/>
          <w:lang w:eastAsia="zh-CN"/>
        </w:rPr>
        <w:sectPr>
          <w:footerReference r:id="rId5" w:type="default"/>
          <w:pgSz w:w="11906" w:h="16838"/>
          <w:pgMar w:top="1440" w:right="1800" w:bottom="1440" w:left="1800" w:header="851" w:footer="992" w:gutter="0"/>
          <w:pgNumType w:fmt="decimal" w:start="2"/>
          <w:cols w:space="425" w:num="1"/>
          <w:docGrid w:type="lines" w:linePitch="312" w:charSpace="0"/>
        </w:sectPr>
      </w:pPr>
    </w:p>
    <w:p w14:paraId="097B062F">
      <w:pPr>
        <w:numPr>
          <w:ilvl w:val="0"/>
          <w:numId w:val="5"/>
        </w:numPr>
        <w:spacing w:line="600" w:lineRule="exact"/>
        <w:ind w:left="0" w:leftChars="0" w:firstLine="660" w:firstLineChars="150"/>
        <w:jc w:val="center"/>
        <w:outlineLvl w:val="0"/>
        <w:rPr>
          <w:rStyle w:val="27"/>
          <w:rFonts w:hint="eastAsia" w:ascii="黑体" w:hAnsi="黑体" w:eastAsia="黑体"/>
          <w:b w:val="0"/>
        </w:rPr>
      </w:pPr>
      <w:bookmarkStart w:id="69" w:name="_Toc15396614"/>
      <w:bookmarkStart w:id="70" w:name="_Toc3339"/>
      <w:bookmarkStart w:id="71" w:name="_Toc15377226"/>
      <w:r>
        <w:rPr>
          <w:rStyle w:val="27"/>
          <w:rFonts w:hint="eastAsia" w:ascii="黑体" w:hAnsi="黑体" w:eastAsia="黑体"/>
          <w:b w:val="0"/>
        </w:rPr>
        <w:t>附件</w:t>
      </w:r>
      <w:bookmarkEnd w:id="69"/>
      <w:bookmarkEnd w:id="70"/>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331"/>
        <w:gridCol w:w="1042"/>
        <w:gridCol w:w="1144"/>
        <w:gridCol w:w="1"/>
        <w:gridCol w:w="1289"/>
        <w:gridCol w:w="1058"/>
        <w:gridCol w:w="926"/>
        <w:gridCol w:w="1113"/>
      </w:tblGrid>
      <w:tr w14:paraId="06FF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7B583C6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6A99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7BA23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5125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73AE98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3647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CF5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A3E3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大竹县文星中学</w:t>
            </w:r>
          </w:p>
        </w:tc>
      </w:tr>
      <w:tr w14:paraId="7D54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AE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F74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EF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45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41DB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84E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0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仿宋_GB2312" w:hAnsi="仿宋"/>
                <w:szCs w:val="32"/>
              </w:rPr>
              <w:t>3848.20</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EA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3694.55</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22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sz w:val="30"/>
                <w:szCs w:val="30"/>
              </w:rPr>
              <w:t>153.65</w:t>
            </w:r>
          </w:p>
        </w:tc>
      </w:tr>
      <w:tr w14:paraId="7FBF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046F2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0381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1、保障学生平等权益；2、促进学生全面发展；3、引领教师专业进步；4、提升教育教学水平；5、营造和谐美丽校园。</w:t>
            </w:r>
          </w:p>
        </w:tc>
      </w:tr>
      <w:tr w14:paraId="01A6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BB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5BAE9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2C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185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78C9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826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7B8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教师队伍建设</w:t>
            </w:r>
          </w:p>
        </w:tc>
        <w:tc>
          <w:tcPr>
            <w:tcW w:w="6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A168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切实加强学校教师队伍建设，制定业务培训计划和教研计划，提高教学水平；不定期进行师德教育，全面提高教师形象</w:t>
            </w:r>
          </w:p>
        </w:tc>
      </w:tr>
      <w:tr w14:paraId="6F2F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038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513C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学生全面发展</w:t>
            </w:r>
          </w:p>
        </w:tc>
        <w:tc>
          <w:tcPr>
            <w:tcW w:w="6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D4547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促进学生德、智、体、美全面健康发展</w:t>
            </w:r>
          </w:p>
        </w:tc>
      </w:tr>
      <w:tr w14:paraId="58EC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8C87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B9BA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学校建设</w:t>
            </w:r>
          </w:p>
        </w:tc>
        <w:tc>
          <w:tcPr>
            <w:tcW w:w="6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8612B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394B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41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3CF5B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5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9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7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92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4539B0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4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B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7DE5C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B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05B3D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4F09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AE9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B16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317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618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定期开展留守学生亲情交流及课外活动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3172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E41F">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CC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D1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left w:val="single" w:color="000000" w:sz="4" w:space="0"/>
              <w:bottom w:val="single" w:color="000000" w:sz="4" w:space="0"/>
              <w:right w:val="single" w:color="000000" w:sz="4" w:space="0"/>
            </w:tcBorders>
            <w:shd w:val="clear" w:color="auto" w:fill="auto"/>
            <w:vAlign w:val="center"/>
          </w:tcPr>
          <w:p w14:paraId="27DA73F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5次/年</w:t>
            </w:r>
          </w:p>
        </w:tc>
      </w:tr>
      <w:tr w14:paraId="576B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08FF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237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D12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3B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教师四乱行为</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833F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8F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CFD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CF2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3EC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0次</w:t>
            </w:r>
          </w:p>
        </w:tc>
      </w:tr>
      <w:tr w14:paraId="311D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C01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EFD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20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21A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教育教研活动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499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972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ED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48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569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10次/年</w:t>
            </w:r>
          </w:p>
        </w:tc>
      </w:tr>
      <w:tr w14:paraId="1EED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45E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747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D3E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E61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控制大班额</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FC60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41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889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B1F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7C3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50人</w:t>
            </w:r>
          </w:p>
        </w:tc>
      </w:tr>
      <w:tr w14:paraId="1197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F83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BEA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D0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31B2">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培训教师</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EE7A">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205">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B1DA">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学时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5B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A83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50学时</w:t>
            </w:r>
          </w:p>
        </w:tc>
      </w:tr>
      <w:tr w14:paraId="0EAC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AAC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401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E144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1774">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培训通过率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416F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E6F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E3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475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91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323E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16D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5F5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5B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9E3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师生安全演练参与度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398C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13C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528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6CB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746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4DD2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B16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F5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8D9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22C">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图书借阅</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635B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14C">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8E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本</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38C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F3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20本</w:t>
            </w:r>
          </w:p>
        </w:tc>
      </w:tr>
      <w:tr w14:paraId="439E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894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A24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A78D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3AD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学生体质健康测试</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54AE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C56">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06D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9A8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106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95%</w:t>
            </w:r>
          </w:p>
        </w:tc>
      </w:tr>
      <w:tr w14:paraId="1531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52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A04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5C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C38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安全教育</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ADF84">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A1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8BE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AE7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AAF4">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40次/年</w:t>
            </w:r>
          </w:p>
        </w:tc>
      </w:tr>
      <w:tr w14:paraId="01EE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D895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EA1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4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5E2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专项治理“教育四乱”活动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B2AA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C7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43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8AD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671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0次</w:t>
            </w:r>
          </w:p>
        </w:tc>
      </w:tr>
      <w:tr w14:paraId="0075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2EC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08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331" w:type="dxa"/>
            <w:vMerge w:val="restart"/>
            <w:tcBorders>
              <w:top w:val="single" w:color="000000" w:sz="4" w:space="0"/>
              <w:left w:val="single" w:color="000000" w:sz="4" w:space="0"/>
              <w:right w:val="single" w:color="000000" w:sz="4" w:space="0"/>
            </w:tcBorders>
            <w:shd w:val="clear" w:color="auto" w:fill="auto"/>
            <w:vAlign w:val="center"/>
          </w:tcPr>
          <w:p w14:paraId="32BFE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2988C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AEF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提高教师的整体素质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8A0C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E0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14D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269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0E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优</w:t>
            </w:r>
          </w:p>
        </w:tc>
      </w:tr>
      <w:tr w14:paraId="4FB3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84E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81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vMerge w:val="continue"/>
            <w:tcBorders>
              <w:top w:val="single" w:color="000000" w:sz="4" w:space="0"/>
              <w:left w:val="single" w:color="000000" w:sz="4" w:space="0"/>
              <w:right w:val="single" w:color="000000" w:sz="4" w:space="0"/>
            </w:tcBorders>
            <w:shd w:val="clear" w:color="auto" w:fill="auto"/>
            <w:vAlign w:val="center"/>
          </w:tcPr>
          <w:p w14:paraId="146D3F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911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提高学生整体素质力</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52B0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7AC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439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4A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DD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sz w:val="24"/>
                <w:szCs w:val="24"/>
                <w:u w:val="none"/>
                <w:lang w:eastAsia="zh-CN"/>
              </w:rPr>
              <w:t>优</w:t>
            </w:r>
          </w:p>
        </w:tc>
      </w:tr>
      <w:tr w14:paraId="5F94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8B36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AC1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F6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可持续发展指标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7F6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树立学生安全意识，提高安全应急能力</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CAA4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258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E4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9C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B7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sz w:val="24"/>
                <w:szCs w:val="24"/>
                <w:u w:val="none"/>
                <w:lang w:eastAsia="zh-CN"/>
              </w:rPr>
              <w:t>优</w:t>
            </w:r>
          </w:p>
        </w:tc>
      </w:tr>
      <w:tr w14:paraId="5750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D7A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A4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服务对象满意度指标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DEA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学生满意度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AF87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999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36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666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kern w:val="0"/>
                <w:sz w:val="24"/>
                <w:szCs w:val="24"/>
                <w:u w:val="none"/>
                <w:lang w:val="en-US" w:eastAsia="zh-CN" w:bidi="ar"/>
              </w:rPr>
              <w:t>10</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79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sz w:val="24"/>
                <w:szCs w:val="24"/>
                <w:u w:val="none"/>
                <w:lang w:val="en-US" w:eastAsia="zh-CN"/>
              </w:rPr>
              <w:t>95%</w:t>
            </w:r>
          </w:p>
        </w:tc>
      </w:tr>
    </w:tbl>
    <w:p w14:paraId="1C1D4A8D">
      <w:pPr>
        <w:pStyle w:val="14"/>
        <w:ind w:left="0" w:leftChars="0" w:firstLine="0" w:firstLineChars="0"/>
        <w:rPr>
          <w:rFonts w:hint="default" w:ascii="Times New Roman" w:hAnsi="Times New Roman" w:eastAsia="黑体" w:cs="Times New Roman"/>
          <w:sz w:val="24"/>
          <w:szCs w:val="24"/>
          <w:highlight w:val="none"/>
          <w:lang w:val="en-US" w:eastAsia="zh-CN"/>
        </w:rPr>
      </w:pPr>
    </w:p>
    <w:p w14:paraId="21D13A03">
      <w:pPr>
        <w:pStyle w:val="14"/>
        <w:ind w:left="0" w:leftChars="0" w:firstLine="0" w:firstLineChars="0"/>
        <w:rPr>
          <w:rFonts w:ascii="Times New Roman" w:eastAsia="黑体"/>
          <w:sz w:val="24"/>
          <w:szCs w:val="24"/>
        </w:rPr>
      </w:pPr>
    </w:p>
    <w:p w14:paraId="347A247D">
      <w:pPr>
        <w:numPr>
          <w:ilvl w:val="0"/>
          <w:numId w:val="0"/>
        </w:numPr>
        <w:spacing w:line="600" w:lineRule="exact"/>
        <w:ind w:leftChars="150"/>
        <w:jc w:val="both"/>
        <w:outlineLvl w:val="0"/>
        <w:rPr>
          <w:rStyle w:val="27"/>
          <w:rFonts w:hint="eastAsia" w:ascii="黑体" w:hAnsi="黑体" w:eastAsia="黑体"/>
          <w:b w:val="0"/>
        </w:rPr>
      </w:pPr>
    </w:p>
    <w:tbl>
      <w:tblPr>
        <w:tblStyle w:val="15"/>
        <w:tblW w:w="129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16"/>
        <w:gridCol w:w="1836"/>
        <w:gridCol w:w="4041"/>
        <w:gridCol w:w="576"/>
        <w:gridCol w:w="936"/>
        <w:gridCol w:w="666"/>
        <w:gridCol w:w="891"/>
        <w:gridCol w:w="486"/>
        <w:gridCol w:w="486"/>
        <w:gridCol w:w="2344"/>
      </w:tblGrid>
      <w:tr w14:paraId="7DDD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10" w:type="dxa"/>
            <w:gridSpan w:val="4"/>
            <w:tcBorders>
              <w:top w:val="nil"/>
              <w:left w:val="nil"/>
              <w:bottom w:val="nil"/>
              <w:right w:val="nil"/>
            </w:tcBorders>
            <w:shd w:val="clear" w:color="auto" w:fill="auto"/>
            <w:vAlign w:val="center"/>
          </w:tcPr>
          <w:p w14:paraId="640C2061">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72" w:name="_Toc15396618"/>
            <w:bookmarkStart w:id="73" w:name="_Toc15696"/>
            <w:r>
              <w:rPr>
                <w:rFonts w:ascii="宋体" w:hAnsi="宋体" w:eastAsia="宋体" w:cs="宋体"/>
                <w:i w:val="0"/>
                <w:iCs w:val="0"/>
                <w:color w:val="C0C0C0"/>
                <w:kern w:val="0"/>
                <w:sz w:val="20"/>
                <w:szCs w:val="20"/>
                <w:u w:val="none"/>
                <w:lang w:val="en-US" w:eastAsia="zh-CN" w:bidi="ar"/>
              </w:rPr>
              <w:t>报表编号：510000_0013zp</w:t>
            </w:r>
          </w:p>
        </w:tc>
        <w:tc>
          <w:tcPr>
            <w:tcW w:w="478" w:type="dxa"/>
            <w:tcBorders>
              <w:top w:val="nil"/>
              <w:left w:val="nil"/>
              <w:bottom w:val="nil"/>
              <w:right w:val="nil"/>
            </w:tcBorders>
            <w:shd w:val="clear" w:color="auto" w:fill="auto"/>
            <w:noWrap/>
            <w:vAlign w:val="center"/>
          </w:tcPr>
          <w:p w14:paraId="525909B8">
            <w:pPr>
              <w:rPr>
                <w:rFonts w:hint="eastAsia" w:ascii="宋体" w:hAnsi="宋体" w:eastAsia="宋体" w:cs="宋体"/>
                <w:i w:val="0"/>
                <w:iCs w:val="0"/>
                <w:color w:val="000000"/>
                <w:sz w:val="22"/>
                <w:szCs w:val="22"/>
                <w:u w:val="none"/>
              </w:rPr>
            </w:pPr>
          </w:p>
        </w:tc>
        <w:tc>
          <w:tcPr>
            <w:tcW w:w="3015" w:type="dxa"/>
            <w:gridSpan w:val="3"/>
            <w:tcBorders>
              <w:top w:val="nil"/>
              <w:left w:val="nil"/>
              <w:bottom w:val="nil"/>
              <w:right w:val="nil"/>
            </w:tcBorders>
            <w:shd w:val="clear" w:color="auto" w:fill="auto"/>
            <w:vAlign w:val="center"/>
          </w:tcPr>
          <w:p w14:paraId="1803070D">
            <w:pPr>
              <w:rPr>
                <w:rFonts w:hint="eastAsia" w:ascii="宋体" w:hAnsi="宋体" w:eastAsia="宋体" w:cs="宋体"/>
                <w:i w:val="0"/>
                <w:iCs w:val="0"/>
                <w:color w:val="000000"/>
                <w:sz w:val="20"/>
                <w:szCs w:val="20"/>
                <w:u w:val="none"/>
              </w:rPr>
            </w:pPr>
          </w:p>
        </w:tc>
        <w:tc>
          <w:tcPr>
            <w:tcW w:w="463" w:type="dxa"/>
            <w:tcBorders>
              <w:top w:val="nil"/>
              <w:left w:val="nil"/>
              <w:bottom w:val="nil"/>
              <w:right w:val="nil"/>
            </w:tcBorders>
            <w:shd w:val="clear" w:color="auto" w:fill="auto"/>
            <w:noWrap/>
            <w:vAlign w:val="center"/>
          </w:tcPr>
          <w:p w14:paraId="17543F2E">
            <w:pPr>
              <w:rPr>
                <w:rFonts w:hint="eastAsia" w:ascii="宋体" w:hAnsi="宋体" w:eastAsia="宋体" w:cs="宋体"/>
                <w:i w:val="0"/>
                <w:iCs w:val="0"/>
                <w:color w:val="000000"/>
                <w:sz w:val="22"/>
                <w:szCs w:val="22"/>
                <w:u w:val="none"/>
              </w:rPr>
            </w:pPr>
          </w:p>
        </w:tc>
        <w:tc>
          <w:tcPr>
            <w:tcW w:w="418" w:type="dxa"/>
            <w:tcBorders>
              <w:top w:val="nil"/>
              <w:left w:val="nil"/>
              <w:bottom w:val="nil"/>
              <w:right w:val="nil"/>
            </w:tcBorders>
            <w:shd w:val="clear" w:color="auto" w:fill="auto"/>
            <w:noWrap/>
            <w:vAlign w:val="center"/>
          </w:tcPr>
          <w:p w14:paraId="119EF99C">
            <w:pPr>
              <w:rPr>
                <w:rFonts w:hint="eastAsia" w:ascii="宋体" w:hAnsi="宋体" w:eastAsia="宋体" w:cs="宋体"/>
                <w:i w:val="0"/>
                <w:iCs w:val="0"/>
                <w:color w:val="000000"/>
                <w:sz w:val="22"/>
                <w:szCs w:val="22"/>
                <w:u w:val="none"/>
              </w:rPr>
            </w:pPr>
          </w:p>
        </w:tc>
        <w:tc>
          <w:tcPr>
            <w:tcW w:w="2344" w:type="dxa"/>
            <w:tcBorders>
              <w:top w:val="nil"/>
              <w:left w:val="nil"/>
              <w:bottom w:val="nil"/>
              <w:right w:val="nil"/>
            </w:tcBorders>
            <w:shd w:val="clear" w:color="auto" w:fill="auto"/>
            <w:noWrap/>
            <w:vAlign w:val="center"/>
          </w:tcPr>
          <w:p w14:paraId="62D04672">
            <w:pPr>
              <w:rPr>
                <w:rFonts w:hint="eastAsia" w:ascii="宋体" w:hAnsi="宋体" w:eastAsia="宋体" w:cs="宋体"/>
                <w:i w:val="0"/>
                <w:iCs w:val="0"/>
                <w:color w:val="000000"/>
                <w:sz w:val="22"/>
                <w:szCs w:val="22"/>
                <w:u w:val="none"/>
              </w:rPr>
            </w:pPr>
          </w:p>
        </w:tc>
      </w:tr>
      <w:tr w14:paraId="1D65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62653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0A9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607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E1D1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51172422T000005660284-周转房项目进度款存量</w:t>
            </w:r>
          </w:p>
        </w:tc>
      </w:tr>
      <w:tr w14:paraId="16CE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EF7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E9C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大竹县文星中学部门</w:t>
            </w:r>
          </w:p>
        </w:tc>
        <w:tc>
          <w:tcPr>
            <w:tcW w:w="1000" w:type="dxa"/>
            <w:tcBorders>
              <w:top w:val="nil"/>
              <w:left w:val="nil"/>
              <w:bottom w:val="nil"/>
              <w:right w:val="nil"/>
            </w:tcBorders>
            <w:shd w:val="clear" w:color="auto" w:fill="auto"/>
            <w:vAlign w:val="center"/>
          </w:tcPr>
          <w:p w14:paraId="349B1BF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E8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w:t>
            </w:r>
          </w:p>
        </w:tc>
      </w:tr>
      <w:tr w14:paraId="47A6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429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565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41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CE99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75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6EE3">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87A02">
            <w:pPr>
              <w:rPr>
                <w:rFonts w:hint="eastAsia" w:ascii="宋体" w:hAnsi="宋体" w:eastAsia="宋体" w:cs="宋体"/>
                <w:i w:val="0"/>
                <w:iCs w:val="0"/>
                <w:color w:val="000000"/>
                <w:sz w:val="18"/>
                <w:szCs w:val="18"/>
                <w:u w:val="none"/>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632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严格执行相关政策，保障工程顺利实施，预算编制科学合理，减少结余资金</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262B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严格执行相关政策，保障工程顺利实施，预算编制科学合理，减少结余资金</w:t>
            </w:r>
          </w:p>
        </w:tc>
      </w:tr>
      <w:tr w14:paraId="4E3B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C3FE">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9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CAC3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严格执行相关政策，保障工程顺利实施，预算编制科学合理，减少结余资金</w:t>
            </w:r>
          </w:p>
        </w:tc>
      </w:tr>
      <w:tr w14:paraId="59D7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A0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A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7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1B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B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D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C4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B262">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0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43.27</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FD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6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8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4962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项目资金指标追加</w:t>
            </w:r>
          </w:p>
        </w:tc>
      </w:tr>
      <w:tr w14:paraId="6818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ABC7B">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3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9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43.27</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11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C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7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5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48A38">
            <w:pPr>
              <w:jc w:val="center"/>
              <w:rPr>
                <w:rFonts w:hint="eastAsia" w:ascii="黑体" w:hAnsi="黑体" w:eastAsia="黑体" w:cs="黑体"/>
                <w:i w:val="0"/>
                <w:iCs w:val="0"/>
                <w:color w:val="000000"/>
                <w:sz w:val="18"/>
                <w:szCs w:val="18"/>
                <w:u w:val="none"/>
              </w:rPr>
            </w:pPr>
          </w:p>
        </w:tc>
      </w:tr>
      <w:tr w14:paraId="4E6A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54A2">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6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7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0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4B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8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A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8948">
            <w:pPr>
              <w:jc w:val="center"/>
              <w:rPr>
                <w:rFonts w:hint="eastAsia" w:ascii="黑体" w:hAnsi="黑体" w:eastAsia="黑体" w:cs="黑体"/>
                <w:i w:val="0"/>
                <w:iCs w:val="0"/>
                <w:color w:val="000000"/>
                <w:sz w:val="18"/>
                <w:szCs w:val="18"/>
                <w:u w:val="none"/>
              </w:rPr>
            </w:pPr>
          </w:p>
        </w:tc>
      </w:tr>
      <w:tr w14:paraId="388E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70A47">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B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5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B0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B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C671">
            <w:pPr>
              <w:jc w:val="center"/>
              <w:rPr>
                <w:rFonts w:hint="eastAsia" w:ascii="黑体" w:hAnsi="黑体" w:eastAsia="黑体" w:cs="黑体"/>
                <w:i w:val="0"/>
                <w:iCs w:val="0"/>
                <w:color w:val="000000"/>
                <w:sz w:val="18"/>
                <w:szCs w:val="18"/>
                <w:u w:val="none"/>
              </w:rPr>
            </w:pPr>
          </w:p>
        </w:tc>
      </w:tr>
      <w:tr w14:paraId="55BB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4FF6">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2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ABC">
            <w:pPr>
              <w:jc w:val="center"/>
              <w:rPr>
                <w:rFonts w:hint="eastAsia" w:ascii="微软雅黑" w:hAnsi="微软雅黑" w:eastAsia="微软雅黑" w:cs="微软雅黑"/>
                <w:i/>
                <w:iCs/>
                <w:color w:val="000000"/>
                <w:sz w:val="16"/>
                <w:szCs w:val="16"/>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DE8A">
            <w:pPr>
              <w:jc w:val="center"/>
              <w:rPr>
                <w:rFonts w:hint="eastAsia" w:ascii="微软雅黑" w:hAnsi="微软雅黑" w:eastAsia="微软雅黑" w:cs="微软雅黑"/>
                <w:i/>
                <w:iCs/>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268D0">
            <w:pPr>
              <w:jc w:val="center"/>
              <w:rPr>
                <w:rFonts w:hint="eastAsia" w:ascii="微软雅黑" w:hAnsi="微软雅黑" w:eastAsia="微软雅黑" w:cs="微软雅黑"/>
                <w:i/>
                <w:iCs/>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B1F0">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2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EA84">
            <w:pPr>
              <w:jc w:val="center"/>
              <w:rPr>
                <w:rFonts w:hint="eastAsia" w:ascii="黑体" w:hAnsi="黑体" w:eastAsia="黑体" w:cs="黑体"/>
                <w:i w:val="0"/>
                <w:iCs w:val="0"/>
                <w:color w:val="000000"/>
                <w:sz w:val="18"/>
                <w:szCs w:val="18"/>
                <w:u w:val="none"/>
              </w:rPr>
            </w:pPr>
          </w:p>
        </w:tc>
      </w:tr>
      <w:tr w14:paraId="27CB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33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1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7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7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6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D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A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1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6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E9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8E0C">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D1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E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1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F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9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5C8D">
            <w:pPr>
              <w:jc w:val="center"/>
              <w:rPr>
                <w:rFonts w:hint="eastAsia" w:ascii="宋体" w:hAnsi="宋体" w:eastAsia="宋体" w:cs="宋体"/>
                <w:i w:val="0"/>
                <w:iCs w:val="0"/>
                <w:color w:val="000000"/>
                <w:sz w:val="18"/>
                <w:szCs w:val="18"/>
                <w:u w:val="none"/>
              </w:rPr>
            </w:pPr>
          </w:p>
        </w:tc>
      </w:tr>
      <w:tr w14:paraId="4893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F9BE">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144FA">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6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按合同要求实施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9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A155">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3DA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E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4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321C">
            <w:pPr>
              <w:jc w:val="center"/>
              <w:rPr>
                <w:rFonts w:hint="eastAsia" w:ascii="宋体" w:hAnsi="宋体" w:eastAsia="宋体" w:cs="宋体"/>
                <w:i w:val="0"/>
                <w:iCs w:val="0"/>
                <w:color w:val="000000"/>
                <w:sz w:val="18"/>
                <w:szCs w:val="18"/>
                <w:u w:val="none"/>
              </w:rPr>
            </w:pPr>
          </w:p>
        </w:tc>
      </w:tr>
      <w:tr w14:paraId="2782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571D">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DFAC7">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8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B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C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E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2F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4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A0CE">
            <w:pPr>
              <w:jc w:val="center"/>
              <w:rPr>
                <w:rFonts w:hint="eastAsia" w:ascii="宋体" w:hAnsi="宋体" w:eastAsia="宋体" w:cs="宋体"/>
                <w:i w:val="0"/>
                <w:iCs w:val="0"/>
                <w:color w:val="000000"/>
                <w:sz w:val="18"/>
                <w:szCs w:val="18"/>
                <w:u w:val="none"/>
              </w:rPr>
            </w:pPr>
          </w:p>
        </w:tc>
      </w:tr>
      <w:tr w14:paraId="0694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4F34C">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8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C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4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保障工程顺利进行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757">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AEC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9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D25A">
            <w:pPr>
              <w:jc w:val="center"/>
              <w:rPr>
                <w:rFonts w:hint="eastAsia" w:ascii="宋体" w:hAnsi="宋体" w:eastAsia="宋体" w:cs="宋体"/>
                <w:i w:val="0"/>
                <w:iCs w:val="0"/>
                <w:color w:val="000000"/>
                <w:sz w:val="18"/>
                <w:szCs w:val="18"/>
                <w:u w:val="none"/>
              </w:rPr>
            </w:pPr>
          </w:p>
        </w:tc>
      </w:tr>
      <w:tr w14:paraId="6561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7B1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7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C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6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学校、社会满意度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9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3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4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C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9A2C">
            <w:pPr>
              <w:jc w:val="center"/>
              <w:rPr>
                <w:rFonts w:hint="eastAsia" w:ascii="微软雅黑" w:hAnsi="微软雅黑" w:eastAsia="微软雅黑" w:cs="微软雅黑"/>
                <w:i/>
                <w:iCs/>
                <w:color w:val="000000"/>
                <w:sz w:val="16"/>
                <w:szCs w:val="16"/>
                <w:u w:val="none"/>
              </w:rPr>
            </w:pPr>
          </w:p>
        </w:tc>
      </w:tr>
      <w:tr w14:paraId="6BF1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E57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C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7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69F">
            <w:pPr>
              <w:rPr>
                <w:rFonts w:hint="eastAsia" w:ascii="宋体" w:hAnsi="宋体" w:eastAsia="宋体" w:cs="宋体"/>
                <w:i w:val="0"/>
                <w:iCs w:val="0"/>
                <w:color w:val="000000"/>
                <w:sz w:val="18"/>
                <w:szCs w:val="18"/>
                <w:u w:val="none"/>
              </w:rPr>
            </w:pPr>
          </w:p>
        </w:tc>
      </w:tr>
      <w:tr w14:paraId="5091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E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277F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135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0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9A17C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FAD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EECAE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6B4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60C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项目负责人：陈耀俊</w:t>
            </w:r>
          </w:p>
        </w:tc>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2196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财务负责人：刘洪坤</w:t>
            </w:r>
          </w:p>
        </w:tc>
      </w:tr>
      <w:tr w14:paraId="604C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tcBorders>
              <w:top w:val="nil"/>
              <w:left w:val="nil"/>
              <w:bottom w:val="nil"/>
              <w:right w:val="nil"/>
            </w:tcBorders>
            <w:shd w:val="clear" w:color="auto" w:fill="auto"/>
            <w:vAlign w:val="center"/>
          </w:tcPr>
          <w:p w14:paraId="6BA4C54C">
            <w:pPr>
              <w:rPr>
                <w:rFonts w:hint="eastAsia" w:ascii="宋体" w:hAnsi="宋体" w:eastAsia="宋体" w:cs="宋体"/>
                <w:i w:val="0"/>
                <w:iCs w:val="0"/>
                <w:color w:val="000000"/>
                <w:sz w:val="18"/>
                <w:szCs w:val="18"/>
                <w:u w:val="none"/>
              </w:rPr>
            </w:pPr>
          </w:p>
        </w:tc>
        <w:tc>
          <w:tcPr>
            <w:tcW w:w="1881" w:type="dxa"/>
            <w:tcBorders>
              <w:top w:val="nil"/>
              <w:left w:val="nil"/>
              <w:bottom w:val="nil"/>
              <w:right w:val="nil"/>
            </w:tcBorders>
            <w:shd w:val="clear" w:color="auto" w:fill="auto"/>
            <w:vAlign w:val="center"/>
          </w:tcPr>
          <w:p w14:paraId="7FCF548B">
            <w:pPr>
              <w:rPr>
                <w:rFonts w:hint="eastAsia" w:ascii="宋体" w:hAnsi="宋体" w:eastAsia="宋体" w:cs="宋体"/>
                <w:i w:val="0"/>
                <w:iCs w:val="0"/>
                <w:color w:val="000000"/>
                <w:sz w:val="18"/>
                <w:szCs w:val="18"/>
                <w:u w:val="none"/>
              </w:rPr>
            </w:pPr>
          </w:p>
        </w:tc>
        <w:tc>
          <w:tcPr>
            <w:tcW w:w="1627" w:type="dxa"/>
            <w:tcBorders>
              <w:top w:val="nil"/>
              <w:left w:val="nil"/>
              <w:bottom w:val="nil"/>
              <w:right w:val="nil"/>
            </w:tcBorders>
            <w:shd w:val="clear" w:color="auto" w:fill="auto"/>
            <w:vAlign w:val="center"/>
          </w:tcPr>
          <w:p w14:paraId="46F10AD3">
            <w:pPr>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vAlign w:val="center"/>
          </w:tcPr>
          <w:p w14:paraId="1A66EA1C">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45EE5DFF">
            <w:pPr>
              <w:rPr>
                <w:rFonts w:hint="eastAsia" w:ascii="宋体" w:hAnsi="宋体" w:eastAsia="宋体" w:cs="宋体"/>
                <w:i w:val="0"/>
                <w:iCs w:val="0"/>
                <w:color w:val="000000"/>
                <w:sz w:val="18"/>
                <w:szCs w:val="18"/>
                <w:u w:val="none"/>
              </w:rPr>
            </w:pPr>
          </w:p>
        </w:tc>
        <w:tc>
          <w:tcPr>
            <w:tcW w:w="1537" w:type="dxa"/>
            <w:tcBorders>
              <w:top w:val="nil"/>
              <w:left w:val="nil"/>
              <w:bottom w:val="nil"/>
              <w:right w:val="nil"/>
            </w:tcBorders>
            <w:shd w:val="clear" w:color="auto" w:fill="auto"/>
            <w:vAlign w:val="center"/>
          </w:tcPr>
          <w:p w14:paraId="604E3B60">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5226532E">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18817F08">
            <w:pPr>
              <w:rPr>
                <w:rFonts w:hint="eastAsia" w:ascii="宋体" w:hAnsi="宋体" w:eastAsia="宋体" w:cs="宋体"/>
                <w:i w:val="0"/>
                <w:iCs w:val="0"/>
                <w:color w:val="000000"/>
                <w:sz w:val="18"/>
                <w:szCs w:val="18"/>
                <w:u w:val="none"/>
              </w:rPr>
            </w:pPr>
          </w:p>
        </w:tc>
        <w:tc>
          <w:tcPr>
            <w:tcW w:w="463" w:type="dxa"/>
            <w:tcBorders>
              <w:top w:val="nil"/>
              <w:left w:val="nil"/>
              <w:bottom w:val="nil"/>
              <w:right w:val="nil"/>
            </w:tcBorders>
            <w:shd w:val="clear" w:color="auto" w:fill="auto"/>
            <w:vAlign w:val="center"/>
          </w:tcPr>
          <w:p w14:paraId="5C65913C">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1D5B3781">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36DF5A65">
            <w:pPr>
              <w:rPr>
                <w:rFonts w:hint="eastAsia" w:ascii="宋体" w:hAnsi="宋体" w:eastAsia="宋体" w:cs="宋体"/>
                <w:i w:val="0"/>
                <w:iCs w:val="0"/>
                <w:color w:val="000000"/>
                <w:sz w:val="18"/>
                <w:szCs w:val="18"/>
                <w:u w:val="none"/>
              </w:rPr>
            </w:pPr>
          </w:p>
        </w:tc>
      </w:tr>
      <w:tr w14:paraId="1D27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4E979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D60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A42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5CE1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51172422T000005714709-营养餐</w:t>
            </w:r>
          </w:p>
        </w:tc>
      </w:tr>
      <w:tr w14:paraId="419B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AE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A2D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大竹县文星中学部门</w:t>
            </w:r>
          </w:p>
        </w:tc>
        <w:tc>
          <w:tcPr>
            <w:tcW w:w="1000" w:type="dxa"/>
            <w:tcBorders>
              <w:top w:val="nil"/>
              <w:left w:val="nil"/>
              <w:bottom w:val="nil"/>
              <w:right w:val="nil"/>
            </w:tcBorders>
            <w:shd w:val="clear" w:color="auto" w:fill="auto"/>
            <w:vAlign w:val="center"/>
          </w:tcPr>
          <w:p w14:paraId="395EDA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CE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w:t>
            </w:r>
          </w:p>
        </w:tc>
      </w:tr>
      <w:tr w14:paraId="22E5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EEA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B4F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05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CA57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2C6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3B2C">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7AC0">
            <w:pPr>
              <w:rPr>
                <w:rFonts w:hint="eastAsia" w:ascii="宋体" w:hAnsi="宋体" w:eastAsia="宋体" w:cs="宋体"/>
                <w:i w:val="0"/>
                <w:iCs w:val="0"/>
                <w:color w:val="000000"/>
                <w:sz w:val="18"/>
                <w:szCs w:val="18"/>
                <w:u w:val="none"/>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35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严格执行相关政策，保障营养餐费用及时、足额拨付，预算编制科学合理，减少结余资金</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9B4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严格执行相关政策，保障营养餐费用及时、足额拨付，预算编制科学合理，减少结余资金</w:t>
            </w:r>
          </w:p>
        </w:tc>
      </w:tr>
      <w:tr w14:paraId="3CAD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9E06">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4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6E4C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严格执行相关政策，保障营养餐费用及时、足额拨付，预算编制科学合理，减少结余资金</w:t>
            </w:r>
          </w:p>
        </w:tc>
      </w:tr>
      <w:tr w14:paraId="2C95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0A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0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84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A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F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9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C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F8E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FD6C">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4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87.68</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60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F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1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97D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项目资金指标追加</w:t>
            </w:r>
          </w:p>
        </w:tc>
      </w:tr>
      <w:tr w14:paraId="3614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1F63A">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9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87.68</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87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88.68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F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B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1719D">
            <w:pPr>
              <w:jc w:val="center"/>
              <w:rPr>
                <w:rFonts w:hint="eastAsia" w:ascii="黑体" w:hAnsi="黑体" w:eastAsia="黑体" w:cs="黑体"/>
                <w:i w:val="0"/>
                <w:iCs w:val="0"/>
                <w:color w:val="000000"/>
                <w:sz w:val="18"/>
                <w:szCs w:val="18"/>
                <w:u w:val="none"/>
              </w:rPr>
            </w:pPr>
          </w:p>
        </w:tc>
      </w:tr>
      <w:tr w14:paraId="2FD9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029A8">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4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49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1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B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50AE">
            <w:pPr>
              <w:jc w:val="center"/>
              <w:rPr>
                <w:rFonts w:hint="eastAsia" w:ascii="黑体" w:hAnsi="黑体" w:eastAsia="黑体" w:cs="黑体"/>
                <w:i w:val="0"/>
                <w:iCs w:val="0"/>
                <w:color w:val="000000"/>
                <w:sz w:val="18"/>
                <w:szCs w:val="18"/>
                <w:u w:val="none"/>
              </w:rPr>
            </w:pPr>
          </w:p>
        </w:tc>
      </w:tr>
      <w:tr w14:paraId="15A8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680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5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4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4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08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C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D6DE">
            <w:pPr>
              <w:jc w:val="center"/>
              <w:rPr>
                <w:rFonts w:hint="eastAsia" w:ascii="黑体" w:hAnsi="黑体" w:eastAsia="黑体" w:cs="黑体"/>
                <w:i w:val="0"/>
                <w:iCs w:val="0"/>
                <w:color w:val="000000"/>
                <w:sz w:val="18"/>
                <w:szCs w:val="18"/>
                <w:u w:val="none"/>
              </w:rPr>
            </w:pPr>
          </w:p>
        </w:tc>
      </w:tr>
      <w:tr w14:paraId="5775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280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0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86D">
            <w:pPr>
              <w:jc w:val="center"/>
              <w:rPr>
                <w:rFonts w:hint="eastAsia" w:ascii="微软雅黑" w:hAnsi="微软雅黑" w:eastAsia="微软雅黑" w:cs="微软雅黑"/>
                <w:i/>
                <w:iCs/>
                <w:color w:val="000000"/>
                <w:sz w:val="16"/>
                <w:szCs w:val="16"/>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6A02">
            <w:pPr>
              <w:jc w:val="center"/>
              <w:rPr>
                <w:rFonts w:hint="eastAsia" w:ascii="微软雅黑" w:hAnsi="微软雅黑" w:eastAsia="微软雅黑" w:cs="微软雅黑"/>
                <w:i/>
                <w:iCs/>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C6D22">
            <w:pPr>
              <w:jc w:val="center"/>
              <w:rPr>
                <w:rFonts w:hint="eastAsia" w:ascii="微软雅黑" w:hAnsi="微软雅黑" w:eastAsia="微软雅黑" w:cs="微软雅黑"/>
                <w:i/>
                <w:iCs/>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737">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8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E496">
            <w:pPr>
              <w:jc w:val="center"/>
              <w:rPr>
                <w:rFonts w:hint="eastAsia" w:ascii="黑体" w:hAnsi="黑体" w:eastAsia="黑体" w:cs="黑体"/>
                <w:i w:val="0"/>
                <w:iCs w:val="0"/>
                <w:color w:val="000000"/>
                <w:sz w:val="18"/>
                <w:szCs w:val="18"/>
                <w:u w:val="none"/>
              </w:rPr>
            </w:pPr>
          </w:p>
        </w:tc>
      </w:tr>
      <w:tr w14:paraId="5482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6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8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0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2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D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1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8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49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57CD7">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29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5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6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5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5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3E9">
            <w:pPr>
              <w:jc w:val="center"/>
              <w:rPr>
                <w:rFonts w:hint="eastAsia" w:ascii="宋体" w:hAnsi="宋体" w:eastAsia="宋体" w:cs="宋体"/>
                <w:i w:val="0"/>
                <w:iCs w:val="0"/>
                <w:color w:val="000000"/>
                <w:sz w:val="18"/>
                <w:szCs w:val="18"/>
                <w:u w:val="none"/>
              </w:rPr>
            </w:pPr>
          </w:p>
        </w:tc>
      </w:tr>
      <w:tr w14:paraId="4406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295D">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A81A7">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D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3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营养餐符合标准</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7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8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B028">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44F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5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E897">
            <w:pPr>
              <w:jc w:val="center"/>
              <w:rPr>
                <w:rFonts w:hint="eastAsia" w:ascii="宋体" w:hAnsi="宋体" w:eastAsia="宋体" w:cs="宋体"/>
                <w:i w:val="0"/>
                <w:iCs w:val="0"/>
                <w:color w:val="000000"/>
                <w:sz w:val="18"/>
                <w:szCs w:val="18"/>
                <w:u w:val="none"/>
              </w:rPr>
            </w:pPr>
          </w:p>
        </w:tc>
      </w:tr>
      <w:tr w14:paraId="01DE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A1802">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EC019">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8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8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C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4D3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4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3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ECA9">
            <w:pPr>
              <w:jc w:val="center"/>
              <w:rPr>
                <w:rFonts w:hint="eastAsia" w:ascii="宋体" w:hAnsi="宋体" w:eastAsia="宋体" w:cs="宋体"/>
                <w:i w:val="0"/>
                <w:iCs w:val="0"/>
                <w:color w:val="000000"/>
                <w:sz w:val="18"/>
                <w:szCs w:val="18"/>
                <w:u w:val="none"/>
              </w:rPr>
            </w:pPr>
          </w:p>
        </w:tc>
      </w:tr>
      <w:tr w14:paraId="05EC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BA13">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A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A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7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保障学生健康成长</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8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A8CA">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EF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D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A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24A7">
            <w:pPr>
              <w:jc w:val="center"/>
              <w:rPr>
                <w:rFonts w:hint="eastAsia" w:ascii="宋体" w:hAnsi="宋体" w:eastAsia="宋体" w:cs="宋体"/>
                <w:i w:val="0"/>
                <w:iCs w:val="0"/>
                <w:color w:val="000000"/>
                <w:sz w:val="18"/>
                <w:szCs w:val="18"/>
                <w:u w:val="none"/>
              </w:rPr>
            </w:pPr>
          </w:p>
        </w:tc>
      </w:tr>
      <w:tr w14:paraId="1AAE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4EA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C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B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0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学生、家长、社会满意度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4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E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1D0">
            <w:pPr>
              <w:jc w:val="center"/>
              <w:rPr>
                <w:rFonts w:hint="eastAsia" w:ascii="微软雅黑" w:hAnsi="微软雅黑" w:eastAsia="微软雅黑" w:cs="微软雅黑"/>
                <w:i/>
                <w:iCs/>
                <w:color w:val="000000"/>
                <w:sz w:val="16"/>
                <w:szCs w:val="16"/>
                <w:u w:val="none"/>
              </w:rPr>
            </w:pPr>
          </w:p>
        </w:tc>
      </w:tr>
      <w:tr w14:paraId="0D03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051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5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8760">
            <w:pPr>
              <w:rPr>
                <w:rFonts w:hint="eastAsia" w:ascii="宋体" w:hAnsi="宋体" w:eastAsia="宋体" w:cs="宋体"/>
                <w:i w:val="0"/>
                <w:iCs w:val="0"/>
                <w:color w:val="000000"/>
                <w:sz w:val="18"/>
                <w:szCs w:val="18"/>
                <w:u w:val="none"/>
              </w:rPr>
            </w:pPr>
          </w:p>
        </w:tc>
      </w:tr>
      <w:tr w14:paraId="147E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5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19F75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609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1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19E56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204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2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E9ECB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517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26B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项目负责人：陈耀俊</w:t>
            </w:r>
          </w:p>
        </w:tc>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3550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财务负责人：刘洪坤</w:t>
            </w:r>
          </w:p>
        </w:tc>
      </w:tr>
      <w:tr w14:paraId="49B4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tcBorders>
              <w:top w:val="nil"/>
              <w:left w:val="nil"/>
              <w:bottom w:val="nil"/>
              <w:right w:val="nil"/>
            </w:tcBorders>
            <w:shd w:val="clear" w:color="auto" w:fill="auto"/>
            <w:vAlign w:val="center"/>
          </w:tcPr>
          <w:p w14:paraId="23B9327E">
            <w:pPr>
              <w:rPr>
                <w:rFonts w:hint="eastAsia" w:ascii="宋体" w:hAnsi="宋体" w:eastAsia="宋体" w:cs="宋体"/>
                <w:i w:val="0"/>
                <w:iCs w:val="0"/>
                <w:color w:val="000000"/>
                <w:sz w:val="18"/>
                <w:szCs w:val="18"/>
                <w:u w:val="none"/>
              </w:rPr>
            </w:pPr>
          </w:p>
        </w:tc>
        <w:tc>
          <w:tcPr>
            <w:tcW w:w="1881" w:type="dxa"/>
            <w:tcBorders>
              <w:top w:val="nil"/>
              <w:left w:val="nil"/>
              <w:bottom w:val="nil"/>
              <w:right w:val="nil"/>
            </w:tcBorders>
            <w:shd w:val="clear" w:color="auto" w:fill="auto"/>
            <w:vAlign w:val="center"/>
          </w:tcPr>
          <w:p w14:paraId="1A2DD47A">
            <w:pPr>
              <w:rPr>
                <w:rFonts w:hint="eastAsia" w:ascii="宋体" w:hAnsi="宋体" w:eastAsia="宋体" w:cs="宋体"/>
                <w:i w:val="0"/>
                <w:iCs w:val="0"/>
                <w:color w:val="000000"/>
                <w:sz w:val="18"/>
                <w:szCs w:val="18"/>
                <w:u w:val="none"/>
              </w:rPr>
            </w:pPr>
          </w:p>
        </w:tc>
        <w:tc>
          <w:tcPr>
            <w:tcW w:w="1627" w:type="dxa"/>
            <w:tcBorders>
              <w:top w:val="nil"/>
              <w:left w:val="nil"/>
              <w:bottom w:val="nil"/>
              <w:right w:val="nil"/>
            </w:tcBorders>
            <w:shd w:val="clear" w:color="auto" w:fill="auto"/>
            <w:vAlign w:val="center"/>
          </w:tcPr>
          <w:p w14:paraId="4C3846CD">
            <w:pPr>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vAlign w:val="center"/>
          </w:tcPr>
          <w:p w14:paraId="04D8F17C">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6004D433">
            <w:pPr>
              <w:rPr>
                <w:rFonts w:hint="eastAsia" w:ascii="宋体" w:hAnsi="宋体" w:eastAsia="宋体" w:cs="宋体"/>
                <w:i w:val="0"/>
                <w:iCs w:val="0"/>
                <w:color w:val="000000"/>
                <w:sz w:val="18"/>
                <w:szCs w:val="18"/>
                <w:u w:val="none"/>
              </w:rPr>
            </w:pPr>
          </w:p>
        </w:tc>
        <w:tc>
          <w:tcPr>
            <w:tcW w:w="1537" w:type="dxa"/>
            <w:tcBorders>
              <w:top w:val="nil"/>
              <w:left w:val="nil"/>
              <w:bottom w:val="nil"/>
              <w:right w:val="nil"/>
            </w:tcBorders>
            <w:shd w:val="clear" w:color="auto" w:fill="auto"/>
            <w:vAlign w:val="center"/>
          </w:tcPr>
          <w:p w14:paraId="5DCF5D55">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41D68C2F">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711F1A5B">
            <w:pPr>
              <w:rPr>
                <w:rFonts w:hint="eastAsia" w:ascii="宋体" w:hAnsi="宋体" w:eastAsia="宋体" w:cs="宋体"/>
                <w:i w:val="0"/>
                <w:iCs w:val="0"/>
                <w:color w:val="000000"/>
                <w:sz w:val="18"/>
                <w:szCs w:val="18"/>
                <w:u w:val="none"/>
              </w:rPr>
            </w:pPr>
          </w:p>
        </w:tc>
        <w:tc>
          <w:tcPr>
            <w:tcW w:w="463" w:type="dxa"/>
            <w:tcBorders>
              <w:top w:val="nil"/>
              <w:left w:val="nil"/>
              <w:bottom w:val="nil"/>
              <w:right w:val="nil"/>
            </w:tcBorders>
            <w:shd w:val="clear" w:color="auto" w:fill="auto"/>
            <w:vAlign w:val="center"/>
          </w:tcPr>
          <w:p w14:paraId="72CB8862">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61E17F60">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3C7DA3C6">
            <w:pPr>
              <w:rPr>
                <w:rFonts w:hint="eastAsia" w:ascii="宋体" w:hAnsi="宋体" w:eastAsia="宋体" w:cs="宋体"/>
                <w:i w:val="0"/>
                <w:iCs w:val="0"/>
                <w:color w:val="000000"/>
                <w:sz w:val="18"/>
                <w:szCs w:val="18"/>
                <w:u w:val="none"/>
              </w:rPr>
            </w:pPr>
          </w:p>
        </w:tc>
      </w:tr>
      <w:tr w14:paraId="7852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25179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AD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445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E532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51172422T000006144182-军训</w:t>
            </w:r>
          </w:p>
        </w:tc>
      </w:tr>
      <w:tr w14:paraId="4E0E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04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016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大竹县文星中学部门</w:t>
            </w:r>
          </w:p>
        </w:tc>
        <w:tc>
          <w:tcPr>
            <w:tcW w:w="1000" w:type="dxa"/>
            <w:tcBorders>
              <w:top w:val="nil"/>
              <w:left w:val="nil"/>
              <w:bottom w:val="nil"/>
              <w:right w:val="nil"/>
            </w:tcBorders>
            <w:shd w:val="clear" w:color="auto" w:fill="auto"/>
            <w:vAlign w:val="center"/>
          </w:tcPr>
          <w:p w14:paraId="188A5C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32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w:t>
            </w:r>
          </w:p>
        </w:tc>
      </w:tr>
      <w:tr w14:paraId="7866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6F7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495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E1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17F9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22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0DDF">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015F">
            <w:pPr>
              <w:rPr>
                <w:rFonts w:hint="eastAsia" w:ascii="宋体" w:hAnsi="宋体" w:eastAsia="宋体" w:cs="宋体"/>
                <w:i w:val="0"/>
                <w:iCs w:val="0"/>
                <w:color w:val="000000"/>
                <w:sz w:val="18"/>
                <w:szCs w:val="18"/>
                <w:u w:val="none"/>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7A0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为加强国防教育，高一新生入学后，对全体新生开展军训，培养基本的军事素养，培养良好的组织纪律性等</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47B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为加强国防教育，高一新生入学后，对全体新生开展军训，培养基本的军事素养，培养良好的组织纪律性等</w:t>
            </w:r>
          </w:p>
        </w:tc>
      </w:tr>
      <w:tr w14:paraId="4C5D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730C">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35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91FF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为加强国防教育，高一新生入学后，对全体新生开展军训，培养基本的军事素养，培养良好的组织纪律性等</w:t>
            </w:r>
          </w:p>
        </w:tc>
      </w:tr>
      <w:tr w14:paraId="62C3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7D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E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4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04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E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FC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4041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5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5C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7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63BC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项目资金指标追加</w:t>
            </w:r>
          </w:p>
        </w:tc>
      </w:tr>
      <w:tr w14:paraId="41CD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92750">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A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4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4E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E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9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72CC3">
            <w:pPr>
              <w:jc w:val="center"/>
              <w:rPr>
                <w:rFonts w:hint="eastAsia" w:ascii="黑体" w:hAnsi="黑体" w:eastAsia="黑体" w:cs="黑体"/>
                <w:i w:val="0"/>
                <w:iCs w:val="0"/>
                <w:color w:val="000000"/>
                <w:sz w:val="18"/>
                <w:szCs w:val="18"/>
                <w:u w:val="none"/>
              </w:rPr>
            </w:pPr>
          </w:p>
        </w:tc>
      </w:tr>
      <w:tr w14:paraId="574E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676D">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8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E7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C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D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CB322">
            <w:pPr>
              <w:jc w:val="center"/>
              <w:rPr>
                <w:rFonts w:hint="eastAsia" w:ascii="黑体" w:hAnsi="黑体" w:eastAsia="黑体" w:cs="黑体"/>
                <w:i w:val="0"/>
                <w:iCs w:val="0"/>
                <w:color w:val="000000"/>
                <w:sz w:val="18"/>
                <w:szCs w:val="18"/>
                <w:u w:val="none"/>
              </w:rPr>
            </w:pPr>
          </w:p>
        </w:tc>
      </w:tr>
      <w:tr w14:paraId="1483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9211">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8F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A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F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84C2">
            <w:pPr>
              <w:jc w:val="center"/>
              <w:rPr>
                <w:rFonts w:hint="eastAsia" w:ascii="黑体" w:hAnsi="黑体" w:eastAsia="黑体" w:cs="黑体"/>
                <w:i w:val="0"/>
                <w:iCs w:val="0"/>
                <w:color w:val="000000"/>
                <w:sz w:val="18"/>
                <w:szCs w:val="18"/>
                <w:u w:val="none"/>
              </w:rPr>
            </w:pPr>
          </w:p>
        </w:tc>
      </w:tr>
      <w:tr w14:paraId="271F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B3D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9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3A7D">
            <w:pPr>
              <w:jc w:val="center"/>
              <w:rPr>
                <w:rFonts w:hint="eastAsia" w:ascii="微软雅黑" w:hAnsi="微软雅黑" w:eastAsia="微软雅黑" w:cs="微软雅黑"/>
                <w:i/>
                <w:iCs/>
                <w:color w:val="000000"/>
                <w:sz w:val="16"/>
                <w:szCs w:val="16"/>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28E">
            <w:pPr>
              <w:jc w:val="center"/>
              <w:rPr>
                <w:rFonts w:hint="eastAsia" w:ascii="微软雅黑" w:hAnsi="微软雅黑" w:eastAsia="微软雅黑" w:cs="微软雅黑"/>
                <w:i/>
                <w:iCs/>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22A2A">
            <w:pPr>
              <w:jc w:val="center"/>
              <w:rPr>
                <w:rFonts w:hint="eastAsia" w:ascii="微软雅黑" w:hAnsi="微软雅黑" w:eastAsia="微软雅黑" w:cs="微软雅黑"/>
                <w:i/>
                <w:iCs/>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F424">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F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3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8E2A">
            <w:pPr>
              <w:jc w:val="center"/>
              <w:rPr>
                <w:rFonts w:hint="eastAsia" w:ascii="黑体" w:hAnsi="黑体" w:eastAsia="黑体" w:cs="黑体"/>
                <w:i w:val="0"/>
                <w:iCs w:val="0"/>
                <w:color w:val="000000"/>
                <w:sz w:val="18"/>
                <w:szCs w:val="18"/>
                <w:u w:val="none"/>
              </w:rPr>
            </w:pPr>
          </w:p>
        </w:tc>
      </w:tr>
      <w:tr w14:paraId="7B58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4C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7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A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E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7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4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C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C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60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E1D8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F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1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F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4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F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6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7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C402">
            <w:pPr>
              <w:jc w:val="center"/>
              <w:rPr>
                <w:rFonts w:hint="eastAsia" w:ascii="宋体" w:hAnsi="宋体" w:eastAsia="宋体" w:cs="宋体"/>
                <w:i w:val="0"/>
                <w:iCs w:val="0"/>
                <w:color w:val="000000"/>
                <w:sz w:val="18"/>
                <w:szCs w:val="18"/>
                <w:u w:val="none"/>
              </w:rPr>
            </w:pPr>
          </w:p>
        </w:tc>
      </w:tr>
      <w:tr w14:paraId="26EE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E52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A3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9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0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9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03F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B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B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C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E00C">
            <w:pPr>
              <w:jc w:val="center"/>
              <w:rPr>
                <w:rFonts w:hint="eastAsia" w:ascii="宋体" w:hAnsi="宋体" w:eastAsia="宋体" w:cs="宋体"/>
                <w:i w:val="0"/>
                <w:iCs w:val="0"/>
                <w:color w:val="000000"/>
                <w:sz w:val="18"/>
                <w:szCs w:val="18"/>
                <w:u w:val="none"/>
              </w:rPr>
            </w:pPr>
          </w:p>
        </w:tc>
      </w:tr>
      <w:tr w14:paraId="5637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BD3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3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9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5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1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9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9D3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8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0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9680">
            <w:pPr>
              <w:jc w:val="center"/>
              <w:rPr>
                <w:rFonts w:hint="eastAsia" w:ascii="宋体" w:hAnsi="宋体" w:eastAsia="宋体" w:cs="宋体"/>
                <w:i w:val="0"/>
                <w:iCs w:val="0"/>
                <w:color w:val="000000"/>
                <w:sz w:val="18"/>
                <w:szCs w:val="18"/>
                <w:u w:val="none"/>
              </w:rPr>
            </w:pPr>
          </w:p>
        </w:tc>
      </w:tr>
      <w:tr w14:paraId="78F2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051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F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8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D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7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B89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F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9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F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76EE">
            <w:pPr>
              <w:jc w:val="center"/>
              <w:rPr>
                <w:rFonts w:hint="eastAsia" w:ascii="微软雅黑" w:hAnsi="微软雅黑" w:eastAsia="微软雅黑" w:cs="微软雅黑"/>
                <w:i/>
                <w:iCs/>
                <w:color w:val="000000"/>
                <w:sz w:val="16"/>
                <w:szCs w:val="16"/>
                <w:u w:val="none"/>
              </w:rPr>
            </w:pPr>
          </w:p>
        </w:tc>
      </w:tr>
      <w:tr w14:paraId="5EDD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CEC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4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EE3">
            <w:pPr>
              <w:rPr>
                <w:rFonts w:hint="eastAsia" w:ascii="宋体" w:hAnsi="宋体" w:eastAsia="宋体" w:cs="宋体"/>
                <w:i w:val="0"/>
                <w:iCs w:val="0"/>
                <w:color w:val="000000"/>
                <w:sz w:val="18"/>
                <w:szCs w:val="18"/>
                <w:u w:val="none"/>
              </w:rPr>
            </w:pPr>
          </w:p>
        </w:tc>
      </w:tr>
      <w:tr w14:paraId="3787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3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924C5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3345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5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8D78C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93D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2297C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0FE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8D0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项目负责人：陈耀俊</w:t>
            </w:r>
          </w:p>
        </w:tc>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0E2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财务负责人：刘洪坤</w:t>
            </w:r>
          </w:p>
        </w:tc>
      </w:tr>
      <w:tr w14:paraId="41AD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tcBorders>
              <w:top w:val="nil"/>
              <w:left w:val="nil"/>
              <w:bottom w:val="nil"/>
              <w:right w:val="nil"/>
            </w:tcBorders>
            <w:shd w:val="clear" w:color="auto" w:fill="auto"/>
            <w:vAlign w:val="center"/>
          </w:tcPr>
          <w:p w14:paraId="215C82B4">
            <w:pPr>
              <w:rPr>
                <w:rFonts w:hint="eastAsia" w:ascii="宋体" w:hAnsi="宋体" w:eastAsia="宋体" w:cs="宋体"/>
                <w:i w:val="0"/>
                <w:iCs w:val="0"/>
                <w:color w:val="000000"/>
                <w:sz w:val="18"/>
                <w:szCs w:val="18"/>
                <w:u w:val="none"/>
              </w:rPr>
            </w:pPr>
          </w:p>
        </w:tc>
        <w:tc>
          <w:tcPr>
            <w:tcW w:w="1881" w:type="dxa"/>
            <w:tcBorders>
              <w:top w:val="nil"/>
              <w:left w:val="nil"/>
              <w:bottom w:val="nil"/>
              <w:right w:val="nil"/>
            </w:tcBorders>
            <w:shd w:val="clear" w:color="auto" w:fill="auto"/>
            <w:vAlign w:val="center"/>
          </w:tcPr>
          <w:p w14:paraId="02F24B02">
            <w:pPr>
              <w:rPr>
                <w:rFonts w:hint="eastAsia" w:ascii="宋体" w:hAnsi="宋体" w:eastAsia="宋体" w:cs="宋体"/>
                <w:i w:val="0"/>
                <w:iCs w:val="0"/>
                <w:color w:val="000000"/>
                <w:sz w:val="18"/>
                <w:szCs w:val="18"/>
                <w:u w:val="none"/>
              </w:rPr>
            </w:pPr>
          </w:p>
        </w:tc>
        <w:tc>
          <w:tcPr>
            <w:tcW w:w="1627" w:type="dxa"/>
            <w:tcBorders>
              <w:top w:val="nil"/>
              <w:left w:val="nil"/>
              <w:bottom w:val="nil"/>
              <w:right w:val="nil"/>
            </w:tcBorders>
            <w:shd w:val="clear" w:color="auto" w:fill="auto"/>
            <w:vAlign w:val="center"/>
          </w:tcPr>
          <w:p w14:paraId="1066AC2C">
            <w:pPr>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vAlign w:val="center"/>
          </w:tcPr>
          <w:p w14:paraId="789B4172">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52A3FB40">
            <w:pPr>
              <w:rPr>
                <w:rFonts w:hint="eastAsia" w:ascii="宋体" w:hAnsi="宋体" w:eastAsia="宋体" w:cs="宋体"/>
                <w:i w:val="0"/>
                <w:iCs w:val="0"/>
                <w:color w:val="000000"/>
                <w:sz w:val="18"/>
                <w:szCs w:val="18"/>
                <w:u w:val="none"/>
              </w:rPr>
            </w:pPr>
          </w:p>
        </w:tc>
        <w:tc>
          <w:tcPr>
            <w:tcW w:w="1537" w:type="dxa"/>
            <w:tcBorders>
              <w:top w:val="nil"/>
              <w:left w:val="nil"/>
              <w:bottom w:val="nil"/>
              <w:right w:val="nil"/>
            </w:tcBorders>
            <w:shd w:val="clear" w:color="auto" w:fill="auto"/>
            <w:vAlign w:val="center"/>
          </w:tcPr>
          <w:p w14:paraId="2E52FD5F">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421F8E8D">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0C5F92E7">
            <w:pPr>
              <w:rPr>
                <w:rFonts w:hint="eastAsia" w:ascii="宋体" w:hAnsi="宋体" w:eastAsia="宋体" w:cs="宋体"/>
                <w:i w:val="0"/>
                <w:iCs w:val="0"/>
                <w:color w:val="000000"/>
                <w:sz w:val="18"/>
                <w:szCs w:val="18"/>
                <w:u w:val="none"/>
              </w:rPr>
            </w:pPr>
          </w:p>
        </w:tc>
        <w:tc>
          <w:tcPr>
            <w:tcW w:w="463" w:type="dxa"/>
            <w:tcBorders>
              <w:top w:val="nil"/>
              <w:left w:val="nil"/>
              <w:bottom w:val="nil"/>
              <w:right w:val="nil"/>
            </w:tcBorders>
            <w:shd w:val="clear" w:color="auto" w:fill="auto"/>
            <w:vAlign w:val="center"/>
          </w:tcPr>
          <w:p w14:paraId="5BEDBEE8">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62646A86">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1A9CE3D8">
            <w:pPr>
              <w:rPr>
                <w:rFonts w:hint="eastAsia" w:ascii="宋体" w:hAnsi="宋体" w:eastAsia="宋体" w:cs="宋体"/>
                <w:i w:val="0"/>
                <w:iCs w:val="0"/>
                <w:color w:val="000000"/>
                <w:sz w:val="18"/>
                <w:szCs w:val="18"/>
                <w:u w:val="none"/>
              </w:rPr>
            </w:pPr>
          </w:p>
        </w:tc>
      </w:tr>
      <w:tr w14:paraId="08EF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92DA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B3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169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6DAA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51172423T000008006960-校舍维修改造</w:t>
            </w:r>
          </w:p>
        </w:tc>
      </w:tr>
      <w:tr w14:paraId="5CB2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B0D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455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大竹县文星中学部门</w:t>
            </w:r>
          </w:p>
        </w:tc>
        <w:tc>
          <w:tcPr>
            <w:tcW w:w="1000" w:type="dxa"/>
            <w:tcBorders>
              <w:top w:val="nil"/>
              <w:left w:val="nil"/>
              <w:bottom w:val="nil"/>
              <w:right w:val="nil"/>
            </w:tcBorders>
            <w:shd w:val="clear" w:color="auto" w:fill="auto"/>
            <w:vAlign w:val="center"/>
          </w:tcPr>
          <w:p w14:paraId="36E206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64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w:t>
            </w:r>
          </w:p>
        </w:tc>
      </w:tr>
      <w:tr w14:paraId="6484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AC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15E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5F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8F43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7D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825B">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C1B1B">
            <w:pPr>
              <w:rPr>
                <w:rFonts w:hint="eastAsia" w:ascii="宋体" w:hAnsi="宋体" w:eastAsia="宋体" w:cs="宋体"/>
                <w:i w:val="0"/>
                <w:iCs w:val="0"/>
                <w:color w:val="000000"/>
                <w:sz w:val="18"/>
                <w:szCs w:val="18"/>
                <w:u w:val="none"/>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C60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严格执行相关政策，保障工程顺利实施，预算编制科学合理，减少结余资金</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6C8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严格执行相关政策，保障工程顺利实施，预算编制科学合理，减少结余资金</w:t>
            </w:r>
          </w:p>
        </w:tc>
      </w:tr>
      <w:tr w14:paraId="5FB8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596E3">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F18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严格执行相关政策，保障工程顺利实施，预算编制科学合理，减少结余资金</w:t>
            </w:r>
          </w:p>
        </w:tc>
      </w:tr>
      <w:tr w14:paraId="2CAC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18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7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C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64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8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7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521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D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F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41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2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8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E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A51AC">
            <w:pPr>
              <w:jc w:val="center"/>
              <w:rPr>
                <w:rFonts w:hint="eastAsia" w:ascii="黑体" w:hAnsi="黑体" w:eastAsia="黑体" w:cs="黑体"/>
                <w:i w:val="0"/>
                <w:iCs w:val="0"/>
                <w:color w:val="000000"/>
                <w:sz w:val="18"/>
                <w:szCs w:val="18"/>
                <w:u w:val="none"/>
              </w:rPr>
            </w:pPr>
          </w:p>
        </w:tc>
      </w:tr>
      <w:tr w14:paraId="5AE0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3CB3">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9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2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60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A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A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C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7854E">
            <w:pPr>
              <w:jc w:val="center"/>
              <w:rPr>
                <w:rFonts w:hint="eastAsia" w:ascii="黑体" w:hAnsi="黑体" w:eastAsia="黑体" w:cs="黑体"/>
                <w:i w:val="0"/>
                <w:iCs w:val="0"/>
                <w:color w:val="000000"/>
                <w:sz w:val="18"/>
                <w:szCs w:val="18"/>
                <w:u w:val="none"/>
              </w:rPr>
            </w:pPr>
          </w:p>
        </w:tc>
      </w:tr>
      <w:tr w14:paraId="4165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BD1A">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5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C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2E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8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3DBDD">
            <w:pPr>
              <w:jc w:val="center"/>
              <w:rPr>
                <w:rFonts w:hint="eastAsia" w:ascii="黑体" w:hAnsi="黑体" w:eastAsia="黑体" w:cs="黑体"/>
                <w:i w:val="0"/>
                <w:iCs w:val="0"/>
                <w:color w:val="000000"/>
                <w:sz w:val="18"/>
                <w:szCs w:val="18"/>
                <w:u w:val="none"/>
              </w:rPr>
            </w:pPr>
          </w:p>
        </w:tc>
      </w:tr>
      <w:tr w14:paraId="225B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7BED">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2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1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9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6C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D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2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BAA4">
            <w:pPr>
              <w:jc w:val="center"/>
              <w:rPr>
                <w:rFonts w:hint="eastAsia" w:ascii="黑体" w:hAnsi="黑体" w:eastAsia="黑体" w:cs="黑体"/>
                <w:i w:val="0"/>
                <w:iCs w:val="0"/>
                <w:color w:val="000000"/>
                <w:sz w:val="18"/>
                <w:szCs w:val="18"/>
                <w:u w:val="none"/>
              </w:rPr>
            </w:pPr>
          </w:p>
        </w:tc>
      </w:tr>
      <w:tr w14:paraId="75D7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01BA">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9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5B19">
            <w:pPr>
              <w:jc w:val="center"/>
              <w:rPr>
                <w:rFonts w:hint="eastAsia" w:ascii="微软雅黑" w:hAnsi="微软雅黑" w:eastAsia="微软雅黑" w:cs="微软雅黑"/>
                <w:i/>
                <w:iCs/>
                <w:color w:val="000000"/>
                <w:sz w:val="16"/>
                <w:szCs w:val="16"/>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998F">
            <w:pPr>
              <w:jc w:val="center"/>
              <w:rPr>
                <w:rFonts w:hint="eastAsia" w:ascii="微软雅黑" w:hAnsi="微软雅黑" w:eastAsia="微软雅黑" w:cs="微软雅黑"/>
                <w:i/>
                <w:iCs/>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DE505">
            <w:pPr>
              <w:jc w:val="center"/>
              <w:rPr>
                <w:rFonts w:hint="eastAsia" w:ascii="微软雅黑" w:hAnsi="微软雅黑" w:eastAsia="微软雅黑" w:cs="微软雅黑"/>
                <w:i/>
                <w:iCs/>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5143">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3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408E">
            <w:pPr>
              <w:jc w:val="center"/>
              <w:rPr>
                <w:rFonts w:hint="eastAsia" w:ascii="黑体" w:hAnsi="黑体" w:eastAsia="黑体" w:cs="黑体"/>
                <w:i w:val="0"/>
                <w:iCs w:val="0"/>
                <w:color w:val="000000"/>
                <w:sz w:val="18"/>
                <w:szCs w:val="18"/>
                <w:u w:val="none"/>
              </w:rPr>
            </w:pPr>
          </w:p>
        </w:tc>
      </w:tr>
      <w:tr w14:paraId="599F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CD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4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7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9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B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9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8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1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77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93F3">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77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6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9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7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3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6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A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891C">
            <w:pPr>
              <w:jc w:val="center"/>
              <w:rPr>
                <w:rFonts w:hint="eastAsia" w:ascii="宋体" w:hAnsi="宋体" w:eastAsia="宋体" w:cs="宋体"/>
                <w:i w:val="0"/>
                <w:iCs w:val="0"/>
                <w:color w:val="000000"/>
                <w:sz w:val="18"/>
                <w:szCs w:val="18"/>
                <w:u w:val="none"/>
              </w:rPr>
            </w:pPr>
          </w:p>
        </w:tc>
      </w:tr>
      <w:tr w14:paraId="36DB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341D">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D25B">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F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按合同要求实施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E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95BB">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B1D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1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B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08D">
            <w:pPr>
              <w:jc w:val="center"/>
              <w:rPr>
                <w:rFonts w:hint="eastAsia" w:ascii="宋体" w:hAnsi="宋体" w:eastAsia="宋体" w:cs="宋体"/>
                <w:i w:val="0"/>
                <w:iCs w:val="0"/>
                <w:color w:val="000000"/>
                <w:sz w:val="18"/>
                <w:szCs w:val="18"/>
                <w:u w:val="none"/>
              </w:rPr>
            </w:pPr>
          </w:p>
        </w:tc>
      </w:tr>
      <w:tr w14:paraId="7233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B987">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29393">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4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0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4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7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C05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F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7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65E9">
            <w:pPr>
              <w:jc w:val="center"/>
              <w:rPr>
                <w:rFonts w:hint="eastAsia" w:ascii="宋体" w:hAnsi="宋体" w:eastAsia="宋体" w:cs="宋体"/>
                <w:i w:val="0"/>
                <w:iCs w:val="0"/>
                <w:color w:val="000000"/>
                <w:sz w:val="18"/>
                <w:szCs w:val="18"/>
                <w:u w:val="none"/>
              </w:rPr>
            </w:pPr>
          </w:p>
        </w:tc>
      </w:tr>
      <w:tr w14:paraId="2507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6733A">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C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保障工程顺利进行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E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336">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90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0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64BD">
            <w:pPr>
              <w:jc w:val="center"/>
              <w:rPr>
                <w:rFonts w:hint="eastAsia" w:ascii="宋体" w:hAnsi="宋体" w:eastAsia="宋体" w:cs="宋体"/>
                <w:i w:val="0"/>
                <w:iCs w:val="0"/>
                <w:color w:val="000000"/>
                <w:sz w:val="18"/>
                <w:szCs w:val="18"/>
                <w:u w:val="none"/>
              </w:rPr>
            </w:pPr>
          </w:p>
        </w:tc>
      </w:tr>
      <w:tr w14:paraId="38BF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C7E7">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6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2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6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学校、社会满意度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C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0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1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B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4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D00C">
            <w:pPr>
              <w:jc w:val="center"/>
              <w:rPr>
                <w:rFonts w:hint="eastAsia" w:ascii="微软雅黑" w:hAnsi="微软雅黑" w:eastAsia="微软雅黑" w:cs="微软雅黑"/>
                <w:i/>
                <w:iCs/>
                <w:color w:val="000000"/>
                <w:sz w:val="16"/>
                <w:szCs w:val="16"/>
                <w:u w:val="none"/>
              </w:rPr>
            </w:pPr>
          </w:p>
        </w:tc>
      </w:tr>
      <w:tr w14:paraId="2E28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420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D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D895">
            <w:pPr>
              <w:rPr>
                <w:rFonts w:hint="eastAsia" w:ascii="宋体" w:hAnsi="宋体" w:eastAsia="宋体" w:cs="宋体"/>
                <w:i w:val="0"/>
                <w:iCs w:val="0"/>
                <w:color w:val="000000"/>
                <w:sz w:val="18"/>
                <w:szCs w:val="18"/>
                <w:u w:val="none"/>
              </w:rPr>
            </w:pPr>
          </w:p>
        </w:tc>
      </w:tr>
      <w:tr w14:paraId="6B1A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336DA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9AC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5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C8963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533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1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9CF52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FA3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A71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项目负责人：陈耀俊</w:t>
            </w:r>
          </w:p>
        </w:tc>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43C0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财务负责人：刘洪坤</w:t>
            </w:r>
          </w:p>
        </w:tc>
      </w:tr>
      <w:tr w14:paraId="6EC4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tcBorders>
              <w:top w:val="nil"/>
              <w:left w:val="nil"/>
              <w:bottom w:val="nil"/>
              <w:right w:val="nil"/>
            </w:tcBorders>
            <w:shd w:val="clear" w:color="auto" w:fill="auto"/>
            <w:vAlign w:val="center"/>
          </w:tcPr>
          <w:p w14:paraId="0AFA147D">
            <w:pPr>
              <w:rPr>
                <w:rFonts w:hint="eastAsia" w:ascii="宋体" w:hAnsi="宋体" w:eastAsia="宋体" w:cs="宋体"/>
                <w:i w:val="0"/>
                <w:iCs w:val="0"/>
                <w:color w:val="000000"/>
                <w:sz w:val="18"/>
                <w:szCs w:val="18"/>
                <w:u w:val="none"/>
              </w:rPr>
            </w:pPr>
          </w:p>
        </w:tc>
        <w:tc>
          <w:tcPr>
            <w:tcW w:w="1881" w:type="dxa"/>
            <w:tcBorders>
              <w:top w:val="nil"/>
              <w:left w:val="nil"/>
              <w:bottom w:val="nil"/>
              <w:right w:val="nil"/>
            </w:tcBorders>
            <w:shd w:val="clear" w:color="auto" w:fill="auto"/>
            <w:vAlign w:val="center"/>
          </w:tcPr>
          <w:p w14:paraId="49F40903">
            <w:pPr>
              <w:rPr>
                <w:rFonts w:hint="eastAsia" w:ascii="宋体" w:hAnsi="宋体" w:eastAsia="宋体" w:cs="宋体"/>
                <w:i w:val="0"/>
                <w:iCs w:val="0"/>
                <w:color w:val="000000"/>
                <w:sz w:val="18"/>
                <w:szCs w:val="18"/>
                <w:u w:val="none"/>
              </w:rPr>
            </w:pPr>
          </w:p>
        </w:tc>
        <w:tc>
          <w:tcPr>
            <w:tcW w:w="1627" w:type="dxa"/>
            <w:tcBorders>
              <w:top w:val="nil"/>
              <w:left w:val="nil"/>
              <w:bottom w:val="nil"/>
              <w:right w:val="nil"/>
            </w:tcBorders>
            <w:shd w:val="clear" w:color="auto" w:fill="auto"/>
            <w:vAlign w:val="center"/>
          </w:tcPr>
          <w:p w14:paraId="77B67AD3">
            <w:pPr>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vAlign w:val="center"/>
          </w:tcPr>
          <w:p w14:paraId="6B74292C">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175DF0BC">
            <w:pPr>
              <w:rPr>
                <w:rFonts w:hint="eastAsia" w:ascii="宋体" w:hAnsi="宋体" w:eastAsia="宋体" w:cs="宋体"/>
                <w:i w:val="0"/>
                <w:iCs w:val="0"/>
                <w:color w:val="000000"/>
                <w:sz w:val="18"/>
                <w:szCs w:val="18"/>
                <w:u w:val="none"/>
              </w:rPr>
            </w:pPr>
          </w:p>
        </w:tc>
        <w:tc>
          <w:tcPr>
            <w:tcW w:w="1537" w:type="dxa"/>
            <w:tcBorders>
              <w:top w:val="nil"/>
              <w:left w:val="nil"/>
              <w:bottom w:val="nil"/>
              <w:right w:val="nil"/>
            </w:tcBorders>
            <w:shd w:val="clear" w:color="auto" w:fill="auto"/>
            <w:vAlign w:val="center"/>
          </w:tcPr>
          <w:p w14:paraId="00002113">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2670560C">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3AC8A70A">
            <w:pPr>
              <w:rPr>
                <w:rFonts w:hint="eastAsia" w:ascii="宋体" w:hAnsi="宋体" w:eastAsia="宋体" w:cs="宋体"/>
                <w:i w:val="0"/>
                <w:iCs w:val="0"/>
                <w:color w:val="000000"/>
                <w:sz w:val="18"/>
                <w:szCs w:val="18"/>
                <w:u w:val="none"/>
              </w:rPr>
            </w:pPr>
          </w:p>
        </w:tc>
        <w:tc>
          <w:tcPr>
            <w:tcW w:w="463" w:type="dxa"/>
            <w:tcBorders>
              <w:top w:val="nil"/>
              <w:left w:val="nil"/>
              <w:bottom w:val="nil"/>
              <w:right w:val="nil"/>
            </w:tcBorders>
            <w:shd w:val="clear" w:color="auto" w:fill="auto"/>
            <w:vAlign w:val="center"/>
          </w:tcPr>
          <w:p w14:paraId="4602328C">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165709D7">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31283A06">
            <w:pPr>
              <w:rPr>
                <w:rFonts w:hint="eastAsia" w:ascii="宋体" w:hAnsi="宋体" w:eastAsia="宋体" w:cs="宋体"/>
                <w:i w:val="0"/>
                <w:iCs w:val="0"/>
                <w:color w:val="000000"/>
                <w:sz w:val="18"/>
                <w:szCs w:val="18"/>
                <w:u w:val="none"/>
              </w:rPr>
            </w:pPr>
          </w:p>
        </w:tc>
      </w:tr>
      <w:tr w14:paraId="24EA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67B40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7D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72E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75D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51172423T000008604595-高中网通班</w:t>
            </w:r>
          </w:p>
        </w:tc>
      </w:tr>
      <w:tr w14:paraId="2075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AB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376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大竹县文星中学部门</w:t>
            </w:r>
          </w:p>
        </w:tc>
        <w:tc>
          <w:tcPr>
            <w:tcW w:w="1000" w:type="dxa"/>
            <w:tcBorders>
              <w:top w:val="nil"/>
              <w:left w:val="nil"/>
              <w:bottom w:val="nil"/>
              <w:right w:val="nil"/>
            </w:tcBorders>
            <w:shd w:val="clear" w:color="auto" w:fill="auto"/>
            <w:vAlign w:val="center"/>
          </w:tcPr>
          <w:p w14:paraId="7B4571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DD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w:t>
            </w:r>
          </w:p>
        </w:tc>
      </w:tr>
      <w:tr w14:paraId="62F2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56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44C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27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FDD2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44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5F6A">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4D2ED">
            <w:pPr>
              <w:rPr>
                <w:rFonts w:hint="eastAsia" w:ascii="宋体" w:hAnsi="宋体" w:eastAsia="宋体" w:cs="宋体"/>
                <w:i w:val="0"/>
                <w:iCs w:val="0"/>
                <w:color w:val="000000"/>
                <w:sz w:val="18"/>
                <w:szCs w:val="18"/>
                <w:u w:val="none"/>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9AB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通过引进优质网校资源，完成2023年高中网通班任务，提升教学水平。</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87C8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通过引进优质网校资源，完成2023年高中网通班任务，提升教学水平。</w:t>
            </w:r>
          </w:p>
        </w:tc>
      </w:tr>
      <w:tr w14:paraId="696A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F33A">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C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619E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通过引进优质网校资源，完成2023年高中网通班任务，提升教学水平。</w:t>
            </w:r>
          </w:p>
        </w:tc>
      </w:tr>
      <w:tr w14:paraId="74AB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E8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A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1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9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1E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D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1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8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FE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FA7E">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F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9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8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DF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B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1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F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F1E38">
            <w:pPr>
              <w:jc w:val="center"/>
              <w:rPr>
                <w:rFonts w:hint="eastAsia" w:ascii="黑体" w:hAnsi="黑体" w:eastAsia="黑体" w:cs="黑体"/>
                <w:i w:val="0"/>
                <w:iCs w:val="0"/>
                <w:color w:val="000000"/>
                <w:sz w:val="18"/>
                <w:szCs w:val="18"/>
                <w:u w:val="none"/>
              </w:rPr>
            </w:pPr>
          </w:p>
        </w:tc>
      </w:tr>
      <w:tr w14:paraId="21A0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37AF">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A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1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E5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C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7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1A969">
            <w:pPr>
              <w:jc w:val="center"/>
              <w:rPr>
                <w:rFonts w:hint="eastAsia" w:ascii="黑体" w:hAnsi="黑体" w:eastAsia="黑体" w:cs="黑体"/>
                <w:i w:val="0"/>
                <w:iCs w:val="0"/>
                <w:color w:val="000000"/>
                <w:sz w:val="18"/>
                <w:szCs w:val="18"/>
                <w:u w:val="none"/>
              </w:rPr>
            </w:pPr>
          </w:p>
        </w:tc>
      </w:tr>
      <w:tr w14:paraId="6F0E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121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B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19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9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3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7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49272">
            <w:pPr>
              <w:jc w:val="center"/>
              <w:rPr>
                <w:rFonts w:hint="eastAsia" w:ascii="黑体" w:hAnsi="黑体" w:eastAsia="黑体" w:cs="黑体"/>
                <w:i w:val="0"/>
                <w:iCs w:val="0"/>
                <w:color w:val="000000"/>
                <w:sz w:val="18"/>
                <w:szCs w:val="18"/>
                <w:u w:val="none"/>
              </w:rPr>
            </w:pPr>
          </w:p>
        </w:tc>
      </w:tr>
      <w:tr w14:paraId="3CB6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2C80B">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B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3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49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6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9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6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F682">
            <w:pPr>
              <w:jc w:val="center"/>
              <w:rPr>
                <w:rFonts w:hint="eastAsia" w:ascii="黑体" w:hAnsi="黑体" w:eastAsia="黑体" w:cs="黑体"/>
                <w:i w:val="0"/>
                <w:iCs w:val="0"/>
                <w:color w:val="000000"/>
                <w:sz w:val="18"/>
                <w:szCs w:val="18"/>
                <w:u w:val="none"/>
              </w:rPr>
            </w:pPr>
          </w:p>
        </w:tc>
      </w:tr>
      <w:tr w14:paraId="2A5C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88718">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FED3">
            <w:pPr>
              <w:jc w:val="center"/>
              <w:rPr>
                <w:rFonts w:hint="eastAsia" w:ascii="微软雅黑" w:hAnsi="微软雅黑" w:eastAsia="微软雅黑" w:cs="微软雅黑"/>
                <w:i/>
                <w:iCs/>
                <w:color w:val="000000"/>
                <w:sz w:val="16"/>
                <w:szCs w:val="16"/>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B770">
            <w:pPr>
              <w:jc w:val="center"/>
              <w:rPr>
                <w:rFonts w:hint="eastAsia" w:ascii="微软雅黑" w:hAnsi="微软雅黑" w:eastAsia="微软雅黑" w:cs="微软雅黑"/>
                <w:i/>
                <w:iCs/>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A5879">
            <w:pPr>
              <w:jc w:val="center"/>
              <w:rPr>
                <w:rFonts w:hint="eastAsia" w:ascii="微软雅黑" w:hAnsi="微软雅黑" w:eastAsia="微软雅黑" w:cs="微软雅黑"/>
                <w:i/>
                <w:iCs/>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00A1">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7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E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06DF">
            <w:pPr>
              <w:jc w:val="center"/>
              <w:rPr>
                <w:rFonts w:hint="eastAsia" w:ascii="黑体" w:hAnsi="黑体" w:eastAsia="黑体" w:cs="黑体"/>
                <w:i w:val="0"/>
                <w:iCs w:val="0"/>
                <w:color w:val="000000"/>
                <w:sz w:val="18"/>
                <w:szCs w:val="18"/>
                <w:u w:val="none"/>
              </w:rPr>
            </w:pPr>
          </w:p>
        </w:tc>
      </w:tr>
      <w:tr w14:paraId="7236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B0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B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6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4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8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A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6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9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F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DA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8556">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6B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受益学校数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2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5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E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1所</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0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BB25">
            <w:pPr>
              <w:jc w:val="center"/>
              <w:rPr>
                <w:rFonts w:hint="eastAsia" w:ascii="微软雅黑" w:hAnsi="微软雅黑" w:eastAsia="微软雅黑" w:cs="微软雅黑"/>
                <w:i/>
                <w:iCs/>
                <w:color w:val="000000"/>
                <w:sz w:val="16"/>
                <w:szCs w:val="16"/>
                <w:u w:val="none"/>
              </w:rPr>
            </w:pPr>
          </w:p>
        </w:tc>
      </w:tr>
      <w:tr w14:paraId="6B96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D4B41">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DCD4">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A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提升网班教育教学质量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2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E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4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25人</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506C">
            <w:pPr>
              <w:jc w:val="center"/>
              <w:rPr>
                <w:rFonts w:hint="eastAsia" w:ascii="微软雅黑" w:hAnsi="微软雅黑" w:eastAsia="微软雅黑" w:cs="微软雅黑"/>
                <w:i/>
                <w:iCs/>
                <w:color w:val="000000"/>
                <w:sz w:val="16"/>
                <w:szCs w:val="16"/>
                <w:u w:val="none"/>
              </w:rPr>
            </w:pPr>
          </w:p>
        </w:tc>
      </w:tr>
      <w:tr w14:paraId="1135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6E7DC">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72744">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9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1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A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1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1668">
            <w:pPr>
              <w:jc w:val="center"/>
              <w:rPr>
                <w:rFonts w:hint="eastAsia" w:ascii="微软雅黑" w:hAnsi="微软雅黑" w:eastAsia="微软雅黑" w:cs="微软雅黑"/>
                <w:i/>
                <w:iCs/>
                <w:color w:val="000000"/>
                <w:sz w:val="16"/>
                <w:szCs w:val="16"/>
                <w:u w:val="none"/>
              </w:rPr>
            </w:pPr>
          </w:p>
        </w:tc>
      </w:tr>
      <w:tr w14:paraId="588D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794C">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F6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0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引进优质教育教学资源，提升教学质量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E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C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5EAF">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3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C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1474">
            <w:pPr>
              <w:jc w:val="center"/>
              <w:rPr>
                <w:rFonts w:hint="eastAsia" w:ascii="微软雅黑" w:hAnsi="微软雅黑" w:eastAsia="微软雅黑" w:cs="微软雅黑"/>
                <w:i/>
                <w:iCs/>
                <w:color w:val="000000"/>
                <w:sz w:val="16"/>
                <w:szCs w:val="16"/>
                <w:u w:val="none"/>
              </w:rPr>
            </w:pPr>
          </w:p>
        </w:tc>
      </w:tr>
      <w:tr w14:paraId="246E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99440">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F9A8">
            <w:pPr>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3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教学资源使用年限及收费时段</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2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A868">
            <w:pPr>
              <w:jc w:val="center"/>
              <w:rPr>
                <w:rFonts w:hint="eastAsia" w:ascii="微软雅黑" w:hAnsi="微软雅黑" w:eastAsia="微软雅黑" w:cs="微软雅黑"/>
                <w:i/>
                <w:iCs/>
                <w:color w:val="000000"/>
                <w:sz w:val="16"/>
                <w:szCs w:val="16"/>
                <w:u w:val="none"/>
              </w:rPr>
            </w:pPr>
          </w:p>
        </w:tc>
      </w:tr>
      <w:tr w14:paraId="4647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49D1">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1B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F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3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8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D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F913">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A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9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2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09CE">
            <w:pPr>
              <w:jc w:val="center"/>
              <w:rPr>
                <w:rFonts w:hint="eastAsia" w:ascii="微软雅黑" w:hAnsi="微软雅黑" w:eastAsia="微软雅黑" w:cs="微软雅黑"/>
                <w:i/>
                <w:iCs/>
                <w:color w:val="000000"/>
                <w:sz w:val="16"/>
                <w:szCs w:val="16"/>
                <w:u w:val="none"/>
              </w:rPr>
            </w:pPr>
          </w:p>
        </w:tc>
      </w:tr>
      <w:tr w14:paraId="2B5B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EE0F">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0A14">
            <w:pPr>
              <w:jc w:val="center"/>
              <w:rPr>
                <w:rFonts w:hint="eastAsia" w:ascii="宋体" w:hAnsi="宋体" w:eastAsia="宋体" w:cs="宋体"/>
                <w:i w:val="0"/>
                <w:iCs w:val="0"/>
                <w:color w:val="000000"/>
                <w:sz w:val="18"/>
                <w:szCs w:val="18"/>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A451">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1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社会家长满意度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5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FC1">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A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C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4090">
            <w:pPr>
              <w:jc w:val="center"/>
              <w:rPr>
                <w:rFonts w:hint="eastAsia" w:ascii="微软雅黑" w:hAnsi="微软雅黑" w:eastAsia="微软雅黑" w:cs="微软雅黑"/>
                <w:i/>
                <w:iCs/>
                <w:color w:val="000000"/>
                <w:sz w:val="16"/>
                <w:szCs w:val="16"/>
                <w:u w:val="none"/>
              </w:rPr>
            </w:pPr>
          </w:p>
        </w:tc>
      </w:tr>
      <w:tr w14:paraId="0E18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6DC2">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96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38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E0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初一初二各2.5万，初三3.5万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D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3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85000元</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D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A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954">
            <w:pPr>
              <w:jc w:val="center"/>
              <w:rPr>
                <w:rFonts w:hint="eastAsia" w:ascii="微软雅黑" w:hAnsi="微软雅黑" w:eastAsia="微软雅黑" w:cs="微软雅黑"/>
                <w:i/>
                <w:iCs/>
                <w:color w:val="000000"/>
                <w:sz w:val="16"/>
                <w:szCs w:val="16"/>
                <w:u w:val="none"/>
              </w:rPr>
            </w:pPr>
          </w:p>
        </w:tc>
      </w:tr>
      <w:tr w14:paraId="3A91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2D78">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FBBC6">
            <w:pPr>
              <w:jc w:val="center"/>
              <w:rPr>
                <w:rFonts w:hint="eastAsia" w:ascii="宋体" w:hAnsi="宋体" w:eastAsia="宋体" w:cs="宋体"/>
                <w:i w:val="0"/>
                <w:iCs w:val="0"/>
                <w:color w:val="000000"/>
                <w:sz w:val="18"/>
                <w:szCs w:val="18"/>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D8DB">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F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高中理科班4个，一年5万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8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0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200000元</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0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8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582F">
            <w:pPr>
              <w:jc w:val="center"/>
              <w:rPr>
                <w:rFonts w:hint="eastAsia" w:ascii="微软雅黑" w:hAnsi="微软雅黑" w:eastAsia="微软雅黑" w:cs="微软雅黑"/>
                <w:i/>
                <w:iCs/>
                <w:color w:val="000000"/>
                <w:sz w:val="16"/>
                <w:szCs w:val="16"/>
                <w:u w:val="none"/>
              </w:rPr>
            </w:pPr>
          </w:p>
        </w:tc>
      </w:tr>
      <w:tr w14:paraId="0873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D24A">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FBBF">
            <w:pPr>
              <w:jc w:val="center"/>
              <w:rPr>
                <w:rFonts w:hint="eastAsia" w:ascii="宋体" w:hAnsi="宋体" w:eastAsia="宋体" w:cs="宋体"/>
                <w:i w:val="0"/>
                <w:iCs w:val="0"/>
                <w:color w:val="000000"/>
                <w:sz w:val="18"/>
                <w:szCs w:val="18"/>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0578">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5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高中文科班有3个，一年6万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1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9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3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D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180000元</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7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A9AD">
            <w:pPr>
              <w:jc w:val="center"/>
              <w:rPr>
                <w:rFonts w:hint="eastAsia" w:ascii="微软雅黑" w:hAnsi="微软雅黑" w:eastAsia="微软雅黑" w:cs="微软雅黑"/>
                <w:i/>
                <w:iCs/>
                <w:color w:val="000000"/>
                <w:sz w:val="16"/>
                <w:szCs w:val="16"/>
                <w:u w:val="none"/>
              </w:rPr>
            </w:pPr>
          </w:p>
        </w:tc>
      </w:tr>
      <w:tr w14:paraId="4341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4B4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9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5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931B">
            <w:pPr>
              <w:rPr>
                <w:rFonts w:hint="eastAsia" w:ascii="宋体" w:hAnsi="宋体" w:eastAsia="宋体" w:cs="宋体"/>
                <w:i w:val="0"/>
                <w:iCs w:val="0"/>
                <w:color w:val="000000"/>
                <w:sz w:val="18"/>
                <w:szCs w:val="18"/>
                <w:u w:val="none"/>
              </w:rPr>
            </w:pPr>
          </w:p>
        </w:tc>
      </w:tr>
      <w:tr w14:paraId="3AD1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BA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5F246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D43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71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1BCE7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10E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B6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E7E9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B12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C54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项目负责人：陈耀俊</w:t>
            </w:r>
          </w:p>
        </w:tc>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900D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财务负责人：刘洪坤</w:t>
            </w:r>
          </w:p>
        </w:tc>
      </w:tr>
      <w:tr w14:paraId="34AD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tcBorders>
              <w:top w:val="nil"/>
              <w:left w:val="nil"/>
              <w:bottom w:val="nil"/>
              <w:right w:val="nil"/>
            </w:tcBorders>
            <w:shd w:val="clear" w:color="auto" w:fill="auto"/>
            <w:vAlign w:val="center"/>
          </w:tcPr>
          <w:p w14:paraId="38CB81F6">
            <w:pPr>
              <w:rPr>
                <w:rFonts w:hint="eastAsia" w:ascii="宋体" w:hAnsi="宋体" w:eastAsia="宋体" w:cs="宋体"/>
                <w:i w:val="0"/>
                <w:iCs w:val="0"/>
                <w:color w:val="000000"/>
                <w:sz w:val="18"/>
                <w:szCs w:val="18"/>
                <w:u w:val="none"/>
              </w:rPr>
            </w:pPr>
          </w:p>
        </w:tc>
        <w:tc>
          <w:tcPr>
            <w:tcW w:w="1881" w:type="dxa"/>
            <w:tcBorders>
              <w:top w:val="nil"/>
              <w:left w:val="nil"/>
              <w:bottom w:val="nil"/>
              <w:right w:val="nil"/>
            </w:tcBorders>
            <w:shd w:val="clear" w:color="auto" w:fill="auto"/>
            <w:vAlign w:val="center"/>
          </w:tcPr>
          <w:p w14:paraId="1CE0E1E6">
            <w:pPr>
              <w:rPr>
                <w:rFonts w:hint="eastAsia" w:ascii="宋体" w:hAnsi="宋体" w:eastAsia="宋体" w:cs="宋体"/>
                <w:i w:val="0"/>
                <w:iCs w:val="0"/>
                <w:color w:val="000000"/>
                <w:sz w:val="18"/>
                <w:szCs w:val="18"/>
                <w:u w:val="none"/>
              </w:rPr>
            </w:pPr>
          </w:p>
        </w:tc>
        <w:tc>
          <w:tcPr>
            <w:tcW w:w="1627" w:type="dxa"/>
            <w:tcBorders>
              <w:top w:val="nil"/>
              <w:left w:val="nil"/>
              <w:bottom w:val="nil"/>
              <w:right w:val="nil"/>
            </w:tcBorders>
            <w:shd w:val="clear" w:color="auto" w:fill="auto"/>
            <w:vAlign w:val="center"/>
          </w:tcPr>
          <w:p w14:paraId="3951A31E">
            <w:pPr>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vAlign w:val="center"/>
          </w:tcPr>
          <w:p w14:paraId="1086F591">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18465420">
            <w:pPr>
              <w:rPr>
                <w:rFonts w:hint="eastAsia" w:ascii="宋体" w:hAnsi="宋体" w:eastAsia="宋体" w:cs="宋体"/>
                <w:i w:val="0"/>
                <w:iCs w:val="0"/>
                <w:color w:val="000000"/>
                <w:sz w:val="18"/>
                <w:szCs w:val="18"/>
                <w:u w:val="none"/>
              </w:rPr>
            </w:pPr>
          </w:p>
        </w:tc>
        <w:tc>
          <w:tcPr>
            <w:tcW w:w="1537" w:type="dxa"/>
            <w:tcBorders>
              <w:top w:val="nil"/>
              <w:left w:val="nil"/>
              <w:bottom w:val="nil"/>
              <w:right w:val="nil"/>
            </w:tcBorders>
            <w:shd w:val="clear" w:color="auto" w:fill="auto"/>
            <w:vAlign w:val="center"/>
          </w:tcPr>
          <w:p w14:paraId="77ED6B0E">
            <w:pPr>
              <w:rPr>
                <w:rFonts w:hint="eastAsia" w:ascii="宋体" w:hAnsi="宋体" w:eastAsia="宋体" w:cs="宋体"/>
                <w:i w:val="0"/>
                <w:iCs w:val="0"/>
                <w:color w:val="000000"/>
                <w:sz w:val="18"/>
                <w:szCs w:val="18"/>
                <w:u w:val="none"/>
              </w:rPr>
            </w:pPr>
          </w:p>
        </w:tc>
        <w:tc>
          <w:tcPr>
            <w:tcW w:w="478" w:type="dxa"/>
            <w:tcBorders>
              <w:top w:val="nil"/>
              <w:left w:val="nil"/>
              <w:bottom w:val="nil"/>
              <w:right w:val="nil"/>
            </w:tcBorders>
            <w:shd w:val="clear" w:color="auto" w:fill="auto"/>
            <w:vAlign w:val="center"/>
          </w:tcPr>
          <w:p w14:paraId="56614DEE">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14:paraId="5B1DA0EA">
            <w:pPr>
              <w:rPr>
                <w:rFonts w:hint="eastAsia" w:ascii="宋体" w:hAnsi="宋体" w:eastAsia="宋体" w:cs="宋体"/>
                <w:i w:val="0"/>
                <w:iCs w:val="0"/>
                <w:color w:val="000000"/>
                <w:sz w:val="18"/>
                <w:szCs w:val="18"/>
                <w:u w:val="none"/>
              </w:rPr>
            </w:pPr>
          </w:p>
        </w:tc>
        <w:tc>
          <w:tcPr>
            <w:tcW w:w="463" w:type="dxa"/>
            <w:tcBorders>
              <w:top w:val="nil"/>
              <w:left w:val="nil"/>
              <w:bottom w:val="nil"/>
              <w:right w:val="nil"/>
            </w:tcBorders>
            <w:shd w:val="clear" w:color="auto" w:fill="auto"/>
            <w:vAlign w:val="center"/>
          </w:tcPr>
          <w:p w14:paraId="787263B8">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50FE9AF0">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1A7151DA">
            <w:pPr>
              <w:rPr>
                <w:rFonts w:hint="eastAsia" w:ascii="宋体" w:hAnsi="宋体" w:eastAsia="宋体" w:cs="宋体"/>
                <w:i w:val="0"/>
                <w:iCs w:val="0"/>
                <w:color w:val="000000"/>
                <w:sz w:val="18"/>
                <w:szCs w:val="18"/>
                <w:u w:val="none"/>
              </w:rPr>
            </w:pPr>
          </w:p>
        </w:tc>
      </w:tr>
      <w:tr w14:paraId="2431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D46FB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DD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DA9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134D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51172423T000009321041-高中阶段教育高质量发展奖励金</w:t>
            </w:r>
          </w:p>
        </w:tc>
      </w:tr>
      <w:tr w14:paraId="100A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2D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A5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大竹县文星中学部门</w:t>
            </w:r>
          </w:p>
        </w:tc>
        <w:tc>
          <w:tcPr>
            <w:tcW w:w="1000" w:type="dxa"/>
            <w:tcBorders>
              <w:top w:val="nil"/>
              <w:left w:val="nil"/>
              <w:bottom w:val="nil"/>
              <w:right w:val="nil"/>
            </w:tcBorders>
            <w:shd w:val="clear" w:color="auto" w:fill="auto"/>
            <w:vAlign w:val="center"/>
          </w:tcPr>
          <w:p w14:paraId="4995F1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DA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大竹县文星中学</w:t>
            </w:r>
          </w:p>
        </w:tc>
      </w:tr>
      <w:tr w14:paraId="4636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CAA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8B1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1C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93E8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52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9085">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8EB5">
            <w:pPr>
              <w:rPr>
                <w:rFonts w:hint="eastAsia" w:ascii="宋体" w:hAnsi="宋体" w:eastAsia="宋体" w:cs="宋体"/>
                <w:i w:val="0"/>
                <w:iCs w:val="0"/>
                <w:color w:val="000000"/>
                <w:sz w:val="18"/>
                <w:szCs w:val="18"/>
                <w:u w:val="none"/>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A5D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高中阶段教育高质量发展奖励资金，主要用于教育教学水平奖励补助，教育教学业务培训，提高我校办学水平。</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F1A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高中阶段教育高质量发展奖励资金，主要用于教育教学水平奖励补助，教育教学业务培训，提高我校办学水平。</w:t>
            </w:r>
          </w:p>
        </w:tc>
      </w:tr>
      <w:tr w14:paraId="109E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4D75">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B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6B6D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高中阶段教育高质量发展奖励资金，主要用于教育教学水平奖励补助，教育教学业务培训，提高我校办学水平。</w:t>
            </w:r>
          </w:p>
        </w:tc>
      </w:tr>
      <w:tr w14:paraId="779D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BC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6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5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E0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A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8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2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FC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E3BD">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0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4A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0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5DD3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项目资金指标追加</w:t>
            </w:r>
          </w:p>
        </w:tc>
      </w:tr>
      <w:tr w14:paraId="6D37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F78D">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A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2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4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EE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2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2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8B68">
            <w:pPr>
              <w:jc w:val="center"/>
              <w:rPr>
                <w:rFonts w:hint="eastAsia" w:ascii="黑体" w:hAnsi="黑体" w:eastAsia="黑体" w:cs="黑体"/>
                <w:i w:val="0"/>
                <w:iCs w:val="0"/>
                <w:color w:val="000000"/>
                <w:sz w:val="18"/>
                <w:szCs w:val="18"/>
                <w:u w:val="none"/>
              </w:rPr>
            </w:pPr>
          </w:p>
        </w:tc>
      </w:tr>
      <w:tr w14:paraId="01F3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7C46">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C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7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6B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A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A549">
            <w:pPr>
              <w:jc w:val="center"/>
              <w:rPr>
                <w:rFonts w:hint="eastAsia" w:ascii="黑体" w:hAnsi="黑体" w:eastAsia="黑体" w:cs="黑体"/>
                <w:i w:val="0"/>
                <w:iCs w:val="0"/>
                <w:color w:val="000000"/>
                <w:sz w:val="18"/>
                <w:szCs w:val="18"/>
                <w:u w:val="none"/>
              </w:rPr>
            </w:pPr>
          </w:p>
        </w:tc>
      </w:tr>
      <w:tr w14:paraId="4D8A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F2E8">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C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7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91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B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C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9B5F">
            <w:pPr>
              <w:jc w:val="center"/>
              <w:rPr>
                <w:rFonts w:hint="eastAsia" w:ascii="黑体" w:hAnsi="黑体" w:eastAsia="黑体" w:cs="黑体"/>
                <w:i w:val="0"/>
                <w:iCs w:val="0"/>
                <w:color w:val="000000"/>
                <w:sz w:val="18"/>
                <w:szCs w:val="18"/>
                <w:u w:val="none"/>
              </w:rPr>
            </w:pPr>
          </w:p>
        </w:tc>
      </w:tr>
      <w:tr w14:paraId="5B34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BC05">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0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9D63">
            <w:pPr>
              <w:jc w:val="center"/>
              <w:rPr>
                <w:rFonts w:hint="eastAsia" w:ascii="微软雅黑" w:hAnsi="微软雅黑" w:eastAsia="微软雅黑" w:cs="微软雅黑"/>
                <w:i/>
                <w:iCs/>
                <w:color w:val="000000"/>
                <w:sz w:val="16"/>
                <w:szCs w:val="16"/>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0DE">
            <w:pPr>
              <w:jc w:val="center"/>
              <w:rPr>
                <w:rFonts w:hint="eastAsia" w:ascii="微软雅黑" w:hAnsi="微软雅黑" w:eastAsia="微软雅黑" w:cs="微软雅黑"/>
                <w:i/>
                <w:iCs/>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F3225">
            <w:pPr>
              <w:jc w:val="center"/>
              <w:rPr>
                <w:rFonts w:hint="eastAsia" w:ascii="微软雅黑" w:hAnsi="微软雅黑" w:eastAsia="微软雅黑" w:cs="微软雅黑"/>
                <w:i/>
                <w:iCs/>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7A1">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5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D4B0">
            <w:pPr>
              <w:jc w:val="center"/>
              <w:rPr>
                <w:rFonts w:hint="eastAsia" w:ascii="黑体" w:hAnsi="黑体" w:eastAsia="黑体" w:cs="黑体"/>
                <w:i w:val="0"/>
                <w:iCs w:val="0"/>
                <w:color w:val="000000"/>
                <w:sz w:val="18"/>
                <w:szCs w:val="18"/>
                <w:u w:val="none"/>
              </w:rPr>
            </w:pPr>
          </w:p>
        </w:tc>
      </w:tr>
      <w:tr w14:paraId="3F3A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54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8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5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7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A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2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0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C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65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6CF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1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F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7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提高教育教学质量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8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4D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B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9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3252">
            <w:pPr>
              <w:jc w:val="center"/>
              <w:rPr>
                <w:rFonts w:hint="eastAsia" w:ascii="宋体" w:hAnsi="宋体" w:eastAsia="宋体" w:cs="宋体"/>
                <w:i w:val="0"/>
                <w:iCs w:val="0"/>
                <w:color w:val="000000"/>
                <w:sz w:val="18"/>
                <w:szCs w:val="18"/>
                <w:u w:val="none"/>
              </w:rPr>
            </w:pPr>
          </w:p>
        </w:tc>
      </w:tr>
      <w:tr w14:paraId="7CDC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90AA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A4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5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9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完成目标时限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D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E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6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5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BA7">
            <w:pPr>
              <w:jc w:val="center"/>
              <w:rPr>
                <w:rFonts w:hint="eastAsia" w:ascii="宋体" w:hAnsi="宋体" w:eastAsia="宋体" w:cs="宋体"/>
                <w:i w:val="0"/>
                <w:iCs w:val="0"/>
                <w:color w:val="000000"/>
                <w:sz w:val="18"/>
                <w:szCs w:val="18"/>
                <w:u w:val="none"/>
              </w:rPr>
            </w:pPr>
          </w:p>
        </w:tc>
      </w:tr>
      <w:tr w14:paraId="61AD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004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DE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7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4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教育教学业务培训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E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5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5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3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9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9371">
            <w:pPr>
              <w:jc w:val="center"/>
              <w:rPr>
                <w:rFonts w:hint="eastAsia" w:ascii="宋体" w:hAnsi="宋体" w:eastAsia="宋体" w:cs="宋体"/>
                <w:i w:val="0"/>
                <w:iCs w:val="0"/>
                <w:color w:val="000000"/>
                <w:sz w:val="18"/>
                <w:szCs w:val="18"/>
                <w:u w:val="none"/>
              </w:rPr>
            </w:pPr>
          </w:p>
        </w:tc>
      </w:tr>
      <w:tr w14:paraId="56AD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5F32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99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9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8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开展教育教学质量评估、评比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6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B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C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4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3C2">
            <w:pPr>
              <w:jc w:val="center"/>
              <w:rPr>
                <w:rFonts w:hint="eastAsia" w:ascii="宋体" w:hAnsi="宋体" w:eastAsia="宋体" w:cs="宋体"/>
                <w:i w:val="0"/>
                <w:iCs w:val="0"/>
                <w:color w:val="000000"/>
                <w:sz w:val="18"/>
                <w:szCs w:val="18"/>
                <w:u w:val="none"/>
              </w:rPr>
            </w:pPr>
          </w:p>
        </w:tc>
      </w:tr>
      <w:tr w14:paraId="306F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3A27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2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1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F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提高办学水平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8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C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832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1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9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8239">
            <w:pPr>
              <w:jc w:val="center"/>
              <w:rPr>
                <w:rFonts w:hint="eastAsia" w:ascii="宋体" w:hAnsi="宋体" w:eastAsia="宋体" w:cs="宋体"/>
                <w:i w:val="0"/>
                <w:iCs w:val="0"/>
                <w:color w:val="000000"/>
                <w:sz w:val="18"/>
                <w:szCs w:val="18"/>
                <w:u w:val="none"/>
              </w:rPr>
            </w:pPr>
          </w:p>
        </w:tc>
      </w:tr>
      <w:tr w14:paraId="0057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DED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9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4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7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E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8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2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6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7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32CF">
            <w:pPr>
              <w:jc w:val="center"/>
              <w:rPr>
                <w:rFonts w:hint="eastAsia" w:ascii="宋体" w:hAnsi="宋体" w:eastAsia="宋体" w:cs="宋体"/>
                <w:i w:val="0"/>
                <w:iCs w:val="0"/>
                <w:color w:val="000000"/>
                <w:sz w:val="18"/>
                <w:szCs w:val="18"/>
                <w:u w:val="none"/>
              </w:rPr>
            </w:pPr>
          </w:p>
        </w:tc>
      </w:tr>
      <w:tr w14:paraId="0262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5BE1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3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9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根据竹府定字【2023】92号文件，预算奖励资金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1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6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7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9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2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A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E9D0">
            <w:pPr>
              <w:jc w:val="center"/>
              <w:rPr>
                <w:rFonts w:hint="eastAsia" w:ascii="微软雅黑" w:hAnsi="微软雅黑" w:eastAsia="微软雅黑" w:cs="微软雅黑"/>
                <w:i/>
                <w:iCs/>
                <w:color w:val="000000"/>
                <w:sz w:val="16"/>
                <w:szCs w:val="16"/>
                <w:u w:val="none"/>
              </w:rPr>
            </w:pPr>
          </w:p>
        </w:tc>
      </w:tr>
      <w:tr w14:paraId="57BB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7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A13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D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FBAC">
            <w:pPr>
              <w:rPr>
                <w:rFonts w:hint="eastAsia" w:ascii="宋体" w:hAnsi="宋体" w:eastAsia="宋体" w:cs="宋体"/>
                <w:i w:val="0"/>
                <w:iCs w:val="0"/>
                <w:color w:val="000000"/>
                <w:sz w:val="18"/>
                <w:szCs w:val="18"/>
                <w:u w:val="none"/>
              </w:rPr>
            </w:pPr>
          </w:p>
        </w:tc>
      </w:tr>
      <w:tr w14:paraId="228A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D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C07E7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4B3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B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90257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2DA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382C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97E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EE96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项目负责人：陈耀俊</w:t>
            </w:r>
          </w:p>
        </w:tc>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E272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财务负责人：刘洪坤</w:t>
            </w:r>
          </w:p>
        </w:tc>
      </w:tr>
    </w:tbl>
    <w:p w14:paraId="47D55E90">
      <w:pPr>
        <w:spacing w:line="600" w:lineRule="exact"/>
        <w:jc w:val="center"/>
        <w:outlineLvl w:val="0"/>
        <w:rPr>
          <w:rFonts w:hint="eastAsia" w:ascii="黑体" w:hAnsi="黑体" w:eastAsia="黑体"/>
          <w:sz w:val="44"/>
          <w:szCs w:val="44"/>
        </w:rPr>
      </w:pPr>
    </w:p>
    <w:p w14:paraId="5701D844">
      <w:pPr>
        <w:spacing w:line="600" w:lineRule="exact"/>
        <w:jc w:val="center"/>
        <w:outlineLvl w:val="0"/>
        <w:rPr>
          <w:rFonts w:hint="eastAsia" w:ascii="黑体" w:hAnsi="黑体" w:eastAsia="黑体"/>
          <w:sz w:val="44"/>
          <w:szCs w:val="44"/>
        </w:rPr>
      </w:pPr>
    </w:p>
    <w:p w14:paraId="155DD51B">
      <w:pPr>
        <w:spacing w:line="600" w:lineRule="exact"/>
        <w:jc w:val="center"/>
        <w:outlineLvl w:val="0"/>
        <w:rPr>
          <w:rFonts w:hint="eastAsia" w:ascii="黑体" w:hAnsi="黑体" w:eastAsia="黑体"/>
          <w:sz w:val="44"/>
          <w:szCs w:val="44"/>
        </w:rPr>
      </w:pPr>
    </w:p>
    <w:p w14:paraId="4A491162">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w:t>
      </w:r>
      <w:r>
        <w:rPr>
          <w:rStyle w:val="27"/>
          <w:rFonts w:hint="eastAsia" w:ascii="黑体" w:hAnsi="黑体" w:eastAsia="黑体"/>
          <w:b w:val="0"/>
          <w:lang w:val="en-US" w:eastAsia="zh-CN"/>
        </w:rPr>
        <w:t xml:space="preserve"> </w:t>
      </w:r>
      <w:r>
        <w:rPr>
          <w:rStyle w:val="27"/>
          <w:rFonts w:hint="eastAsia" w:ascii="黑体" w:hAnsi="黑体" w:eastAsia="黑体"/>
          <w:b w:val="0"/>
        </w:rPr>
        <w:t>附表</w:t>
      </w:r>
      <w:bookmarkEnd w:id="71"/>
      <w:bookmarkEnd w:id="72"/>
      <w:bookmarkEnd w:id="73"/>
      <w:bookmarkStart w:id="74" w:name="_Toc15396619"/>
    </w:p>
    <w:p w14:paraId="4239B9B6">
      <w:pPr>
        <w:pStyle w:val="4"/>
        <w:rPr>
          <w:rFonts w:ascii="仿宋" w:hAnsi="仿宋" w:eastAsia="仿宋"/>
        </w:rPr>
      </w:pPr>
      <w:bookmarkStart w:id="75" w:name="_Toc9002"/>
      <w:r>
        <w:rPr>
          <w:rFonts w:hint="eastAsia" w:ascii="仿宋" w:hAnsi="仿宋" w:eastAsia="仿宋"/>
          <w:b w:val="0"/>
        </w:rPr>
        <w:t>一、收</w:t>
      </w:r>
      <w:r>
        <w:rPr>
          <w:rStyle w:val="28"/>
          <w:rFonts w:hint="eastAsia" w:ascii="仿宋" w:hAnsi="仿宋" w:eastAsia="仿宋"/>
          <w:b w:val="0"/>
          <w:bCs w:val="0"/>
        </w:rPr>
        <w:t>入支出决算总表</w:t>
      </w:r>
      <w:bookmarkEnd w:id="74"/>
      <w:bookmarkEnd w:id="75"/>
    </w:p>
    <w:p w14:paraId="1C4FA374">
      <w:pPr>
        <w:pStyle w:val="4"/>
        <w:rPr>
          <w:rFonts w:ascii="仿宋" w:hAnsi="仿宋" w:eastAsia="仿宋"/>
        </w:rPr>
      </w:pPr>
      <w:bookmarkStart w:id="76" w:name="_Toc15396620"/>
      <w:bookmarkStart w:id="77" w:name="_Toc21070"/>
      <w:r>
        <w:rPr>
          <w:rFonts w:hint="eastAsia" w:ascii="仿宋" w:hAnsi="仿宋" w:eastAsia="仿宋"/>
          <w:b w:val="0"/>
        </w:rPr>
        <w:t>二、收</w:t>
      </w:r>
      <w:r>
        <w:rPr>
          <w:rStyle w:val="28"/>
          <w:rFonts w:hint="eastAsia" w:ascii="仿宋" w:hAnsi="仿宋" w:eastAsia="仿宋"/>
          <w:b w:val="0"/>
          <w:bCs w:val="0"/>
        </w:rPr>
        <w:t>入决算表</w:t>
      </w:r>
      <w:bookmarkEnd w:id="76"/>
      <w:bookmarkEnd w:id="77"/>
    </w:p>
    <w:p w14:paraId="7B8D69AC">
      <w:pPr>
        <w:pStyle w:val="4"/>
        <w:rPr>
          <w:rFonts w:ascii="仿宋" w:hAnsi="仿宋" w:eastAsia="仿宋"/>
        </w:rPr>
      </w:pPr>
      <w:bookmarkStart w:id="78" w:name="_Toc15396621"/>
      <w:bookmarkStart w:id="79" w:name="_Toc5304"/>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8"/>
      <w:bookmarkEnd w:id="79"/>
    </w:p>
    <w:p w14:paraId="62B8437E">
      <w:pPr>
        <w:pStyle w:val="4"/>
        <w:rPr>
          <w:rFonts w:ascii="仿宋" w:hAnsi="仿宋" w:eastAsia="仿宋"/>
          <w:b w:val="0"/>
        </w:rPr>
      </w:pPr>
      <w:bookmarkStart w:id="80" w:name="_Toc15396622"/>
      <w:bookmarkStart w:id="81" w:name="_Toc18475"/>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0"/>
      <w:bookmarkEnd w:id="81"/>
    </w:p>
    <w:p w14:paraId="20537A58">
      <w:pPr>
        <w:pStyle w:val="4"/>
        <w:rPr>
          <w:rStyle w:val="28"/>
          <w:rFonts w:ascii="仿宋" w:hAnsi="仿宋" w:eastAsia="仿宋"/>
          <w:b w:val="0"/>
          <w:bCs w:val="0"/>
        </w:rPr>
      </w:pPr>
      <w:bookmarkStart w:id="82" w:name="_Toc15396623"/>
      <w:bookmarkStart w:id="83" w:name="_Toc16175"/>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2"/>
      <w:bookmarkEnd w:id="83"/>
      <w:bookmarkStart w:id="84" w:name="_Toc15396624"/>
    </w:p>
    <w:p w14:paraId="6B34F1D8">
      <w:pPr>
        <w:pStyle w:val="4"/>
        <w:rPr>
          <w:rFonts w:ascii="仿宋" w:hAnsi="仿宋" w:eastAsia="仿宋"/>
        </w:rPr>
      </w:pPr>
      <w:bookmarkStart w:id="85" w:name="_Toc25025"/>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4"/>
      <w:bookmarkEnd w:id="85"/>
    </w:p>
    <w:p w14:paraId="3F2B6D7E">
      <w:pPr>
        <w:pStyle w:val="4"/>
        <w:rPr>
          <w:rFonts w:ascii="仿宋" w:hAnsi="仿宋" w:eastAsia="仿宋"/>
        </w:rPr>
      </w:pPr>
      <w:bookmarkStart w:id="86" w:name="_Toc28702"/>
      <w:bookmarkStart w:id="87"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6"/>
      <w:bookmarkEnd w:id="87"/>
    </w:p>
    <w:p w14:paraId="19EBF51D">
      <w:pPr>
        <w:pStyle w:val="4"/>
        <w:rPr>
          <w:rFonts w:ascii="仿宋" w:hAnsi="仿宋" w:eastAsia="仿宋"/>
        </w:rPr>
      </w:pPr>
      <w:bookmarkStart w:id="88" w:name="_Toc31737"/>
      <w:bookmarkStart w:id="8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8"/>
      <w:bookmarkEnd w:id="89"/>
    </w:p>
    <w:p w14:paraId="1A9AFBBE">
      <w:pPr>
        <w:pStyle w:val="4"/>
        <w:rPr>
          <w:rFonts w:ascii="仿宋" w:hAnsi="仿宋" w:eastAsia="仿宋"/>
        </w:rPr>
      </w:pPr>
      <w:bookmarkStart w:id="90" w:name="_Toc10240"/>
      <w:bookmarkStart w:id="9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0"/>
      <w:bookmarkEnd w:id="91"/>
    </w:p>
    <w:p w14:paraId="2B6676B2">
      <w:pPr>
        <w:pStyle w:val="4"/>
        <w:rPr>
          <w:rFonts w:ascii="仿宋" w:hAnsi="仿宋" w:eastAsia="仿宋"/>
        </w:rPr>
      </w:pPr>
      <w:bookmarkStart w:id="92" w:name="_Toc15396628"/>
      <w:bookmarkStart w:id="93" w:name="_Toc6097"/>
      <w:r>
        <w:rPr>
          <w:rStyle w:val="28"/>
          <w:rFonts w:hint="eastAsia" w:ascii="仿宋" w:hAnsi="仿宋" w:eastAsia="仿宋"/>
          <w:b w:val="0"/>
          <w:bCs w:val="0"/>
        </w:rPr>
        <w:t>十、</w:t>
      </w:r>
      <w:bookmarkEnd w:id="92"/>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3"/>
    </w:p>
    <w:p w14:paraId="7DCBD33B">
      <w:pPr>
        <w:pStyle w:val="4"/>
        <w:rPr>
          <w:rFonts w:ascii="仿宋" w:hAnsi="仿宋" w:eastAsia="仿宋"/>
        </w:rPr>
      </w:pPr>
      <w:bookmarkStart w:id="94" w:name="_Toc15396629"/>
      <w:bookmarkStart w:id="95" w:name="_Toc1183"/>
      <w:r>
        <w:rPr>
          <w:rStyle w:val="28"/>
          <w:rFonts w:hint="eastAsia" w:ascii="仿宋" w:hAnsi="仿宋" w:eastAsia="仿宋"/>
          <w:b w:val="0"/>
          <w:bCs w:val="0"/>
        </w:rPr>
        <w:t>十一、</w:t>
      </w:r>
      <w:bookmarkEnd w:id="94"/>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5"/>
    </w:p>
    <w:p w14:paraId="6E34ED6B">
      <w:pPr>
        <w:pStyle w:val="4"/>
        <w:rPr>
          <w:rFonts w:ascii="仿宋" w:hAnsi="仿宋" w:eastAsia="仿宋"/>
        </w:rPr>
      </w:pPr>
      <w:bookmarkStart w:id="96" w:name="_Toc15396630"/>
      <w:bookmarkStart w:id="97" w:name="_Toc419"/>
      <w:r>
        <w:rPr>
          <w:rStyle w:val="28"/>
          <w:rFonts w:hint="eastAsia" w:ascii="仿宋" w:hAnsi="仿宋" w:eastAsia="仿宋"/>
          <w:b w:val="0"/>
          <w:bCs w:val="0"/>
        </w:rPr>
        <w:t>十二、</w:t>
      </w:r>
      <w:bookmarkEnd w:id="96"/>
      <w:r>
        <w:rPr>
          <w:rStyle w:val="28"/>
          <w:rFonts w:hint="eastAsia" w:ascii="仿宋" w:hAnsi="仿宋" w:eastAsia="仿宋"/>
          <w:b w:val="0"/>
          <w:bCs w:val="0"/>
        </w:rPr>
        <w:t>国有资本经营预算财政拨款支出决算表</w:t>
      </w:r>
      <w:bookmarkEnd w:id="97"/>
    </w:p>
    <w:p w14:paraId="61AAF439">
      <w:pPr>
        <w:pStyle w:val="4"/>
        <w:rPr>
          <w:rFonts w:eastAsia="仿宋"/>
        </w:rPr>
      </w:pPr>
      <w:bookmarkStart w:id="98" w:name="_Toc15396631"/>
      <w:bookmarkStart w:id="99" w:name="_Toc6075"/>
      <w:r>
        <w:rPr>
          <w:rStyle w:val="28"/>
          <w:rFonts w:hint="eastAsia" w:ascii="仿宋" w:hAnsi="仿宋" w:eastAsia="仿宋"/>
          <w:b w:val="0"/>
          <w:bCs w:val="0"/>
        </w:rPr>
        <w:t>十三、</w:t>
      </w:r>
      <w:bookmarkEnd w:id="98"/>
      <w:r>
        <w:rPr>
          <w:rStyle w:val="28"/>
          <w:rFonts w:hint="eastAsia" w:ascii="仿宋" w:hAnsi="仿宋" w:eastAsia="仿宋"/>
          <w:b w:val="0"/>
          <w:bCs w:val="0"/>
        </w:rPr>
        <w:t>财政拨款“三公”经费支出决算表</w:t>
      </w:r>
      <w:bookmarkEnd w:id="99"/>
    </w:p>
    <w:sectPr>
      <w:headerReference r:id="rId6" w:type="default"/>
      <w:footerReference r:id="rId7" w:type="default"/>
      <w:pgSz w:w="16838" w:h="11906" w:orient="landscape"/>
      <w:pgMar w:top="1800" w:right="1440" w:bottom="1800" w:left="144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2827">
    <w:pPr>
      <w:pStyle w:val="10"/>
      <w:jc w:val="center"/>
    </w:pPr>
  </w:p>
  <w:p w14:paraId="00E7FD8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DAE5">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F6319">
                          <w:pPr>
                            <w:pStyle w:val="10"/>
                            <w:rPr>
                              <w:rFonts w:hint="eastAsia"/>
                              <w:lang w:val="en-US" w:eastAsia="zh-C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0F6319">
                    <w:pPr>
                      <w:pStyle w:val="10"/>
                      <w:rPr>
                        <w:rFonts w:hint="eastAsia"/>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E739">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9517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0F9517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558601F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FAE1">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4522470</wp:posOffset>
              </wp:positionH>
              <wp:positionV relativeFrom="paragraph">
                <wp:posOffset>66675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A2C4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6.1pt;margin-top:5.25pt;height:144pt;width:144pt;mso-position-horizontal-relative:margin;mso-wrap-style:none;z-index:251662336;mso-width-relative:page;mso-height-relative:page;" filled="f" stroked="f" coordsize="21600,21600" o:gfxdata="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g+ia1wAAAAsBAAAPAAAAAAAAAAEAIAAAACIAAABkcnMvZG93bnJldi54bWxQ&#10;SwECFAAUAAAACACHTuJAbP7xkTECAABjBAAADgAAAAAAAAABACAAAAAmAQAAZHJzL2Uyb0RvYy54&#10;bWxQSwUGAAAAAAYABgBZAQAAyQUAAAAA&#10;">
              <v:fill on="f" focussize="0,0"/>
              <v:stroke on="f" weight="0.5pt"/>
              <v:imagedata o:title=""/>
              <o:lock v:ext="edit" aspectratio="f"/>
              <v:textbox inset="0mm,0mm,0mm,0mm" style="mso-fit-shape-to-text:t;">
                <w:txbxContent>
                  <w:p w14:paraId="1ABA2C4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sdt>
      <w:sdtPr>
        <w:id w:val="-1994781956"/>
      </w:sdtPr>
      <w:sdtEndPr>
        <w:rPr>
          <w:rFonts w:hint="default"/>
          <w:lang w:val="en-US"/>
        </w:rPr>
      </w:sdtEndPr>
      <w:sdtContent/>
    </w:sdt>
  </w:p>
  <w:p w14:paraId="4B44ACF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3D9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7E96F0E"/>
    <w:multiLevelType w:val="singleLevel"/>
    <w:tmpl w:val="27E96F0E"/>
    <w:lvl w:ilvl="0" w:tentative="0">
      <w:start w:val="1"/>
      <w:numFmt w:val="decimal"/>
      <w:lvlText w:val="%1."/>
      <w:lvlJc w:val="left"/>
      <w:pPr>
        <w:tabs>
          <w:tab w:val="left" w:pos="312"/>
        </w:tabs>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2170D93"/>
    <w:rsid w:val="03DC2831"/>
    <w:rsid w:val="06A05249"/>
    <w:rsid w:val="081B5E94"/>
    <w:rsid w:val="0A2032A3"/>
    <w:rsid w:val="0B8A37D8"/>
    <w:rsid w:val="0F5FFB2F"/>
    <w:rsid w:val="0FFFCF60"/>
    <w:rsid w:val="10C055FF"/>
    <w:rsid w:val="11504315"/>
    <w:rsid w:val="118107EC"/>
    <w:rsid w:val="11D84AD2"/>
    <w:rsid w:val="11DD6519"/>
    <w:rsid w:val="16BB723D"/>
    <w:rsid w:val="17E42975"/>
    <w:rsid w:val="18015F3F"/>
    <w:rsid w:val="1807760D"/>
    <w:rsid w:val="1BE8440E"/>
    <w:rsid w:val="1D155CEE"/>
    <w:rsid w:val="1E8839E2"/>
    <w:rsid w:val="1F712A3D"/>
    <w:rsid w:val="1FDBBF84"/>
    <w:rsid w:val="20F57F95"/>
    <w:rsid w:val="240371BF"/>
    <w:rsid w:val="25711CC6"/>
    <w:rsid w:val="25C741E6"/>
    <w:rsid w:val="276F80C0"/>
    <w:rsid w:val="27842671"/>
    <w:rsid w:val="29FD04D3"/>
    <w:rsid w:val="2ABE7A3E"/>
    <w:rsid w:val="2AFF09B6"/>
    <w:rsid w:val="2B2E7FDA"/>
    <w:rsid w:val="2CA234A8"/>
    <w:rsid w:val="2CDD55F7"/>
    <w:rsid w:val="2E7745D8"/>
    <w:rsid w:val="2EFA178C"/>
    <w:rsid w:val="2EFDF86C"/>
    <w:rsid w:val="2F9D17E1"/>
    <w:rsid w:val="30B46D73"/>
    <w:rsid w:val="319F7F4E"/>
    <w:rsid w:val="356A28F1"/>
    <w:rsid w:val="357C035A"/>
    <w:rsid w:val="368E000D"/>
    <w:rsid w:val="383D272C"/>
    <w:rsid w:val="39AE70AB"/>
    <w:rsid w:val="39CC758F"/>
    <w:rsid w:val="3A4DCE41"/>
    <w:rsid w:val="3B401E0F"/>
    <w:rsid w:val="3BCB56FA"/>
    <w:rsid w:val="3BFA0A04"/>
    <w:rsid w:val="3C0C0783"/>
    <w:rsid w:val="3EE7C2F4"/>
    <w:rsid w:val="3F371B56"/>
    <w:rsid w:val="3F792ED8"/>
    <w:rsid w:val="3F9F3A96"/>
    <w:rsid w:val="3FECA4B2"/>
    <w:rsid w:val="3FF58C48"/>
    <w:rsid w:val="42231F06"/>
    <w:rsid w:val="42FF6694"/>
    <w:rsid w:val="435A4F9A"/>
    <w:rsid w:val="43FD576E"/>
    <w:rsid w:val="48BF60AB"/>
    <w:rsid w:val="493C27E9"/>
    <w:rsid w:val="496F39ED"/>
    <w:rsid w:val="49887708"/>
    <w:rsid w:val="49FF41D3"/>
    <w:rsid w:val="4BE068DB"/>
    <w:rsid w:val="4BF6002B"/>
    <w:rsid w:val="4BFFC6BE"/>
    <w:rsid w:val="4CE932A2"/>
    <w:rsid w:val="4ECE2238"/>
    <w:rsid w:val="51DB4B86"/>
    <w:rsid w:val="51F64DB0"/>
    <w:rsid w:val="528B3E65"/>
    <w:rsid w:val="55333C3E"/>
    <w:rsid w:val="56A167DD"/>
    <w:rsid w:val="5EAA7403"/>
    <w:rsid w:val="5EE85B7D"/>
    <w:rsid w:val="5F67802D"/>
    <w:rsid w:val="5F7DC4F2"/>
    <w:rsid w:val="5FB36814"/>
    <w:rsid w:val="5FBB8E56"/>
    <w:rsid w:val="5FFB5535"/>
    <w:rsid w:val="62191557"/>
    <w:rsid w:val="64CA39A1"/>
    <w:rsid w:val="65A54A64"/>
    <w:rsid w:val="69630ADE"/>
    <w:rsid w:val="69BD5F13"/>
    <w:rsid w:val="69FB0B4B"/>
    <w:rsid w:val="6B65091C"/>
    <w:rsid w:val="6BFFE1FB"/>
    <w:rsid w:val="6C4A05C8"/>
    <w:rsid w:val="6D3B1A89"/>
    <w:rsid w:val="6DB7D8A3"/>
    <w:rsid w:val="6E0B59B0"/>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15"/>
    <w:basedOn w:val="16"/>
    <w:qFormat/>
    <w:uiPriority w:val="0"/>
    <w:rPr>
      <w:rFonts w:hint="default" w:ascii="Calibri" w:hAnsi="Calibri"/>
      <w:b/>
      <w:bCs/>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312;&#32534;&#20154;&#21592;&#21517;&#20876;2024&#24180;10&#26376;21&#2608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312;&#32534;&#20154;&#21592;&#21517;&#20876;2024&#24180;10&#26376;21&#26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[在编人员名册2024年10月21日.xls]Sheet7!$B$1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3689.36,</a:t>
                    </a:r>
                    <a:r>
                      <a:t>96%</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153.65,</a:t>
                    </a:r>
                    <a:r>
                      <a:t>4%</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[在编人员名册2024年10月21日.xls]Sheet7!$A$2:$A$3</c:f>
              <c:strCache>
                <c:ptCount val="2"/>
                <c:pt idx="0">
                  <c:v>财政拨款收入（万元）</c:v>
                </c:pt>
                <c:pt idx="1">
                  <c:v>事业收入（万元）</c:v>
                </c:pt>
              </c:strCache>
            </c:strRef>
          </c:cat>
          <c:val>
            <c:numRef>
              <c:f>[在编人员名册2024年10月21日.xls]Sheet7!$B$2:$B$3</c:f>
              <c:numCache>
                <c:formatCode>General</c:formatCode>
                <c:ptCount val="2"/>
                <c:pt idx="0">
                  <c:v>3689.36</c:v>
                </c:pt>
                <c:pt idx="1">
                  <c:v>153.65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fc77ad-bf03-4bca-a482-69b146aa226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[2020年决算公开饼状图参考.xlsx]Sheet1!$A$46</c:f>
              <c:strCache>
                <c:ptCount val="1"/>
                <c:pt idx="0">
                  <c:v>本年支出（万元）</c:v>
                </c:pt>
              </c:strCache>
            </c:strRef>
          </c:tx>
          <c:spPr>
            <a:ln w="3175">
              <a:solidFill>
                <a:schemeClr val="lt1"/>
              </a:solidFill>
            </a:ln>
          </c:spPr>
          <c:explosion val="0"/>
          <c:dPt>
            <c:idx val="0"/>
            <c:bubble3D val="0"/>
            <c:spPr>
              <a:solidFill>
                <a:schemeClr val="accent1"/>
              </a:solidFill>
              <a:ln w="3175">
                <a:solidFill>
                  <a:schemeClr val="lt1"/>
                </a:solidFill>
              </a:ln>
              <a:effectLst/>
            </c:spPr>
          </c:dPt>
          <c:dPt>
            <c:idx val="1"/>
            <c:bubble3D val="0"/>
            <c:spPr>
              <a:solidFill>
                <a:schemeClr val="accent2"/>
              </a:solidFill>
              <a:ln w="3175">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3593.11</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152.45</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[2020年决算公开饼状图参考.xlsx]Sheet1!$B$45:$C$45</c:f>
              <c:strCache>
                <c:ptCount val="2"/>
                <c:pt idx="0">
                  <c:v>基本支出</c:v>
                </c:pt>
                <c:pt idx="1">
                  <c:v>项目支出</c:v>
                </c:pt>
              </c:strCache>
            </c:strRef>
          </c:cat>
          <c:val>
            <c:numRef>
              <c:f>[2020年决算公开饼状图参考.xlsx]Sheet1!$B$46:$C$46</c:f>
              <c:numCache>
                <c:formatCode>General</c:formatCode>
                <c:ptCount val="2"/>
                <c:pt idx="0">
                  <c:v>708.67</c:v>
                </c:pt>
                <c:pt idx="1">
                  <c:v>15.36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628d137e-7bdc-4d10-bd22-55fd262c4f9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[2020年决算公开饼状图参考.xlsx]Sheet1!$A$68</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3606.5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36434296818071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3606.5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[2020年决算公开饼状图参考.xlsx]Sheet1!$B$67:$C$67</c:f>
              <c:strCache>
                <c:ptCount val="2"/>
                <c:pt idx="0">
                  <c:v>收入总计（万元）</c:v>
                </c:pt>
                <c:pt idx="1">
                  <c:v>支出总计（万元）</c:v>
                </c:pt>
              </c:strCache>
            </c:strRef>
          </c:cat>
          <c:val>
            <c:numRef>
              <c:f>[2020年决算公开饼状图参考.xlsx]Sheet1!$B$68:$C$68</c:f>
              <c:numCache>
                <c:formatCode>General</c:formatCode>
                <c:ptCount val="2"/>
                <c:pt idx="0">
                  <c:v>703.7</c:v>
                </c:pt>
                <c:pt idx="1">
                  <c:v>703.7</c:v>
                </c:pt>
              </c:numCache>
            </c:numRef>
          </c:val>
        </c:ser>
        <c:ser>
          <c:idx val="1"/>
          <c:order val="1"/>
          <c:tx>
            <c:strRef>
              <c:f>[2020年决算公开饼状图参考.xlsx]Sheet1!$A$69</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3694.55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3694.55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[2020年决算公开饼状图参考.xlsx]Sheet1!$B$67:$C$67</c:f>
              <c:strCache>
                <c:ptCount val="2"/>
                <c:pt idx="0">
                  <c:v>收入总计（万元）</c:v>
                </c:pt>
                <c:pt idx="1">
                  <c:v>支出总计（万元）</c:v>
                </c:pt>
              </c:strCache>
            </c:strRef>
          </c:cat>
          <c:val>
            <c:numRef>
              <c:f>[2020年决算公开饼状图参考.xlsx]Sheet1!$B$69:$C$69</c:f>
              <c:numCache>
                <c:formatCode>General</c:formatCode>
                <c:ptCount val="2"/>
                <c:pt idx="0">
                  <c:v>724.03</c:v>
                </c:pt>
                <c:pt idx="1">
                  <c:v>724.03</c:v>
                </c:pt>
              </c:numCache>
            </c:numRef>
          </c:val>
        </c:ser>
        <c:dLbls>
          <c:showLegendKey val="0"/>
          <c:showVal val="1"/>
          <c:showCatName val="0"/>
          <c:showSerName val="0"/>
          <c:showPercent val="0"/>
          <c:showBubbleSize val="0"/>
        </c:dLbls>
        <c:gapWidth val="219"/>
        <c:overlap val="-27"/>
        <c:axId val="174825472"/>
        <c:axId val="174827008"/>
      </c:barChart>
      <c:catAx>
        <c:axId val="174825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7008"/>
        <c:crosses val="autoZero"/>
        <c:auto val="1"/>
        <c:lblAlgn val="ctr"/>
        <c:lblOffset val="100"/>
        <c:noMultiLvlLbl val="0"/>
      </c:catAx>
      <c:valAx>
        <c:axId val="17482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5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35d265-9e93-470a-9395-6ffc921a6e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endParaRPr altLang="en-US"/>
          </a:p>
        </c:rich>
      </c:tx>
      <c:layout>
        <c:manualLayout>
          <c:xMode val="edge"/>
          <c:yMode val="edge"/>
          <c:x val="0.115876546642569"/>
          <c:y val="0.0285714285714286"/>
        </c:manualLayout>
      </c:layout>
      <c:overlay val="0"/>
      <c:spPr>
        <a:noFill/>
        <a:ln>
          <a:noFill/>
        </a:ln>
        <a:effectLst/>
      </c:spPr>
    </c:title>
    <c:autoTitleDeleted val="0"/>
    <c:plotArea>
      <c:layout/>
      <c:barChart>
        <c:barDir val="col"/>
        <c:grouping val="clustered"/>
        <c:varyColors val="0"/>
        <c:ser>
          <c:idx val="0"/>
          <c:order val="0"/>
          <c:tx>
            <c:strRef>
              <c:f>[2020年决算公开饼状图参考.xlsx]Sheet1!$A$90</c:f>
              <c:strCache>
                <c:ptCount val="1"/>
                <c:pt idx="0">
                  <c:v>一般公共预算财政拨款支出（万元）</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3606.5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37037037037037"/>
                  <c:y val="-0.002441406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3694.55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[2020年决算公开饼状图参考.xlsx]Sheet1!$B$89:$C$89</c:f>
              <c:strCache>
                <c:ptCount val="2"/>
                <c:pt idx="0">
                  <c:v>2022年</c:v>
                </c:pt>
                <c:pt idx="1">
                  <c:v>2023年</c:v>
                </c:pt>
              </c:strCache>
            </c:strRef>
          </c:cat>
          <c:val>
            <c:numRef>
              <c:f>[2020年决算公开饼状图参考.xlsx]Sheet1!$B$90:$C$90</c:f>
              <c:numCache>
                <c:formatCode>General</c:formatCode>
                <c:ptCount val="2"/>
                <c:pt idx="0">
                  <c:v>703.7</c:v>
                </c:pt>
                <c:pt idx="1">
                  <c:v>724.03</c:v>
                </c:pt>
              </c:numCache>
            </c:numRef>
          </c:val>
        </c:ser>
        <c:dLbls>
          <c:showLegendKey val="0"/>
          <c:showVal val="1"/>
          <c:showCatName val="0"/>
          <c:showSerName val="0"/>
          <c:showPercent val="0"/>
          <c:showBubbleSize val="0"/>
        </c:dLbls>
        <c:gapWidth val="219"/>
        <c:overlap val="-27"/>
        <c:axId val="174851584"/>
        <c:axId val="174853120"/>
      </c:barChart>
      <c:catAx>
        <c:axId val="174851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3120"/>
        <c:crosses val="autoZero"/>
        <c:auto val="1"/>
        <c:lblAlgn val="ctr"/>
        <c:lblOffset val="100"/>
        <c:noMultiLvlLbl val="0"/>
      </c:catAx>
      <c:valAx>
        <c:axId val="1748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1584"/>
        <c:crosses val="autoZero"/>
        <c:crossBetween val="between"/>
      </c:valAx>
      <c:spPr>
        <a:noFill/>
        <a:ln>
          <a:noFill/>
        </a:ln>
        <a:effectLst/>
      </c:spPr>
    </c:plotArea>
    <c:plotVisOnly val="1"/>
    <c:dispBlanksAs val="gap"/>
    <c:showDLblsOverMax val="0"/>
    <c:extLst>
      <c:ext uri="{0b15fc19-7d7d-44ad-8c2d-2c3a37ce22c3}">
        <chartProps xmlns="https://web.wps.cn/et/2018/main" chartId="{06768b9f-5491-44a1-9f46-9d942dfbb5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447240372584"/>
          <c:y val="0.0285714285714286"/>
        </c:manualLayout>
      </c:layout>
      <c:overlay val="0"/>
      <c:spPr>
        <a:noFill/>
        <a:ln>
          <a:noFill/>
        </a:ln>
        <a:effectLst/>
      </c:spPr>
      <c:txPr>
        <a:bodyPr rot="0" spcFirstLastPara="0"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0"/>
    <c:plotArea>
      <c:layout/>
      <c:pieChart>
        <c:varyColors val="1"/>
        <c:ser>
          <c:idx val="0"/>
          <c:order val="0"/>
          <c:tx>
            <c:strRef>
              <c:f>[2020年决算公开饼状图参考.xlsx]Sheet1!$A$110</c:f>
              <c:strCache>
                <c:ptCount val="1"/>
                <c:pt idx="0">
                  <c:v>一般公共预算财政拨款支出（万元）</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3029.57,82%</a:t>
                    </a:r>
                    <a:endParaRPr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373.05</a:t>
                    </a:r>
                    <a:r>
                      <a:t>, </a:t>
                    </a:r>
                    <a:r>
                      <a:rPr lang="en-US" altLang="zh-CN"/>
                      <a:t>10.</a:t>
                    </a:r>
                    <a:r>
                      <a:t>1%</a:t>
                    </a:r>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124.97</a:t>
                    </a:r>
                    <a:r>
                      <a:t>, 3</a:t>
                    </a:r>
                    <a:r>
                      <a:rPr lang="en-US" altLang="zh-CN"/>
                      <a:t>.38</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0.00327622092798977"/>
                  <c:y val="0.004593857236738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rPr lang="en-US" altLang="zh-CN"/>
                      <a:t>166.95</a:t>
                    </a:r>
                    <a:r>
                      <a:t>, </a:t>
                    </a:r>
                    <a:r>
                      <a:rPr lang="en-US" altLang="zh-CN"/>
                      <a:t>4.</a:t>
                    </a:r>
                    <a:r>
                      <a:t>5</a:t>
                    </a:r>
                    <a:r>
                      <a:rPr lang="en-US" altLang="zh-CN"/>
                      <a:t>2</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[2020年决算公开饼状图参考.xlsx]Sheet1!$B$109:$E$109</c:f>
              <c:strCache>
                <c:ptCount val="4"/>
                <c:pt idx="0">
                  <c:v>教育支出</c:v>
                </c:pt>
                <c:pt idx="1">
                  <c:v>社会保障和就业支出</c:v>
                </c:pt>
                <c:pt idx="2">
                  <c:v>卫生健康支出</c:v>
                </c:pt>
                <c:pt idx="3">
                  <c:v>住房保障支出</c:v>
                </c:pt>
              </c:strCache>
            </c:strRef>
          </c:cat>
          <c:val>
            <c:numRef>
              <c:f>[2020年决算公开饼状图参考.xlsx]Sheet1!$B$110:$E$110</c:f>
              <c:numCache>
                <c:formatCode>General</c:formatCode>
                <c:ptCount val="4"/>
                <c:pt idx="0">
                  <c:v>509.74</c:v>
                </c:pt>
                <c:pt idx="1">
                  <c:v>153.02</c:v>
                </c:pt>
                <c:pt idx="2">
                  <c:v>22.79</c:v>
                </c:pt>
                <c:pt idx="3">
                  <c:v>38.48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8f4f84b4-799d-445f-bbbe-e7cd8c66aa03}"/>
      </c:ext>
    </c:extLst>
  </c:chart>
  <c:spPr>
    <a:pattFill prst="pct80">
      <a:fgClr>
        <a:schemeClr val="lt1"/>
      </a:fgClr>
      <a:bgClr>
        <a:schemeClr val="bg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[在编人员名册2024年10月21日.xls]Sheet9!$A$2</c:f>
              <c:strCache>
                <c:ptCount val="1"/>
                <c:pt idx="0">
                  <c:v>三公经费支出（万元）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[在编人员名册2024年10月21日.xls]Sheet9!$B$1:$E$1</c:f>
              <c:strCache>
                <c:ptCount val="4"/>
                <c:pt idx="0">
                  <c:v>公务接待费2.5万元</c:v>
                </c:pt>
                <c:pt idx="1">
                  <c:v>公务用车购置及运行维护费万元</c:v>
                </c:pt>
                <c:pt idx="2">
                  <c:v>因公出国（境）费0万元</c:v>
                </c:pt>
              </c:strCache>
            </c:strRef>
          </c:cat>
          <c:val>
            <c:numRef>
              <c:f>[在编人员名册2024年10月21日.xls]Sheet9!$B$2:$E$2</c:f>
              <c:numCache>
                <c:formatCode>General</c:formatCode>
                <c:ptCount val="4"/>
                <c:pt idx="0">
                  <c:v>2.5</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c2b99b1-802a-4b9e-907c-346a5630c01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8760</Words>
  <Characters>10120</Characters>
  <Lines>54</Lines>
  <Paragraphs>15</Paragraphs>
  <TotalTime>1</TotalTime>
  <ScaleCrop>false</ScaleCrop>
  <LinksUpToDate>false</LinksUpToDate>
  <CharactersWithSpaces>10190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Nancy</cp:lastModifiedBy>
  <cp:lastPrinted>2023-08-03T02:35:00Z</cp:lastPrinted>
  <dcterms:modified xsi:type="dcterms:W3CDTF">2024-10-27T12:50:53Z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C8EA8EC8EB934CDAB3483B6D601FF799_13</vt:lpwstr>
  </property>
</Properties>
</file>