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2"/>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96597"/>
      <w:bookmarkStart w:id="3" w:name="_Toc15377193"/>
      <w:bookmarkStart w:id="4" w:name="_Toc15377425"/>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sz w:val="52"/>
          <w:szCs w:val="52"/>
        </w:rPr>
      </w:pPr>
      <w:bookmarkStart w:id="6" w:name="_Toc15396598"/>
      <w:bookmarkStart w:id="7" w:name="_Toc15396476"/>
      <w:bookmarkStart w:id="8" w:name="_Toc15378442"/>
      <w:bookmarkStart w:id="9" w:name="_Toc15377194"/>
      <w:bookmarkStart w:id="10" w:name="_Toc15377426"/>
      <w:r>
        <w:rPr>
          <w:rFonts w:hint="eastAsia" w:ascii="方正小标宋简体" w:hAnsi="方正小标宋简体" w:eastAsia="方正小标宋简体" w:cs="方正小标宋简体"/>
          <w:color w:val="auto"/>
          <w:sz w:val="72"/>
          <w:szCs w:val="72"/>
          <w:highlight w:val="none"/>
          <w:lang w:eastAsia="zh-CN"/>
        </w:rPr>
        <w:t>大竹县</w:t>
      </w:r>
      <w:bookmarkStart w:id="11" w:name="_Toc15306268"/>
      <w:r>
        <w:rPr>
          <w:rFonts w:hint="eastAsia" w:ascii="方正小标宋简体" w:hAnsi="方正小标宋简体" w:eastAsia="方正小标宋简体" w:cs="方正小标宋简体"/>
          <w:color w:val="auto"/>
          <w:sz w:val="72"/>
          <w:szCs w:val="72"/>
          <w:highlight w:val="none"/>
          <w:lang w:eastAsia="zh-CN"/>
        </w:rPr>
        <w:t>建设工程质量安全监督站部门</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hint="eastAsia" w:ascii="黑体" w:hAnsi="黑体" w:eastAsia="黑体"/>
          <w:sz w:val="48"/>
          <w:szCs w:val="48"/>
        </w:rPr>
        <w:sectPr>
          <w:headerReference r:id="rId4" w:type="first"/>
          <w:headerReference r:id="rId3" w:type="default"/>
          <w:footerReference r:id="rId5"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hint="default" w:eastAsia="仿宋"/>
          <w:highlight w:val="yellow"/>
          <w:lang w:val="en-US" w:eastAsia="zh-CN"/>
        </w:rPr>
      </w:pPr>
      <w:r>
        <w:rPr>
          <w:rFonts w:hint="eastAsia" w:ascii="黑体" w:hAnsi="黑体" w:eastAsia="黑体"/>
          <w:sz w:val="48"/>
          <w:szCs w:val="48"/>
        </w:rPr>
        <w:t>目录</w:t>
      </w:r>
    </w:p>
    <w:p/>
    <w:p>
      <w:pPr>
        <w:pStyle w:val="11"/>
        <w:keepNext w:val="0"/>
        <w:keepLines w:val="0"/>
        <w:pageBreakBefore w:val="0"/>
        <w:kinsoku/>
        <w:wordWrap/>
        <w:overflowPunct/>
        <w:topLinePunct w:val="0"/>
        <w:autoSpaceDE/>
        <w:autoSpaceDN/>
        <w:bidi w:val="0"/>
        <w:adjustRightInd w:val="0"/>
        <w:snapToGrid w:val="0"/>
        <w:spacing w:before="0" w:line="578"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单位概况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color w:val="auto"/>
          <w:sz w:val="32"/>
          <w:szCs w:val="32"/>
          <w:highlight w:val="none"/>
          <w:lang w:val="en-US" w:eastAsia="zh-CN"/>
        </w:rPr>
        <w:t>3</w:t>
      </w:r>
    </w:p>
    <w:p>
      <w:pPr>
        <w:pStyle w:val="11"/>
        <w:keepNext w:val="0"/>
        <w:keepLines w:val="0"/>
        <w:pageBreakBefore w:val="0"/>
        <w:kinsoku/>
        <w:wordWrap/>
        <w:overflowPunct/>
        <w:topLinePunct w:val="0"/>
        <w:autoSpaceDE/>
        <w:autoSpaceDN/>
        <w:bidi w:val="0"/>
        <w:adjustRightInd w:val="0"/>
        <w:snapToGrid w:val="0"/>
        <w:spacing w:before="0"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一、主要职责</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color w:val="auto"/>
          <w:sz w:val="32"/>
          <w:szCs w:val="32"/>
          <w:highlight w:val="none"/>
          <w:lang w:val="en-US" w:eastAsia="zh-CN"/>
        </w:rPr>
        <w:t>3</w:t>
      </w:r>
    </w:p>
    <w:p>
      <w:pPr>
        <w:pStyle w:val="11"/>
        <w:keepNext w:val="0"/>
        <w:keepLines w:val="0"/>
        <w:pageBreakBefore w:val="0"/>
        <w:kinsoku/>
        <w:wordWrap/>
        <w:overflowPunct/>
        <w:topLinePunct w:val="0"/>
        <w:autoSpaceDE/>
        <w:autoSpaceDN/>
        <w:bidi w:val="0"/>
        <w:adjustRightInd w:val="0"/>
        <w:snapToGrid w:val="0"/>
        <w:spacing w:before="0"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二、机构设置</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color w:val="auto"/>
          <w:sz w:val="32"/>
          <w:szCs w:val="32"/>
          <w:highlight w:val="none"/>
          <w:lang w:val="en-US" w:eastAsia="zh-CN"/>
        </w:rPr>
        <w:t>3</w:t>
      </w:r>
    </w:p>
    <w:p>
      <w:pPr>
        <w:pStyle w:val="11"/>
        <w:keepNext w:val="0"/>
        <w:keepLines w:val="0"/>
        <w:pageBreakBefore w:val="0"/>
        <w:kinsoku/>
        <w:wordWrap/>
        <w:overflowPunct/>
        <w:topLinePunct w:val="0"/>
        <w:autoSpaceDE/>
        <w:autoSpaceDN/>
        <w:bidi w:val="0"/>
        <w:adjustRightInd w:val="0"/>
        <w:snapToGrid w:val="0"/>
        <w:spacing w:before="0" w:line="578" w:lineRule="exact"/>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第二部分 2023年度单位决算情况说明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color w:val="auto"/>
          <w:sz w:val="32"/>
          <w:szCs w:val="32"/>
          <w:highlight w:val="none"/>
          <w:lang w:val="en-US" w:eastAsia="zh-CN"/>
        </w:rPr>
        <w:t>4</w:t>
      </w:r>
    </w:p>
    <w:p>
      <w:pPr>
        <w:pStyle w:val="12"/>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一、收入支出决算总体情况说明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color w:val="auto"/>
          <w:sz w:val="32"/>
          <w:szCs w:val="32"/>
          <w:highlight w:val="none"/>
          <w:lang w:val="en-US" w:eastAsia="zh-CN"/>
        </w:rPr>
        <w:t>4</w:t>
      </w:r>
    </w:p>
    <w:p>
      <w:pPr>
        <w:pStyle w:val="11"/>
        <w:keepNext w:val="0"/>
        <w:keepLines w:val="0"/>
        <w:pageBreakBefore w:val="0"/>
        <w:kinsoku/>
        <w:wordWrap/>
        <w:overflowPunct/>
        <w:topLinePunct w:val="0"/>
        <w:autoSpaceDE/>
        <w:autoSpaceDN/>
        <w:bidi w:val="0"/>
        <w:adjustRightInd w:val="0"/>
        <w:snapToGrid w:val="0"/>
        <w:spacing w:before="0" w:line="578" w:lineRule="exact"/>
        <w:ind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二、收入决算情况说明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color w:val="auto"/>
          <w:sz w:val="32"/>
          <w:szCs w:val="32"/>
          <w:highlight w:val="none"/>
          <w:lang w:val="en-US" w:eastAsia="zh-CN"/>
        </w:rPr>
        <w:t>4</w:t>
      </w:r>
    </w:p>
    <w:p>
      <w:pPr>
        <w:pStyle w:val="11"/>
        <w:keepNext w:val="0"/>
        <w:keepLines w:val="0"/>
        <w:pageBreakBefore w:val="0"/>
        <w:kinsoku/>
        <w:wordWrap/>
        <w:overflowPunct/>
        <w:topLinePunct w:val="0"/>
        <w:autoSpaceDE/>
        <w:autoSpaceDN/>
        <w:bidi w:val="0"/>
        <w:adjustRightInd w:val="0"/>
        <w:snapToGrid w:val="0"/>
        <w:spacing w:before="0" w:line="578" w:lineRule="exact"/>
        <w:ind w:firstLine="640" w:firstLineChars="200"/>
        <w:jc w:val="left"/>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sz w:val="32"/>
          <w:szCs w:val="32"/>
        </w:rPr>
        <w:t>三、支出决算情况说明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p>
    <w:p>
      <w:pPr>
        <w:pStyle w:val="12"/>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rPr>
        <w:t>四、财政拨款收入支出决算总体情况说明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color w:val="auto"/>
          <w:kern w:val="2"/>
          <w:sz w:val="32"/>
          <w:szCs w:val="32"/>
          <w:highlight w:val="none"/>
          <w:lang w:val="en-US" w:eastAsia="zh-CN" w:bidi="ar-SA"/>
        </w:rPr>
        <w:t>5</w:t>
      </w:r>
    </w:p>
    <w:p>
      <w:pPr>
        <w:pStyle w:val="12"/>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五、一般公共预算财政拨款支出决算情况说明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color w:val="auto"/>
          <w:kern w:val="2"/>
          <w:sz w:val="32"/>
          <w:szCs w:val="32"/>
          <w:highlight w:val="none"/>
          <w:lang w:val="en-US" w:eastAsia="zh-CN" w:bidi="ar-SA"/>
        </w:rPr>
        <w:t>6</w:t>
      </w:r>
    </w:p>
    <w:p>
      <w:pPr>
        <w:pStyle w:val="12"/>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六、一般公共预算财政拨款基本支出决算情况说明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color w:val="auto"/>
          <w:kern w:val="2"/>
          <w:sz w:val="32"/>
          <w:szCs w:val="32"/>
          <w:highlight w:val="none"/>
          <w:lang w:val="en-US" w:eastAsia="zh-CN" w:bidi="ar-SA"/>
        </w:rPr>
        <w:t>8</w:t>
      </w:r>
    </w:p>
    <w:p>
      <w:pPr>
        <w:pStyle w:val="12"/>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七、财政拨款“三公”经费支出决算情况说明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color w:val="auto"/>
          <w:kern w:val="2"/>
          <w:sz w:val="32"/>
          <w:szCs w:val="32"/>
          <w:highlight w:val="none"/>
          <w:lang w:val="en-US" w:eastAsia="zh-CN" w:bidi="ar-SA"/>
        </w:rPr>
        <w:t>8</w:t>
      </w:r>
    </w:p>
    <w:p>
      <w:pPr>
        <w:pStyle w:val="12"/>
        <w:keepNext w:val="0"/>
        <w:keepLines w:val="0"/>
        <w:pageBreakBefore w:val="0"/>
        <w:tabs>
          <w:tab w:val="center" w:pos="4153"/>
          <w:tab w:val="clear" w:pos="8296"/>
        </w:tabs>
        <w:kinsoku/>
        <w:wordWrap/>
        <w:overflowPunct/>
        <w:topLinePunct w:val="0"/>
        <w:autoSpaceDE/>
        <w:autoSpaceDN/>
        <w:bidi w:val="0"/>
        <w:adjustRightInd w:val="0"/>
        <w:snapToGrid w:val="0"/>
        <w:spacing w:line="578"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八、政府性基金预算支出决算情况说明</w:t>
      </w:r>
      <w:r>
        <w:rPr>
          <w:rFonts w:hint="eastAsia" w:ascii="仿宋_GB2312" w:hAnsi="仿宋_GB2312" w:eastAsia="仿宋_GB2312" w:cs="仿宋_GB2312"/>
          <w:sz w:val="32"/>
          <w:szCs w:val="32"/>
          <w:lang w:val="en-US" w:eastAsia="zh-CN"/>
        </w:rPr>
        <w:t>............10</w:t>
      </w:r>
    </w:p>
    <w:p>
      <w:pPr>
        <w:pStyle w:val="12"/>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九、国有资本经营预算支出决算情况说明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color w:val="auto"/>
          <w:kern w:val="2"/>
          <w:sz w:val="32"/>
          <w:szCs w:val="32"/>
          <w:highlight w:val="none"/>
          <w:lang w:val="en-US" w:eastAsia="zh-CN" w:bidi="ar-SA"/>
        </w:rPr>
        <w:t>10</w:t>
      </w:r>
    </w:p>
    <w:p>
      <w:pPr>
        <w:pStyle w:val="12"/>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十、其他重要事项的情况说明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color w:val="auto"/>
          <w:kern w:val="2"/>
          <w:sz w:val="32"/>
          <w:szCs w:val="32"/>
          <w:highlight w:val="none"/>
          <w:lang w:val="en-US" w:eastAsia="zh-CN" w:bidi="ar-SA"/>
        </w:rPr>
        <w:t>10</w:t>
      </w:r>
    </w:p>
    <w:p>
      <w:pPr>
        <w:pStyle w:val="11"/>
        <w:keepNext w:val="0"/>
        <w:keepLines w:val="0"/>
        <w:pageBreakBefore w:val="0"/>
        <w:kinsoku/>
        <w:wordWrap/>
        <w:overflowPunct/>
        <w:topLinePunct w:val="0"/>
        <w:autoSpaceDE/>
        <w:autoSpaceDN/>
        <w:bidi w:val="0"/>
        <w:adjustRightInd w:val="0"/>
        <w:snapToGrid w:val="0"/>
        <w:spacing w:before="0" w:line="578"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第三部分 名词解释</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color w:val="auto"/>
          <w:sz w:val="32"/>
          <w:szCs w:val="32"/>
          <w:highlight w:val="none"/>
          <w:lang w:val="en-US" w:eastAsia="zh-CN"/>
        </w:rPr>
        <w:t>11</w:t>
      </w:r>
    </w:p>
    <w:p>
      <w:pPr>
        <w:pStyle w:val="11"/>
        <w:keepNext w:val="0"/>
        <w:keepLines w:val="0"/>
        <w:pageBreakBefore w:val="0"/>
        <w:kinsoku/>
        <w:wordWrap/>
        <w:overflowPunct/>
        <w:topLinePunct w:val="0"/>
        <w:autoSpaceDE/>
        <w:autoSpaceDN/>
        <w:bidi w:val="0"/>
        <w:adjustRightInd w:val="0"/>
        <w:snapToGrid w:val="0"/>
        <w:spacing w:before="0" w:line="578"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第四部分 附件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color w:val="auto"/>
          <w:sz w:val="32"/>
          <w:szCs w:val="32"/>
          <w:highlight w:val="none"/>
          <w:lang w:val="en-US" w:eastAsia="zh-CN"/>
        </w:rPr>
        <w:t>13</w:t>
      </w:r>
    </w:p>
    <w:p>
      <w:pPr>
        <w:pStyle w:val="11"/>
        <w:keepNext w:val="0"/>
        <w:keepLines w:val="0"/>
        <w:pageBreakBefore w:val="0"/>
        <w:kinsoku/>
        <w:wordWrap/>
        <w:overflowPunct/>
        <w:topLinePunct w:val="0"/>
        <w:autoSpaceDE/>
        <w:autoSpaceDN/>
        <w:bidi w:val="0"/>
        <w:adjustRightInd w:val="0"/>
        <w:snapToGrid w:val="0"/>
        <w:spacing w:before="0" w:line="578"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第五部分 附表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color w:val="auto"/>
          <w:sz w:val="32"/>
          <w:szCs w:val="32"/>
          <w:highlight w:val="none"/>
          <w:lang w:val="en-US" w:eastAsia="zh-CN"/>
        </w:rPr>
        <w:t>38</w:t>
      </w:r>
    </w:p>
    <w:p>
      <w:pPr>
        <w:pStyle w:val="12"/>
        <w:keepNext w:val="0"/>
        <w:keepLines w:val="0"/>
        <w:pageBreakBefore w:val="0"/>
        <w:kinsoku/>
        <w:wordWrap/>
        <w:overflowPunct/>
        <w:topLinePunct w:val="0"/>
        <w:autoSpaceDE/>
        <w:autoSpaceDN/>
        <w:bidi w:val="0"/>
        <w:adjustRightInd w:val="0"/>
        <w:snapToGrid w:val="0"/>
        <w:spacing w:line="578"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12"/>
        <w:keepNext w:val="0"/>
        <w:keepLines w:val="0"/>
        <w:pageBreakBefore w:val="0"/>
        <w:kinsoku/>
        <w:wordWrap/>
        <w:overflowPunct/>
        <w:topLinePunct w:val="0"/>
        <w:autoSpaceDE/>
        <w:autoSpaceDN/>
        <w:bidi w:val="0"/>
        <w:adjustRightInd w:val="0"/>
        <w:snapToGrid w:val="0"/>
        <w:spacing w:line="578"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12"/>
        <w:keepNext w:val="0"/>
        <w:keepLines w:val="0"/>
        <w:pageBreakBefore w:val="0"/>
        <w:kinsoku/>
        <w:wordWrap/>
        <w:overflowPunct/>
        <w:topLinePunct w:val="0"/>
        <w:autoSpaceDE/>
        <w:autoSpaceDN/>
        <w:bidi w:val="0"/>
        <w:adjustRightInd w:val="0"/>
        <w:snapToGrid w:val="0"/>
        <w:spacing w:line="578"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bookmarkStart w:id="67" w:name="_GoBack"/>
      <w:bookmarkEnd w:id="67"/>
    </w:p>
    <w:p>
      <w:pPr>
        <w:pStyle w:val="12"/>
        <w:keepNext w:val="0"/>
        <w:keepLines w:val="0"/>
        <w:pageBreakBefore w:val="0"/>
        <w:kinsoku/>
        <w:wordWrap/>
        <w:overflowPunct/>
        <w:topLinePunct w:val="0"/>
        <w:autoSpaceDE/>
        <w:autoSpaceDN/>
        <w:bidi w:val="0"/>
        <w:adjustRightInd w:val="0"/>
        <w:snapToGrid w:val="0"/>
        <w:spacing w:line="578"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12"/>
        <w:keepNext w:val="0"/>
        <w:keepLines w:val="0"/>
        <w:pageBreakBefore w:val="0"/>
        <w:kinsoku/>
        <w:wordWrap/>
        <w:overflowPunct/>
        <w:topLinePunct w:val="0"/>
        <w:autoSpaceDE/>
        <w:autoSpaceDN/>
        <w:bidi w:val="0"/>
        <w:adjustRightInd w:val="0"/>
        <w:snapToGrid w:val="0"/>
        <w:spacing w:line="578"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p>
    <w:p>
      <w:pPr>
        <w:pStyle w:val="12"/>
        <w:keepNext w:val="0"/>
        <w:keepLines w:val="0"/>
        <w:pageBreakBefore w:val="0"/>
        <w:kinsoku/>
        <w:wordWrap/>
        <w:overflowPunct/>
        <w:topLinePunct w:val="0"/>
        <w:autoSpaceDE/>
        <w:autoSpaceDN/>
        <w:bidi w:val="0"/>
        <w:adjustRightInd w:val="0"/>
        <w:snapToGrid w:val="0"/>
        <w:spacing w:line="578"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pPr>
        <w:pStyle w:val="12"/>
        <w:keepNext w:val="0"/>
        <w:keepLines w:val="0"/>
        <w:pageBreakBefore w:val="0"/>
        <w:kinsoku/>
        <w:wordWrap/>
        <w:overflowPunct/>
        <w:topLinePunct w:val="0"/>
        <w:autoSpaceDE/>
        <w:autoSpaceDN/>
        <w:bidi w:val="0"/>
        <w:adjustRightInd w:val="0"/>
        <w:snapToGrid w:val="0"/>
        <w:spacing w:line="578"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pPr>
        <w:pStyle w:val="12"/>
        <w:keepNext w:val="0"/>
        <w:keepLines w:val="0"/>
        <w:pageBreakBefore w:val="0"/>
        <w:kinsoku/>
        <w:wordWrap/>
        <w:overflowPunct/>
        <w:topLinePunct w:val="0"/>
        <w:autoSpaceDE/>
        <w:autoSpaceDN/>
        <w:bidi w:val="0"/>
        <w:adjustRightInd w:val="0"/>
        <w:snapToGrid w:val="0"/>
        <w:spacing w:line="578"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八、一般公共预算财政拨款基本支出决算明细表</w:t>
      </w:r>
    </w:p>
    <w:p>
      <w:pPr>
        <w:pStyle w:val="12"/>
        <w:keepNext w:val="0"/>
        <w:keepLines w:val="0"/>
        <w:pageBreakBefore w:val="0"/>
        <w:kinsoku/>
        <w:wordWrap/>
        <w:overflowPunct/>
        <w:topLinePunct w:val="0"/>
        <w:autoSpaceDE/>
        <w:autoSpaceDN/>
        <w:bidi w:val="0"/>
        <w:adjustRightInd w:val="0"/>
        <w:snapToGrid w:val="0"/>
        <w:spacing w:line="578"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pPr>
        <w:pStyle w:val="12"/>
        <w:keepNext w:val="0"/>
        <w:keepLines w:val="0"/>
        <w:pageBreakBefore w:val="0"/>
        <w:kinsoku/>
        <w:wordWrap/>
        <w:overflowPunct/>
        <w:topLinePunct w:val="0"/>
        <w:autoSpaceDE/>
        <w:autoSpaceDN/>
        <w:bidi w:val="0"/>
        <w:adjustRightInd w:val="0"/>
        <w:snapToGrid w:val="0"/>
        <w:spacing w:line="578"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十、政府性基金预算财政拨款收入支出决算表</w:t>
      </w:r>
    </w:p>
    <w:p>
      <w:pPr>
        <w:pStyle w:val="12"/>
        <w:keepNext w:val="0"/>
        <w:keepLines w:val="0"/>
        <w:pageBreakBefore w:val="0"/>
        <w:kinsoku/>
        <w:wordWrap/>
        <w:overflowPunct/>
        <w:topLinePunct w:val="0"/>
        <w:autoSpaceDE/>
        <w:autoSpaceDN/>
        <w:bidi w:val="0"/>
        <w:adjustRightInd w:val="0"/>
        <w:snapToGrid w:val="0"/>
        <w:spacing w:line="578"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十一、国有资本经营预算财政拨款收入支出决算表</w:t>
      </w:r>
    </w:p>
    <w:p>
      <w:pPr>
        <w:pStyle w:val="12"/>
        <w:keepNext w:val="0"/>
        <w:keepLines w:val="0"/>
        <w:pageBreakBefore w:val="0"/>
        <w:kinsoku/>
        <w:wordWrap/>
        <w:overflowPunct/>
        <w:topLinePunct w:val="0"/>
        <w:autoSpaceDE/>
        <w:autoSpaceDN/>
        <w:bidi w:val="0"/>
        <w:adjustRightInd w:val="0"/>
        <w:snapToGrid w:val="0"/>
        <w:spacing w:line="578"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十二、国有资本经营预算财政拨款支出决算表</w:t>
      </w:r>
    </w:p>
    <w:p>
      <w:pPr>
        <w:pStyle w:val="12"/>
        <w:keepNext w:val="0"/>
        <w:keepLines w:val="0"/>
        <w:pageBreakBefore w:val="0"/>
        <w:kinsoku/>
        <w:wordWrap/>
        <w:overflowPunct/>
        <w:topLinePunct w:val="0"/>
        <w:autoSpaceDE/>
        <w:autoSpaceDN/>
        <w:bidi w:val="0"/>
        <w:adjustRightInd w:val="0"/>
        <w:snapToGrid w:val="0"/>
        <w:spacing w:line="578"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十三、财政拨款“三公”经费支出决算表</w:t>
      </w:r>
    </w:p>
    <w:p>
      <w:pPr>
        <w:keepNext w:val="0"/>
        <w:keepLines w:val="0"/>
        <w:pageBreakBefore w:val="0"/>
        <w:widowControl/>
        <w:kinsoku/>
        <w:wordWrap/>
        <w:overflowPunct/>
        <w:topLinePunct w:val="0"/>
        <w:autoSpaceDE/>
        <w:autoSpaceDN/>
        <w:bidi w:val="0"/>
        <w:spacing w:line="578" w:lineRule="exact"/>
        <w:jc w:val="left"/>
        <w:textAlignment w:val="auto"/>
        <w:rPr>
          <w:rFonts w:hint="eastAsia" w:ascii="仿宋_GB2312" w:hAnsi="仿宋_GB2312" w:eastAsia="仿宋_GB2312" w:cs="仿宋_GB2312"/>
          <w:bCs/>
          <w:kern w:val="44"/>
          <w:sz w:val="32"/>
          <w:szCs w:val="32"/>
        </w:rPr>
      </w:pPr>
      <w:bookmarkStart w:id="12" w:name="_Toc15396599"/>
      <w:bookmarkStart w:id="13" w:name="_Toc15377196"/>
      <w:r>
        <w:rPr>
          <w:rFonts w:hint="eastAsia" w:ascii="仿宋_GB2312" w:hAnsi="仿宋_GB2312" w:eastAsia="仿宋_GB2312" w:cs="仿宋_GB2312"/>
          <w:b/>
          <w:sz w:val="32"/>
          <w:szCs w:val="32"/>
        </w:rPr>
        <w:br w:type="page"/>
      </w:r>
    </w:p>
    <w:p>
      <w:pPr>
        <w:pStyle w:val="3"/>
        <w:pageBreakBefore w:val="0"/>
        <w:widowControl w:val="0"/>
        <w:kinsoku/>
        <w:wordWrap/>
        <w:overflowPunct/>
        <w:topLinePunct w:val="0"/>
        <w:autoSpaceDE/>
        <w:autoSpaceDN/>
        <w:bidi w:val="0"/>
        <w:adjustRightInd/>
        <w:snapToGrid/>
        <w:spacing w:line="578" w:lineRule="exact"/>
        <w:jc w:val="center"/>
        <w:textAlignment w:val="auto"/>
        <w:rPr>
          <w:rFonts w:ascii="黑体" w:eastAsia="黑体"/>
          <w:sz w:val="32"/>
          <w:szCs w:val="32"/>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pStyle w:val="4"/>
        <w:keepNext/>
        <w:keepLines/>
        <w:pageBreakBefore w:val="0"/>
        <w:widowControl w:val="0"/>
        <w:numPr>
          <w:numId w:val="0"/>
        </w:numPr>
        <w:kinsoku/>
        <w:wordWrap/>
        <w:overflowPunct/>
        <w:topLinePunct w:val="0"/>
        <w:autoSpaceDE/>
        <w:autoSpaceDN/>
        <w:bidi w:val="0"/>
        <w:adjustRightInd/>
        <w:snapToGrid/>
        <w:spacing w:before="0" w:after="0" w:line="578" w:lineRule="exact"/>
        <w:ind w:firstLine="640" w:firstLineChars="200"/>
        <w:textAlignment w:val="auto"/>
        <w:rPr>
          <w:rStyle w:val="28"/>
          <w:rFonts w:ascii="黑体" w:hAnsi="黑体" w:eastAsia="黑体"/>
          <w:b w:val="0"/>
          <w:bCs w:val="0"/>
          <w:highlight w:val="none"/>
        </w:rPr>
      </w:pPr>
      <w:bookmarkStart w:id="14" w:name="_Toc15377197"/>
      <w:bookmarkStart w:id="15" w:name="_Toc15396600"/>
      <w:r>
        <w:rPr>
          <w:rStyle w:val="28"/>
          <w:rFonts w:hint="eastAsia" w:ascii="黑体" w:hAnsi="黑体" w:eastAsia="黑体"/>
          <w:b w:val="0"/>
          <w:bCs w:val="0"/>
          <w:highlight w:val="none"/>
          <w:lang w:eastAsia="zh-CN"/>
        </w:rPr>
        <w:t>一、</w:t>
      </w:r>
      <w:r>
        <w:rPr>
          <w:rStyle w:val="28"/>
          <w:rFonts w:hint="eastAsia" w:ascii="黑体" w:hAnsi="黑体" w:eastAsia="黑体"/>
          <w:b w:val="0"/>
          <w:bCs w:val="0"/>
          <w:highlight w:val="none"/>
        </w:rPr>
        <w:t>主要职责</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大竹县建设工程质量安全监督站是对建设工程实施质量安全监督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对全县在建房屋消防工程施工质量过程进行监督管理,参与老旧房屋质量安全事故应急救援以及事故调查。对建设、施工、设计、勘察、监理单位工程竣工验收的行为进行监督。</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78" w:lineRule="exact"/>
        <w:ind w:firstLine="640" w:firstLineChars="200"/>
        <w:textAlignment w:val="auto"/>
        <w:rPr>
          <w:rStyle w:val="28"/>
          <w:rFonts w:hint="eastAsia" w:ascii="黑体" w:hAnsi="黑体" w:eastAsia="黑体"/>
          <w:b w:val="0"/>
          <w:bCs w:val="0"/>
          <w:highlight w:val="none"/>
          <w:lang w:eastAsia="zh-CN"/>
        </w:rPr>
      </w:pPr>
      <w:r>
        <w:rPr>
          <w:rStyle w:val="28"/>
          <w:rFonts w:hint="eastAsia" w:ascii="黑体" w:hAnsi="黑体" w:eastAsia="黑体"/>
          <w:b w:val="0"/>
          <w:bCs w:val="0"/>
          <w:highlight w:val="none"/>
          <w:lang w:eastAsia="zh-CN"/>
        </w:rPr>
        <w:t>二、机构设置</w:t>
      </w:r>
    </w:p>
    <w:bookmarkEnd w:id="14"/>
    <w:bookmarkEnd w:id="15"/>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大竹县建设工程质量安全监督站属全额拨款财政一级预算事业单位</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下设独立编制机构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其中行政单位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个，参照公务员法管理的事业单位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p>
    <w:p>
      <w:pPr>
        <w:pStyle w:val="3"/>
        <w:pageBreakBefore w:val="0"/>
        <w:widowControl w:val="0"/>
        <w:kinsoku/>
        <w:wordWrap/>
        <w:overflowPunct/>
        <w:topLinePunct w:val="0"/>
        <w:autoSpaceDE/>
        <w:autoSpaceDN/>
        <w:bidi w:val="0"/>
        <w:adjustRightInd/>
        <w:snapToGrid/>
        <w:spacing w:line="578" w:lineRule="exact"/>
        <w:ind w:right="440"/>
        <w:jc w:val="both"/>
        <w:textAlignment w:val="auto"/>
        <w:rPr>
          <w:rFonts w:hint="eastAsia" w:ascii="仿宋_GB2312" w:hAnsi="仿宋_GB2312" w:eastAsia="仿宋_GB2312" w:cs="仿宋_GB2312"/>
          <w:b w:val="0"/>
          <w:sz w:val="32"/>
          <w:szCs w:val="32"/>
        </w:rPr>
      </w:pPr>
      <w:bookmarkStart w:id="16" w:name="_Toc15396602"/>
      <w:bookmarkStart w:id="17" w:name="_Toc15377204"/>
    </w:p>
    <w:p>
      <w:pPr>
        <w:pStyle w:val="3"/>
        <w:pageBreakBefore w:val="0"/>
        <w:widowControl w:val="0"/>
        <w:kinsoku/>
        <w:wordWrap/>
        <w:overflowPunct/>
        <w:topLinePunct w:val="0"/>
        <w:autoSpaceDE/>
        <w:autoSpaceDN/>
        <w:bidi w:val="0"/>
        <w:adjustRightInd/>
        <w:snapToGrid/>
        <w:spacing w:line="578" w:lineRule="exact"/>
        <w:ind w:right="440"/>
        <w:jc w:val="both"/>
        <w:textAlignment w:val="auto"/>
        <w:rPr>
          <w:rFonts w:hint="eastAsia" w:ascii="黑体" w:hAnsi="黑体" w:eastAsia="黑体"/>
          <w:b w:val="0"/>
        </w:rPr>
      </w:pPr>
    </w:p>
    <w:p>
      <w:pPr>
        <w:pStyle w:val="3"/>
        <w:pageBreakBefore w:val="0"/>
        <w:widowControl w:val="0"/>
        <w:kinsoku/>
        <w:wordWrap/>
        <w:overflowPunct/>
        <w:topLinePunct w:val="0"/>
        <w:autoSpaceDE/>
        <w:autoSpaceDN/>
        <w:bidi w:val="0"/>
        <w:adjustRightInd/>
        <w:snapToGrid/>
        <w:spacing w:line="578" w:lineRule="exact"/>
        <w:ind w:right="440"/>
        <w:jc w:val="both"/>
        <w:textAlignment w:val="auto"/>
        <w:rPr>
          <w:rFonts w:hint="eastAsia" w:ascii="黑体" w:hAnsi="黑体" w:eastAsia="黑体"/>
          <w:b w:val="0"/>
        </w:rPr>
      </w:pPr>
    </w:p>
    <w:p>
      <w:pPr>
        <w:rPr>
          <w:rFonts w:hint="eastAsia" w:ascii="黑体" w:hAnsi="黑体" w:eastAsia="黑体"/>
          <w:b w:val="0"/>
        </w:rPr>
      </w:pPr>
    </w:p>
    <w:p>
      <w:pPr>
        <w:pStyle w:val="2"/>
        <w:rPr>
          <w:rFonts w:hint="eastAsia"/>
        </w:rPr>
      </w:pPr>
    </w:p>
    <w:p>
      <w:pPr>
        <w:pStyle w:val="3"/>
        <w:pageBreakBefore w:val="0"/>
        <w:widowControl w:val="0"/>
        <w:kinsoku/>
        <w:wordWrap/>
        <w:overflowPunct/>
        <w:topLinePunct w:val="0"/>
        <w:autoSpaceDE/>
        <w:autoSpaceDN/>
        <w:bidi w:val="0"/>
        <w:adjustRightInd/>
        <w:snapToGrid/>
        <w:spacing w:line="578" w:lineRule="exact"/>
        <w:ind w:right="440"/>
        <w:jc w:val="both"/>
        <w:textAlignment w:val="auto"/>
        <w:rPr>
          <w:rFonts w:hint="eastAsia" w:ascii="黑体" w:hAnsi="黑体" w:eastAsia="黑体"/>
          <w:b w:val="0"/>
        </w:rPr>
      </w:pPr>
    </w:p>
    <w:p>
      <w:pPr>
        <w:rPr>
          <w:rFonts w:hint="eastAsia"/>
        </w:rPr>
      </w:pPr>
    </w:p>
    <w:p>
      <w:pPr>
        <w:pStyle w:val="3"/>
        <w:pageBreakBefore w:val="0"/>
        <w:widowControl w:val="0"/>
        <w:kinsoku/>
        <w:wordWrap/>
        <w:overflowPunct/>
        <w:topLinePunct w:val="0"/>
        <w:autoSpaceDE/>
        <w:autoSpaceDN/>
        <w:bidi w:val="0"/>
        <w:adjustRightInd/>
        <w:snapToGrid/>
        <w:spacing w:line="578" w:lineRule="exact"/>
        <w:ind w:right="440"/>
        <w:jc w:val="center"/>
        <w:textAlignment w:val="auto"/>
      </w:pPr>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pPr>
        <w:pStyle w:val="26"/>
        <w:pageBreakBefore w:val="0"/>
        <w:widowControl w:val="0"/>
        <w:numPr>
          <w:ilvl w:val="0"/>
          <w:numId w:val="1"/>
        </w:numPr>
        <w:kinsoku/>
        <w:wordWrap/>
        <w:overflowPunct/>
        <w:topLinePunct w:val="0"/>
        <w:autoSpaceDE/>
        <w:autoSpaceDN/>
        <w:bidi w:val="0"/>
        <w:adjustRightInd/>
        <w:snapToGrid/>
        <w:spacing w:line="578" w:lineRule="exact"/>
        <w:ind w:firstLineChars="0"/>
        <w:textAlignment w:val="auto"/>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2023年度收、支总计均为</w:t>
      </w:r>
      <w:r>
        <w:rPr>
          <w:rFonts w:hint="eastAsia" w:ascii="仿宋_GB2312" w:hAnsi="仿宋_GB2312" w:eastAsia="仿宋_GB2312" w:cs="仿宋_GB2312"/>
          <w:sz w:val="32"/>
          <w:szCs w:val="32"/>
          <w:lang w:val="en-US" w:eastAsia="zh-CN"/>
        </w:rPr>
        <w:t>327.07</w:t>
      </w:r>
      <w:r>
        <w:rPr>
          <w:rFonts w:hint="eastAsia" w:ascii="仿宋_GB2312" w:hAnsi="仿宋_GB2312" w:eastAsia="仿宋_GB2312" w:cs="仿宋_GB2312"/>
          <w:sz w:val="32"/>
          <w:szCs w:val="32"/>
        </w:rPr>
        <w:t>万元。与2022年度相比，收、支总计各增加</w:t>
      </w:r>
      <w:r>
        <w:rPr>
          <w:rFonts w:hint="eastAsia" w:ascii="仿宋_GB2312" w:hAnsi="仿宋_GB2312" w:eastAsia="仿宋_GB2312" w:cs="仿宋_GB2312"/>
          <w:sz w:val="32"/>
          <w:szCs w:val="32"/>
          <w:lang w:val="en-US" w:eastAsia="zh-CN"/>
        </w:rPr>
        <w:t>46.99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16.78</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新进了人员，人员经费支出增加</w:t>
      </w:r>
      <w:r>
        <w:rPr>
          <w:rFonts w:hint="eastAsia" w:ascii="仿宋_GB2312" w:hAnsi="仿宋_GB2312" w:eastAsia="仿宋_GB2312" w:cs="仿宋_GB2312"/>
          <w:sz w:val="32"/>
          <w:szCs w:val="32"/>
        </w:rPr>
        <w:t>。</w:t>
      </w:r>
    </w:p>
    <w:p>
      <w:pPr>
        <w:pStyle w:val="18"/>
      </w:pPr>
      <w:r>
        <w:drawing>
          <wp:inline distT="0" distB="0" distL="114300" distR="114300">
            <wp:extent cx="4772660" cy="2552700"/>
            <wp:effectExtent l="4445" t="4445" r="2349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6"/>
        <w:numPr>
          <w:ilvl w:val="0"/>
          <w:numId w:val="1"/>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2023年度收入合计</w:t>
      </w:r>
      <w:r>
        <w:rPr>
          <w:rFonts w:hint="eastAsia" w:ascii="仿宋_GB2312" w:hAnsi="仿宋_GB2312" w:eastAsia="仿宋_GB2312" w:cs="仿宋_GB2312"/>
          <w:sz w:val="32"/>
          <w:szCs w:val="32"/>
          <w:lang w:val="en-US" w:eastAsia="zh-CN"/>
        </w:rPr>
        <w:t>327.07</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322.07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98.47</w:t>
      </w:r>
      <w:r>
        <w:rPr>
          <w:rFonts w:hint="eastAsia" w:ascii="仿宋_GB2312" w:hAnsi="仿宋_GB2312" w:eastAsia="仿宋_GB2312" w:cs="仿宋_GB2312"/>
          <w:sz w:val="32"/>
          <w:szCs w:val="32"/>
        </w:rPr>
        <w:t>%；政府性基金预算财政拨款收入</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1.53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r>
        <w:drawing>
          <wp:anchor distT="0" distB="0" distL="114300" distR="114300" simplePos="0" relativeHeight="251659264" behindDoc="0" locked="0" layoutInCell="1" allowOverlap="1">
            <wp:simplePos x="0" y="0"/>
            <wp:positionH relativeFrom="column">
              <wp:posOffset>353695</wp:posOffset>
            </wp:positionH>
            <wp:positionV relativeFrom="paragraph">
              <wp:posOffset>40005</wp:posOffset>
            </wp:positionV>
            <wp:extent cx="4541520" cy="2298700"/>
            <wp:effectExtent l="4445" t="4445" r="6985" b="20955"/>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6"/>
        <w:numPr>
          <w:ilvl w:val="0"/>
          <w:numId w:val="1"/>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spacing w:line="600" w:lineRule="exact"/>
        <w:ind w:firstLine="640" w:firstLineChars="200"/>
        <w:outlineLvl w:val="1"/>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2023年度支出合计</w:t>
      </w:r>
      <w:r>
        <w:rPr>
          <w:rFonts w:hint="eastAsia" w:ascii="仿宋_GB2312" w:hAnsi="仿宋_GB2312" w:eastAsia="仿宋_GB2312" w:cs="仿宋_GB2312"/>
          <w:sz w:val="32"/>
          <w:szCs w:val="32"/>
          <w:lang w:val="en-US" w:eastAsia="zh-CN"/>
        </w:rPr>
        <w:t>327.07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322.07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98.47</w:t>
      </w:r>
      <w:r>
        <w:rPr>
          <w:rFonts w:hint="eastAsia" w:ascii="仿宋_GB2312" w:hAnsi="仿宋_GB2312" w:eastAsia="仿宋_GB2312" w:cs="仿宋_GB2312"/>
          <w:sz w:val="32"/>
          <w:szCs w:val="32"/>
        </w:rPr>
        <w:t>%；项目支出5万元，占</w:t>
      </w:r>
      <w:r>
        <w:rPr>
          <w:rFonts w:hint="eastAsia" w:ascii="仿宋_GB2312" w:hAnsi="仿宋_GB2312" w:eastAsia="仿宋_GB2312" w:cs="仿宋_GB2312"/>
          <w:sz w:val="32"/>
          <w:szCs w:val="32"/>
          <w:lang w:val="en-US" w:eastAsia="zh-CN"/>
        </w:rPr>
        <w:t>1.53</w:t>
      </w:r>
      <w:r>
        <w:rPr>
          <w:rFonts w:hint="eastAsia" w:ascii="仿宋_GB2312" w:hAnsi="仿宋_GB2312" w:eastAsia="仿宋_GB2312" w:cs="仿宋_GB2312"/>
          <w:sz w:val="32"/>
          <w:szCs w:val="32"/>
        </w:rPr>
        <w:t>%。</w:t>
      </w:r>
    </w:p>
    <w:p>
      <w:pPr>
        <w:pStyle w:val="18"/>
      </w:pPr>
      <w:r>
        <w:drawing>
          <wp:inline distT="0" distB="0" distL="114300" distR="114300">
            <wp:extent cx="4826000" cy="2743200"/>
            <wp:effectExtent l="4445" t="4445" r="8255" b="14605"/>
            <wp:docPr id="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343535</wp:posOffset>
            </wp:positionH>
            <wp:positionV relativeFrom="paragraph">
              <wp:posOffset>1345565</wp:posOffset>
            </wp:positionV>
            <wp:extent cx="4614545" cy="2404745"/>
            <wp:effectExtent l="4445" t="5080" r="10160" b="9525"/>
            <wp:wrapSquare wrapText="bothSides"/>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_GB2312" w:hAnsi="仿宋_GB2312" w:eastAsia="仿宋_GB2312" w:cs="仿宋_GB2312"/>
          <w:sz w:val="32"/>
          <w:szCs w:val="32"/>
        </w:rPr>
        <w:t>2023年度财政拨款收、支总计均为</w:t>
      </w:r>
      <w:r>
        <w:rPr>
          <w:rFonts w:hint="eastAsia" w:ascii="仿宋_GB2312" w:hAnsi="仿宋_GB2312" w:eastAsia="仿宋_GB2312" w:cs="仿宋_GB2312"/>
          <w:sz w:val="32"/>
          <w:szCs w:val="32"/>
          <w:lang w:val="en-US" w:eastAsia="zh-CN"/>
        </w:rPr>
        <w:t>327.07</w:t>
      </w:r>
      <w:r>
        <w:rPr>
          <w:rFonts w:hint="eastAsia" w:ascii="仿宋_GB2312" w:hAnsi="仿宋_GB2312" w:eastAsia="仿宋_GB2312" w:cs="仿宋_GB2312"/>
          <w:sz w:val="32"/>
          <w:szCs w:val="32"/>
        </w:rPr>
        <w:t>万元。与2022年度相比，财政拨款收、支总计各增加</w:t>
      </w:r>
      <w:r>
        <w:rPr>
          <w:rFonts w:hint="eastAsia" w:ascii="仿宋_GB2312" w:hAnsi="仿宋_GB2312" w:eastAsia="仿宋_GB2312" w:cs="仿宋_GB2312"/>
          <w:sz w:val="32"/>
          <w:szCs w:val="32"/>
          <w:lang w:val="en-US" w:eastAsia="zh-CN"/>
        </w:rPr>
        <w:t>46.99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16.78</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新进了人员，人员经费支出增加</w:t>
      </w:r>
      <w:r>
        <w:rPr>
          <w:rFonts w:hint="eastAsia" w:ascii="仿宋_GB2312" w:hAnsi="仿宋_GB2312" w:eastAsia="仿宋_GB2312" w:cs="仿宋_GB2312"/>
          <w:sz w:val="32"/>
          <w:szCs w:val="32"/>
        </w:rPr>
        <w:t>。</w:t>
      </w:r>
      <w:bookmarkStart w:id="26" w:name="_Toc15377209"/>
      <w:bookmarkStart w:id="27" w:name="_Toc15396607"/>
    </w:p>
    <w:p>
      <w:pPr>
        <w:pStyle w:val="18"/>
        <w:keepNext/>
        <w:keepLines/>
        <w:pageBreakBefore w:val="0"/>
        <w:widowControl w:val="0"/>
        <w:kinsoku/>
        <w:wordWrap/>
        <w:overflowPunct/>
        <w:topLinePunct w:val="0"/>
        <w:autoSpaceDE/>
        <w:autoSpaceDN/>
        <w:bidi w:val="0"/>
        <w:adjustRightInd/>
        <w:snapToGrid/>
        <w:spacing w:before="0" w:after="0" w:line="578" w:lineRule="exact"/>
        <w:textAlignment w:val="auto"/>
        <w:rPr>
          <w:rFonts w:hint="eastAsia" w:ascii="仿宋" w:hAnsi="仿宋" w:eastAsia="仿宋"/>
          <w:sz w:val="32"/>
          <w:szCs w:val="32"/>
          <w:highlight w:val="yellow"/>
        </w:rPr>
      </w:pPr>
    </w:p>
    <w:p>
      <w:pPr>
        <w:spacing w:line="600" w:lineRule="exact"/>
        <w:ind w:firstLine="640" w:firstLineChars="200"/>
        <w:outlineLvl w:val="1"/>
        <w:rPr>
          <w:rStyle w:val="28"/>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eastAsia" w:ascii="楷体_GB2312" w:hAnsi="楷体_GB2312" w:eastAsia="楷体_GB2312" w:cs="楷体_GB2312"/>
          <w:b w:val="0"/>
          <w:bCs/>
          <w:sz w:val="32"/>
          <w:szCs w:val="32"/>
        </w:rPr>
      </w:pPr>
      <w:bookmarkStart w:id="28" w:name="_Toc15377210"/>
      <w:r>
        <w:rPr>
          <w:rFonts w:hint="eastAsia" w:ascii="楷体_GB2312" w:hAnsi="楷体_GB2312" w:eastAsia="楷体_GB2312" w:cs="楷体_GB2312"/>
          <w:b w:val="0"/>
          <w:bCs/>
          <w:sz w:val="32"/>
          <w:szCs w:val="32"/>
        </w:rPr>
        <w:t>（一）一般公共预算财政拨款支出决算总体情况</w:t>
      </w:r>
      <w:bookmarkEnd w:id="2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2023年度一般公共预算财政拨款支出</w:t>
      </w:r>
      <w:r>
        <w:rPr>
          <w:rFonts w:hint="eastAsia" w:ascii="仿宋_GB2312" w:hAnsi="仿宋_GB2312" w:eastAsia="仿宋_GB2312" w:cs="仿宋_GB2312"/>
          <w:sz w:val="32"/>
          <w:szCs w:val="32"/>
          <w:lang w:val="en-US" w:eastAsia="zh-CN"/>
        </w:rPr>
        <w:t>322.07</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98.47</w:t>
      </w:r>
      <w:r>
        <w:rPr>
          <w:rFonts w:hint="eastAsia" w:ascii="仿宋_GB2312" w:hAnsi="仿宋_GB2312" w:eastAsia="仿宋_GB2312" w:cs="仿宋_GB2312"/>
          <w:sz w:val="32"/>
          <w:szCs w:val="32"/>
        </w:rPr>
        <w:t>%。与2022年度相比，一般公共预算财政拨款支出增加</w:t>
      </w:r>
      <w:r>
        <w:rPr>
          <w:rFonts w:hint="eastAsia" w:ascii="仿宋_GB2312" w:hAnsi="仿宋_GB2312" w:eastAsia="仿宋_GB2312" w:cs="仿宋_GB2312"/>
          <w:sz w:val="32"/>
          <w:szCs w:val="32"/>
          <w:lang w:val="en-US" w:eastAsia="zh-CN"/>
        </w:rPr>
        <w:t>51.49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19.03</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新进了人员，人员经费支出增加。</w:t>
      </w:r>
    </w:p>
    <w:p>
      <w:pPr>
        <w:pStyle w:val="18"/>
        <w:keepNext/>
        <w:keepLines/>
        <w:pageBreakBefore w:val="0"/>
        <w:widowControl w:val="0"/>
        <w:kinsoku/>
        <w:wordWrap/>
        <w:overflowPunct/>
        <w:topLinePunct w:val="0"/>
        <w:autoSpaceDE/>
        <w:autoSpaceDN/>
        <w:bidi w:val="0"/>
        <w:adjustRightInd/>
        <w:snapToGrid/>
        <w:spacing w:before="0" w:after="0" w:line="578" w:lineRule="exact"/>
        <w:textAlignment w:val="auto"/>
        <w:rPr>
          <w:rFonts w:hint="eastAsia" w:ascii="楷体_GB2312" w:hAnsi="楷体_GB2312" w:eastAsia="楷体_GB2312" w:cs="楷体_GB2312"/>
          <w:b w:val="0"/>
          <w:bCs/>
          <w:sz w:val="32"/>
          <w:szCs w:val="32"/>
        </w:rPr>
      </w:pPr>
      <w:r>
        <w:drawing>
          <wp:anchor distT="0" distB="0" distL="114300" distR="114300" simplePos="0" relativeHeight="251661312" behindDoc="0" locked="0" layoutInCell="1" allowOverlap="1">
            <wp:simplePos x="0" y="0"/>
            <wp:positionH relativeFrom="column">
              <wp:posOffset>333375</wp:posOffset>
            </wp:positionH>
            <wp:positionV relativeFrom="paragraph">
              <wp:posOffset>24130</wp:posOffset>
            </wp:positionV>
            <wp:extent cx="4382135" cy="2204085"/>
            <wp:effectExtent l="5080" t="4445" r="13335" b="20320"/>
            <wp:wrapTopAndBottom/>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29" w:name="_Toc15377211"/>
      <w:r>
        <w:rPr>
          <w:rFonts w:hint="eastAsia"/>
          <w:lang w:val="en-US" w:eastAsia="zh-CN"/>
        </w:rPr>
        <w:t xml:space="preserve">    </w:t>
      </w:r>
      <w:r>
        <w:rPr>
          <w:rFonts w:hint="eastAsia" w:ascii="楷体_GB2312" w:hAnsi="楷体_GB2312" w:eastAsia="楷体_GB2312" w:cs="楷体_GB2312"/>
          <w:b w:val="0"/>
          <w:bCs/>
          <w:sz w:val="32"/>
          <w:szCs w:val="32"/>
        </w:rPr>
        <w:t>（二）一般公共预算财政拨款支出决算结构情况</w:t>
      </w:r>
      <w:bookmarkEnd w:id="2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290830</wp:posOffset>
            </wp:positionH>
            <wp:positionV relativeFrom="paragraph">
              <wp:posOffset>1565275</wp:posOffset>
            </wp:positionV>
            <wp:extent cx="4645025" cy="2193925"/>
            <wp:effectExtent l="5080" t="4445" r="17145" b="11430"/>
            <wp:wrapTopAndBottom/>
            <wp:docPr id="1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_GB2312" w:hAnsi="仿宋_GB2312" w:eastAsia="仿宋_GB2312" w:cs="仿宋_GB2312"/>
          <w:sz w:val="32"/>
          <w:szCs w:val="32"/>
        </w:rPr>
        <w:t>2023年度一般公共预算财政拨款支出</w:t>
      </w:r>
      <w:r>
        <w:rPr>
          <w:rFonts w:hint="eastAsia" w:ascii="仿宋_GB2312" w:hAnsi="仿宋_GB2312" w:eastAsia="仿宋_GB2312" w:cs="仿宋_GB2312"/>
          <w:sz w:val="32"/>
          <w:szCs w:val="32"/>
          <w:lang w:val="en-US" w:eastAsia="zh-CN"/>
        </w:rPr>
        <w:t>322.07</w:t>
      </w:r>
      <w:r>
        <w:rPr>
          <w:rFonts w:hint="eastAsia" w:ascii="仿宋_GB2312" w:hAnsi="仿宋_GB2312" w:eastAsia="仿宋_GB2312" w:cs="仿宋_GB2312"/>
          <w:sz w:val="32"/>
          <w:szCs w:val="32"/>
        </w:rPr>
        <w:t>万元，主要用于以下方面:社会保障和就业支出</w:t>
      </w:r>
      <w:r>
        <w:rPr>
          <w:rFonts w:hint="eastAsia" w:ascii="仿宋_GB2312" w:hAnsi="仿宋_GB2312" w:eastAsia="仿宋_GB2312" w:cs="仿宋_GB2312"/>
          <w:sz w:val="32"/>
          <w:szCs w:val="32"/>
          <w:lang w:val="en-US" w:eastAsia="zh-CN"/>
        </w:rPr>
        <w:t>50.27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15.61</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11.88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3.68</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9.96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3.09</w:t>
      </w:r>
      <w:r>
        <w:rPr>
          <w:rFonts w:hint="eastAsia" w:ascii="仿宋_GB2312" w:hAnsi="仿宋_GB2312" w:eastAsia="仿宋_GB2312" w:cs="仿宋_GB2312"/>
          <w:sz w:val="32"/>
          <w:szCs w:val="32"/>
        </w:rPr>
        <w:t>%；城乡社区支出2</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.97</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77.62</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eastAsia" w:ascii="楷体_GB2312" w:hAnsi="楷体_GB2312" w:eastAsia="楷体_GB2312" w:cs="楷体_GB2312"/>
          <w:b w:val="0"/>
          <w:bCs/>
          <w:sz w:val="32"/>
          <w:szCs w:val="32"/>
        </w:rPr>
      </w:pPr>
      <w:bookmarkStart w:id="30" w:name="_Toc15377212"/>
      <w:r>
        <w:rPr>
          <w:rFonts w:hint="eastAsia" w:ascii="楷体_GB2312" w:hAnsi="楷体_GB2312" w:eastAsia="楷体_GB2312" w:cs="楷体_GB2312"/>
          <w:b w:val="0"/>
          <w:bCs/>
          <w:sz w:val="32"/>
          <w:szCs w:val="32"/>
        </w:rPr>
        <w:t>（三）一般公共预算财政拨款支出决算具体情况</w:t>
      </w:r>
      <w:bookmarkEnd w:id="3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bookmarkStart w:id="31" w:name="_Toc15377444"/>
      <w:bookmarkStart w:id="32" w:name="_Toc15377213"/>
      <w:bookmarkStart w:id="33" w:name="_Toc15378460"/>
      <w:r>
        <w:rPr>
          <w:rFonts w:hint="eastAsia" w:ascii="仿宋_GB2312" w:hAnsi="仿宋_GB2312" w:eastAsia="仿宋_GB2312" w:cs="仿宋_GB2312"/>
          <w:sz w:val="32"/>
          <w:szCs w:val="32"/>
        </w:rPr>
        <w:t>2023年度一般公共预算支出决算数为</w:t>
      </w:r>
      <w:r>
        <w:rPr>
          <w:rFonts w:hint="eastAsia" w:ascii="仿宋_GB2312" w:hAnsi="仿宋_GB2312" w:eastAsia="仿宋_GB2312" w:cs="仿宋_GB2312"/>
          <w:sz w:val="32"/>
          <w:szCs w:val="32"/>
          <w:lang w:val="en-US" w:eastAsia="zh-CN"/>
        </w:rPr>
        <w:t>322.07万元</w:t>
      </w:r>
      <w:r>
        <w:rPr>
          <w:rFonts w:hint="eastAsia" w:ascii="仿宋_GB2312" w:hAnsi="仿宋_GB2312" w:eastAsia="仿宋_GB2312" w:cs="仿宋_GB2312"/>
          <w:sz w:val="32"/>
          <w:szCs w:val="32"/>
        </w:rPr>
        <w:t>，完成预算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城乡社区支出（212）城乡社区管理事务（01）工程建设管理（06）: 支出决算为</w:t>
      </w:r>
      <w:r>
        <w:rPr>
          <w:rFonts w:hint="eastAsia" w:ascii="仿宋_GB2312" w:hAnsi="仿宋_GB2312" w:eastAsia="仿宋_GB2312" w:cs="仿宋_GB2312"/>
          <w:sz w:val="32"/>
          <w:szCs w:val="32"/>
          <w:lang w:val="en-US" w:eastAsia="zh-CN"/>
        </w:rPr>
        <w:t>249.97</w:t>
      </w:r>
      <w:r>
        <w:rPr>
          <w:rFonts w:hint="eastAsia" w:ascii="仿宋_GB2312" w:hAnsi="仿宋_GB2312" w:eastAsia="仿宋_GB2312" w:cs="仿宋_GB2312"/>
          <w:sz w:val="32"/>
          <w:szCs w:val="32"/>
        </w:rPr>
        <w:t>万元，完成预算100%。决算数等于预算数。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社会保障和就业支出（208）行政事业单位养老支出（05）事业单位离退休（0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4.24</w:t>
      </w:r>
      <w:r>
        <w:rPr>
          <w:rFonts w:hint="eastAsia" w:ascii="仿宋_GB2312" w:hAnsi="仿宋_GB2312" w:eastAsia="仿宋_GB2312" w:cs="仿宋_GB2312"/>
          <w:sz w:val="32"/>
          <w:szCs w:val="32"/>
        </w:rPr>
        <w:t>万元，完成预算100%。决算数等于预算数。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社会保障和就业支出（208）行政事业单位养老支出（05）机关事业单位基本养老保险缴费支出（0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18.43</w:t>
      </w:r>
      <w:r>
        <w:rPr>
          <w:rFonts w:hint="eastAsia" w:ascii="仿宋_GB2312" w:hAnsi="仿宋_GB2312" w:eastAsia="仿宋_GB2312" w:cs="仿宋_GB2312"/>
          <w:sz w:val="32"/>
          <w:szCs w:val="32"/>
        </w:rPr>
        <w:t>万元，完成预算100%。决算数等于预算数。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社会保障和就业支出（208）行政事业单位养老支出（05）机关事业单位职业年金缴费支出（0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11.33</w:t>
      </w:r>
      <w:r>
        <w:rPr>
          <w:rFonts w:hint="eastAsia" w:ascii="仿宋_GB2312" w:hAnsi="仿宋_GB2312" w:eastAsia="仿宋_GB2312" w:cs="仿宋_GB2312"/>
          <w:sz w:val="32"/>
          <w:szCs w:val="32"/>
        </w:rPr>
        <w:t>万元，完成预算100%。决算数等于预算数。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社会保障和就业支出（208）行政事业单位养老支出（05）</w:t>
      </w:r>
      <w:r>
        <w:rPr>
          <w:rFonts w:hint="eastAsia" w:ascii="仿宋_GB2312" w:hAnsi="仿宋_GB2312" w:eastAsia="仿宋_GB2312" w:cs="仿宋_GB2312"/>
          <w:sz w:val="32"/>
          <w:szCs w:val="32"/>
          <w:lang w:eastAsia="zh-CN"/>
        </w:rPr>
        <w:t>其他行政事业单位养老支出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14.76</w:t>
      </w:r>
      <w:r>
        <w:rPr>
          <w:rFonts w:hint="eastAsia" w:ascii="仿宋_GB2312" w:hAnsi="仿宋_GB2312" w:eastAsia="仿宋_GB2312" w:cs="仿宋_GB2312"/>
          <w:sz w:val="32"/>
          <w:szCs w:val="32"/>
        </w:rPr>
        <w:t>万元，完成预算100%。决算数等于预算数。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社会保障和就业支出（208）其他社会保障和就业支出（</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其他社会保障和就业支出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万元，完成预算100%。决算数等于预算数。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住房保障支出（221）住房改革支出（02）住房公积金（01）: 支出决算为</w:t>
      </w:r>
      <w:r>
        <w:rPr>
          <w:rFonts w:hint="eastAsia" w:ascii="仿宋_GB2312" w:hAnsi="仿宋_GB2312" w:eastAsia="仿宋_GB2312" w:cs="仿宋_GB2312"/>
          <w:sz w:val="32"/>
          <w:szCs w:val="32"/>
          <w:lang w:val="en-US" w:eastAsia="zh-CN"/>
        </w:rPr>
        <w:t>9.96</w:t>
      </w:r>
      <w:r>
        <w:rPr>
          <w:rFonts w:hint="eastAsia" w:ascii="仿宋_GB2312" w:hAnsi="仿宋_GB2312" w:eastAsia="仿宋_GB2312" w:cs="仿宋_GB2312"/>
          <w:sz w:val="32"/>
          <w:szCs w:val="32"/>
        </w:rPr>
        <w:t>万元，完成预算100%。决算数等于预算数。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卫生健康（210）行政事业单位医疗（11）事业单位医疗（02）:支出决算为</w:t>
      </w:r>
      <w:r>
        <w:rPr>
          <w:rFonts w:hint="eastAsia" w:ascii="仿宋_GB2312" w:hAnsi="仿宋_GB2312" w:eastAsia="仿宋_GB2312" w:cs="仿宋_GB2312"/>
          <w:sz w:val="32"/>
          <w:szCs w:val="32"/>
          <w:lang w:val="en-US" w:eastAsia="zh-CN"/>
        </w:rPr>
        <w:t>11.88</w:t>
      </w:r>
      <w:r>
        <w:rPr>
          <w:rFonts w:hint="eastAsia" w:ascii="仿宋_GB2312" w:hAnsi="仿宋_GB2312" w:eastAsia="仿宋_GB2312" w:cs="仿宋_GB2312"/>
          <w:sz w:val="32"/>
          <w:szCs w:val="32"/>
        </w:rPr>
        <w:t>万元，完成预算100%，决算数等于预算数。</w:t>
      </w:r>
    </w:p>
    <w:p>
      <w:pPr>
        <w:keepNext w:val="0"/>
        <w:keepLines w:val="0"/>
        <w:pageBreakBefore w:val="0"/>
        <w:widowControl w:val="0"/>
        <w:tabs>
          <w:tab w:val="right" w:pos="8306"/>
        </w:tabs>
        <w:kinsoku/>
        <w:wordWrap/>
        <w:overflowPunct/>
        <w:topLinePunct w:val="0"/>
        <w:autoSpaceDE/>
        <w:autoSpaceDN/>
        <w:bidi w:val="0"/>
        <w:adjustRightInd/>
        <w:snapToGrid/>
        <w:spacing w:line="578" w:lineRule="exact"/>
        <w:ind w:firstLine="640"/>
        <w:textAlignment w:val="auto"/>
        <w:outlineLvl w:val="1"/>
        <w:rPr>
          <w:rStyle w:val="28"/>
          <w:rFonts w:hint="eastAsia" w:ascii="仿宋_GB2312" w:hAnsi="仿宋_GB2312" w:eastAsia="仿宋_GB2312" w:cs="仿宋_GB2312"/>
        </w:rPr>
      </w:pPr>
      <w:bookmarkStart w:id="34" w:name="_Toc15377214"/>
      <w:bookmarkStart w:id="35" w:name="_Toc15396608"/>
      <w:r>
        <w:rPr>
          <w:rFonts w:hint="eastAsia" w:ascii="黑体" w:hAnsi="黑体" w:eastAsia="黑体" w:cs="黑体"/>
          <w:sz w:val="32"/>
          <w:szCs w:val="32"/>
        </w:rPr>
        <w:t>六</w:t>
      </w:r>
      <w:r>
        <w:rPr>
          <w:rFonts w:hint="eastAsia" w:ascii="黑体" w:hAnsi="黑体" w:eastAsia="黑体" w:cs="黑体"/>
          <w:b/>
          <w:sz w:val="32"/>
          <w:szCs w:val="32"/>
        </w:rPr>
        <w:t>、一</w:t>
      </w:r>
      <w:r>
        <w:rPr>
          <w:rStyle w:val="28"/>
          <w:rFonts w:hint="eastAsia" w:ascii="黑体" w:hAnsi="黑体" w:eastAsia="黑体" w:cs="黑体"/>
          <w:b w:val="0"/>
        </w:rPr>
        <w:t>般公共预算财政拨款基本支出决算情况说明</w:t>
      </w:r>
      <w:bookmarkEnd w:id="34"/>
      <w:bookmarkEnd w:id="35"/>
      <w:r>
        <w:rPr>
          <w:rStyle w:val="28"/>
          <w:rFonts w:hint="eastAsia" w:ascii="仿宋_GB2312" w:hAnsi="仿宋_GB2312" w:eastAsia="仿宋_GB2312" w:cs="仿宋_GB2312"/>
          <w:b w:val="0"/>
        </w:rPr>
        <w:tab/>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2023年度一般公共预算财政拨款基本支出</w:t>
      </w:r>
      <w:r>
        <w:rPr>
          <w:rFonts w:hint="eastAsia" w:ascii="仿宋_GB2312" w:hAnsi="仿宋_GB2312" w:eastAsia="仿宋_GB2312" w:cs="仿宋_GB2312"/>
          <w:sz w:val="32"/>
          <w:szCs w:val="32"/>
          <w:lang w:val="en-US" w:eastAsia="zh-CN"/>
        </w:rPr>
        <w:t>312.07</w:t>
      </w:r>
      <w:r>
        <w:rPr>
          <w:rFonts w:hint="eastAsia" w:ascii="仿宋_GB2312" w:hAnsi="仿宋_GB2312" w:eastAsia="仿宋_GB2312" w:cs="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285.9</w:t>
      </w:r>
      <w:r>
        <w:rPr>
          <w:rFonts w:hint="eastAsia" w:ascii="仿宋_GB2312" w:hAnsi="仿宋_GB2312" w:eastAsia="仿宋_GB2312" w:cs="仿宋_GB2312"/>
          <w:sz w:val="32"/>
          <w:szCs w:val="32"/>
        </w:rPr>
        <w:t>万元，主要包括：基本工资、津贴补贴、绩效工资、机关事业单位基本养老保险缴费、其他工资福利支出、生活补助、奖励金、住房公积金</w:t>
      </w:r>
      <w:r>
        <w:rPr>
          <w:rFonts w:hint="eastAsia" w:ascii="仿宋_GB2312" w:hAnsi="仿宋_GB2312" w:eastAsia="仿宋_GB2312" w:cs="仿宋_GB2312"/>
          <w:sz w:val="32"/>
          <w:szCs w:val="32"/>
          <w:lang w:eastAsia="zh-CN"/>
        </w:rPr>
        <w:t>、职工基本医疗保险缴费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w:t>
      </w:r>
      <w:r>
        <w:rPr>
          <w:rFonts w:hint="eastAsia" w:ascii="仿宋_GB2312" w:hAnsi="仿宋_GB2312" w:eastAsia="仿宋_GB2312" w:cs="仿宋_GB2312"/>
          <w:sz w:val="32"/>
          <w:szCs w:val="32"/>
          <w:lang w:val="en-US" w:eastAsia="zh-CN"/>
        </w:rPr>
        <w:t>26.17</w:t>
      </w:r>
      <w:r>
        <w:rPr>
          <w:rFonts w:hint="eastAsia" w:ascii="仿宋_GB2312" w:hAnsi="仿宋_GB2312" w:eastAsia="仿宋_GB2312" w:cs="仿宋_GB2312"/>
          <w:sz w:val="32"/>
          <w:szCs w:val="32"/>
        </w:rPr>
        <w:t>万元，主要包括：办公费、水费、电费、邮电费、差旅费、公务接待费、劳务费、工会经费、福利费、公务用车运行维护费、其他商品和服务支出等。</w:t>
      </w:r>
    </w:p>
    <w:p>
      <w:pPr>
        <w:keepNext w:val="0"/>
        <w:keepLines w:val="0"/>
        <w:pageBreakBefore w:val="0"/>
        <w:widowControl w:val="0"/>
        <w:tabs>
          <w:tab w:val="right" w:pos="8306"/>
        </w:tabs>
        <w:kinsoku/>
        <w:wordWrap/>
        <w:overflowPunct/>
        <w:topLinePunct w:val="0"/>
        <w:autoSpaceDE/>
        <w:autoSpaceDN/>
        <w:bidi w:val="0"/>
        <w:adjustRightInd/>
        <w:snapToGrid/>
        <w:spacing w:line="578" w:lineRule="exact"/>
        <w:ind w:firstLine="640"/>
        <w:textAlignment w:val="auto"/>
        <w:outlineLvl w:val="1"/>
        <w:rPr>
          <w:rFonts w:hint="eastAsia" w:ascii="黑体" w:hAnsi="黑体" w:eastAsia="黑体" w:cs="黑体"/>
          <w:sz w:val="32"/>
          <w:szCs w:val="32"/>
        </w:rPr>
      </w:pPr>
      <w:bookmarkStart w:id="36" w:name="_Toc15377215"/>
      <w:bookmarkStart w:id="37" w:name="_Toc15396609"/>
      <w:r>
        <w:rPr>
          <w:rFonts w:hint="eastAsia" w:ascii="黑体" w:hAnsi="黑体" w:eastAsia="黑体" w:cs="黑体"/>
          <w:sz w:val="32"/>
          <w:szCs w:val="32"/>
        </w:rPr>
        <w:t>七、财政拨款“三公”经费支出决算情况说明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2"/>
        <w:rPr>
          <w:rFonts w:hint="eastAsia" w:ascii="仿宋_GB2312" w:hAnsi="仿宋_GB2312" w:eastAsia="仿宋_GB2312" w:cs="仿宋_GB2312"/>
          <w:b w:val="0"/>
          <w:bCs/>
          <w:sz w:val="32"/>
          <w:szCs w:val="32"/>
        </w:rPr>
      </w:pPr>
      <w:bookmarkStart w:id="38" w:name="_Toc15377216"/>
      <w:r>
        <w:rPr>
          <w:rFonts w:hint="eastAsia" w:ascii="仿宋_GB2312" w:hAnsi="仿宋_GB2312" w:eastAsia="仿宋_GB2312" w:cs="仿宋_GB2312"/>
          <w:b w:val="0"/>
          <w:bCs/>
          <w:sz w:val="32"/>
          <w:szCs w:val="32"/>
        </w:rPr>
        <w:t>（一）“三公”经费财政拨款支出决算总体情况说明</w:t>
      </w:r>
      <w:bookmarkEnd w:id="38"/>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2023年度“三公”经费财政拨款支出决算为</w:t>
      </w:r>
      <w:r>
        <w:rPr>
          <w:rFonts w:hint="eastAsia" w:ascii="仿宋_GB2312" w:hAnsi="仿宋_GB2312" w:eastAsia="仿宋_GB2312" w:cs="仿宋_GB2312"/>
          <w:sz w:val="32"/>
          <w:szCs w:val="32"/>
          <w:lang w:val="en-US" w:eastAsia="zh-CN"/>
        </w:rPr>
        <w:t>0.53</w:t>
      </w:r>
      <w:r>
        <w:rPr>
          <w:rFonts w:hint="eastAsia" w:ascii="仿宋_GB2312" w:hAnsi="仿宋_GB2312" w:eastAsia="仿宋_GB2312" w:cs="仿宋_GB2312"/>
          <w:sz w:val="32"/>
          <w:szCs w:val="32"/>
        </w:rPr>
        <w:t>万元，完成预算100%，较上年度减少</w:t>
      </w:r>
      <w:r>
        <w:rPr>
          <w:rFonts w:hint="eastAsia" w:ascii="仿宋_GB2312" w:hAnsi="仿宋_GB2312" w:eastAsia="仿宋_GB2312" w:cs="仿宋_GB2312"/>
          <w:sz w:val="32"/>
          <w:szCs w:val="32"/>
          <w:lang w:val="en-US" w:eastAsia="zh-CN"/>
        </w:rPr>
        <w:t>2.77</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83.94</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经费科目进行了调整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2"/>
        <w:rPr>
          <w:rFonts w:hint="eastAsia" w:ascii="仿宋_GB2312" w:hAnsi="仿宋_GB2312" w:eastAsia="仿宋_GB2312" w:cs="仿宋_GB2312"/>
          <w:b w:val="0"/>
          <w:bCs/>
          <w:sz w:val="32"/>
          <w:szCs w:val="32"/>
        </w:rPr>
      </w:pPr>
      <w:bookmarkStart w:id="39" w:name="_Toc15377217"/>
      <w:r>
        <w:rPr>
          <w:rFonts w:hint="eastAsia" w:ascii="仿宋_GB2312" w:hAnsi="仿宋_GB2312" w:eastAsia="仿宋_GB2312" w:cs="仿宋_GB2312"/>
          <w:b w:val="0"/>
          <w:bCs/>
          <w:sz w:val="32"/>
          <w:szCs w:val="32"/>
        </w:rPr>
        <w:t>（二）“三公”经费财政拨款支出决算具体情况说明</w:t>
      </w:r>
      <w:bookmarkEnd w:id="3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2023年度“三公”经费财政拨款支出决算中，公务用车购置及运行维护费支出决算</w:t>
      </w:r>
      <w:r>
        <w:rPr>
          <w:rFonts w:hint="eastAsia" w:ascii="仿宋_GB2312" w:hAnsi="仿宋_GB2312" w:eastAsia="仿宋_GB2312" w:cs="仿宋_GB2312"/>
          <w:sz w:val="32"/>
          <w:szCs w:val="32"/>
          <w:lang w:val="en-US" w:eastAsia="zh-CN"/>
        </w:rPr>
        <w:t>0.38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71.70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0.15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28.3</w:t>
      </w:r>
      <w:r>
        <w:rPr>
          <w:rFonts w:hint="eastAsia" w:ascii="仿宋_GB2312" w:hAnsi="仿宋_GB2312" w:eastAsia="仿宋_GB2312" w:cs="仿宋_GB2312"/>
          <w:sz w:val="32"/>
          <w:szCs w:val="32"/>
        </w:rPr>
        <w:t>%。具体情况如下：</w:t>
      </w:r>
    </w:p>
    <w:p>
      <w:pPr>
        <w:pStyle w:val="2"/>
        <w:rPr>
          <w:rFonts w:ascii="仿宋" w:hAnsi="仿宋" w:eastAsia="仿宋"/>
          <w:sz w:val="32"/>
          <w:szCs w:val="32"/>
        </w:rPr>
      </w:pPr>
      <w:r>
        <w:drawing>
          <wp:inline distT="0" distB="0" distL="114300" distR="114300">
            <wp:extent cx="4826000" cy="2743200"/>
            <wp:effectExtent l="4445" t="4445" r="8255" b="14605"/>
            <wp:docPr id="1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firstLine="640" w:firstLineChars="200"/>
        <w:rPr>
          <w:rFonts w:hint="eastAsia" w:ascii="仿宋_GB2312" w:hAnsi="仿宋_GB2312" w:eastAsia="仿宋_GB2312" w:cs="仿宋_GB2312"/>
          <w:sz w:val="32"/>
          <w:szCs w:val="32"/>
        </w:rPr>
      </w:pPr>
      <w:bookmarkStart w:id="40" w:name="_Toc15377218"/>
      <w:bookmarkStart w:id="41" w:name="_Toc15396610"/>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.公务用车购置及运行维护费支出</w:t>
      </w:r>
      <w:r>
        <w:rPr>
          <w:rFonts w:hint="eastAsia" w:ascii="仿宋_GB2312" w:hAnsi="仿宋_GB2312" w:eastAsia="仿宋_GB2312" w:cs="仿宋_GB2312"/>
          <w:sz w:val="32"/>
          <w:szCs w:val="32"/>
          <w:lang w:val="en-US" w:eastAsia="zh-CN"/>
        </w:rPr>
        <w:t>0.38</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%。公务用车购置及运行维护费支出决算比2022年度减少</w:t>
      </w:r>
      <w:r>
        <w:rPr>
          <w:rFonts w:hint="eastAsia" w:ascii="仿宋_GB2312" w:hAnsi="仿宋_GB2312" w:eastAsia="仿宋_GB2312" w:cs="仿宋_GB2312"/>
          <w:sz w:val="32"/>
          <w:szCs w:val="32"/>
          <w:lang w:val="en-US" w:eastAsia="zh-CN"/>
        </w:rPr>
        <w:t>2.62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下降</w:t>
      </w:r>
      <w:r>
        <w:rPr>
          <w:rFonts w:hint="eastAsia" w:ascii="仿宋_GB2312" w:hAnsi="仿宋_GB2312" w:eastAsia="仿宋_GB2312" w:cs="仿宋_GB2312"/>
          <w:sz w:val="32"/>
          <w:szCs w:val="32"/>
          <w:lang w:val="en-US" w:eastAsia="zh-CN"/>
        </w:rPr>
        <w:t>87.33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经费科目进行了调整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其中：公务用车购置支出0万元。全年按规定更新购置公务用车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辆。截至2023年12月31日，单位共有公务用车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辆，其中：轿车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辆、越野车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辆、载客汽车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w:t>
      </w:r>
      <w:r>
        <w:rPr>
          <w:rFonts w:hint="eastAsia" w:ascii="仿宋_GB2312" w:hAnsi="仿宋_GB2312" w:eastAsia="仿宋_GB2312" w:cs="仿宋_GB2312"/>
          <w:sz w:val="32"/>
          <w:szCs w:val="32"/>
          <w:lang w:val="en-US" w:eastAsia="zh-CN"/>
        </w:rPr>
        <w:t>0.38</w:t>
      </w:r>
      <w:r>
        <w:rPr>
          <w:rFonts w:hint="eastAsia" w:ascii="仿宋_GB2312" w:hAnsi="仿宋_GB2312" w:eastAsia="仿宋_GB2312" w:cs="仿宋_GB2312"/>
          <w:sz w:val="32"/>
          <w:szCs w:val="32"/>
        </w:rPr>
        <w:t>万元。主要用于所需的公务用车燃料费、维修费、过路过桥费、保险费等支出。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.公务接待费支出</w:t>
      </w:r>
      <w:r>
        <w:rPr>
          <w:rFonts w:hint="eastAsia" w:ascii="仿宋_GB2312" w:hAnsi="仿宋_GB2312" w:eastAsia="仿宋_GB2312" w:cs="仿宋_GB2312"/>
          <w:sz w:val="32"/>
          <w:szCs w:val="32"/>
          <w:lang w:val="en-US" w:eastAsia="zh-CN"/>
        </w:rPr>
        <w:t>0.15</w:t>
      </w:r>
      <w:r>
        <w:rPr>
          <w:rFonts w:hint="eastAsia" w:ascii="仿宋_GB2312" w:hAnsi="仿宋_GB2312" w:eastAsia="仿宋_GB2312" w:cs="仿宋_GB2312"/>
          <w:sz w:val="32"/>
          <w:szCs w:val="32"/>
        </w:rPr>
        <w:t>万元，完成预算100%。公务接待费支出决算比2022年度减少</w:t>
      </w:r>
      <w:r>
        <w:rPr>
          <w:rFonts w:hint="eastAsia" w:ascii="仿宋_GB2312" w:hAnsi="仿宋_GB2312" w:eastAsia="仿宋_GB2312" w:cs="仿宋_GB2312"/>
          <w:sz w:val="32"/>
          <w:szCs w:val="32"/>
          <w:lang w:val="en-US" w:eastAsia="zh-CN"/>
        </w:rPr>
        <w:t>0.15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公务接待减少</w:t>
      </w:r>
      <w:r>
        <w:rPr>
          <w:rFonts w:hint="eastAsia" w:ascii="仿宋_GB2312" w:hAnsi="仿宋_GB2312" w:eastAsia="仿宋_GB2312" w:cs="仿宋_GB2312"/>
          <w:sz w:val="32"/>
          <w:szCs w:val="32"/>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国内公务接待支出</w:t>
      </w:r>
      <w:r>
        <w:rPr>
          <w:rFonts w:hint="eastAsia" w:ascii="仿宋_GB2312" w:hAnsi="仿宋_GB2312" w:eastAsia="仿宋_GB2312" w:cs="仿宋_GB2312"/>
          <w:sz w:val="32"/>
          <w:szCs w:val="32"/>
          <w:lang w:val="en-US" w:eastAsia="zh-CN"/>
        </w:rPr>
        <w:t>0.15</w:t>
      </w:r>
      <w:r>
        <w:rPr>
          <w:rFonts w:hint="eastAsia" w:ascii="仿宋_GB2312" w:hAnsi="仿宋_GB2312" w:eastAsia="仿宋_GB2312" w:cs="仿宋_GB2312"/>
          <w:sz w:val="32"/>
          <w:szCs w:val="32"/>
        </w:rPr>
        <w:t>万元，主要用于用餐费等。国内公务接待</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人次（不包括陪同人员），共计支出</w:t>
      </w:r>
      <w:r>
        <w:rPr>
          <w:rFonts w:hint="eastAsia" w:ascii="仿宋_GB2312" w:hAnsi="仿宋_GB2312" w:eastAsia="仿宋_GB2312" w:cs="仿宋_GB2312"/>
          <w:sz w:val="32"/>
          <w:szCs w:val="32"/>
          <w:lang w:val="en-US" w:eastAsia="zh-CN"/>
        </w:rPr>
        <w:t>0.15</w:t>
      </w:r>
      <w:r>
        <w:rPr>
          <w:rFonts w:hint="eastAsia" w:ascii="仿宋_GB2312" w:hAnsi="仿宋_GB2312" w:eastAsia="仿宋_GB2312" w:cs="仿宋_GB2312"/>
          <w:sz w:val="32"/>
          <w:szCs w:val="32"/>
        </w:rPr>
        <w:t>万元，具体内容包括：</w:t>
      </w:r>
      <w:r>
        <w:rPr>
          <w:rFonts w:hint="eastAsia" w:ascii="仿宋_GB2312" w:hAnsi="仿宋_GB2312" w:eastAsia="仿宋_GB2312" w:cs="仿宋_GB2312"/>
          <w:sz w:val="32"/>
          <w:szCs w:val="32"/>
          <w:lang w:eastAsia="zh-CN"/>
        </w:rPr>
        <w:t>接待上级部门来竹指导工作和检查工作的工作餐费用共计</w:t>
      </w:r>
      <w:r>
        <w:rPr>
          <w:rFonts w:hint="eastAsia" w:ascii="仿宋_GB2312" w:hAnsi="仿宋_GB2312" w:eastAsia="仿宋_GB2312" w:cs="仿宋_GB2312"/>
          <w:sz w:val="32"/>
          <w:szCs w:val="32"/>
          <w:lang w:val="en-US" w:eastAsia="zh-CN"/>
        </w:rPr>
        <w:t>0.15万元</w:t>
      </w:r>
      <w:r>
        <w:rPr>
          <w:rFonts w:hint="eastAsia" w:ascii="仿宋_GB2312" w:hAnsi="仿宋_GB2312" w:eastAsia="仿宋_GB2312" w:cs="仿宋_GB2312"/>
          <w:sz w:val="32"/>
          <w:szCs w:val="32"/>
        </w:rPr>
        <w:t>。</w:t>
      </w:r>
    </w:p>
    <w:p>
      <w:pPr>
        <w:keepNext w:val="0"/>
        <w:keepLines w:val="0"/>
        <w:pageBreakBefore w:val="0"/>
        <w:widowControl w:val="0"/>
        <w:numPr>
          <w:numId w:val="0"/>
        </w:numPr>
        <w:kinsoku/>
        <w:wordWrap/>
        <w:overflowPunct/>
        <w:topLinePunct w:val="0"/>
        <w:bidi w:val="0"/>
        <w:snapToGrid/>
        <w:spacing w:line="578" w:lineRule="exact"/>
        <w:ind w:firstLine="640" w:firstLineChars="200"/>
        <w:textAlignment w:val="auto"/>
        <w:outlineLvl w:val="1"/>
        <w:rPr>
          <w:rStyle w:val="28"/>
          <w:rFonts w:hint="eastAsia" w:ascii="黑体" w:hAnsi="黑体" w:eastAsia="黑体" w:cs="黑体"/>
          <w:b w:val="0"/>
        </w:rPr>
      </w:pPr>
      <w:r>
        <w:rPr>
          <w:rStyle w:val="28"/>
          <w:rFonts w:hint="eastAsia" w:ascii="黑体" w:hAnsi="黑体" w:eastAsia="黑体" w:cs="黑体"/>
          <w:b w:val="0"/>
        </w:rPr>
        <w:t>八、政府性基金预算支出决算情况说明</w:t>
      </w:r>
      <w:bookmarkEnd w:id="40"/>
      <w:bookmarkEnd w:id="41"/>
    </w:p>
    <w:p>
      <w:pPr>
        <w:keepNext w:val="0"/>
        <w:keepLines w:val="0"/>
        <w:pageBreakBefore w:val="0"/>
        <w:widowControl w:val="0"/>
        <w:kinsoku/>
        <w:wordWrap/>
        <w:overflowPunct/>
        <w:topLinePunct w:val="0"/>
        <w:bidi w:val="0"/>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2023年度政府性基金预算财政拨款支出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p>
    <w:p>
      <w:pPr>
        <w:keepNext w:val="0"/>
        <w:keepLines w:val="0"/>
        <w:pageBreakBefore w:val="0"/>
        <w:widowControl w:val="0"/>
        <w:numPr>
          <w:ilvl w:val="0"/>
          <w:numId w:val="2"/>
        </w:numPr>
        <w:kinsoku/>
        <w:wordWrap/>
        <w:overflowPunct/>
        <w:topLinePunct w:val="0"/>
        <w:bidi w:val="0"/>
        <w:snapToGrid/>
        <w:spacing w:line="578" w:lineRule="exact"/>
        <w:ind w:firstLine="640"/>
        <w:textAlignment w:val="auto"/>
        <w:outlineLvl w:val="1"/>
        <w:rPr>
          <w:rStyle w:val="28"/>
          <w:rFonts w:hint="eastAsia" w:ascii="黑体" w:hAnsi="黑体" w:eastAsia="黑体" w:cs="黑体"/>
          <w:b w:val="0"/>
        </w:rPr>
      </w:pPr>
      <w:bookmarkStart w:id="42" w:name="_Toc15396611"/>
      <w:bookmarkStart w:id="43" w:name="_Toc15377219"/>
      <w:r>
        <w:rPr>
          <w:rStyle w:val="28"/>
          <w:rFonts w:hint="eastAsia" w:ascii="黑体" w:hAnsi="黑体" w:eastAsia="黑体" w:cs="黑体"/>
          <w:b w:val="0"/>
        </w:rPr>
        <w:t>国有资本经营预算支出决算情况说明</w:t>
      </w:r>
      <w:bookmarkEnd w:id="42"/>
      <w:bookmarkEnd w:id="43"/>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2023年度国有资本经营预算财政拨款支出0万元。</w:t>
      </w:r>
    </w:p>
    <w:p>
      <w:pPr>
        <w:keepNext w:val="0"/>
        <w:keepLines w:val="0"/>
        <w:pageBreakBefore w:val="0"/>
        <w:widowControl w:val="0"/>
        <w:numPr>
          <w:ilvl w:val="0"/>
          <w:numId w:val="2"/>
        </w:numPr>
        <w:kinsoku/>
        <w:wordWrap/>
        <w:overflowPunct/>
        <w:topLinePunct w:val="0"/>
        <w:bidi w:val="0"/>
        <w:snapToGrid/>
        <w:spacing w:line="578" w:lineRule="exact"/>
        <w:ind w:firstLine="640"/>
        <w:textAlignment w:val="auto"/>
        <w:outlineLvl w:val="1"/>
        <w:rPr>
          <w:rStyle w:val="28"/>
          <w:rFonts w:hint="eastAsia" w:ascii="黑体" w:hAnsi="黑体" w:eastAsia="黑体" w:cs="黑体"/>
          <w:b w:val="0"/>
        </w:rPr>
      </w:pPr>
      <w:bookmarkStart w:id="44" w:name="_Toc15396612"/>
      <w:bookmarkStart w:id="45" w:name="_Toc15377221"/>
      <w:r>
        <w:rPr>
          <w:rStyle w:val="28"/>
          <w:rFonts w:hint="eastAsia" w:ascii="黑体" w:hAnsi="黑体" w:eastAsia="黑体" w:cs="黑体"/>
          <w:b w:val="0"/>
        </w:rPr>
        <w:t>其他重要事项的情况说明</w:t>
      </w:r>
      <w:bookmarkEnd w:id="44"/>
      <w:bookmarkEnd w:id="45"/>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outlineLvl w:val="2"/>
        <w:rPr>
          <w:rFonts w:hint="eastAsia" w:ascii="楷体_GB2312" w:hAnsi="楷体_GB2312" w:eastAsia="楷体_GB2312" w:cs="楷体_GB2312"/>
          <w:b w:val="0"/>
          <w:bCs/>
          <w:sz w:val="32"/>
          <w:szCs w:val="32"/>
        </w:rPr>
      </w:pPr>
      <w:bookmarkStart w:id="46" w:name="_Toc15377222"/>
      <w:r>
        <w:rPr>
          <w:rFonts w:hint="eastAsia" w:ascii="楷体_GB2312" w:hAnsi="楷体_GB2312" w:eastAsia="楷体_GB2312" w:cs="楷体_GB2312"/>
          <w:b w:val="0"/>
          <w:bCs/>
          <w:sz w:val="32"/>
          <w:szCs w:val="32"/>
        </w:rPr>
        <w:t>（一）机关运行经费支出情况</w:t>
      </w:r>
      <w:bookmarkEnd w:id="46"/>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本单位执行事业单位会计制度，无机关运行经费支出。</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outlineLvl w:val="2"/>
        <w:rPr>
          <w:rFonts w:hint="eastAsia" w:ascii="楷体_GB2312" w:hAnsi="楷体_GB2312" w:eastAsia="楷体_GB2312" w:cs="楷体_GB2312"/>
          <w:b w:val="0"/>
          <w:bCs/>
          <w:sz w:val="32"/>
          <w:szCs w:val="32"/>
        </w:rPr>
      </w:pPr>
      <w:bookmarkStart w:id="47" w:name="_Toc15377223"/>
      <w:r>
        <w:rPr>
          <w:rFonts w:hint="eastAsia" w:ascii="楷体_GB2312" w:hAnsi="楷体_GB2312" w:eastAsia="楷体_GB2312" w:cs="楷体_GB2312"/>
          <w:b w:val="0"/>
          <w:bCs/>
          <w:sz w:val="32"/>
          <w:szCs w:val="32"/>
        </w:rPr>
        <w:t>（二）政府采购支出情况</w:t>
      </w:r>
      <w:bookmarkEnd w:id="47"/>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outlineLvl w:val="2"/>
        <w:rPr>
          <w:rFonts w:hint="eastAsia" w:ascii="楷体_GB2312" w:hAnsi="楷体_GB2312" w:eastAsia="楷体_GB2312" w:cs="楷体_GB2312"/>
          <w:b w:val="0"/>
          <w:bCs/>
          <w:sz w:val="32"/>
          <w:szCs w:val="32"/>
        </w:rPr>
      </w:pPr>
      <w:bookmarkStart w:id="48" w:name="_Toc15377224"/>
      <w:r>
        <w:rPr>
          <w:rFonts w:hint="eastAsia" w:ascii="楷体_GB2312" w:hAnsi="楷体_GB2312" w:eastAsia="楷体_GB2312" w:cs="楷体_GB2312"/>
          <w:b w:val="0"/>
          <w:bCs/>
          <w:sz w:val="32"/>
          <w:szCs w:val="32"/>
        </w:rPr>
        <w:t>（三）国有资产占有使用情况</w:t>
      </w:r>
      <w:bookmarkEnd w:id="48"/>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辆，其中：主要领导干部用车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单价100万元以上专用设备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台（套）。</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outlineLvl w:val="2"/>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（四）预算绩效管理情况</w:t>
      </w:r>
    </w:p>
    <w:p>
      <w:pPr>
        <w:pStyle w:val="2"/>
        <w:keepNext w:val="0"/>
        <w:keepLines w:val="0"/>
        <w:pageBreakBefore w:val="0"/>
        <w:widowControl w:val="0"/>
        <w:kinsoku/>
        <w:wordWrap/>
        <w:overflowPunct/>
        <w:topLinePunct w:val="0"/>
        <w:autoSpaceDE/>
        <w:autoSpaceDN/>
        <w:bidi w:val="0"/>
        <w:adjustRightInd/>
        <w:snapToGrid/>
        <w:spacing w:beforeLines="0" w:line="578" w:lineRule="exact"/>
        <w:ind w:firstLine="640" w:firstLineChars="200"/>
        <w:textAlignment w:val="auto"/>
        <w:rPr>
          <w:rFonts w:hint="eastAsia" w:ascii="仿宋_GB2312" w:hAnsi="仿宋_GB2312" w:eastAsia="仿宋_GB2312" w:cs="仿宋_GB2312"/>
          <w:color w:val="auto"/>
          <w:highlight w:val="yellow"/>
        </w:rPr>
      </w:pPr>
      <w:r>
        <w:rPr>
          <w:rFonts w:hint="eastAsia" w:ascii="仿宋_GB2312" w:hAnsi="仿宋_GB2312" w:eastAsia="仿宋_GB2312" w:cs="仿宋_GB2312"/>
          <w:kern w:val="2"/>
          <w:sz w:val="32"/>
          <w:szCs w:val="32"/>
          <w:lang w:val="en-US" w:eastAsia="zh-CN" w:bidi="ar-SA"/>
        </w:rPr>
        <w:t>根据预算绩效管理要求，本单位在2023年度预算编制阶段，组织对视频监控设备项目等1个项目开展了预算事前绩效评估，对1个项目编制了绩效目标，预算执行过程中，选取1个项目开展绩效监控，组织对1个项目开展绩效自评，绩效自评表详见第四部分附件。</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3"/>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2.事业收入：指事业单位开展专业业务活动及辅助活动取得的收入。如…（二级预算单位事业收入情况）等。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3.经营收入：指事业单位在专业业务活动及其辅助活动之外开展非独立核算经营活动取得的收入。如…（二级预算单位经营收入情况）等。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4.其他收入：指单位取得的除上述收入以外的各项收入。主要是…（收入类型）等。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5.使用非财政拨款结余（含专用结余）：指事业单位使用以前年度积累的非财政拨款结余弥补当年收支差额的金额。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7.结余分配：指事业单位按照会计制度规定缴纳的所得税、提取的专用结余以及转入非财政拨款结余的金额等。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.社会保障和就业（类）…（款）…（项）：指事业单位离退休</w:t>
      </w:r>
      <w:r>
        <w:rPr>
          <w:rFonts w:hint="eastAsia" w:ascii="仿宋_GB2312" w:hAnsi="仿宋_GB2312" w:eastAsia="仿宋_GB2312" w:cs="仿宋_GB2312"/>
          <w:sz w:val="32"/>
          <w:szCs w:val="32"/>
          <w:lang w:eastAsia="zh-CN"/>
        </w:rPr>
        <w:t>、机关事业单位基本养老保险缴费支出、机关事业单位职业年金缴费支出、其他行政事业单位养老支出、其他社会保障和就业支出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.卫生健康（类）…（款）…（项）：指事业单位医疗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.城乡社区（类）…（款）…（项）：指工程建设管理</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.住房保障（类）…（款）…（项）：指住房公积金</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 xml:space="preserve">.项目支出：指在基本支出之外为完成特定行政任务和事业发展目标所发生的支出。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hint="eastAsia" w:ascii="黑体" w:hAnsi="黑体" w:eastAsia="黑体"/>
          <w:sz w:val="44"/>
          <w:szCs w:val="44"/>
        </w:rPr>
      </w:pPr>
      <w:bookmarkStart w:id="51" w:name="_Toc15396614"/>
      <w:bookmarkStart w:id="52" w:name="_Toc15377226"/>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Style w:val="27"/>
          <w:rFonts w:ascii="黑体" w:hAnsi="黑体" w:eastAsia="黑体"/>
          <w:b w:val="0"/>
        </w:rPr>
      </w:pPr>
      <w:r>
        <w:rPr>
          <w:rFonts w:hint="eastAsia" w:ascii="黑体" w:hAnsi="黑体" w:eastAsia="黑体"/>
          <w:sz w:val="44"/>
          <w:szCs w:val="44"/>
        </w:rPr>
        <w:t>第</w:t>
      </w:r>
      <w:r>
        <w:rPr>
          <w:rStyle w:val="27"/>
          <w:rFonts w:hint="eastAsia" w:ascii="黑体" w:hAnsi="黑体" w:eastAsia="黑体"/>
          <w:b w:val="0"/>
        </w:rPr>
        <w:t>四部分 附件</w:t>
      </w:r>
      <w:bookmarkEnd w:id="51"/>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pPr>
        <w:pStyle w:val="13"/>
        <w:spacing w:line="560" w:lineRule="exact"/>
        <w:ind w:left="0" w:leftChars="0" w:firstLine="640"/>
        <w:rPr>
          <w:sz w:val="32"/>
        </w:rPr>
      </w:pPr>
    </w:p>
    <w:tbl>
      <w:tblPr>
        <w:tblStyle w:val="14"/>
        <w:tblW w:w="82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90"/>
        <w:gridCol w:w="853"/>
        <w:gridCol w:w="1247"/>
        <w:gridCol w:w="396"/>
        <w:gridCol w:w="774"/>
        <w:gridCol w:w="396"/>
        <w:gridCol w:w="846"/>
        <w:gridCol w:w="486"/>
        <w:gridCol w:w="396"/>
        <w:gridCol w:w="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3967"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3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2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6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9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11.55</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14.76</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14.76</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11.55</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14.76</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14.76</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51172421R000000067493-其他人员经费（大竹）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51172421R000000068124-县级单位在编在职人员经费（事业）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188.86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197.51</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197.51</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188.86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197.51</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197.51</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51172421R000000068126-基本养老保险（事业）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18.44</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18.44</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18.44</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18.44</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51172421R000000068127-基本医疗保险（含生育保险）（事业）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9.54</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9.54</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51172421R000000068129-补充医疗保险（事业）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0.58</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0.58</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0.58</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0.58</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51172421R000000068130-住房公积金（事业）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22.66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9.96</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9.96</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22.66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9.96</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9.96</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51172421Y000000067517-县级单位定额公用经费（事业）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18.24</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18.80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18.80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18.24</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18.80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18.80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51172421Y000000067530-工会经费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51172421Y000000067532-福利费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51172421Y000000067533-党建经费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0.75</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0.75</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0.75</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0.75</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51172421Y000000067536-公务用车经费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0.38</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0.38</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0.38</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0.38</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51172422R000005726291-退休人员一次性补贴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51172422R000006093521-职业年金（事业）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11.33</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11.33</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11.33</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11.33</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51172423R000007610789-工伤保险（事业）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51172423R000007931981-年终绩效考核奖（事业）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10.01</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10.01</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10.01</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10.01</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51172423T000008606504-视频设备维保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应于2022年1月1日，用50000元费用来开展督促工地文明施工,扬尘治理等工作，实现全县文明施工的目标。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故障设备维护数量</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故障设备维修验收合格率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故障设备维修处理时间</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监控维保人员服务质量</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监控系统使用人员满意度</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监控系统维护费</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维修人员人工费等</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51172423Y000008606608-建筑施工消防工程现场质量监管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应于2023年1月1日，用20000元费用来开展对全县工程质量实时监控，实现全县工程安全保质的建设目标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监管工程数量</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工程质量评价</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全天24小时监控</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持续监管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社会工程满意度评价</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消防工程质量监管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建筑工程质量监管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51172423Y000008606697-监督工作经费、监督抽查和监督检测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应于2023年1月1日，用30000元费用对全县办理了监督登记的在建项目进行建材抽样检测，确保全县工程建材保质保量的目标得以完成。</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抽取建材数量</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监管建材质量</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检测建材合格时间</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持续监管</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社会评价满意度</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监管成本</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检测成本</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2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51172424R000010291706-基础绩效奖（事业）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大竹县建设工程质量安全监督站部门</w:t>
            </w:r>
          </w:p>
        </w:tc>
        <w:tc>
          <w:tcPr>
            <w:tcW w:w="6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6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6.28</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6.28</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6.28</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6.28</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61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2"/>
      <w:bookmarkEnd w:id="53"/>
      <w:bookmarkStart w:id="54" w:name="_Toc15396619"/>
    </w:p>
    <w:p>
      <w:pPr>
        <w:pStyle w:val="4"/>
        <w:rPr>
          <w:rFonts w:hint="eastAsia" w:ascii="仿宋_GB2312" w:hAnsi="仿宋_GB2312" w:eastAsia="仿宋_GB2312" w:cs="仿宋_GB2312"/>
        </w:rPr>
      </w:pPr>
      <w:r>
        <w:rPr>
          <w:rFonts w:hint="eastAsia" w:ascii="仿宋_GB2312" w:hAnsi="仿宋_GB2312" w:eastAsia="仿宋_GB2312" w:cs="仿宋_GB2312"/>
          <w:b w:val="0"/>
        </w:rPr>
        <w:t>一、收</w:t>
      </w:r>
      <w:r>
        <w:rPr>
          <w:rStyle w:val="28"/>
          <w:rFonts w:hint="eastAsia" w:ascii="仿宋_GB2312" w:hAnsi="仿宋_GB2312" w:eastAsia="仿宋_GB2312" w:cs="仿宋_GB2312"/>
          <w:b w:val="0"/>
          <w:bCs w:val="0"/>
        </w:rPr>
        <w:t>入支出决算总表</w:t>
      </w:r>
      <w:bookmarkEnd w:id="54"/>
    </w:p>
    <w:p>
      <w:pPr>
        <w:pStyle w:val="4"/>
        <w:rPr>
          <w:rFonts w:hint="eastAsia" w:ascii="仿宋_GB2312" w:hAnsi="仿宋_GB2312" w:eastAsia="仿宋_GB2312" w:cs="仿宋_GB2312"/>
        </w:rPr>
      </w:pPr>
      <w:bookmarkStart w:id="55" w:name="_Toc15396620"/>
      <w:r>
        <w:rPr>
          <w:rFonts w:hint="eastAsia" w:ascii="仿宋_GB2312" w:hAnsi="仿宋_GB2312" w:eastAsia="仿宋_GB2312" w:cs="仿宋_GB2312"/>
          <w:b w:val="0"/>
        </w:rPr>
        <w:t>二、收</w:t>
      </w:r>
      <w:r>
        <w:rPr>
          <w:rStyle w:val="28"/>
          <w:rFonts w:hint="eastAsia" w:ascii="仿宋_GB2312" w:hAnsi="仿宋_GB2312" w:eastAsia="仿宋_GB2312" w:cs="仿宋_GB2312"/>
          <w:b w:val="0"/>
          <w:bCs w:val="0"/>
        </w:rPr>
        <w:t>入决算表</w:t>
      </w:r>
      <w:bookmarkEnd w:id="55"/>
    </w:p>
    <w:p>
      <w:pPr>
        <w:pStyle w:val="4"/>
        <w:rPr>
          <w:rFonts w:hint="eastAsia" w:ascii="仿宋_GB2312" w:hAnsi="仿宋_GB2312" w:eastAsia="仿宋_GB2312" w:cs="仿宋_GB2312"/>
        </w:rPr>
      </w:pPr>
      <w:bookmarkStart w:id="56" w:name="_Toc15396621"/>
      <w:r>
        <w:rPr>
          <w:rStyle w:val="28"/>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28"/>
          <w:rFonts w:hint="eastAsia" w:ascii="仿宋_GB2312" w:hAnsi="仿宋_GB2312" w:eastAsia="仿宋_GB2312" w:cs="仿宋_GB2312"/>
          <w:b w:val="0"/>
          <w:bCs w:val="0"/>
        </w:rPr>
        <w:t>出决算表</w:t>
      </w:r>
      <w:bookmarkEnd w:id="56"/>
    </w:p>
    <w:p>
      <w:pPr>
        <w:pStyle w:val="4"/>
        <w:rPr>
          <w:rFonts w:hint="eastAsia" w:ascii="仿宋_GB2312" w:hAnsi="仿宋_GB2312" w:eastAsia="仿宋_GB2312" w:cs="仿宋_GB2312"/>
          <w:b w:val="0"/>
        </w:rPr>
      </w:pPr>
      <w:bookmarkStart w:id="57" w:name="_Toc15396622"/>
      <w:r>
        <w:rPr>
          <w:rStyle w:val="28"/>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28"/>
          <w:rFonts w:hint="eastAsia" w:ascii="仿宋_GB2312" w:hAnsi="仿宋_GB2312" w:eastAsia="仿宋_GB2312" w:cs="仿宋_GB2312"/>
          <w:b w:val="0"/>
          <w:bCs w:val="0"/>
        </w:rPr>
        <w:t>政拨款收入支出决算总表</w:t>
      </w:r>
      <w:bookmarkEnd w:id="57"/>
    </w:p>
    <w:p>
      <w:pPr>
        <w:pStyle w:val="4"/>
        <w:rPr>
          <w:rStyle w:val="28"/>
          <w:rFonts w:hint="eastAsia" w:ascii="仿宋_GB2312" w:hAnsi="仿宋_GB2312" w:eastAsia="仿宋_GB2312" w:cs="仿宋_GB2312"/>
          <w:b w:val="0"/>
          <w:bCs w:val="0"/>
        </w:rPr>
      </w:pPr>
      <w:bookmarkStart w:id="58" w:name="_Toc15396623"/>
      <w:r>
        <w:rPr>
          <w:rStyle w:val="28"/>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28"/>
          <w:rFonts w:hint="eastAsia" w:ascii="仿宋_GB2312" w:hAnsi="仿宋_GB2312" w:eastAsia="仿宋_GB2312" w:cs="仿宋_GB2312"/>
          <w:b w:val="0"/>
          <w:bCs w:val="0"/>
        </w:rPr>
        <w:t>政拨款支出决算明细表</w:t>
      </w:r>
      <w:bookmarkEnd w:id="58"/>
      <w:bookmarkStart w:id="59" w:name="_Toc15396624"/>
    </w:p>
    <w:p>
      <w:pPr>
        <w:pStyle w:val="4"/>
        <w:rPr>
          <w:rFonts w:hint="eastAsia" w:ascii="仿宋_GB2312" w:hAnsi="仿宋_GB2312" w:eastAsia="仿宋_GB2312" w:cs="仿宋_GB2312"/>
        </w:rPr>
      </w:pPr>
      <w:r>
        <w:rPr>
          <w:rStyle w:val="28"/>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28"/>
          <w:rFonts w:hint="eastAsia" w:ascii="仿宋_GB2312" w:hAnsi="仿宋_GB2312" w:eastAsia="仿宋_GB2312" w:cs="仿宋_GB2312"/>
          <w:b w:val="0"/>
          <w:bCs w:val="0"/>
        </w:rPr>
        <w:t>般公共预算财政拨款支出决算表</w:t>
      </w:r>
      <w:bookmarkEnd w:id="59"/>
    </w:p>
    <w:p>
      <w:pPr>
        <w:pStyle w:val="4"/>
        <w:rPr>
          <w:rFonts w:hint="eastAsia" w:ascii="仿宋_GB2312" w:hAnsi="仿宋_GB2312" w:eastAsia="仿宋_GB2312" w:cs="仿宋_GB2312"/>
        </w:rPr>
      </w:pPr>
      <w:bookmarkStart w:id="60" w:name="_Toc15396625"/>
      <w:r>
        <w:rPr>
          <w:rStyle w:val="28"/>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28"/>
          <w:rFonts w:hint="eastAsia" w:ascii="仿宋_GB2312" w:hAnsi="仿宋_GB2312" w:eastAsia="仿宋_GB2312" w:cs="仿宋_GB2312"/>
          <w:b w:val="0"/>
          <w:bCs w:val="0"/>
        </w:rPr>
        <w:t>般公共预算财政拨款支出决算明细表</w:t>
      </w:r>
      <w:bookmarkEnd w:id="60"/>
    </w:p>
    <w:p>
      <w:pPr>
        <w:pStyle w:val="4"/>
        <w:rPr>
          <w:rFonts w:hint="eastAsia" w:ascii="仿宋_GB2312" w:hAnsi="仿宋_GB2312" w:eastAsia="仿宋_GB2312" w:cs="仿宋_GB2312"/>
        </w:rPr>
      </w:pPr>
      <w:bookmarkStart w:id="61" w:name="_Toc15396626"/>
      <w:r>
        <w:rPr>
          <w:rStyle w:val="28"/>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28"/>
          <w:rFonts w:hint="eastAsia" w:ascii="仿宋_GB2312" w:hAnsi="仿宋_GB2312" w:eastAsia="仿宋_GB2312" w:cs="仿宋_GB2312"/>
          <w:b w:val="0"/>
          <w:bCs w:val="0"/>
        </w:rPr>
        <w:t>般公共预算财政拨款基本支出决算表</w:t>
      </w:r>
      <w:bookmarkEnd w:id="61"/>
    </w:p>
    <w:p>
      <w:pPr>
        <w:pStyle w:val="4"/>
        <w:rPr>
          <w:rFonts w:hint="eastAsia" w:ascii="仿宋_GB2312" w:hAnsi="仿宋_GB2312" w:eastAsia="仿宋_GB2312" w:cs="仿宋_GB2312"/>
        </w:rPr>
      </w:pPr>
      <w:bookmarkStart w:id="62" w:name="_Toc15396627"/>
      <w:r>
        <w:rPr>
          <w:rStyle w:val="28"/>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28"/>
          <w:rFonts w:hint="eastAsia" w:ascii="仿宋_GB2312" w:hAnsi="仿宋_GB2312" w:eastAsia="仿宋_GB2312" w:cs="仿宋_GB2312"/>
          <w:b w:val="0"/>
          <w:bCs w:val="0"/>
        </w:rPr>
        <w:t>般公共预算财政拨款项目支出决算表</w:t>
      </w:r>
      <w:bookmarkEnd w:id="62"/>
    </w:p>
    <w:p>
      <w:pPr>
        <w:pStyle w:val="4"/>
        <w:rPr>
          <w:rFonts w:hint="eastAsia" w:ascii="仿宋_GB2312" w:hAnsi="仿宋_GB2312" w:eastAsia="仿宋_GB2312" w:cs="仿宋_GB2312"/>
        </w:rPr>
      </w:pPr>
      <w:bookmarkStart w:id="63" w:name="_Toc15396628"/>
      <w:r>
        <w:rPr>
          <w:rStyle w:val="28"/>
          <w:rFonts w:hint="eastAsia" w:ascii="仿宋_GB2312" w:hAnsi="仿宋_GB2312" w:eastAsia="仿宋_GB2312" w:cs="仿宋_GB2312"/>
          <w:b w:val="0"/>
          <w:bCs w:val="0"/>
        </w:rPr>
        <w:t>十、</w:t>
      </w:r>
      <w:bookmarkEnd w:id="63"/>
      <w:r>
        <w:rPr>
          <w:rFonts w:hint="eastAsia" w:ascii="仿宋_GB2312" w:hAnsi="仿宋_GB2312" w:eastAsia="仿宋_GB2312" w:cs="仿宋_GB2312"/>
          <w:b w:val="0"/>
        </w:rPr>
        <w:t>政</w:t>
      </w:r>
      <w:r>
        <w:rPr>
          <w:rStyle w:val="28"/>
          <w:rFonts w:hint="eastAsia" w:ascii="仿宋_GB2312" w:hAnsi="仿宋_GB2312" w:eastAsia="仿宋_GB2312" w:cs="仿宋_GB2312"/>
          <w:b w:val="0"/>
          <w:bCs w:val="0"/>
        </w:rPr>
        <w:t>府性基金预算财政拨款收入支出决算表</w:t>
      </w:r>
    </w:p>
    <w:p>
      <w:pPr>
        <w:pStyle w:val="4"/>
        <w:rPr>
          <w:rFonts w:hint="eastAsia" w:ascii="仿宋_GB2312" w:hAnsi="仿宋_GB2312" w:eastAsia="仿宋_GB2312" w:cs="仿宋_GB2312"/>
        </w:rPr>
      </w:pPr>
      <w:bookmarkStart w:id="64" w:name="_Toc15396629"/>
      <w:r>
        <w:rPr>
          <w:rStyle w:val="28"/>
          <w:rFonts w:hint="eastAsia" w:ascii="仿宋_GB2312" w:hAnsi="仿宋_GB2312" w:eastAsia="仿宋_GB2312" w:cs="仿宋_GB2312"/>
          <w:b w:val="0"/>
          <w:bCs w:val="0"/>
        </w:rPr>
        <w:t>十一、</w:t>
      </w:r>
      <w:bookmarkEnd w:id="64"/>
      <w:r>
        <w:rPr>
          <w:rFonts w:hint="eastAsia" w:ascii="仿宋_GB2312" w:hAnsi="仿宋_GB2312" w:eastAsia="仿宋_GB2312" w:cs="仿宋_GB2312"/>
          <w:b w:val="0"/>
        </w:rPr>
        <w:t>国</w:t>
      </w:r>
      <w:r>
        <w:rPr>
          <w:rStyle w:val="28"/>
          <w:rFonts w:hint="eastAsia" w:ascii="仿宋_GB2312" w:hAnsi="仿宋_GB2312" w:eastAsia="仿宋_GB2312" w:cs="仿宋_GB2312"/>
          <w:b w:val="0"/>
          <w:bCs w:val="0"/>
        </w:rPr>
        <w:t>有资本经营预算财政拨款收入支出决算表</w:t>
      </w:r>
    </w:p>
    <w:p>
      <w:pPr>
        <w:pStyle w:val="4"/>
        <w:rPr>
          <w:rFonts w:hint="eastAsia" w:ascii="仿宋_GB2312" w:hAnsi="仿宋_GB2312" w:eastAsia="仿宋_GB2312" w:cs="仿宋_GB2312"/>
        </w:rPr>
      </w:pPr>
      <w:bookmarkStart w:id="65" w:name="_Toc15396630"/>
      <w:r>
        <w:rPr>
          <w:rStyle w:val="28"/>
          <w:rFonts w:hint="eastAsia" w:ascii="仿宋_GB2312" w:hAnsi="仿宋_GB2312" w:eastAsia="仿宋_GB2312" w:cs="仿宋_GB2312"/>
          <w:b w:val="0"/>
          <w:bCs w:val="0"/>
        </w:rPr>
        <w:t>十二、</w:t>
      </w:r>
      <w:bookmarkEnd w:id="65"/>
      <w:r>
        <w:rPr>
          <w:rStyle w:val="28"/>
          <w:rFonts w:hint="eastAsia" w:ascii="仿宋_GB2312" w:hAnsi="仿宋_GB2312" w:eastAsia="仿宋_GB2312" w:cs="仿宋_GB2312"/>
          <w:b w:val="0"/>
          <w:bCs w:val="0"/>
        </w:rPr>
        <w:t>国有资本经营预算财政拨款支出决算表</w:t>
      </w:r>
    </w:p>
    <w:p>
      <w:pPr>
        <w:pStyle w:val="4"/>
        <w:rPr>
          <w:rFonts w:hint="eastAsia" w:ascii="仿宋_GB2312" w:hAnsi="仿宋_GB2312" w:eastAsia="仿宋_GB2312" w:cs="仿宋_GB2312"/>
        </w:rPr>
      </w:pPr>
      <w:bookmarkStart w:id="66" w:name="_Toc15396631"/>
      <w:r>
        <w:rPr>
          <w:rStyle w:val="28"/>
          <w:rFonts w:hint="eastAsia" w:ascii="仿宋_GB2312" w:hAnsi="仿宋_GB2312" w:eastAsia="仿宋_GB2312" w:cs="仿宋_GB2312"/>
          <w:b w:val="0"/>
          <w:bCs w:val="0"/>
        </w:rPr>
        <w:t>十三、</w:t>
      </w:r>
      <w:bookmarkEnd w:id="66"/>
      <w:r>
        <w:rPr>
          <w:rStyle w:val="28"/>
          <w:rFonts w:hint="eastAsia" w:ascii="仿宋_GB2312" w:hAnsi="仿宋_GB2312" w:eastAsia="仿宋_GB2312" w:cs="仿宋_GB2312"/>
          <w:b w:val="0"/>
          <w:bCs w:val="0"/>
        </w:rPr>
        <w:t>财政拨款“三公”经费支出决算表</w:t>
      </w:r>
    </w:p>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汉仪超粗宋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YWRhYjY5YzZiYTE0NjBhZTIyZTg0OTk3ZjNiNDIifQ=="/>
    <w:docVar w:name="KSO_WPS_MARK_KEY" w:val="1b7c4252-212f-4389-b5b9-ff5ec833e489"/>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6BDB"/>
    <w:rsid w:val="02121FCC"/>
    <w:rsid w:val="03DC2831"/>
    <w:rsid w:val="081B5E94"/>
    <w:rsid w:val="0A2032A3"/>
    <w:rsid w:val="0B8A37D8"/>
    <w:rsid w:val="0F5FFB2F"/>
    <w:rsid w:val="0FFFCF60"/>
    <w:rsid w:val="10C055FF"/>
    <w:rsid w:val="118107EC"/>
    <w:rsid w:val="11DD6519"/>
    <w:rsid w:val="16BB723D"/>
    <w:rsid w:val="17E42975"/>
    <w:rsid w:val="18015F3F"/>
    <w:rsid w:val="1B742B61"/>
    <w:rsid w:val="1BE8440E"/>
    <w:rsid w:val="1D155CEE"/>
    <w:rsid w:val="1D8C4205"/>
    <w:rsid w:val="1E766B63"/>
    <w:rsid w:val="1FDBBF84"/>
    <w:rsid w:val="20F57F95"/>
    <w:rsid w:val="215A6C10"/>
    <w:rsid w:val="21B61545"/>
    <w:rsid w:val="225C42C2"/>
    <w:rsid w:val="240371BF"/>
    <w:rsid w:val="254E083A"/>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7585548"/>
    <w:rsid w:val="383D272C"/>
    <w:rsid w:val="39AE70AB"/>
    <w:rsid w:val="3A4DCE41"/>
    <w:rsid w:val="3BCB56FA"/>
    <w:rsid w:val="3C0C0783"/>
    <w:rsid w:val="3EE7C2F4"/>
    <w:rsid w:val="3F371B56"/>
    <w:rsid w:val="3F792ED8"/>
    <w:rsid w:val="3F9F3A96"/>
    <w:rsid w:val="3FECA4B2"/>
    <w:rsid w:val="3FF58C48"/>
    <w:rsid w:val="41E146C1"/>
    <w:rsid w:val="42FF6694"/>
    <w:rsid w:val="4545710C"/>
    <w:rsid w:val="465B191C"/>
    <w:rsid w:val="483C7E4A"/>
    <w:rsid w:val="48BF60AB"/>
    <w:rsid w:val="493C27E9"/>
    <w:rsid w:val="496F39ED"/>
    <w:rsid w:val="49FF41D3"/>
    <w:rsid w:val="4B49547C"/>
    <w:rsid w:val="4BE068DB"/>
    <w:rsid w:val="4BF6002B"/>
    <w:rsid w:val="4BFFC6BE"/>
    <w:rsid w:val="4ECE2238"/>
    <w:rsid w:val="4F627E9E"/>
    <w:rsid w:val="51DB4B86"/>
    <w:rsid w:val="51F64DB0"/>
    <w:rsid w:val="55333C3E"/>
    <w:rsid w:val="5A083FE6"/>
    <w:rsid w:val="5F67802D"/>
    <w:rsid w:val="5F7DC4F2"/>
    <w:rsid w:val="5FB36814"/>
    <w:rsid w:val="5FBB8E56"/>
    <w:rsid w:val="5FFB5535"/>
    <w:rsid w:val="64CA39A1"/>
    <w:rsid w:val="655D371D"/>
    <w:rsid w:val="662173FC"/>
    <w:rsid w:val="68CB6B43"/>
    <w:rsid w:val="69630ADE"/>
    <w:rsid w:val="69BD5F13"/>
    <w:rsid w:val="69FB0B4B"/>
    <w:rsid w:val="6AEB3A02"/>
    <w:rsid w:val="6BFFE1FB"/>
    <w:rsid w:val="6C4A05C8"/>
    <w:rsid w:val="6D3B1A89"/>
    <w:rsid w:val="6DB7D8A3"/>
    <w:rsid w:val="6EC78701"/>
    <w:rsid w:val="6F7A5481"/>
    <w:rsid w:val="6FFE07A9"/>
    <w:rsid w:val="71BF4EC2"/>
    <w:rsid w:val="72734D90"/>
    <w:rsid w:val="73E75B71"/>
    <w:rsid w:val="7412278C"/>
    <w:rsid w:val="7499222A"/>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X%20&#24037;&#20316;&#34920;%20(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20(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20(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X%20&#24037;&#20316;&#34920;%20(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X%20&#24037;&#20316;&#34920;%20(2).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XLSX%20&#24037;&#20316;&#34920;%20(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X%20&#24037;&#20316;&#349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'[新建 XLSX 工作表 (2).xlsx]Sheet1'!$B$1</c:f>
              <c:strCache>
                <c:ptCount val="1"/>
                <c:pt idx="0">
                  <c:v>收、支决算总额（万元）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XLSX 工作表 (2).xlsx]Sheet1'!$A$2:$A$3</c:f>
              <c:numCache>
                <c:formatCode>General</c:formatCode>
                <c:ptCount val="2"/>
                <c:pt idx="0">
                  <c:v>2022</c:v>
                </c:pt>
                <c:pt idx="1">
                  <c:v>2023</c:v>
                </c:pt>
              </c:numCache>
            </c:numRef>
          </c:cat>
          <c:val>
            <c:numRef>
              <c:f>'[新建 XLSX 工作表 (2).xlsx]Sheet1'!$B$2:$B$3</c:f>
              <c:numCache>
                <c:formatCode>General</c:formatCode>
                <c:ptCount val="2"/>
                <c:pt idx="0">
                  <c:v>280.08</c:v>
                </c:pt>
                <c:pt idx="1">
                  <c:v>327.07</c:v>
                </c:pt>
              </c:numCache>
            </c:numRef>
          </c:val>
        </c:ser>
        <c:dLbls>
          <c:showLegendKey val="0"/>
          <c:showVal val="1"/>
          <c:showCatName val="0"/>
          <c:showSerName val="0"/>
          <c:showPercent val="0"/>
          <c:showBubbleSize val="0"/>
        </c:dLbls>
        <c:gapWidth val="246"/>
        <c:overlap val="-28"/>
        <c:axId val="32789404"/>
        <c:axId val="620692940"/>
      </c:barChart>
      <c:catAx>
        <c:axId val="327894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0692940"/>
        <c:crosses val="autoZero"/>
        <c:auto val="1"/>
        <c:lblAlgn val="ctr"/>
        <c:lblOffset val="100"/>
        <c:noMultiLvlLbl val="0"/>
      </c:catAx>
      <c:valAx>
        <c:axId val="6206929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7894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'[新建 XLSX 工作表 (2).xlsx]Sheet1'!$B$1</c:f>
              <c:strCache>
                <c:ptCount val="1"/>
                <c:pt idx="0">
                  <c:v>2023年收入决算数（万元）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(2).xlsx]Sheet1'!$A$2:$A$3</c:f>
              <c:strCache>
                <c:ptCount val="2"/>
                <c:pt idx="0">
                  <c:v>一般公共预算财政拨款收入</c:v>
                </c:pt>
                <c:pt idx="1">
                  <c:v>政府性基金预算财政拨款收入</c:v>
                </c:pt>
              </c:strCache>
            </c:strRef>
          </c:cat>
          <c:val>
            <c:numRef>
              <c:f>'[新建 XLSX 工作表 (2).xlsx]Sheet1'!$B$2:$B$3</c:f>
              <c:numCache>
                <c:formatCode>General</c:formatCode>
                <c:ptCount val="2"/>
                <c:pt idx="0">
                  <c:v>322.07</c:v>
                </c:pt>
                <c:pt idx="1">
                  <c:v>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'[新建 XLSX 工作表 (2).xlsx]Sheet1'!$B$1</c:f>
              <c:strCache>
                <c:ptCount val="1"/>
                <c:pt idx="0">
                  <c:v>2023年支出决算数（万元）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(2).xlsx]Sheet1'!$A$2:$A$3</c:f>
              <c:strCache>
                <c:ptCount val="2"/>
                <c:pt idx="0">
                  <c:v>基本支出</c:v>
                </c:pt>
                <c:pt idx="1">
                  <c:v>项目支出</c:v>
                </c:pt>
              </c:strCache>
            </c:strRef>
          </c:cat>
          <c:val>
            <c:numRef>
              <c:f>'[新建 XLSX 工作表 (2).xlsx]Sheet1'!$B$2:$B$3</c:f>
              <c:numCache>
                <c:formatCode>General</c:formatCode>
                <c:ptCount val="2"/>
                <c:pt idx="0">
                  <c:v>322.07</c:v>
                </c:pt>
                <c:pt idx="1">
                  <c:v>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'[新建 XLSX 工作表 (2).xlsx]Sheet1'!$B$1</c:f>
              <c:strCache>
                <c:ptCount val="1"/>
                <c:pt idx="0">
                  <c:v>财政拨款收、支总计变动情况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XLSX 工作表 (2).xlsx]Sheet1'!$A$2:$A$3</c:f>
              <c:numCache>
                <c:formatCode>General</c:formatCode>
                <c:ptCount val="2"/>
                <c:pt idx="0">
                  <c:v>2022</c:v>
                </c:pt>
                <c:pt idx="1">
                  <c:v>2023</c:v>
                </c:pt>
              </c:numCache>
            </c:numRef>
          </c:cat>
          <c:val>
            <c:numRef>
              <c:f>'[新建 XLSX 工作表 (2).xlsx]Sheet1'!$B$2:$B$3</c:f>
              <c:numCache>
                <c:formatCode>General</c:formatCode>
                <c:ptCount val="2"/>
                <c:pt idx="0">
                  <c:v>280.08</c:v>
                </c:pt>
                <c:pt idx="1">
                  <c:v>327.07</c:v>
                </c:pt>
              </c:numCache>
            </c:numRef>
          </c:val>
        </c:ser>
        <c:dLbls>
          <c:showLegendKey val="0"/>
          <c:showVal val="1"/>
          <c:showCatName val="0"/>
          <c:showSerName val="0"/>
          <c:showPercent val="0"/>
          <c:showBubbleSize val="0"/>
        </c:dLbls>
        <c:gapWidth val="246"/>
        <c:overlap val="-28"/>
        <c:axId val="943633221"/>
        <c:axId val="180858561"/>
      </c:barChart>
      <c:catAx>
        <c:axId val="9436332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0858561"/>
        <c:crosses val="autoZero"/>
        <c:auto val="1"/>
        <c:lblAlgn val="ctr"/>
        <c:lblOffset val="100"/>
        <c:noMultiLvlLbl val="0"/>
      </c:catAx>
      <c:valAx>
        <c:axId val="18085856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363322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'[新建 XLSX 工作表 (2).xlsx]Sheet1'!$B$1</c:f>
              <c:strCache>
                <c:ptCount val="1"/>
                <c:pt idx="0">
                  <c:v>一般公共预算财政拨款支出决算变动情况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XLSX 工作表 (2).xlsx]Sheet1'!$A$2:$A$3</c:f>
              <c:numCache>
                <c:formatCode>General</c:formatCode>
                <c:ptCount val="2"/>
                <c:pt idx="0">
                  <c:v>2022</c:v>
                </c:pt>
                <c:pt idx="1">
                  <c:v>2023</c:v>
                </c:pt>
              </c:numCache>
            </c:numRef>
          </c:cat>
          <c:val>
            <c:numRef>
              <c:f>'[新建 XLSX 工作表 (2).xlsx]Sheet1'!$B$2:$B$3</c:f>
              <c:numCache>
                <c:formatCode>General</c:formatCode>
                <c:ptCount val="2"/>
                <c:pt idx="0">
                  <c:v>270.58</c:v>
                </c:pt>
                <c:pt idx="1">
                  <c:v>322.07</c:v>
                </c:pt>
              </c:numCache>
            </c:numRef>
          </c:val>
        </c:ser>
        <c:dLbls>
          <c:showLegendKey val="0"/>
          <c:showVal val="1"/>
          <c:showCatName val="0"/>
          <c:showSerName val="0"/>
          <c:showPercent val="0"/>
          <c:showBubbleSize val="0"/>
        </c:dLbls>
        <c:gapWidth val="246"/>
        <c:overlap val="-28"/>
        <c:axId val="943633221"/>
        <c:axId val="180858561"/>
      </c:barChart>
      <c:catAx>
        <c:axId val="9436332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0858561"/>
        <c:crosses val="autoZero"/>
        <c:auto val="1"/>
        <c:lblAlgn val="ctr"/>
        <c:lblOffset val="100"/>
        <c:noMultiLvlLbl val="0"/>
      </c:catAx>
      <c:valAx>
        <c:axId val="18085856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363322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'[新建 XLSX 工作表 (2).xlsx]Sheet1'!$B$1</c:f>
              <c:strCache>
                <c:ptCount val="1"/>
                <c:pt idx="0">
                  <c:v>2023年一般公共预算财政拨款支出决算结构（万元）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(2).xlsx]Sheet1'!$A$2:$A$5</c:f>
              <c:strCache>
                <c:ptCount val="4"/>
                <c:pt idx="0">
                  <c:v>社会保障和就业支出</c:v>
                </c:pt>
                <c:pt idx="1">
                  <c:v>卫生健康支出</c:v>
                </c:pt>
                <c:pt idx="2">
                  <c:v>住房保障支出</c:v>
                </c:pt>
                <c:pt idx="3">
                  <c:v>城乡社区支出</c:v>
                </c:pt>
              </c:strCache>
            </c:strRef>
          </c:cat>
          <c:val>
            <c:numRef>
              <c:f>'[新建 XLSX 工作表 (2).xlsx]Sheet1'!$B$2:$B$5</c:f>
              <c:numCache>
                <c:formatCode>General</c:formatCode>
                <c:ptCount val="4"/>
                <c:pt idx="0">
                  <c:v>50.27</c:v>
                </c:pt>
                <c:pt idx="1">
                  <c:v>11.88</c:v>
                </c:pt>
                <c:pt idx="2">
                  <c:v>9.96</c:v>
                </c:pt>
                <c:pt idx="3">
                  <c:v>249.97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'[新建 XLSX 工作表 (2).xlsx]Sheet1'!$B$1</c:f>
              <c:strCache>
                <c:ptCount val="1"/>
                <c:pt idx="0">
                  <c:v>2023年“三公”经费财政拨款支出结构（万元）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(2).xlsx]Sheet1'!$A$2:$A$3</c:f>
              <c:strCache>
                <c:ptCount val="2"/>
                <c:pt idx="0">
                  <c:v>公务用车购置及运行维护费支出</c:v>
                </c:pt>
                <c:pt idx="1">
                  <c:v>公务接待费支出</c:v>
                </c:pt>
              </c:strCache>
            </c:strRef>
          </c:cat>
          <c:val>
            <c:numRef>
              <c:f>'[新建 XLSX 工作表 (2).xlsx]Sheet1'!$B$2:$B$3</c:f>
              <c:numCache>
                <c:formatCode>General</c:formatCode>
                <c:ptCount val="2"/>
                <c:pt idx="0">
                  <c:v>0.38</c:v>
                </c:pt>
                <c:pt idx="1">
                  <c:v>0.15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39</Pages>
  <Words>16164</Words>
  <Characters>18901</Characters>
  <Lines>54</Lines>
  <Paragraphs>15</Paragraphs>
  <TotalTime>13</TotalTime>
  <ScaleCrop>false</ScaleCrop>
  <LinksUpToDate>false</LinksUpToDate>
  <CharactersWithSpaces>19425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hyt</cp:lastModifiedBy>
  <cp:lastPrinted>2023-08-03T02:35:00Z</cp:lastPrinted>
  <dcterms:modified xsi:type="dcterms:W3CDTF">2024-10-25T08:36:37Z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7119FCBC50254B0C9488BA92EA54B57E_13</vt:lpwstr>
  </property>
</Properties>
</file>