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auto"/>
          <w:sz w:val="72"/>
          <w:szCs w:val="72"/>
          <w:highlight w:val="none"/>
          <w:lang w:val="en-US" w:eastAsia="zh-CN"/>
        </w:rPr>
      </w:pPr>
      <w:bookmarkStart w:id="0" w:name="_Toc15306267"/>
    </w:p>
    <w:p>
      <w:pPr>
        <w:spacing w:line="600" w:lineRule="exact"/>
        <w:jc w:val="center"/>
        <w:outlineLvl w:val="0"/>
        <w:rPr>
          <w:rFonts w:hint="default" w:ascii="Times New Roman" w:hAnsi="Times New Roman" w:eastAsia="方正小标宋简体" w:cs="Times New Roman"/>
          <w:color w:val="auto"/>
          <w:sz w:val="72"/>
          <w:szCs w:val="72"/>
          <w:highlight w:val="none"/>
        </w:rPr>
      </w:pPr>
    </w:p>
    <w:p>
      <w:pPr>
        <w:spacing w:line="600" w:lineRule="exact"/>
        <w:jc w:val="center"/>
        <w:outlineLvl w:val="0"/>
        <w:rPr>
          <w:rFonts w:hint="default" w:ascii="Times New Roman" w:hAnsi="Times New Roman" w:eastAsia="方正小标宋简体" w:cs="Times New Roman"/>
          <w:color w:val="auto"/>
          <w:sz w:val="72"/>
          <w:szCs w:val="72"/>
          <w:highlight w:val="none"/>
        </w:rPr>
      </w:pPr>
    </w:p>
    <w:p>
      <w:pPr>
        <w:spacing w:line="600" w:lineRule="exact"/>
        <w:jc w:val="center"/>
        <w:outlineLvl w:val="0"/>
        <w:rPr>
          <w:rFonts w:hint="default" w:ascii="Times New Roman" w:hAnsi="Times New Roman" w:eastAsia="方正小标宋简体" w:cs="Times New Roman"/>
          <w:color w:val="auto"/>
          <w:sz w:val="72"/>
          <w:szCs w:val="72"/>
          <w:highlight w:val="none"/>
        </w:rPr>
      </w:pPr>
    </w:p>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1" w:name="_Toc15377193"/>
      <w:bookmarkStart w:id="2" w:name="_Toc15396475"/>
      <w:bookmarkStart w:id="3" w:name="_Toc15396597"/>
      <w:bookmarkStart w:id="4" w:name="_Toc15378441"/>
      <w:bookmarkStart w:id="5" w:name="_Toc15377425"/>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w:t>
      </w:r>
      <w:r>
        <w:rPr>
          <w:rFonts w:hint="eastAsia" w:eastAsia="方正小标宋简体" w:cs="Times New Roman"/>
          <w:color w:val="auto"/>
          <w:sz w:val="72"/>
          <w:szCs w:val="72"/>
          <w:highlight w:val="none"/>
          <w:lang w:val="en-US" w:eastAsia="zh-CN"/>
        </w:rPr>
        <w:t>3</w:t>
      </w:r>
      <w:r>
        <w:rPr>
          <w:rFonts w:hint="default" w:ascii="Times New Roman" w:hAnsi="Times New Roman" w:eastAsia="方正小标宋简体" w:cs="Times New Roman"/>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default" w:ascii="Times New Roman" w:hAnsi="Times New Roman" w:eastAsia="方正小标宋简体" w:cs="Times New Roman"/>
          <w:color w:val="000000"/>
          <w:sz w:val="72"/>
          <w:szCs w:val="72"/>
          <w:lang w:val="en-US" w:eastAsia="zh-CN"/>
        </w:rPr>
      </w:pPr>
      <w:r>
        <w:rPr>
          <w:rFonts w:hint="default" w:ascii="Times New Roman" w:hAnsi="Times New Roman" w:eastAsia="方正小标宋简体" w:cs="Times New Roman"/>
          <w:color w:val="000000"/>
          <w:sz w:val="72"/>
          <w:szCs w:val="72"/>
          <w:lang w:eastAsia="zh-CN"/>
        </w:rPr>
        <w:t>大竹县市政工程管理处</w:t>
      </w:r>
      <w:r>
        <w:rPr>
          <w:rFonts w:hint="default" w:ascii="Times New Roman" w:hAnsi="Times New Roman" w:eastAsia="方正小标宋简体" w:cs="Times New Roman"/>
          <w:color w:val="000000"/>
          <w:sz w:val="72"/>
          <w:szCs w:val="72"/>
          <w:lang w:val="en-US" w:eastAsia="zh-CN"/>
        </w:rPr>
        <w:t xml:space="preserve"> </w:t>
      </w: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rPr>
        <w:t>部门决算</w:t>
      </w:r>
    </w:p>
    <w:p>
      <w:pPr>
        <w:widowControl/>
        <w:jc w:val="center"/>
        <w:rPr>
          <w:rFonts w:hint="default" w:ascii="Times New Roman" w:hAnsi="Times New Roman" w:eastAsia="黑体" w:cs="Times New Roman"/>
          <w:color w:val="auto"/>
          <w:sz w:val="48"/>
          <w:szCs w:val="48"/>
          <w:highlight w:val="none"/>
        </w:rPr>
        <w:sectPr>
          <w:headerReference r:id="rId4" w:type="first"/>
          <w:headerReference r:id="rId3" w:type="default"/>
          <w:footerReference r:id="rId5"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2"/>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18</w:t>
      </w:r>
      <w:r>
        <w:rPr>
          <w:rFonts w:hint="default" w:ascii="Times New Roman" w:hAnsi="Times New Roman" w:cs="Times New Roman"/>
          <w:color w:val="auto"/>
          <w:highlight w:val="none"/>
        </w:rPr>
        <w:t>日</w:t>
      </w:r>
    </w:p>
    <w:p>
      <w:pPr>
        <w:rPr>
          <w:rFonts w:hint="default" w:ascii="Times New Roman" w:hAnsi="Times New Roman" w:cs="Times New Roman"/>
          <w:color w:val="auto"/>
          <w:highlight w:val="none"/>
        </w:rPr>
      </w:pPr>
    </w:p>
    <w:p>
      <w:pPr>
        <w:pStyle w:val="12"/>
        <w:adjustRightInd w:val="0"/>
        <w:snapToGrid w:val="0"/>
        <w:spacing w:before="0"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 xml:space="preserve">第一部分 </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概况</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一、职能</w:t>
      </w:r>
      <w:r>
        <w:rPr>
          <w:rFonts w:hint="eastAsia" w:ascii="仿宋_GB2312" w:hAnsi="仿宋_GB2312" w:eastAsia="仿宋_GB2312" w:cs="仿宋_GB2312"/>
          <w:color w:val="auto"/>
          <w:sz w:val="32"/>
          <w:szCs w:val="32"/>
          <w:highlight w:val="none"/>
          <w:lang w:eastAsia="zh-CN"/>
        </w:rPr>
        <w:t>简介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val="en-US" w:eastAsia="zh-CN"/>
        </w:rPr>
        <w:t>机构设置</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w:t>
      </w:r>
    </w:p>
    <w:p>
      <w:pPr>
        <w:pStyle w:val="12"/>
        <w:adjustRightInd w:val="0"/>
        <w:snapToGrid w:val="0"/>
        <w:spacing w:before="0"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第二部分</w:t>
      </w:r>
      <w:r>
        <w:rPr>
          <w:rFonts w:hint="eastAsia" w:ascii="仿宋_GB2312" w:hAnsi="仿宋_GB2312" w:eastAsia="仿宋_GB2312" w:cs="仿宋_GB2312"/>
          <w:color w:val="auto"/>
          <w:sz w:val="32"/>
          <w:szCs w:val="32"/>
          <w:highlight w:val="none"/>
          <w:lang w:val="en-US" w:eastAsia="zh-CN"/>
        </w:rPr>
        <w:t xml:space="preserve"> 2023年度</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决算情况说明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w:t>
      </w:r>
    </w:p>
    <w:p>
      <w:pPr>
        <w:pStyle w:val="13"/>
        <w:adjustRightInd w:val="0"/>
        <w:snapToGrid w:val="0"/>
        <w:spacing w:line="440" w:lineRule="exact"/>
        <w:jc w:val="left"/>
        <w:outlineLvl w:val="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一、收入支出决算总体情况说明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二、收入决算情况说明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color w:val="auto"/>
          <w:sz w:val="32"/>
          <w:szCs w:val="32"/>
          <w:highlight w:val="none"/>
          <w:lang w:val="en-US" w:eastAsia="zh-CN"/>
        </w:rPr>
        <w:t>2</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4</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4</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7</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lang w:val="en-US" w:eastAsia="zh-CN"/>
        </w:rPr>
        <w:t>财政拨款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三公”经费支出决算情况说明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7</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9</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九、国有资本经营预算支出决算情况说明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9</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十、其他重要事项的情况说明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9</w:t>
      </w:r>
    </w:p>
    <w:p>
      <w:pPr>
        <w:pStyle w:val="12"/>
        <w:adjustRightInd w:val="0"/>
        <w:snapToGrid w:val="0"/>
        <w:spacing w:before="0"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第三部分 名词解释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11</w:t>
      </w:r>
    </w:p>
    <w:p>
      <w:pPr>
        <w:pStyle w:val="12"/>
        <w:adjustRightInd w:val="0"/>
        <w:snapToGrid w:val="0"/>
        <w:spacing w:before="0"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t>第四部分 附件</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14</w:t>
      </w:r>
    </w:p>
    <w:p>
      <w:pPr>
        <w:pStyle w:val="12"/>
        <w:adjustRightInd w:val="0"/>
        <w:snapToGrid w:val="0"/>
        <w:spacing w:before="0" w:line="440" w:lineRule="exact"/>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第五部分 附表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一、收入支出决算总表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color w:val="auto"/>
          <w:sz w:val="32"/>
          <w:szCs w:val="32"/>
          <w:highlight w:val="none"/>
          <w:lang w:val="en-US" w:eastAsia="zh-CN"/>
        </w:rPr>
        <w:t xml:space="preserve"> </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二、收入决算表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四、财政拨款收入支出决算总表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五、财政拨款支出决算明细表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六、一般公共预算财政拨款支出决算表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七、一般公共预算财政拨款支出决算明细表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八、一般公共预算财政拨款基本支出决算</w:t>
      </w:r>
      <w:r>
        <w:rPr>
          <w:rFonts w:hint="eastAsia" w:ascii="仿宋_GB2312" w:hAnsi="仿宋_GB2312" w:eastAsia="仿宋_GB2312" w:cs="仿宋_GB2312"/>
          <w:color w:val="auto"/>
          <w:sz w:val="32"/>
          <w:szCs w:val="32"/>
          <w:highlight w:val="none"/>
          <w:lang w:eastAsia="zh-CN"/>
        </w:rPr>
        <w:t>明细</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highlight w:val="none"/>
        </w:rPr>
        <w:t>九、一般公共预算财政拨款项目支出决算表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十、政府性基金预算财政拨款收入支出决算表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十一、国有资本经营预算财政拨款收入支出决算表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pStyle w:val="13"/>
        <w:adjustRightInd w:val="0"/>
        <w:snapToGrid w:val="0"/>
        <w:spacing w:line="440" w:lineRule="exact"/>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十二、</w:t>
      </w:r>
      <w:r>
        <w:rPr>
          <w:rFonts w:hint="eastAsia" w:ascii="仿宋_GB2312" w:hAnsi="仿宋_GB2312" w:eastAsia="仿宋_GB2312" w:cs="仿宋_GB2312"/>
          <w:color w:val="auto"/>
          <w:sz w:val="32"/>
          <w:szCs w:val="32"/>
          <w:highlight w:val="none"/>
          <w:lang w:val="en-US" w:eastAsia="zh-CN"/>
        </w:rPr>
        <w:t>国有资本经营预算财政拨款支出决算表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15</w:t>
      </w:r>
    </w:p>
    <w:p>
      <w:pPr>
        <w:rPr>
          <w:rFonts w:hint="eastAsia" w:ascii="仿宋_GB2312" w:hAnsi="仿宋_GB2312" w:eastAsia="仿宋_GB2312" w:cs="仿宋_GB2312"/>
          <w:color w:val="auto"/>
          <w:sz w:val="32"/>
          <w:szCs w:val="32"/>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bookmarkStart w:id="62" w:name="_GoBack"/>
      <w:bookmarkEnd w:id="62"/>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6"/>
        <w:rPr>
          <w:rFonts w:hint="default" w:ascii="Times New Roman" w:hAnsi="Times New Roman" w:cs="Times New Roman"/>
          <w:color w:val="auto"/>
          <w:sz w:val="24"/>
          <w:highlight w:val="none"/>
        </w:rPr>
      </w:pPr>
    </w:p>
    <w:p>
      <w:pPr>
        <w:pStyle w:val="2"/>
        <w:numPr>
          <w:ilvl w:val="0"/>
          <w:numId w:val="1"/>
        </w:numPr>
        <w:jc w:val="center"/>
        <w:rPr>
          <w:rStyle w:val="28"/>
          <w:rFonts w:hint="default" w:ascii="Times New Roman" w:hAnsi="Times New Roman" w:eastAsia="黑体" w:cs="Times New Roman"/>
          <w:b w:val="0"/>
          <w:bCs w:val="0"/>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78" w:lineRule="exact"/>
        <w:jc w:val="center"/>
        <w:textAlignment w:val="auto"/>
        <w:rPr>
          <w:rStyle w:val="28"/>
          <w:rFonts w:hint="eastAsia" w:ascii="方正小标宋简体" w:hAnsi="方正小标宋简体" w:eastAsia="方正小标宋简体" w:cs="方正小标宋简体"/>
          <w:b w:val="0"/>
          <w:bCs w:val="0"/>
        </w:rPr>
      </w:pPr>
      <w:r>
        <w:rPr>
          <w:rStyle w:val="28"/>
          <w:rFonts w:hint="eastAsia" w:ascii="方正小标宋简体" w:hAnsi="方正小标宋简体" w:eastAsia="方正小标宋简体" w:cs="方正小标宋简体"/>
          <w:b w:val="0"/>
          <w:bCs w:val="0"/>
          <w:lang w:eastAsia="zh-CN"/>
        </w:rPr>
        <w:t>单位</w:t>
      </w:r>
      <w:r>
        <w:rPr>
          <w:rStyle w:val="28"/>
          <w:rFonts w:hint="eastAsia" w:ascii="方正小标宋简体" w:hAnsi="方正小标宋简体" w:eastAsia="方正小标宋简体" w:cs="方正小标宋简体"/>
          <w:b w:val="0"/>
          <w:bCs w:val="0"/>
        </w:rPr>
        <w:t>概况</w:t>
      </w:r>
    </w:p>
    <w:p>
      <w:pPr>
        <w:pStyle w:val="6"/>
        <w:keepNext w:val="0"/>
        <w:keepLines w:val="0"/>
        <w:pageBreakBefore w:val="0"/>
        <w:widowControl w:val="0"/>
        <w:kinsoku/>
        <w:wordWrap/>
        <w:overflowPunct/>
        <w:topLinePunct w:val="0"/>
        <w:autoSpaceDE/>
        <w:autoSpaceDN/>
        <w:bidi w:val="0"/>
        <w:adjustRightInd/>
        <w:snapToGrid/>
        <w:spacing w:beforeLines="0" w:line="578"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bookmarkStart w:id="6" w:name="_Toc15377197"/>
      <w:bookmarkStart w:id="7" w:name="_Toc15396600"/>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基本职能</w:t>
      </w:r>
      <w:bookmarkEnd w:id="6"/>
      <w:bookmarkEnd w:id="7"/>
      <w:bookmarkStart w:id="8" w:name="_Toc15377198"/>
      <w:bookmarkStart w:id="9" w:name="_Toc15378445"/>
    </w:p>
    <w:bookmarkEnd w:id="8"/>
    <w:bookmarkEnd w:id="9"/>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bookmarkStart w:id="10" w:name="_Toc15378446"/>
      <w:bookmarkStart w:id="11" w:name="_Toc15377199"/>
      <w:r>
        <w:rPr>
          <w:rFonts w:hint="default" w:ascii="Times New Roman" w:hAnsi="Times New Roman" w:eastAsia="仿宋_GB2312" w:cs="Times New Roman"/>
          <w:sz w:val="32"/>
          <w:szCs w:val="32"/>
        </w:rPr>
        <w:t>大竹县市政工程管理处的基本职能是负责对已建成的城市基础设施按照技术规范进行养护和维修工作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参与城市市政基础设施建设工作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参与市政基础设施建设工程的验收工作；受县住建局的委托承担城市道路、市容市貌、道路开挖、临时占道、市政广场、防汛排涝的管理工作</w:t>
      </w:r>
      <w:r>
        <w:rPr>
          <w:rFonts w:hint="default" w:ascii="Times New Roman" w:hAnsi="Times New Roman" w:eastAsia="仿宋_GB2312" w:cs="Times New Roman"/>
          <w:sz w:val="32"/>
          <w:szCs w:val="32"/>
          <w:lang w:eastAsia="zh-CN"/>
        </w:rPr>
        <w:t>。</w:t>
      </w:r>
    </w:p>
    <w:bookmarkEnd w:id="10"/>
    <w:bookmarkEnd w:id="11"/>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eastAsia="zh-CN"/>
        </w:rPr>
        <w:t>大竹县市政工程管理处</w:t>
      </w:r>
      <w:r>
        <w:rPr>
          <w:rFonts w:hint="default" w:ascii="Times New Roman" w:hAnsi="Times New Roman" w:eastAsia="仿宋_GB2312" w:cs="Times New Roman"/>
          <w:sz w:val="32"/>
          <w:szCs w:val="32"/>
        </w:rPr>
        <w:t>下属二级单位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其中行政单位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参照公务员法管理的事业单位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个，其他事业单位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w:t>
      </w:r>
    </w:p>
    <w:p>
      <w:pPr>
        <w:pStyle w:val="6"/>
        <w:keepNext w:val="0"/>
        <w:keepLines w:val="0"/>
        <w:pageBreakBefore w:val="0"/>
        <w:numPr>
          <w:ilvl w:val="0"/>
          <w:numId w:val="0"/>
        </w:numPr>
        <w:kinsoku/>
        <w:wordWrap/>
        <w:overflowPunct/>
        <w:topLinePunct w:val="0"/>
        <w:autoSpaceDE/>
        <w:autoSpaceDN/>
        <w:bidi w:val="0"/>
        <w:adjustRightInd/>
        <w:snapToGrid/>
        <w:spacing w:beforeLines="0" w:line="578" w:lineRule="exact"/>
        <w:textAlignment w:val="auto"/>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before="0" w:after="0" w:line="578" w:lineRule="exact"/>
        <w:ind w:right="442"/>
        <w:jc w:val="center"/>
        <w:textAlignment w:val="auto"/>
        <w:rPr>
          <w:rStyle w:val="28"/>
          <w:rFonts w:hint="eastAsia" w:ascii="方正小标宋简体" w:hAnsi="方正小标宋简体" w:eastAsia="方正小标宋简体" w:cs="方正小标宋简体"/>
          <w:b w:val="0"/>
          <w:bCs/>
          <w:color w:val="auto"/>
          <w:highlight w:val="none"/>
        </w:rPr>
      </w:pPr>
      <w:bookmarkStart w:id="12" w:name="_Toc15377204"/>
      <w:bookmarkStart w:id="13" w:name="_Toc15396602"/>
      <w:r>
        <w:rPr>
          <w:rFonts w:hint="eastAsia" w:ascii="方正小标宋简体" w:hAnsi="方正小标宋简体" w:eastAsia="方正小标宋简体" w:cs="方正小标宋简体"/>
          <w:b w:val="0"/>
          <w:bCs/>
          <w:color w:val="auto"/>
          <w:highlight w:val="none"/>
          <w:lang w:val="en-US" w:eastAsia="zh-CN"/>
        </w:rPr>
        <w:t xml:space="preserve">  </w:t>
      </w:r>
      <w:r>
        <w:rPr>
          <w:rFonts w:hint="eastAsia" w:ascii="方正小标宋简体" w:hAnsi="方正小标宋简体" w:eastAsia="方正小标宋简体" w:cs="方正小标宋简体"/>
          <w:b w:val="0"/>
          <w:bCs/>
          <w:color w:val="auto"/>
          <w:highlight w:val="none"/>
        </w:rPr>
        <w:t xml:space="preserve">第二部分 </w:t>
      </w:r>
      <w:r>
        <w:rPr>
          <w:rFonts w:hint="eastAsia" w:ascii="方正小标宋简体" w:hAnsi="方正小标宋简体" w:eastAsia="方正小标宋简体" w:cs="方正小标宋简体"/>
          <w:b w:val="0"/>
          <w:bCs/>
          <w:color w:val="auto"/>
          <w:highlight w:val="none"/>
          <w:lang w:val="en-US" w:eastAsia="zh-CN"/>
        </w:rPr>
        <w:t>2023年度</w:t>
      </w:r>
      <w:r>
        <w:rPr>
          <w:rStyle w:val="28"/>
          <w:rFonts w:hint="eastAsia" w:ascii="方正小标宋简体" w:hAnsi="方正小标宋简体" w:eastAsia="方正小标宋简体" w:cs="方正小标宋简体"/>
          <w:b w:val="0"/>
          <w:bCs/>
          <w:color w:val="auto"/>
          <w:highlight w:val="none"/>
          <w:lang w:eastAsia="zh-CN"/>
        </w:rPr>
        <w:t>单位</w:t>
      </w:r>
      <w:r>
        <w:rPr>
          <w:rStyle w:val="28"/>
          <w:rFonts w:hint="eastAsia" w:ascii="方正小标宋简体" w:hAnsi="方正小标宋简体" w:eastAsia="方正小标宋简体" w:cs="方正小标宋简体"/>
          <w:b w:val="0"/>
          <w:bCs/>
          <w:color w:val="auto"/>
          <w:highlight w:val="none"/>
        </w:rPr>
        <w:t>决算情况说明</w:t>
      </w:r>
      <w:bookmarkEnd w:id="12"/>
      <w:bookmarkEnd w:id="13"/>
    </w:p>
    <w:p>
      <w:pPr>
        <w:rPr>
          <w:rFonts w:hint="default" w:ascii="Times New Roman" w:hAnsi="Times New Roman" w:cs="Times New Roman"/>
          <w:color w:val="auto"/>
          <w:highlight w:val="none"/>
        </w:rPr>
      </w:pPr>
    </w:p>
    <w:p>
      <w:pPr>
        <w:pStyle w:val="27"/>
        <w:numPr>
          <w:ilvl w:val="0"/>
          <w:numId w:val="2"/>
        </w:numPr>
        <w:spacing w:line="600" w:lineRule="exact"/>
        <w:ind w:firstLineChars="0"/>
        <w:outlineLvl w:val="1"/>
        <w:rPr>
          <w:rStyle w:val="29"/>
          <w:rFonts w:hint="default" w:ascii="Times New Roman" w:hAnsi="Times New Roman" w:eastAsia="黑体" w:cs="Times New Roman"/>
          <w:b w:val="0"/>
          <w:color w:val="auto"/>
          <w:highlight w:val="none"/>
        </w:rPr>
      </w:pPr>
      <w:bookmarkStart w:id="14" w:name="_Toc15396603"/>
      <w:bookmarkStart w:id="15" w:name="_Toc15377205"/>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年度收、支总计</w:t>
      </w:r>
      <w:r>
        <w:rPr>
          <w:rFonts w:hint="eastAsia" w:ascii="仿宋_GB2312" w:hAnsi="仿宋_GB2312" w:eastAsia="仿宋_GB2312" w:cs="仿宋_GB2312"/>
          <w:sz w:val="32"/>
          <w:szCs w:val="32"/>
          <w:lang w:val="en-US" w:eastAsia="zh-CN"/>
        </w:rPr>
        <w:t>均为1765.08</w:t>
      </w:r>
      <w:r>
        <w:rPr>
          <w:rFonts w:hint="eastAsia" w:ascii="仿宋_GB2312" w:hAnsi="仿宋_GB2312" w:eastAsia="仿宋_GB2312" w:cs="仿宋_GB2312"/>
          <w:sz w:val="32"/>
          <w:szCs w:val="32"/>
          <w:lang w:eastAsia="zh-CN"/>
        </w:rPr>
        <w:t>万元。与20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年相比，收、支总计</w:t>
      </w:r>
      <w:r>
        <w:rPr>
          <w:rFonts w:hint="eastAsia" w:ascii="仿宋_GB2312" w:hAnsi="仿宋_GB2312" w:eastAsia="仿宋_GB2312" w:cs="仿宋_GB2312"/>
          <w:sz w:val="32"/>
          <w:szCs w:val="32"/>
          <w:lang w:val="en-US" w:eastAsia="zh-CN"/>
        </w:rPr>
        <w:t>各减少181.92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下降9.34</w:t>
      </w:r>
      <w:r>
        <w:rPr>
          <w:rFonts w:hint="eastAsia" w:ascii="仿宋_GB2312" w:hAnsi="仿宋_GB2312" w:eastAsia="仿宋_GB2312" w:cs="仿宋_GB2312"/>
          <w:sz w:val="32"/>
          <w:szCs w:val="32"/>
          <w:lang w:eastAsia="zh-CN"/>
        </w:rPr>
        <w:t>%。主要变动原因是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项目资金减少。</w:t>
      </w:r>
    </w:p>
    <w:p>
      <w:pPr>
        <w:spacing w:line="600" w:lineRule="exact"/>
        <w:ind w:firstLine="640" w:firstLineChars="200"/>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（图1：收、支决算总计变动情况图）（柱状图）</w:t>
      </w:r>
    </w:p>
    <w:p>
      <w:pPr>
        <w:pStyle w:val="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lang w:eastAsia="zh-CN"/>
        </w:rPr>
        <w:drawing>
          <wp:inline distT="0" distB="0" distL="114300" distR="114300">
            <wp:extent cx="4787265" cy="3032760"/>
            <wp:effectExtent l="0" t="0" r="13335" b="1524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a:stretch>
                      <a:fillRect/>
                    </a:stretch>
                  </pic:blipFill>
                  <pic:spPr>
                    <a:xfrm>
                      <a:off x="0" y="0"/>
                      <a:ext cx="4787265" cy="3032760"/>
                    </a:xfrm>
                    <a:prstGeom prst="rect">
                      <a:avLst/>
                    </a:prstGeom>
                    <a:extLst>
                      <wpswe:webExtensionRef xmlns:wpswe="http://www.wps.cn/officeDocument/2018/webExtension" r:id="rId10"/>
                    </a:extLst>
                  </pic:spPr>
                </pic:pic>
              </a:graphicData>
            </a:graphic>
          </wp:inline>
        </w:drawing>
      </w:r>
    </w:p>
    <w:p>
      <w:pPr>
        <w:pStyle w:val="27"/>
        <w:numPr>
          <w:ilvl w:val="0"/>
          <w:numId w:val="2"/>
        </w:numPr>
        <w:spacing w:line="600" w:lineRule="exact"/>
        <w:ind w:firstLineChars="0"/>
        <w:outlineLvl w:val="1"/>
        <w:rPr>
          <w:rStyle w:val="29"/>
          <w:rFonts w:hint="default" w:ascii="Times New Roman" w:hAnsi="Times New Roman" w:eastAsia="黑体" w:cs="Times New Roman"/>
          <w:b w:val="0"/>
          <w:color w:val="auto"/>
          <w:highlight w:val="none"/>
        </w:rPr>
      </w:pPr>
      <w:bookmarkStart w:id="16" w:name="_Toc15396604"/>
      <w:bookmarkStart w:id="17" w:name="_Toc15377206"/>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年收入合计</w:t>
      </w:r>
      <w:r>
        <w:rPr>
          <w:rFonts w:hint="eastAsia" w:eastAsia="仿宋_GB2312" w:cs="Times New Roman"/>
          <w:sz w:val="32"/>
          <w:szCs w:val="32"/>
          <w:lang w:val="en-US" w:eastAsia="zh-CN"/>
        </w:rPr>
        <w:t>1765.08</w:t>
      </w:r>
      <w:r>
        <w:rPr>
          <w:rFonts w:hint="default" w:ascii="Times New Roman" w:hAnsi="Times New Roman" w:eastAsia="仿宋_GB2312" w:cs="Times New Roman"/>
          <w:sz w:val="32"/>
          <w:szCs w:val="32"/>
          <w:lang w:eastAsia="zh-CN"/>
        </w:rPr>
        <w:t>万元，其中：一般公共预算财政拨款收入</w:t>
      </w:r>
      <w:r>
        <w:rPr>
          <w:rFonts w:hint="eastAsia" w:eastAsia="仿宋_GB2312" w:cs="Times New Roman"/>
          <w:sz w:val="32"/>
          <w:szCs w:val="32"/>
          <w:lang w:val="en-US" w:eastAsia="zh-CN"/>
        </w:rPr>
        <w:t>738.21</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41.82</w:t>
      </w:r>
      <w:r>
        <w:rPr>
          <w:rFonts w:hint="default" w:ascii="Times New Roman" w:hAnsi="Times New Roman" w:eastAsia="仿宋_GB2312" w:cs="Times New Roman"/>
          <w:sz w:val="32"/>
          <w:szCs w:val="32"/>
          <w:lang w:eastAsia="zh-CN"/>
        </w:rPr>
        <w:t>%；政府性基金预算财政拨款收入</w:t>
      </w:r>
      <w:r>
        <w:rPr>
          <w:rFonts w:hint="eastAsia" w:eastAsia="仿宋_GB2312" w:cs="Times New Roman"/>
          <w:sz w:val="32"/>
          <w:szCs w:val="32"/>
          <w:lang w:val="en-US" w:eastAsia="zh-CN"/>
        </w:rPr>
        <w:t>1026.87</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58.18</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国有资本经营预算财政拨款收入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%；其他收入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w:t>
      </w:r>
    </w:p>
    <w:p>
      <w:pPr>
        <w:spacing w:line="600" w:lineRule="exact"/>
        <w:ind w:firstLine="640" w:firstLineChars="200"/>
        <w:jc w:val="left"/>
        <w:rPr>
          <w:rFonts w:hint="default" w:ascii="Times New Roman" w:hAnsi="Times New Roman" w:eastAsia="楷体_GB2312" w:cs="Times New Roman"/>
          <w:color w:val="000000" w:themeColor="text1"/>
          <w:sz w:val="32"/>
          <w:szCs w:val="32"/>
          <w:highlight w:val="none"/>
          <w14:textFill>
            <w14:solidFill>
              <w14:schemeClr w14:val="tx1"/>
            </w14:solidFill>
          </w14:textFill>
        </w:rPr>
      </w:pPr>
    </w:p>
    <w:p>
      <w:pPr>
        <w:spacing w:line="600" w:lineRule="exact"/>
        <w:ind w:firstLine="640" w:firstLineChars="200"/>
        <w:jc w:val="center"/>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（图2：收入决算结构图）（饼状图）</w:t>
      </w:r>
    </w:p>
    <w:p>
      <w:pPr>
        <w:pStyle w:val="6"/>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drawing>
          <wp:inline distT="0" distB="0" distL="114300" distR="114300">
            <wp:extent cx="4032250" cy="2479040"/>
            <wp:effectExtent l="4445" t="4445" r="2095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7"/>
        <w:numPr>
          <w:ilvl w:val="0"/>
          <w:numId w:val="2"/>
        </w:numPr>
        <w:spacing w:line="600" w:lineRule="exact"/>
        <w:ind w:firstLineChars="0"/>
        <w:outlineLvl w:val="1"/>
        <w:rPr>
          <w:rStyle w:val="29"/>
          <w:rFonts w:hint="default" w:ascii="Times New Roman" w:hAnsi="Times New Roman" w:eastAsia="黑体" w:cs="Times New Roman"/>
          <w:b w:val="0"/>
          <w:color w:val="auto"/>
          <w:highlight w:val="none"/>
        </w:rPr>
      </w:pPr>
      <w:bookmarkStart w:id="18" w:name="_Toc15377207"/>
      <w:bookmarkStart w:id="19" w:name="_Toc15396605"/>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18"/>
      <w:bookmarkEnd w:id="1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年本年支出合计</w:t>
      </w:r>
      <w:r>
        <w:rPr>
          <w:rFonts w:hint="eastAsia" w:ascii="仿宋_GB2312" w:hAnsi="仿宋_GB2312" w:eastAsia="仿宋_GB2312" w:cs="仿宋_GB2312"/>
          <w:sz w:val="32"/>
          <w:szCs w:val="32"/>
          <w:lang w:val="en-US" w:eastAsia="zh-CN"/>
        </w:rPr>
        <w:t>1765.08</w:t>
      </w:r>
      <w:r>
        <w:rPr>
          <w:rFonts w:hint="eastAsia" w:ascii="仿宋_GB2312" w:hAnsi="仿宋_GB2312" w:eastAsia="仿宋_GB2312" w:cs="仿宋_GB2312"/>
          <w:sz w:val="32"/>
          <w:szCs w:val="32"/>
          <w:lang w:eastAsia="zh-CN"/>
        </w:rPr>
        <w:t>万元，其中：基本支出</w:t>
      </w:r>
      <w:r>
        <w:rPr>
          <w:rFonts w:hint="eastAsia" w:ascii="仿宋_GB2312" w:hAnsi="仿宋_GB2312" w:eastAsia="仿宋_GB2312" w:cs="仿宋_GB2312"/>
          <w:sz w:val="32"/>
          <w:szCs w:val="32"/>
          <w:lang w:val="en-US" w:eastAsia="zh-CN"/>
        </w:rPr>
        <w:t>648.65</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36.75</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1116.43</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63.25</w:t>
      </w:r>
      <w:r>
        <w:rPr>
          <w:rFonts w:hint="eastAsia" w:ascii="仿宋_GB2312" w:hAnsi="仿宋_GB2312" w:eastAsia="仿宋_GB2312" w:cs="仿宋_GB2312"/>
          <w:sz w:val="32"/>
          <w:szCs w:val="32"/>
          <w:lang w:eastAsia="zh-CN"/>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spacing w:line="600" w:lineRule="exact"/>
        <w:ind w:firstLine="640" w:firstLineChars="200"/>
        <w:jc w:val="left"/>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（图3：支出决算结构图）（饼状图）</w:t>
      </w:r>
    </w:p>
    <w:p>
      <w:pPr>
        <w:pStyle w:val="6"/>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lang w:eastAsia="zh-CN"/>
        </w:rPr>
        <w:drawing>
          <wp:inline distT="0" distB="0" distL="114300" distR="114300">
            <wp:extent cx="4801870" cy="2686050"/>
            <wp:effectExtent l="4445" t="4445" r="1333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0"/>
        </w:numPr>
        <w:spacing w:line="600" w:lineRule="exact"/>
        <w:ind w:left="640" w:leftChars="0"/>
        <w:outlineLvl w:val="1"/>
        <w:rPr>
          <w:rFonts w:hint="default" w:ascii="Times New Roman" w:hAnsi="Times New Roman" w:eastAsia="黑体" w:cs="Times New Roman"/>
          <w:color w:val="auto"/>
          <w:sz w:val="32"/>
          <w:szCs w:val="32"/>
          <w:highlight w:val="none"/>
          <w:lang w:eastAsia="zh-CN"/>
        </w:rPr>
      </w:pPr>
      <w:bookmarkStart w:id="20" w:name="_Toc15396606"/>
      <w:bookmarkStart w:id="21" w:name="_Toc15377208"/>
    </w:p>
    <w:p>
      <w:pPr>
        <w:numPr>
          <w:ilvl w:val="0"/>
          <w:numId w:val="0"/>
        </w:numPr>
        <w:spacing w:line="600" w:lineRule="exact"/>
        <w:ind w:left="640" w:leftChars="0"/>
        <w:outlineLvl w:val="1"/>
        <w:rPr>
          <w:rFonts w:hint="default" w:ascii="Times New Roman" w:hAnsi="Times New Roman" w:eastAsia="黑体" w:cs="Times New Roman"/>
          <w:color w:val="auto"/>
          <w:sz w:val="32"/>
          <w:szCs w:val="32"/>
          <w:highlight w:val="none"/>
          <w:lang w:eastAsia="zh-CN"/>
        </w:rPr>
      </w:pPr>
    </w:p>
    <w:p>
      <w:pPr>
        <w:numPr>
          <w:ilvl w:val="0"/>
          <w:numId w:val="0"/>
        </w:numPr>
        <w:spacing w:line="600" w:lineRule="exact"/>
        <w:ind w:left="640" w:leftChars="0"/>
        <w:outlineLvl w:val="1"/>
        <w:rPr>
          <w:rFonts w:hint="default" w:ascii="Times New Roman" w:hAnsi="Times New Roman" w:cs="Times New Roman"/>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财</w:t>
      </w:r>
      <w:r>
        <w:rPr>
          <w:rStyle w:val="29"/>
          <w:rFonts w:hint="default" w:ascii="Times New Roman" w:hAnsi="Times New Roman" w:eastAsia="黑体" w:cs="Times New Roman"/>
          <w:b w:val="0"/>
          <w:color w:val="auto"/>
          <w:highlight w:val="none"/>
        </w:rPr>
        <w:t>政拨款收入支出决算总体情况说明</w:t>
      </w:r>
      <w:bookmarkEnd w:id="20"/>
      <w:bookmarkEnd w:id="2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年财政拨款收、支总计</w:t>
      </w:r>
      <w:r>
        <w:rPr>
          <w:rFonts w:hint="eastAsia" w:eastAsia="仿宋_GB2312" w:cs="Times New Roman"/>
          <w:sz w:val="32"/>
          <w:szCs w:val="32"/>
          <w:lang w:val="en-US" w:eastAsia="zh-CN"/>
        </w:rPr>
        <w:t>1765.08</w:t>
      </w:r>
      <w:r>
        <w:rPr>
          <w:rFonts w:hint="default" w:ascii="Times New Roman" w:hAnsi="Times New Roman" w:eastAsia="仿宋_GB2312" w:cs="Times New Roman"/>
          <w:sz w:val="32"/>
          <w:szCs w:val="32"/>
          <w:lang w:eastAsia="zh-CN"/>
        </w:rPr>
        <w:t>万元。与20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年相比，收、支总计各</w:t>
      </w:r>
      <w:r>
        <w:rPr>
          <w:rFonts w:hint="eastAsia" w:eastAsia="仿宋_GB2312" w:cs="Times New Roman"/>
          <w:sz w:val="32"/>
          <w:szCs w:val="32"/>
          <w:lang w:val="en-US" w:eastAsia="zh-CN"/>
        </w:rPr>
        <w:t>减少181.92</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下降9.34</w:t>
      </w:r>
      <w:r>
        <w:rPr>
          <w:rFonts w:hint="default" w:ascii="Times New Roman" w:hAnsi="Times New Roman" w:eastAsia="仿宋_GB2312" w:cs="Times New Roman"/>
          <w:sz w:val="32"/>
          <w:szCs w:val="32"/>
          <w:lang w:eastAsia="zh-CN"/>
        </w:rPr>
        <w:t>%。主要变动原因是项目资金</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（图4：财政拨款收、支决算总计变动情况）（柱状图）</w:t>
      </w:r>
      <w:bookmarkStart w:id="22" w:name="_Toc15396607"/>
      <w:bookmarkStart w:id="23" w:name="_Toc15377209"/>
    </w:p>
    <w:p>
      <w:pPr>
        <w:pStyle w:val="6"/>
        <w:jc w:val="center"/>
        <w:rPr>
          <w:rFonts w:hint="default" w:ascii="Times New Roman" w:hAnsi="Times New Roman" w:cs="Times New Roman"/>
        </w:rPr>
      </w:pPr>
      <w:r>
        <w:rPr>
          <w:rFonts w:hint="default" w:ascii="Times New Roman" w:hAnsi="Times New Roman" w:eastAsia="仿宋_GB2312" w:cs="Times New Roman"/>
          <w:lang w:eastAsia="zh-CN"/>
        </w:rPr>
        <w:drawing>
          <wp:inline distT="0" distB="0" distL="114300" distR="114300">
            <wp:extent cx="4992370" cy="3484880"/>
            <wp:effectExtent l="0" t="0" r="17780" b="127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5"/>
                    <a:stretch>
                      <a:fillRect/>
                    </a:stretch>
                  </pic:blipFill>
                  <pic:spPr>
                    <a:xfrm>
                      <a:off x="0" y="0"/>
                      <a:ext cx="4992370" cy="3484880"/>
                    </a:xfrm>
                    <a:prstGeom prst="rect">
                      <a:avLst/>
                    </a:prstGeom>
                    <a:extLst>
                      <wpswe:webExtensionRef xmlns:wpswe="http://www.wps.cn/officeDocument/2018/webExtension" r:id="rId14"/>
                    </a:extLst>
                  </pic:spPr>
                </pic:pic>
              </a:graphicData>
            </a:graphic>
          </wp:inline>
        </w:drawing>
      </w:r>
    </w:p>
    <w:p>
      <w:pPr>
        <w:spacing w:line="600" w:lineRule="exact"/>
        <w:ind w:firstLine="640" w:firstLineChars="200"/>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2"/>
      <w:bookmarkEnd w:id="23"/>
    </w:p>
    <w:p>
      <w:pPr>
        <w:spacing w:line="600" w:lineRule="exact"/>
        <w:ind w:firstLine="640" w:firstLineChars="200"/>
        <w:outlineLvl w:val="2"/>
        <w:rPr>
          <w:rFonts w:hint="default" w:ascii="Times New Roman" w:hAnsi="Times New Roman" w:eastAsia="楷体_GB2312" w:cs="Times New Roman"/>
          <w:b w:val="0"/>
          <w:bCs/>
          <w:color w:val="auto"/>
          <w:sz w:val="32"/>
          <w:szCs w:val="32"/>
          <w:highlight w:val="none"/>
        </w:rPr>
      </w:pPr>
      <w:bookmarkStart w:id="24" w:name="_Toc15377210"/>
      <w:r>
        <w:rPr>
          <w:rFonts w:hint="default" w:ascii="Times New Roman" w:hAnsi="Times New Roman" w:eastAsia="楷体_GB2312" w:cs="Times New Roman"/>
          <w:b w:val="0"/>
          <w:bCs/>
          <w:color w:val="auto"/>
          <w:sz w:val="32"/>
          <w:szCs w:val="32"/>
          <w:highlight w:val="none"/>
        </w:rPr>
        <w:t>（一）一般公共预算财政拨款支出决算总体情况</w:t>
      </w:r>
      <w:bookmarkEnd w:id="24"/>
    </w:p>
    <w:p>
      <w:pPr>
        <w:ind w:firstLine="640" w:firstLineChars="200"/>
        <w:jc w:val="both"/>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年一般公共预算财政拨款支出</w:t>
      </w:r>
      <w:r>
        <w:rPr>
          <w:rFonts w:hint="eastAsia" w:eastAsia="仿宋_GB2312" w:cs="Times New Roman"/>
          <w:sz w:val="32"/>
          <w:szCs w:val="32"/>
          <w:lang w:val="en-US" w:eastAsia="zh-CN"/>
        </w:rPr>
        <w:t>738.21</w:t>
      </w:r>
      <w:r>
        <w:rPr>
          <w:rFonts w:hint="default" w:ascii="Times New Roman" w:hAnsi="Times New Roman" w:eastAsia="仿宋_GB2312" w:cs="Times New Roman"/>
          <w:sz w:val="32"/>
          <w:szCs w:val="32"/>
          <w:lang w:eastAsia="zh-CN"/>
        </w:rPr>
        <w:t>万元，占本年支出合计的</w:t>
      </w:r>
      <w:r>
        <w:rPr>
          <w:rFonts w:hint="eastAsia" w:eastAsia="仿宋_GB2312" w:cs="Times New Roman"/>
          <w:sz w:val="32"/>
          <w:szCs w:val="32"/>
          <w:lang w:val="en-US" w:eastAsia="zh-CN"/>
        </w:rPr>
        <w:t>41.82</w:t>
      </w:r>
      <w:r>
        <w:rPr>
          <w:rFonts w:hint="default" w:ascii="Times New Roman" w:hAnsi="Times New Roman" w:eastAsia="仿宋_GB2312" w:cs="Times New Roman"/>
          <w:sz w:val="32"/>
          <w:szCs w:val="32"/>
          <w:lang w:eastAsia="zh-CN"/>
        </w:rPr>
        <w:t>%。与20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年相比，一般公共预算财政拨款支出</w:t>
      </w:r>
      <w:r>
        <w:rPr>
          <w:rFonts w:hint="eastAsia" w:eastAsia="仿宋_GB2312" w:cs="Times New Roman"/>
          <w:sz w:val="32"/>
          <w:szCs w:val="32"/>
          <w:lang w:val="en-US" w:eastAsia="zh-CN"/>
        </w:rPr>
        <w:t>减少231.1</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下降23.84</w:t>
      </w:r>
      <w:r>
        <w:rPr>
          <w:rFonts w:hint="default" w:ascii="Times New Roman" w:hAnsi="Times New Roman" w:eastAsia="仿宋_GB2312" w:cs="Times New Roman"/>
          <w:sz w:val="32"/>
          <w:szCs w:val="32"/>
          <w:lang w:eastAsia="zh-CN"/>
        </w:rPr>
        <w:t>%。主要变动原因是项目支出</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（图5：一般公共预算财政拨款支出决算变动情况）（柱状图）</w:t>
      </w:r>
    </w:p>
    <w:p>
      <w:pPr>
        <w:pStyle w:val="6"/>
        <w:jc w:val="center"/>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lang w:eastAsia="zh-CN"/>
        </w:rPr>
        <w:drawing>
          <wp:inline distT="0" distB="0" distL="114300" distR="114300">
            <wp:extent cx="5012690" cy="3733165"/>
            <wp:effectExtent l="0" t="0" r="16510"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stretch>
                      <a:fillRect/>
                    </a:stretch>
                  </pic:blipFill>
                  <pic:spPr>
                    <a:xfrm>
                      <a:off x="0" y="0"/>
                      <a:ext cx="5012690" cy="3733165"/>
                    </a:xfrm>
                    <a:prstGeom prst="rect">
                      <a:avLst/>
                    </a:prstGeom>
                    <a:extLst>
                      <wpswe:webExtensionRef xmlns:wpswe="http://www.wps.cn/officeDocument/2018/webExtension" r:id="rId16"/>
                    </a:extLst>
                  </pic:spPr>
                </pic:pic>
              </a:graphicData>
            </a:graphic>
          </wp:inline>
        </w:drawing>
      </w:r>
    </w:p>
    <w:p>
      <w:pPr>
        <w:spacing w:line="600" w:lineRule="exact"/>
        <w:ind w:firstLine="640" w:firstLineChars="200"/>
        <w:outlineLvl w:val="2"/>
        <w:rPr>
          <w:rFonts w:hint="default" w:ascii="Times New Roman" w:hAnsi="Times New Roman" w:eastAsia="楷体_GB2312" w:cs="Times New Roman"/>
          <w:b w:val="0"/>
          <w:bCs/>
          <w:color w:val="auto"/>
          <w:sz w:val="32"/>
          <w:szCs w:val="32"/>
          <w:highlight w:val="none"/>
        </w:rPr>
      </w:pPr>
      <w:bookmarkStart w:id="25" w:name="_Toc15377211"/>
      <w:r>
        <w:rPr>
          <w:rFonts w:hint="default" w:ascii="Times New Roman" w:hAnsi="Times New Roman" w:eastAsia="楷体_GB2312" w:cs="Times New Roman"/>
          <w:b w:val="0"/>
          <w:bCs/>
          <w:color w:val="auto"/>
          <w:sz w:val="32"/>
          <w:szCs w:val="32"/>
          <w:highlight w:val="none"/>
        </w:rPr>
        <w:t>（二）一般公共预算财政拨款支出决算结构情况</w:t>
      </w:r>
      <w:bookmarkEnd w:id="2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年一般公共预算财政拨款支出</w:t>
      </w:r>
      <w:r>
        <w:rPr>
          <w:rFonts w:hint="eastAsia" w:eastAsia="仿宋_GB2312" w:cs="Times New Roman"/>
          <w:sz w:val="32"/>
          <w:szCs w:val="32"/>
          <w:lang w:val="en-US" w:eastAsia="zh-CN"/>
        </w:rPr>
        <w:t>738.21</w:t>
      </w:r>
      <w:r>
        <w:rPr>
          <w:rFonts w:hint="default" w:ascii="Times New Roman" w:hAnsi="Times New Roman" w:eastAsia="仿宋_GB2312" w:cs="Times New Roman"/>
          <w:sz w:val="32"/>
          <w:szCs w:val="32"/>
          <w:lang w:eastAsia="zh-CN"/>
        </w:rPr>
        <w:t>万元，主要用于以下方面:一般公共服务支出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%；教育支出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%；科学技术支出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%；文化旅游体育与传媒支出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lang w:val="en-US" w:eastAsia="zh-CN"/>
        </w:rPr>
        <w:t>208</w:t>
      </w:r>
      <w:r>
        <w:rPr>
          <w:rFonts w:hint="default" w:ascii="Times New Roman" w:hAnsi="Times New Roman" w:eastAsia="仿宋_GB2312" w:cs="Times New Roman"/>
          <w:sz w:val="32"/>
          <w:szCs w:val="32"/>
          <w:lang w:eastAsia="zh-CN"/>
        </w:rPr>
        <w:t>）支出</w:t>
      </w:r>
      <w:r>
        <w:rPr>
          <w:rFonts w:hint="eastAsia" w:eastAsia="仿宋_GB2312" w:cs="Times New Roman"/>
          <w:sz w:val="32"/>
          <w:szCs w:val="32"/>
          <w:lang w:val="en-US" w:eastAsia="zh-CN"/>
        </w:rPr>
        <w:t>93.80</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12.71</w:t>
      </w:r>
      <w:r>
        <w:rPr>
          <w:rFonts w:hint="default" w:ascii="Times New Roman" w:hAnsi="Times New Roman" w:eastAsia="仿宋_GB2312" w:cs="Times New Roman"/>
          <w:sz w:val="32"/>
          <w:szCs w:val="32"/>
          <w:lang w:eastAsia="zh-CN"/>
        </w:rPr>
        <w:t>%；卫生健康支出（</w:t>
      </w:r>
      <w:r>
        <w:rPr>
          <w:rFonts w:hint="default"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17.87</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2.42</w:t>
      </w:r>
      <w:r>
        <w:rPr>
          <w:rFonts w:hint="default" w:ascii="Times New Roman" w:hAnsi="Times New Roman" w:eastAsia="仿宋_GB2312" w:cs="Times New Roman"/>
          <w:sz w:val="32"/>
          <w:szCs w:val="32"/>
          <w:lang w:eastAsia="zh-CN"/>
        </w:rPr>
        <w:t>%；住房保障支出（</w:t>
      </w:r>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42.54</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5.76</w:t>
      </w:r>
      <w:r>
        <w:rPr>
          <w:rFonts w:hint="default" w:ascii="Times New Roman" w:hAnsi="Times New Roman" w:eastAsia="仿宋_GB2312" w:cs="Times New Roman"/>
          <w:sz w:val="32"/>
          <w:szCs w:val="32"/>
          <w:lang w:eastAsia="zh-CN"/>
        </w:rPr>
        <w:t>%；城乡社区支出（</w:t>
      </w:r>
      <w:r>
        <w:rPr>
          <w:rFonts w:hint="default" w:ascii="Times New Roman" w:hAnsi="Times New Roman" w:eastAsia="仿宋_GB2312" w:cs="Times New Roman"/>
          <w:sz w:val="32"/>
          <w:szCs w:val="32"/>
          <w:lang w:val="en-US" w:eastAsia="zh-CN"/>
        </w:rPr>
        <w:t>212</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494.45</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66.98</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项目支出89.56</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12.13</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（图6：一般公共预算财政拨款支出决算结构）（饼状图）</w:t>
      </w:r>
    </w:p>
    <w:p>
      <w:pPr>
        <w:pStyle w:val="6"/>
        <w:jc w:val="center"/>
        <w:rPr>
          <w:rFonts w:hint="default" w:ascii="Times New Roman" w:hAnsi="Times New Roman" w:eastAsia="仿宋_GB2312" w:cs="Times New Roman"/>
          <w:lang w:eastAsia="zh-CN"/>
        </w:rPr>
      </w:pPr>
      <w:r>
        <w:rPr>
          <w:rFonts w:hint="default" w:ascii="Times New Roman" w:hAnsi="Times New Roman" w:cs="Times New Roman" w:eastAsiaTheme="minorEastAsia"/>
          <w:lang w:eastAsia="zh-CN"/>
        </w:rPr>
        <w:drawing>
          <wp:inline distT="0" distB="0" distL="114300" distR="114300">
            <wp:extent cx="4879975" cy="2983865"/>
            <wp:effectExtent l="4445" t="4445" r="11430" b="2159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b w:val="0"/>
          <w:bCs/>
          <w:color w:val="auto"/>
          <w:sz w:val="32"/>
          <w:szCs w:val="32"/>
          <w:highlight w:val="none"/>
        </w:rPr>
      </w:pPr>
      <w:bookmarkStart w:id="26" w:name="_Toc15377212"/>
      <w:r>
        <w:rPr>
          <w:rFonts w:hint="default" w:ascii="Times New Roman" w:hAnsi="Times New Roman" w:eastAsia="楷体_GB2312" w:cs="Times New Roman"/>
          <w:b w:val="0"/>
          <w:bCs/>
          <w:color w:val="auto"/>
          <w:sz w:val="32"/>
          <w:szCs w:val="32"/>
          <w:highlight w:val="none"/>
        </w:rPr>
        <w:t>（三）一般公共预算财政拨款支出决算具体情况</w:t>
      </w:r>
      <w:bookmarkEnd w:id="2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bookmarkStart w:id="27" w:name="_Toc15377444"/>
      <w:bookmarkStart w:id="28" w:name="_Toc15378460"/>
      <w:bookmarkStart w:id="29" w:name="_Toc15377213"/>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年一般公共预算支出决算数为</w:t>
      </w:r>
      <w:r>
        <w:rPr>
          <w:rFonts w:hint="eastAsia" w:eastAsia="仿宋_GB2312" w:cs="Times New Roman"/>
          <w:sz w:val="32"/>
          <w:szCs w:val="32"/>
          <w:lang w:val="en-US" w:eastAsia="zh-CN"/>
        </w:rPr>
        <w:t>738.21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%。其中：</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lang w:val="en-US" w:eastAsia="zh-CN"/>
        </w:rPr>
        <w:t>208</w:t>
      </w:r>
      <w:r>
        <w:rPr>
          <w:rFonts w:hint="default" w:ascii="Times New Roman" w:hAnsi="Times New Roman" w:eastAsia="仿宋_GB2312" w:cs="Times New Roman"/>
          <w:sz w:val="32"/>
          <w:szCs w:val="32"/>
          <w:lang w:eastAsia="zh-CN"/>
        </w:rPr>
        <w:t>）行政事业单位养老支出（</w:t>
      </w:r>
      <w:r>
        <w:rPr>
          <w:rFonts w:hint="default" w:ascii="Times New Roman" w:hAnsi="Times New Roman" w:eastAsia="仿宋_GB2312" w:cs="Times New Roman"/>
          <w:sz w:val="32"/>
          <w:szCs w:val="32"/>
          <w:lang w:val="en-US" w:eastAsia="zh-CN"/>
        </w:rPr>
        <w:t>05）</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86.81</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抚恤支出（08）5.61万元；</w:t>
      </w:r>
      <w:r>
        <w:rPr>
          <w:rFonts w:hint="default" w:ascii="Times New Roman" w:hAnsi="Times New Roman" w:eastAsia="仿宋_GB2312" w:cs="Times New Roman"/>
          <w:sz w:val="32"/>
          <w:szCs w:val="32"/>
          <w:lang w:val="en-US" w:eastAsia="zh-CN"/>
        </w:rPr>
        <w:t>其他</w:t>
      </w:r>
      <w:r>
        <w:rPr>
          <w:rFonts w:hint="eastAsia" w:eastAsia="仿宋_GB2312" w:cs="Times New Roman"/>
          <w:sz w:val="32"/>
          <w:szCs w:val="32"/>
          <w:lang w:val="en-US" w:eastAsia="zh-CN"/>
        </w:rPr>
        <w:t>社会保障和就业支出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1.38</w:t>
      </w:r>
      <w:r>
        <w:rPr>
          <w:rFonts w:hint="default" w:ascii="Times New Roman" w:hAnsi="Times New Roman" w:eastAsia="仿宋_GB2312" w:cs="Times New Roman"/>
          <w:sz w:val="32"/>
          <w:szCs w:val="32"/>
          <w:lang w:val="en-US" w:eastAsia="zh-CN"/>
        </w:rPr>
        <w:t>万元，总</w:t>
      </w:r>
      <w:r>
        <w:rPr>
          <w:rFonts w:hint="default" w:ascii="Times New Roman" w:hAnsi="Times New Roman" w:eastAsia="仿宋_GB2312" w:cs="Times New Roman"/>
          <w:sz w:val="32"/>
          <w:szCs w:val="32"/>
          <w:lang w:eastAsia="zh-CN"/>
        </w:rPr>
        <w:t>支出决算为</w:t>
      </w:r>
      <w:r>
        <w:rPr>
          <w:rFonts w:hint="eastAsia" w:eastAsia="仿宋_GB2312" w:cs="Times New Roman"/>
          <w:sz w:val="32"/>
          <w:szCs w:val="32"/>
          <w:lang w:val="en-US" w:eastAsia="zh-CN"/>
        </w:rPr>
        <w:t>93.80</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lang w:eastAsia="zh-CN"/>
        </w:rPr>
        <w:t>）行政事业单位医疗（</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事业单位医疗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lang w:eastAsia="zh-CN"/>
        </w:rPr>
        <w:t>）支出决算为</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7.87</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.城乡社区支出（</w:t>
      </w:r>
      <w:r>
        <w:rPr>
          <w:rFonts w:hint="default" w:ascii="Times New Roman" w:hAnsi="Times New Roman" w:eastAsia="仿宋_GB2312" w:cs="Times New Roman"/>
          <w:sz w:val="32"/>
          <w:szCs w:val="32"/>
          <w:lang w:val="en-US" w:eastAsia="zh-CN"/>
        </w:rPr>
        <w:t>212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城乡社区管理事务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01）工程建设管理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06</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31.27</w:t>
      </w:r>
      <w:r>
        <w:rPr>
          <w:rFonts w:hint="default" w:ascii="Times New Roman" w:hAnsi="Times New Roman" w:eastAsia="仿宋_GB2312" w:cs="Times New Roman"/>
          <w:sz w:val="32"/>
          <w:szCs w:val="32"/>
          <w:lang w:val="en-US" w:eastAsia="zh-CN"/>
        </w:rPr>
        <w:t>万元； 城乡社区公共设施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03）其他城乡社区公共设施支出（99）</w:t>
      </w:r>
      <w:r>
        <w:rPr>
          <w:rFonts w:hint="eastAsia" w:eastAsia="仿宋_GB2312" w:cs="Times New Roman"/>
          <w:sz w:val="32"/>
          <w:szCs w:val="32"/>
          <w:lang w:val="en-US" w:eastAsia="zh-CN"/>
        </w:rPr>
        <w:t>538.43</w:t>
      </w:r>
      <w:r>
        <w:rPr>
          <w:rFonts w:hint="default" w:ascii="Times New Roman" w:hAnsi="Times New Roman" w:eastAsia="仿宋_GB2312" w:cs="Times New Roman"/>
          <w:sz w:val="32"/>
          <w:szCs w:val="32"/>
          <w:lang w:val="en-US" w:eastAsia="zh-CN"/>
        </w:rPr>
        <w:t>万元；其他城乡社区支出（99</w:t>
      </w:r>
      <w:r>
        <w:rPr>
          <w:rFonts w:hint="eastAsia" w:eastAsia="仿宋_GB2312" w:cs="Times New Roman"/>
          <w:sz w:val="32"/>
          <w:szCs w:val="32"/>
          <w:lang w:val="en-US" w:eastAsia="zh-CN"/>
        </w:rPr>
        <w:t>99</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14.3</w:t>
      </w:r>
      <w:r>
        <w:rPr>
          <w:rFonts w:hint="default" w:ascii="Times New Roman" w:hAnsi="Times New Roman" w:eastAsia="仿宋_GB2312" w:cs="Times New Roman"/>
          <w:sz w:val="32"/>
          <w:szCs w:val="32"/>
          <w:lang w:val="en-US" w:eastAsia="zh-CN"/>
        </w:rPr>
        <w:t>万元，总</w:t>
      </w:r>
      <w:r>
        <w:rPr>
          <w:rFonts w:hint="default" w:ascii="Times New Roman" w:hAnsi="Times New Roman" w:eastAsia="仿宋_GB2312" w:cs="Times New Roman"/>
          <w:sz w:val="32"/>
          <w:szCs w:val="32"/>
          <w:lang w:eastAsia="zh-CN"/>
        </w:rPr>
        <w:t>支出决算为</w:t>
      </w:r>
      <w:r>
        <w:rPr>
          <w:rFonts w:hint="eastAsia" w:eastAsia="仿宋_GB2312" w:cs="Times New Roman"/>
          <w:sz w:val="32"/>
          <w:szCs w:val="32"/>
          <w:lang w:val="en-US" w:eastAsia="zh-CN"/>
        </w:rPr>
        <w:t>584</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.住房保障支出（</w:t>
      </w:r>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lang w:eastAsia="zh-CN"/>
        </w:rPr>
        <w:t>）住房改革支出（</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住房公积金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lang w:eastAsia="zh-CN"/>
        </w:rPr>
        <w:t>）:支出决算为</w:t>
      </w:r>
      <w:r>
        <w:rPr>
          <w:rFonts w:hint="eastAsia" w:eastAsia="仿宋_GB2312" w:cs="Times New Roman"/>
          <w:sz w:val="32"/>
          <w:szCs w:val="32"/>
          <w:lang w:val="en-US" w:eastAsia="zh-CN"/>
        </w:rPr>
        <w:t>42.54</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578" w:lineRule="exact"/>
        <w:ind w:firstLine="640"/>
        <w:textAlignment w:val="auto"/>
        <w:outlineLvl w:val="1"/>
        <w:rPr>
          <w:rStyle w:val="29"/>
          <w:rFonts w:hint="default" w:ascii="Times New Roman" w:hAnsi="Times New Roman" w:cs="Times New Roman"/>
          <w:color w:val="auto"/>
          <w:highlight w:val="none"/>
        </w:rPr>
      </w:pPr>
      <w:bookmarkStart w:id="30" w:name="_Toc15377214"/>
      <w:bookmarkStart w:id="31" w:name="_Toc15396608"/>
      <w:r>
        <w:rPr>
          <w:rFonts w:hint="default" w:ascii="Times New Roman" w:hAnsi="Times New Roman" w:eastAsia="黑体" w:cs="Times New Roman"/>
          <w:b w:val="0"/>
          <w:bCs/>
          <w:color w:val="auto"/>
          <w:sz w:val="32"/>
          <w:szCs w:val="32"/>
          <w:highlight w:val="none"/>
        </w:rPr>
        <w:t>六、一般公共预算财政拨款基本支出决算情况说明</w:t>
      </w:r>
      <w:bookmarkEnd w:id="30"/>
      <w:bookmarkEnd w:id="31"/>
      <w:r>
        <w:rPr>
          <w:rStyle w:val="29"/>
          <w:rFonts w:hint="default" w:ascii="Times New Roman" w:hAnsi="Times New Roman" w:eastAsia="黑体" w:cs="Times New Roman"/>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年一般公共预算财政拨款基本支出</w:t>
      </w:r>
      <w:r>
        <w:rPr>
          <w:rFonts w:hint="eastAsia" w:eastAsia="仿宋_GB2312" w:cs="Times New Roman"/>
          <w:sz w:val="32"/>
          <w:szCs w:val="32"/>
          <w:lang w:val="en-US" w:eastAsia="zh-CN"/>
        </w:rPr>
        <w:t>648.65</w:t>
      </w:r>
      <w:r>
        <w:rPr>
          <w:rFonts w:hint="default" w:ascii="Times New Roman" w:hAnsi="Times New Roman" w:eastAsia="仿宋_GB2312" w:cs="Times New Roman"/>
          <w:sz w:val="32"/>
          <w:szCs w:val="32"/>
          <w:lang w:eastAsia="zh-CN"/>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人员经费</w:t>
      </w:r>
      <w:r>
        <w:rPr>
          <w:rFonts w:hint="eastAsia" w:eastAsia="仿宋_GB2312" w:cs="Times New Roman"/>
          <w:sz w:val="32"/>
          <w:szCs w:val="32"/>
          <w:lang w:val="en-US" w:eastAsia="zh-CN"/>
        </w:rPr>
        <w:t>584.94</w:t>
      </w:r>
      <w:r>
        <w:rPr>
          <w:rFonts w:hint="default" w:ascii="Times New Roman" w:hAnsi="Times New Roman" w:eastAsia="仿宋_GB2312" w:cs="Times New Roman"/>
          <w:sz w:val="32"/>
          <w:szCs w:val="32"/>
          <w:lang w:eastAsia="zh-CN"/>
        </w:rPr>
        <w:t>万元，主要包括：基本工资、津贴补贴、绩效工资、机关事业单位基本养老保险缴费、职业年金缴费、其他工资福利支出、生活补助、奖励金、住房公积金、其他对个人和家庭的补助支出等。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公用经费</w:t>
      </w:r>
      <w:r>
        <w:rPr>
          <w:rFonts w:hint="eastAsia" w:eastAsia="仿宋_GB2312" w:cs="Times New Roman"/>
          <w:sz w:val="32"/>
          <w:szCs w:val="32"/>
          <w:lang w:val="en-US" w:eastAsia="zh-CN"/>
        </w:rPr>
        <w:t>63.71</w:t>
      </w:r>
      <w:r>
        <w:rPr>
          <w:rFonts w:hint="default" w:ascii="Times New Roman" w:hAnsi="Times New Roman" w:eastAsia="仿宋_GB2312" w:cs="Times New Roman"/>
          <w:sz w:val="32"/>
          <w:szCs w:val="32"/>
          <w:lang w:eastAsia="zh-CN"/>
        </w:rPr>
        <w:t>万元，主要包括：办公费、水费、电费、邮电费、差旅费、公务接待费、工会经费、福利费、公务用车运行维护费、其他商品和服务支出等。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黑体" w:cs="Times New Roman"/>
          <w:b w:val="0"/>
          <w:bCs/>
          <w:color w:val="auto"/>
          <w:sz w:val="32"/>
          <w:szCs w:val="32"/>
          <w:highlight w:val="none"/>
        </w:rPr>
      </w:pPr>
      <w:bookmarkStart w:id="32" w:name="_Toc15396609"/>
      <w:bookmarkStart w:id="33" w:name="_Toc15377215"/>
      <w:r>
        <w:rPr>
          <w:rFonts w:hint="default" w:ascii="Times New Roman" w:hAnsi="Times New Roman" w:eastAsia="黑体" w:cs="Times New Roman"/>
          <w:b w:val="0"/>
          <w:bCs/>
          <w:color w:val="auto"/>
          <w:sz w:val="32"/>
          <w:szCs w:val="32"/>
          <w:highlight w:val="none"/>
        </w:rPr>
        <w:t>七、“三公”经费财政拨款支出决算情况说明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default" w:ascii="Times New Roman" w:hAnsi="Times New Roman" w:eastAsia="楷体_GB2312" w:cs="Times New Roman"/>
          <w:b/>
          <w:color w:val="auto"/>
          <w:sz w:val="32"/>
          <w:szCs w:val="32"/>
          <w:highlight w:val="none"/>
        </w:rPr>
      </w:pPr>
      <w:bookmarkStart w:id="34" w:name="_Toc15377216"/>
      <w:r>
        <w:rPr>
          <w:rFonts w:hint="default" w:ascii="Times New Roman" w:hAnsi="Times New Roman" w:eastAsia="楷体_GB2312" w:cs="Times New Roman"/>
          <w:b w:val="0"/>
          <w:bCs/>
          <w:color w:val="auto"/>
          <w:sz w:val="32"/>
          <w:szCs w:val="32"/>
          <w:highlight w:val="none"/>
        </w:rPr>
        <w:t>（一）“三公”经费财政拨款支出决算总体情况说明</w:t>
      </w:r>
      <w:bookmarkEnd w:id="3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年“三公”经费财政拨款支出决算为</w:t>
      </w:r>
      <w:r>
        <w:rPr>
          <w:rFonts w:hint="eastAsia" w:eastAsia="仿宋_GB2312" w:cs="Times New Roman"/>
          <w:sz w:val="32"/>
          <w:szCs w:val="32"/>
          <w:lang w:val="en-US" w:eastAsia="zh-CN"/>
        </w:rPr>
        <w:t>9.87</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%。较上年</w:t>
      </w:r>
      <w:r>
        <w:rPr>
          <w:rFonts w:hint="eastAsia" w:eastAsia="仿宋_GB2312" w:cs="Times New Roman"/>
          <w:sz w:val="32"/>
          <w:szCs w:val="32"/>
          <w:lang w:val="en-US" w:eastAsia="zh-CN"/>
        </w:rPr>
        <w:t>增加4.66</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增长89.44</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default" w:ascii="Times New Roman" w:hAnsi="Times New Roman" w:eastAsia="楷体_GB2312" w:cs="Times New Roman"/>
          <w:b w:val="0"/>
          <w:bCs/>
          <w:color w:val="auto"/>
          <w:sz w:val="32"/>
          <w:szCs w:val="32"/>
          <w:highlight w:val="none"/>
          <w:lang w:eastAsia="zh-CN"/>
        </w:rPr>
      </w:pPr>
      <w:bookmarkStart w:id="35" w:name="_Toc15377217"/>
      <w:r>
        <w:rPr>
          <w:rFonts w:hint="default" w:ascii="Times New Roman" w:hAnsi="Times New Roman" w:eastAsia="楷体_GB2312" w:cs="Times New Roman"/>
          <w:b w:val="0"/>
          <w:bCs/>
          <w:color w:val="auto"/>
          <w:sz w:val="32"/>
          <w:szCs w:val="32"/>
          <w:highlight w:val="none"/>
          <w:lang w:eastAsia="zh-CN"/>
        </w:rPr>
        <w:t>（二）“三公”经费财政拨款支出决算具体情况说明</w:t>
      </w:r>
      <w:bookmarkEnd w:id="3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%；公务用车购置及运行维护费支出决算</w:t>
      </w:r>
      <w:r>
        <w:rPr>
          <w:rFonts w:hint="eastAsia" w:eastAsia="仿宋_GB2312" w:cs="Times New Roman"/>
          <w:sz w:val="32"/>
          <w:szCs w:val="32"/>
          <w:lang w:val="en-US" w:eastAsia="zh-CN"/>
        </w:rPr>
        <w:t>9.42</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95.44</w:t>
      </w:r>
      <w:r>
        <w:rPr>
          <w:rFonts w:hint="default" w:ascii="Times New Roman" w:hAnsi="Times New Roman" w:eastAsia="仿宋_GB2312" w:cs="Times New Roman"/>
          <w:sz w:val="32"/>
          <w:szCs w:val="32"/>
          <w:lang w:eastAsia="zh-CN"/>
        </w:rPr>
        <w:t>%；公务接待费支出决算</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lang w:eastAsia="zh-CN"/>
        </w:rPr>
        <w:t>万元，占</w:t>
      </w:r>
      <w:r>
        <w:rPr>
          <w:rFonts w:hint="eastAsia" w:eastAsia="仿宋_GB2312" w:cs="Times New Roman"/>
          <w:sz w:val="32"/>
          <w:szCs w:val="32"/>
          <w:lang w:val="en-US" w:eastAsia="zh-CN"/>
        </w:rPr>
        <w:t>4.56</w:t>
      </w:r>
      <w:r>
        <w:rPr>
          <w:rFonts w:hint="default" w:ascii="Times New Roman" w:hAnsi="Times New Roman" w:eastAsia="仿宋_GB2312" w:cs="Times New Roman"/>
          <w:sz w:val="32"/>
          <w:szCs w:val="32"/>
          <w:lang w:eastAsia="zh-CN"/>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（图7：“三公”经费财政拨款支出结构）（饼状图）</w:t>
      </w:r>
    </w:p>
    <w:p>
      <w:pPr>
        <w:pStyle w:val="6"/>
        <w:jc w:val="center"/>
        <w:rPr>
          <w:rFonts w:hint="default" w:ascii="Times New Roman" w:hAnsi="Times New Roman" w:cs="Times New Roman"/>
        </w:rPr>
      </w:pPr>
      <w:r>
        <w:rPr>
          <w:rFonts w:hint="default" w:ascii="Times New Roman" w:hAnsi="Times New Roman" w:eastAsia="仿宋" w:cs="Times New Roman"/>
          <w:color w:val="FF0000"/>
          <w:sz w:val="32"/>
          <w:szCs w:val="32"/>
          <w:highlight w:val="none"/>
          <w:lang w:eastAsia="zh-CN"/>
        </w:rPr>
        <w:drawing>
          <wp:inline distT="0" distB="0" distL="114300" distR="114300">
            <wp:extent cx="4859655" cy="2839085"/>
            <wp:effectExtent l="5080" t="4445" r="1206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1.因公出国（境）经费支出：0</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人。因公出国（境）支出决算比20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年增加/减少</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万元，增长/下降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2.公务用车购置及运行维护费支出：</w:t>
      </w:r>
      <w:r>
        <w:rPr>
          <w:rFonts w:hint="eastAsia" w:ascii="Times New Roman" w:hAnsi="Times New Roman" w:eastAsia="仿宋_GB2312" w:cs="Times New Roman"/>
          <w:sz w:val="32"/>
          <w:szCs w:val="32"/>
          <w:lang w:val="en-US" w:eastAsia="zh-CN"/>
        </w:rPr>
        <w:t>9.</w:t>
      </w:r>
      <w:r>
        <w:rPr>
          <w:rFonts w:hint="eastAsia" w:eastAsia="仿宋_GB2312" w:cs="Times New Roman"/>
          <w:sz w:val="32"/>
          <w:szCs w:val="32"/>
          <w:lang w:val="en-US" w:eastAsia="zh-CN"/>
        </w:rPr>
        <w:t>42</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%。公务用车购置及运行维护费支出决算比20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增加4.66</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增长89.44</w:t>
      </w:r>
      <w:r>
        <w:rPr>
          <w:rFonts w:hint="default" w:ascii="Times New Roman" w:hAnsi="Times New Roman" w:eastAsia="仿宋_GB2312" w:cs="Times New Roman"/>
          <w:sz w:val="32"/>
          <w:szCs w:val="32"/>
          <w:lang w:eastAsia="zh-CN"/>
        </w:rPr>
        <w:t>%。主要原因是车辆使用</w:t>
      </w:r>
      <w:r>
        <w:rPr>
          <w:rFonts w:hint="eastAsia" w:eastAsia="仿宋_GB2312" w:cs="Times New Roman"/>
          <w:sz w:val="32"/>
          <w:szCs w:val="32"/>
          <w:lang w:val="en-US" w:eastAsia="zh-CN"/>
        </w:rPr>
        <w:t>年限增加</w:t>
      </w:r>
      <w:r>
        <w:rPr>
          <w:rFonts w:hint="default" w:ascii="Times New Roman" w:hAnsi="Times New Roman" w:eastAsia="仿宋_GB2312" w:cs="Times New Roman"/>
          <w:sz w:val="32"/>
          <w:szCs w:val="32"/>
          <w:lang w:eastAsia="zh-CN"/>
        </w:rPr>
        <w:t>，维修次数</w:t>
      </w:r>
      <w:r>
        <w:rPr>
          <w:rFonts w:hint="eastAsia" w:eastAsia="仿宋_GB2312" w:cs="Times New Roman"/>
          <w:sz w:val="32"/>
          <w:szCs w:val="32"/>
          <w:lang w:val="en-US" w:eastAsia="zh-CN"/>
        </w:rPr>
        <w:t>增加</w:t>
      </w:r>
      <w:r>
        <w:rPr>
          <w:rFonts w:hint="eastAsia" w:ascii="Times New Roman" w:hAnsi="Times New Roman" w:eastAsia="仿宋_GB2312" w:cs="Times New Roman"/>
          <w:sz w:val="32"/>
          <w:szCs w:val="32"/>
          <w:lang w:val="en-US" w:eastAsia="zh-CN"/>
        </w:rPr>
        <w:t>，且有部分2022的费用在2023年支付</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eastAsia="zh-CN"/>
        </w:rPr>
        <w:t>其中：公务用车购置支出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截至20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年12月底，单位共有公务用车</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辆，其他用车</w:t>
      </w:r>
      <w:r>
        <w:rPr>
          <w:rFonts w:hint="default" w:ascii="Times New Roman" w:hAnsi="Times New Roman" w:eastAsia="仿宋_GB2312" w:cs="Times New Roman"/>
          <w:sz w:val="32"/>
          <w:szCs w:val="32"/>
          <w:lang w:val="en-US" w:eastAsia="zh-CN"/>
        </w:rPr>
        <w:t>4辆。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公务用车运行维护费支出</w:t>
      </w:r>
      <w:r>
        <w:rPr>
          <w:rFonts w:hint="eastAsia" w:eastAsia="仿宋_GB2312" w:cs="Times New Roman"/>
          <w:sz w:val="32"/>
          <w:szCs w:val="32"/>
          <w:lang w:val="en-US" w:eastAsia="zh-CN"/>
        </w:rPr>
        <w:t>9.42</w:t>
      </w:r>
      <w:r>
        <w:rPr>
          <w:rFonts w:hint="default" w:ascii="Times New Roman" w:hAnsi="Times New Roman" w:eastAsia="仿宋_GB2312" w:cs="Times New Roman"/>
          <w:sz w:val="32"/>
          <w:szCs w:val="32"/>
          <w:lang w:eastAsia="zh-CN"/>
        </w:rPr>
        <w:t>万元。主要用于市政基础设施巡查所需的公务用车燃料费、维修费。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3.公务接待费支出：</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lang w:eastAsia="zh-CN"/>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%。公务接待费支出决算比20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增加0.09</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增长25</w:t>
      </w:r>
      <w:r>
        <w:rPr>
          <w:rFonts w:hint="default" w:ascii="Times New Roman" w:hAnsi="Times New Roman" w:eastAsia="仿宋_GB2312" w:cs="Times New Roman"/>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国内公务接待支出：</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lang w:eastAsia="zh-CN"/>
        </w:rPr>
        <w:t>万元，主要用于加班误餐工作餐。国内公务接待</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批次，</w:t>
      </w:r>
      <w:r>
        <w:rPr>
          <w:rFonts w:hint="default" w:ascii="Times New Roman" w:hAnsi="Times New Roman" w:eastAsia="仿宋_GB2312" w:cs="Times New Roman"/>
          <w:sz w:val="32"/>
          <w:szCs w:val="32"/>
          <w:lang w:val="en-US" w:eastAsia="zh-CN"/>
        </w:rPr>
        <w:t>71</w:t>
      </w:r>
      <w:r>
        <w:rPr>
          <w:rFonts w:hint="default" w:ascii="Times New Roman" w:hAnsi="Times New Roman" w:eastAsia="仿宋_GB2312" w:cs="Times New Roman"/>
          <w:sz w:val="32"/>
          <w:szCs w:val="32"/>
          <w:lang w:eastAsia="zh-CN"/>
        </w:rPr>
        <w:t>人次（不包括陪同人员），共计支出</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万元，外事接待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人，共计支出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bookmarkStart w:id="36" w:name="_Toc15396610"/>
      <w:bookmarkStart w:id="37" w:name="_Toc15377218"/>
    </w:p>
    <w:p>
      <w:pPr>
        <w:spacing w:line="600" w:lineRule="exact"/>
        <w:ind w:firstLine="640" w:firstLineChars="200"/>
        <w:outlineLvl w:val="2"/>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八、政府性基金预算支出决算情况说明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年政府性基金预算财政拨款支出</w:t>
      </w:r>
      <w:r>
        <w:rPr>
          <w:rFonts w:hint="eastAsia" w:ascii="仿宋_GB2312" w:hAnsi="仿宋_GB2312" w:eastAsia="仿宋_GB2312" w:cs="仿宋_GB2312"/>
          <w:sz w:val="32"/>
          <w:szCs w:val="32"/>
          <w:lang w:val="en-US" w:eastAsia="zh-CN"/>
        </w:rPr>
        <w:t>1026.87</w:t>
      </w:r>
      <w:r>
        <w:rPr>
          <w:rFonts w:hint="eastAsia" w:ascii="仿宋_GB2312" w:hAnsi="仿宋_GB2312" w:eastAsia="仿宋_GB2312" w:cs="仿宋_GB2312"/>
          <w:sz w:val="32"/>
          <w:szCs w:val="32"/>
          <w:lang w:eastAsia="zh-CN"/>
        </w:rPr>
        <w:t>万元。其中：城市建设支出</w:t>
      </w:r>
      <w:r>
        <w:rPr>
          <w:rFonts w:hint="eastAsia" w:ascii="仿宋_GB2312" w:hAnsi="仿宋_GB2312" w:eastAsia="仿宋_GB2312" w:cs="仿宋_GB2312"/>
          <w:sz w:val="32"/>
          <w:szCs w:val="32"/>
          <w:lang w:val="en-US" w:eastAsia="zh-CN"/>
        </w:rPr>
        <w:t>697.87万元，农村基础设施建设支出322.43万元；征地和拆迁补偿支出6.57万元。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黑体" w:cs="Times New Roman"/>
          <w:b w:val="0"/>
          <w:bCs/>
          <w:color w:val="auto"/>
          <w:sz w:val="32"/>
          <w:szCs w:val="32"/>
          <w:highlight w:val="none"/>
        </w:rPr>
      </w:pPr>
      <w:bookmarkStart w:id="38" w:name="_Toc15396611"/>
      <w:bookmarkStart w:id="39" w:name="_Toc15377219"/>
      <w:r>
        <w:rPr>
          <w:rFonts w:hint="default" w:ascii="Times New Roman" w:hAnsi="Times New Roman" w:eastAsia="黑体" w:cs="Times New Roman"/>
          <w:b w:val="0"/>
          <w:bCs/>
          <w:color w:val="auto"/>
          <w:sz w:val="32"/>
          <w:szCs w:val="32"/>
          <w:highlight w:val="none"/>
          <w:lang w:eastAsia="zh-CN"/>
        </w:rPr>
        <w:t>九、</w:t>
      </w:r>
      <w:r>
        <w:rPr>
          <w:rFonts w:hint="default" w:ascii="Times New Roman" w:hAnsi="Times New Roman" w:eastAsia="黑体" w:cs="Times New Roman"/>
          <w:b w:val="0"/>
          <w:bCs/>
          <w:color w:val="auto"/>
          <w:sz w:val="32"/>
          <w:szCs w:val="32"/>
          <w:highlight w:val="none"/>
        </w:rPr>
        <w:t>国有资本经营预算支出决算情况说明</w:t>
      </w:r>
      <w:bookmarkEnd w:id="38"/>
      <w:bookmarkEnd w:id="3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outlineLvl w:val="1"/>
        <w:rPr>
          <w:rStyle w:val="29"/>
          <w:rFonts w:hint="default" w:ascii="Times New Roman" w:hAnsi="Times New Roman" w:eastAsia="黑体" w:cs="Times New Roman"/>
          <w:b w:val="0"/>
          <w:color w:val="auto"/>
          <w:highlight w:val="none"/>
        </w:rPr>
      </w:pPr>
      <w:bookmarkStart w:id="40" w:name="_Toc15377221"/>
      <w:bookmarkStart w:id="41" w:name="_Toc15396612"/>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40"/>
      <w:bookmarkEnd w:id="4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仿宋" w:cs="Times New Roman"/>
          <w:color w:val="FF0000"/>
          <w:sz w:val="32"/>
          <w:szCs w:val="32"/>
          <w:highlight w:val="none"/>
        </w:rPr>
      </w:pPr>
      <w:bookmarkStart w:id="42" w:name="_Toc15377222"/>
      <w:r>
        <w:rPr>
          <w:rFonts w:hint="default" w:ascii="Times New Roman" w:hAnsi="Times New Roman" w:eastAsia="楷体_GB2312" w:cs="Times New Roman"/>
          <w:b w:val="0"/>
          <w:bCs/>
          <w:color w:val="auto"/>
          <w:sz w:val="32"/>
          <w:szCs w:val="32"/>
          <w:highlight w:val="none"/>
        </w:rPr>
        <w:t>（一）机关运行经费支出情况</w:t>
      </w:r>
      <w:bookmarkEnd w:id="4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我单位实行事业单位会计制度，无机关运行费用。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b w:val="0"/>
          <w:bCs/>
          <w:color w:val="auto"/>
          <w:sz w:val="32"/>
          <w:szCs w:val="32"/>
          <w:highlight w:val="none"/>
        </w:rPr>
      </w:pPr>
      <w:bookmarkStart w:id="43" w:name="_Toc15377223"/>
      <w:r>
        <w:rPr>
          <w:rFonts w:hint="default" w:ascii="Times New Roman" w:hAnsi="Times New Roman" w:eastAsia="楷体_GB2312" w:cs="Times New Roman"/>
          <w:b w:val="0"/>
          <w:bCs/>
          <w:color w:val="auto"/>
          <w:sz w:val="32"/>
          <w:szCs w:val="32"/>
          <w:highlight w:val="none"/>
        </w:rPr>
        <w:t>（二）政府采购支出情况</w:t>
      </w:r>
      <w:bookmarkEnd w:id="4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年，大竹县市政工程管理处政府采购支出总额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b w:val="0"/>
          <w:bCs/>
          <w:color w:val="auto"/>
          <w:sz w:val="32"/>
          <w:szCs w:val="32"/>
          <w:highlight w:val="none"/>
        </w:rPr>
      </w:pPr>
      <w:bookmarkStart w:id="44" w:name="_Toc15377224"/>
      <w:r>
        <w:rPr>
          <w:rFonts w:hint="default" w:ascii="Times New Roman" w:hAnsi="Times New Roman" w:eastAsia="楷体_GB2312" w:cs="Times New Roman"/>
          <w:b w:val="0"/>
          <w:bCs/>
          <w:color w:val="auto"/>
          <w:sz w:val="32"/>
          <w:szCs w:val="32"/>
          <w:highlight w:val="none"/>
        </w:rPr>
        <w:t>（三）国有资产占有使用情况</w:t>
      </w:r>
      <w:bookmarkEnd w:id="4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截至20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年12月31日，大竹县市政工程管理处共有车辆</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辆、其他用车</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辆。其他用车主要是用于市政基础设施巡查维护，单价50万元以上通用设备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台（套），单价100万元以上专用设备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台（套）。</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11" w:leftChars="0" w:firstLine="640" w:firstLineChars="200"/>
        <w:textAlignment w:val="auto"/>
        <w:outlineLvl w:val="2"/>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预算绩效管理情况</w:t>
      </w:r>
    </w:p>
    <w:p>
      <w:pPr>
        <w:pStyle w:val="6"/>
        <w:keepNext w:val="0"/>
        <w:keepLines w:val="0"/>
        <w:pageBreakBefore w:val="0"/>
        <w:widowControl w:val="0"/>
        <w:kinsoku/>
        <w:wordWrap/>
        <w:overflowPunct/>
        <w:topLinePunct w:val="0"/>
        <w:autoSpaceDE/>
        <w:autoSpaceDN/>
        <w:bidi w:val="0"/>
        <w:adjustRightInd/>
        <w:snapToGrid/>
        <w:spacing w:beforeLines="0" w:line="578"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根据预算绩效管理要求，本单位在202</w:t>
      </w:r>
      <w:r>
        <w:rPr>
          <w:rFonts w:hint="eastAsia" w:ascii="Times New Roman"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年度预算编制阶段，组织对202</w:t>
      </w:r>
      <w:r>
        <w:rPr>
          <w:rFonts w:hint="eastAsia" w:ascii="Times New Roman"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年市政基础设施维修维护工程项目开展了预算事前绩效评估，编制了绩效目标，预算执行过程中，对该项目开展绩效监控、绩效自评，绩效自评表详见第四部分附件。</w:t>
      </w: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pStyle w:val="6"/>
        <w:numPr>
          <w:ilvl w:val="0"/>
          <w:numId w:val="0"/>
        </w:numPr>
        <w:rPr>
          <w:rFonts w:hint="default" w:ascii="Times New Roman" w:hAnsi="Times New Roman" w:cs="Times New Roman"/>
          <w:lang w:val="en-US" w:eastAsia="zh-CN"/>
        </w:rPr>
      </w:pPr>
    </w:p>
    <w:p>
      <w:pPr>
        <w:numPr>
          <w:ilvl w:val="0"/>
          <w:numId w:val="4"/>
        </w:numPr>
        <w:spacing w:line="600" w:lineRule="exact"/>
        <w:ind w:firstLine="660" w:firstLineChars="150"/>
        <w:jc w:val="center"/>
        <w:outlineLvl w:val="0"/>
        <w:rPr>
          <w:rStyle w:val="28"/>
          <w:rFonts w:hint="eastAsia" w:ascii="方正小标宋简体" w:hAnsi="方正小标宋简体" w:eastAsia="方正小标宋简体" w:cs="方正小标宋简体"/>
          <w:b w:val="0"/>
          <w:color w:val="auto"/>
          <w:highlight w:val="none"/>
        </w:rPr>
      </w:pPr>
      <w:bookmarkStart w:id="45" w:name="_Toc15396613"/>
      <w:bookmarkStart w:id="46" w:name="_Toc15377225"/>
      <w:r>
        <w:rPr>
          <w:rFonts w:hint="eastAsia" w:ascii="方正小标宋简体" w:hAnsi="方正小标宋简体" w:eastAsia="方正小标宋简体" w:cs="方正小标宋简体"/>
          <w:color w:val="auto"/>
          <w:sz w:val="44"/>
          <w:szCs w:val="44"/>
          <w:highlight w:val="none"/>
        </w:rPr>
        <w:t>名</w:t>
      </w:r>
      <w:r>
        <w:rPr>
          <w:rStyle w:val="28"/>
          <w:rFonts w:hint="eastAsia" w:ascii="方正小标宋简体" w:hAnsi="方正小标宋简体" w:eastAsia="方正小标宋简体" w:cs="方正小标宋简体"/>
          <w:b w:val="0"/>
          <w:color w:val="auto"/>
          <w:highlight w:val="none"/>
        </w:rPr>
        <w:t>词解释</w:t>
      </w:r>
      <w:bookmarkEnd w:id="45"/>
      <w:bookmarkEnd w:id="46"/>
    </w:p>
    <w:p>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bookmarkStart w:id="47" w:name="_Toc15377226"/>
      <w:r>
        <w:rPr>
          <w:rFonts w:hint="default" w:ascii="Times New Roman" w:hAnsi="Times New Roman" w:eastAsia="仿宋_GB2312" w:cs="Times New Roman"/>
          <w:sz w:val="32"/>
          <w:szCs w:val="32"/>
        </w:rPr>
        <w:t>1.</w:t>
      </w:r>
      <w:r>
        <w:rPr>
          <w:rFonts w:hint="default" w:ascii="Times New Roman" w:hAnsi="Times New Roman" w:eastAsia="楷体_GB2312" w:cs="Times New Roman"/>
          <w:sz w:val="32"/>
          <w:szCs w:val="32"/>
        </w:rPr>
        <w:t>财政拨款收入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指单位从同级财政部门取得的财政预算资金。</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rPr>
        <w:t>2.</w:t>
      </w:r>
      <w:r>
        <w:rPr>
          <w:rFonts w:hint="default" w:ascii="Times New Roman" w:hAnsi="Times New Roman" w:eastAsia="楷体_GB2312" w:cs="Times New Roman"/>
          <w:sz w:val="32"/>
          <w:szCs w:val="32"/>
        </w:rPr>
        <w:t>事业收入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指事业单位开展专业业务活动及辅助活动取得的收入。</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楷体_GB2312" w:cs="Times New Roman"/>
          <w:sz w:val="32"/>
          <w:szCs w:val="32"/>
        </w:rPr>
        <w:t>经营收入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指事业单位在专业业务活动及其辅助活动之外开展非独立核算经营活动取得的收入。</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rPr>
        <w:t>4.</w:t>
      </w:r>
      <w:r>
        <w:rPr>
          <w:rFonts w:hint="default" w:ascii="Times New Roman" w:hAnsi="Times New Roman" w:eastAsia="楷体_GB2312" w:cs="Times New Roman"/>
          <w:sz w:val="32"/>
          <w:szCs w:val="32"/>
        </w:rPr>
        <w:t>其他收入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 xml:space="preserve">指单位取得的除上述收入以外的各项收入。 </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5.使用非财政拨款结余：指事业单位使用以前年度积累的非财政拨款结余弥补当年收支差额的金额。</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楷体_GB2312" w:cs="Times New Roman"/>
          <w:sz w:val="32"/>
          <w:szCs w:val="32"/>
        </w:rPr>
        <w:t>年初结转和结余</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指以前年度尚未完成、结转到本年按有关规定继续使用的资金。</w:t>
      </w:r>
      <w:r>
        <w:rPr>
          <w:rFonts w:hint="default" w:ascii="Times New Roman" w:hAnsi="Times New Roman" w:eastAsia="仿宋_GB2312" w:cs="Times New Roman"/>
          <w:sz w:val="32"/>
          <w:szCs w:val="32"/>
        </w:rPr>
        <w:t xml:space="preserve"> </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楷体_GB2312" w:cs="Times New Roman"/>
          <w:sz w:val="32"/>
          <w:szCs w:val="32"/>
        </w:rPr>
        <w:t>结余分配</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指事业单位按照事业单位会计制度的规定从非财政补助结余中分配的事业基金和职工福利基金等</w:t>
      </w:r>
      <w:r>
        <w:rPr>
          <w:rFonts w:hint="default" w:ascii="Times New Roman" w:hAnsi="Times New Roman" w:eastAsia="仿宋_GB2312" w:cs="Times New Roman"/>
          <w:sz w:val="32"/>
          <w:szCs w:val="32"/>
        </w:rPr>
        <w:t>。</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rPr>
        <w:t>8、</w:t>
      </w:r>
      <w:r>
        <w:rPr>
          <w:rFonts w:hint="default" w:ascii="Times New Roman" w:hAnsi="Times New Roman" w:eastAsia="楷体_GB2312" w:cs="Times New Roman"/>
          <w:sz w:val="32"/>
          <w:szCs w:val="32"/>
        </w:rPr>
        <w:t>年末结转和结余</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指单位按有关规定结转到下年或以后年度继续使用的资金。</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color w:val="000000"/>
          <w:kern w:val="0"/>
          <w:sz w:val="32"/>
          <w:szCs w:val="32"/>
          <w:lang w:val="en-US" w:eastAsia="zh-CN" w:bidi="ar-SA"/>
        </w:rPr>
        <w:t>城乡社区支出（212）城乡社区公共设施（03）其他城乡社区公共设施支出（99）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指其他用于城乡社区公共设施方面的支出。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Style w:val="18"/>
          <w:rFonts w:hint="default" w:ascii="Times New Roman" w:hAnsi="Times New Roman" w:eastAsia="仿宋_GB2312" w:cs="Times New Roman"/>
          <w:b w:val="0"/>
          <w:sz w:val="32"/>
          <w:szCs w:val="32"/>
        </w:rPr>
        <w:t>城</w:t>
      </w:r>
      <w:r>
        <w:rPr>
          <w:rFonts w:hint="default" w:ascii="Times New Roman" w:hAnsi="Times New Roman" w:eastAsia="楷体_GB2312" w:cs="Times New Roman"/>
          <w:color w:val="000000"/>
          <w:kern w:val="0"/>
          <w:sz w:val="32"/>
          <w:szCs w:val="32"/>
          <w:lang w:val="en-US" w:eastAsia="zh-CN" w:bidi="ar-SA"/>
        </w:rPr>
        <w:t>乡社区支出（212）城乡社区公共设施（03）小城镇基础设施建设（03）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指用于城市建设方面的支出。</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color w:val="000000"/>
          <w:kern w:val="0"/>
          <w:sz w:val="32"/>
          <w:szCs w:val="32"/>
          <w:lang w:val="en-US" w:eastAsia="zh-CN" w:bidi="ar-SA"/>
        </w:rPr>
        <w:t>社会保障和就业支出（208）行政事业单位离退休（05）归口管理的行政单位离退休（02）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指本单位开支的离退休经费。</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楷体_GB2312" w:cs="Times New Roman"/>
          <w:color w:val="000000"/>
          <w:kern w:val="0"/>
          <w:sz w:val="32"/>
          <w:szCs w:val="32"/>
          <w:lang w:val="en-US" w:eastAsia="zh-CN" w:bidi="ar-SA"/>
        </w:rPr>
        <w:t>社会保障和就业支出（208）行政事业单位离退休（05）机关事业单位基本养老保险缴费支出（05）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指本单位基本养老保险缴费。</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楷体_GB2312" w:cs="Times New Roman"/>
          <w:sz w:val="32"/>
          <w:szCs w:val="32"/>
        </w:rPr>
        <w:t>住房保障支出（</w:t>
      </w:r>
      <w:r>
        <w:rPr>
          <w:rFonts w:hint="default" w:ascii="Times New Roman" w:hAnsi="Times New Roman" w:eastAsia="楷体_GB2312" w:cs="Times New Roman"/>
          <w:sz w:val="32"/>
          <w:szCs w:val="32"/>
          <w:lang w:val="en-US" w:eastAsia="zh-CN"/>
        </w:rPr>
        <w:t>221</w:t>
      </w:r>
      <w:r>
        <w:rPr>
          <w:rFonts w:hint="default" w:ascii="Times New Roman" w:hAnsi="Times New Roman" w:eastAsia="楷体_GB2312" w:cs="Times New Roman"/>
          <w:sz w:val="32"/>
          <w:szCs w:val="32"/>
        </w:rPr>
        <w:t>）住房改革支出（</w:t>
      </w:r>
      <w:r>
        <w:rPr>
          <w:rFonts w:hint="default" w:ascii="Times New Roman" w:hAnsi="Times New Roman" w:eastAsia="楷体_GB2312" w:cs="Times New Roman"/>
          <w:sz w:val="32"/>
          <w:szCs w:val="32"/>
          <w:lang w:val="en-US" w:eastAsia="zh-CN"/>
        </w:rPr>
        <w:t>02</w:t>
      </w:r>
      <w:r>
        <w:rPr>
          <w:rFonts w:hint="default" w:ascii="Times New Roman" w:hAnsi="Times New Roman" w:eastAsia="楷体_GB2312" w:cs="Times New Roman"/>
          <w:sz w:val="32"/>
          <w:szCs w:val="32"/>
        </w:rPr>
        <w:t>）住房公积金（</w:t>
      </w:r>
      <w:r>
        <w:rPr>
          <w:rFonts w:hint="default" w:ascii="Times New Roman" w:hAnsi="Times New Roman" w:eastAsia="楷体_GB2312" w:cs="Times New Roman"/>
          <w:sz w:val="32"/>
          <w:szCs w:val="32"/>
          <w:lang w:val="en-US" w:eastAsia="zh-CN"/>
        </w:rPr>
        <w:t>01</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指本单位在职职工的住房公积金缴费。</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14.</w:t>
      </w:r>
      <w:r>
        <w:rPr>
          <w:rFonts w:hint="default" w:ascii="Times New Roman" w:hAnsi="Times New Roman" w:eastAsia="楷体_GB2312" w:cs="Times New Roman"/>
          <w:sz w:val="32"/>
          <w:szCs w:val="32"/>
        </w:rPr>
        <w:t>社会保障和就业（</w:t>
      </w:r>
      <w:r>
        <w:rPr>
          <w:rFonts w:hint="default" w:ascii="Times New Roman" w:hAnsi="Times New Roman" w:eastAsia="楷体_GB2312" w:cs="Times New Roman"/>
          <w:sz w:val="32"/>
          <w:szCs w:val="32"/>
          <w:lang w:val="en-US" w:eastAsia="zh-CN"/>
        </w:rPr>
        <w:t>208</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抚恤</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08</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死亡</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01</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SA"/>
        </w:rPr>
        <w:t>指本单位退休职工死亡的抚恤金。</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楷体_GB2312" w:cs="Times New Roman"/>
          <w:sz w:val="32"/>
          <w:szCs w:val="32"/>
        </w:rPr>
        <w:t>城乡社区支出（</w:t>
      </w:r>
      <w:r>
        <w:rPr>
          <w:rFonts w:hint="default" w:ascii="Times New Roman" w:hAnsi="Times New Roman" w:eastAsia="楷体_GB2312" w:cs="Times New Roman"/>
          <w:sz w:val="32"/>
          <w:szCs w:val="32"/>
          <w:lang w:val="en-US" w:eastAsia="zh-CN"/>
        </w:rPr>
        <w:t>212</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国有土地使用权出让收入及对应专项债务收入安排的支出（</w:t>
      </w:r>
      <w:r>
        <w:rPr>
          <w:rFonts w:hint="default" w:ascii="Times New Roman" w:hAnsi="Times New Roman" w:eastAsia="楷体_GB2312" w:cs="Times New Roman"/>
          <w:sz w:val="32"/>
          <w:szCs w:val="32"/>
          <w:lang w:val="en-US" w:eastAsia="zh-CN"/>
        </w:rPr>
        <w:t>08</w:t>
      </w:r>
      <w:r>
        <w:rPr>
          <w:rFonts w:hint="default" w:ascii="Times New Roman" w:hAnsi="Times New Roman" w:eastAsia="楷体_GB2312" w:cs="Times New Roman"/>
          <w:sz w:val="32"/>
          <w:szCs w:val="32"/>
          <w:lang w:eastAsia="zh-CN"/>
        </w:rPr>
        <w:t>）城市建设支出（</w:t>
      </w:r>
      <w:r>
        <w:rPr>
          <w:rFonts w:hint="default" w:ascii="Times New Roman" w:hAnsi="Times New Roman" w:eastAsia="楷体_GB2312" w:cs="Times New Roman"/>
          <w:sz w:val="32"/>
          <w:szCs w:val="32"/>
          <w:lang w:val="en-US" w:eastAsia="zh-CN"/>
        </w:rPr>
        <w:t>03</w:t>
      </w:r>
      <w:r>
        <w:rPr>
          <w:rFonts w:hint="default" w:ascii="Times New Roman" w:hAnsi="Times New Roman" w:eastAsia="楷体_GB2312" w:cs="Times New Roman"/>
          <w:sz w:val="32"/>
          <w:szCs w:val="32"/>
          <w:lang w:eastAsia="zh-CN"/>
        </w:rPr>
        <w:t>）</w:t>
      </w:r>
      <w:r>
        <w:rPr>
          <w:rStyle w:val="18"/>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color w:val="auto"/>
          <w:kern w:val="2"/>
          <w:sz w:val="32"/>
          <w:szCs w:val="32"/>
          <w:lang w:val="en-US" w:eastAsia="zh-CN" w:bidi="ar-SA"/>
        </w:rPr>
        <w:t>指基金安排的城市建设支出。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w:t>
      </w:r>
      <w:r>
        <w:rPr>
          <w:rFonts w:hint="default" w:ascii="Times New Roman" w:hAnsi="Times New Roman" w:eastAsia="楷体_GB2312" w:cs="Times New Roman"/>
          <w:color w:val="000000"/>
          <w:kern w:val="0"/>
          <w:sz w:val="32"/>
          <w:szCs w:val="32"/>
          <w:lang w:val="en-US" w:eastAsia="zh-CN" w:bidi="ar-SA"/>
        </w:rPr>
        <w:t>基本支出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eastAsia="zh-CN"/>
        </w:rPr>
        <w:t>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w:t>
      </w:r>
      <w:r>
        <w:rPr>
          <w:rFonts w:hint="default" w:ascii="Times New Roman" w:hAnsi="Times New Roman" w:eastAsia="楷体_GB2312" w:cs="Times New Roman"/>
          <w:color w:val="000000"/>
          <w:kern w:val="0"/>
          <w:sz w:val="32"/>
          <w:szCs w:val="32"/>
          <w:lang w:val="en-US" w:eastAsia="zh-CN" w:bidi="ar-SA"/>
        </w:rPr>
        <w:t>项目支出</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eastAsia="zh-CN"/>
        </w:rPr>
        <w:t>指在基本支出之外为完成特定行政任务和事业发展目标所发生的支出。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经营支出：</w:t>
      </w:r>
      <w:r>
        <w:rPr>
          <w:rFonts w:hint="default" w:ascii="Times New Roman" w:hAnsi="Times New Roman" w:eastAsia="仿宋_GB2312" w:cs="Times New Roman"/>
          <w:sz w:val="32"/>
          <w:szCs w:val="32"/>
          <w:lang w:eastAsia="zh-CN"/>
        </w:rPr>
        <w:t>指事业单位在专业业务活动及其辅助活动之外开展非独立核算经营活动发生的支出。</w:t>
      </w:r>
      <w:r>
        <w:rPr>
          <w:rFonts w:hint="default" w:ascii="Times New Roman" w:hAnsi="Times New Roman" w:eastAsia="仿宋_GB2312" w:cs="Times New Roman"/>
          <w:color w:val="000000"/>
          <w:sz w:val="32"/>
          <w:szCs w:val="32"/>
        </w:rPr>
        <w:t xml:space="preserve"> </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三公”经费</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p>
    <w:p>
      <w:pPr>
        <w:spacing w:line="600" w:lineRule="exact"/>
        <w:jc w:val="center"/>
        <w:outlineLvl w:val="0"/>
        <w:rPr>
          <w:rFonts w:hint="default" w:ascii="Times New Roman" w:hAnsi="Times New Roman" w:eastAsia="仿宋_GB2312" w:cs="Times New Roman"/>
          <w:kern w:val="2"/>
          <w:sz w:val="32"/>
          <w:szCs w:val="24"/>
          <w:highlight w:val="none"/>
          <w:lang w:val="en-US" w:eastAsia="zh-CN" w:bidi="ar-SA"/>
        </w:rPr>
      </w:pPr>
      <w:r>
        <w:rPr>
          <w:rFonts w:hint="default" w:ascii="Times New Roman" w:hAnsi="Times New Roman" w:cs="Times New Roman"/>
          <w:b/>
          <w:color w:val="auto"/>
          <w:sz w:val="44"/>
          <w:szCs w:val="44"/>
          <w:highlight w:val="none"/>
        </w:rPr>
        <w:br w:type="page"/>
      </w:r>
      <w:bookmarkStart w:id="48" w:name="_Toc15396614"/>
      <w:r>
        <w:rPr>
          <w:rFonts w:hint="eastAsia" w:ascii="方正小标宋简体" w:hAnsi="方正小标宋简体" w:eastAsia="方正小标宋简体" w:cs="方正小标宋简体"/>
          <w:color w:val="auto"/>
          <w:sz w:val="44"/>
          <w:szCs w:val="44"/>
          <w:highlight w:val="none"/>
        </w:rPr>
        <w:t>第</w:t>
      </w:r>
      <w:r>
        <w:rPr>
          <w:rStyle w:val="28"/>
          <w:rFonts w:hint="eastAsia" w:ascii="方正小标宋简体" w:hAnsi="方正小标宋简体" w:eastAsia="方正小标宋简体" w:cs="方正小标宋简体"/>
          <w:b w:val="0"/>
          <w:color w:val="auto"/>
          <w:highlight w:val="none"/>
        </w:rPr>
        <w:t>四部分 附件</w:t>
      </w:r>
      <w:bookmarkEnd w:id="48"/>
      <w:bookmarkStart w:id="49" w:name="_Toc15396618"/>
    </w:p>
    <w:tbl>
      <w:tblPr>
        <w:tblStyle w:val="16"/>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019"/>
        <w:gridCol w:w="1354"/>
        <w:gridCol w:w="1144"/>
        <w:gridCol w:w="1"/>
        <w:gridCol w:w="1289"/>
        <w:gridCol w:w="1058"/>
        <w:gridCol w:w="926"/>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部门名称</w:t>
            </w:r>
          </w:p>
        </w:tc>
        <w:tc>
          <w:tcPr>
            <w:tcW w:w="6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eastAsia" w:eastAsia="宋体" w:cs="Times New Roman"/>
                <w:i w:val="0"/>
                <w:color w:val="000000"/>
                <w:kern w:val="0"/>
                <w:sz w:val="15"/>
                <w:szCs w:val="15"/>
                <w:u w:val="none"/>
                <w:lang w:val="en-US" w:eastAsia="zh-CN" w:bidi="ar"/>
              </w:rPr>
              <w:t>大竹县市政工程管理处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年度部门整体支出预算</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资金总额</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5"/>
                <w:szCs w:val="15"/>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lang w:val="en-US"/>
              </w:rPr>
            </w:pPr>
            <w:r>
              <w:rPr>
                <w:rFonts w:hint="eastAsia" w:eastAsia="宋体" w:cs="Times New Roman"/>
                <w:i w:val="0"/>
                <w:color w:val="000000"/>
                <w:kern w:val="0"/>
                <w:sz w:val="15"/>
                <w:szCs w:val="15"/>
                <w:u w:val="none"/>
                <w:lang w:val="en-US" w:eastAsia="zh-CN" w:bidi="ar"/>
              </w:rPr>
              <w:t>1972.91</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lang w:val="en-US"/>
              </w:rPr>
            </w:pPr>
            <w:r>
              <w:rPr>
                <w:rFonts w:hint="eastAsia" w:eastAsia="宋体" w:cs="Times New Roman"/>
                <w:i w:val="0"/>
                <w:color w:val="000000"/>
                <w:kern w:val="0"/>
                <w:sz w:val="15"/>
                <w:szCs w:val="15"/>
                <w:u w:val="none"/>
                <w:lang w:val="en-US" w:eastAsia="zh-CN" w:bidi="ar"/>
              </w:rPr>
              <w:t>1972.91</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eastAsia" w:eastAsia="宋体" w:cs="Times New Roman"/>
                <w:i w:val="0"/>
                <w:color w:val="000000"/>
                <w:kern w:val="0"/>
                <w:sz w:val="15"/>
                <w:szCs w:val="15"/>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4"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目标1：保障市民安全出行、生活秩序；</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目标2：保障建成区内市政道路桥梁、修缮、维护，不断提高市政基础设施建设水平；</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目标3：高标准、高效率完成民生实事项目；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年度主要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任务</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任务名称</w:t>
            </w:r>
          </w:p>
        </w:tc>
        <w:tc>
          <w:tcPr>
            <w:tcW w:w="6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5"/>
                <w:szCs w:val="15"/>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市政基础设施维修维护</w:t>
            </w:r>
          </w:p>
        </w:tc>
        <w:tc>
          <w:tcPr>
            <w:tcW w:w="6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市政雨污管网排查维修、建成区内人行道、市政道路、桥梁维修维护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5"/>
                <w:szCs w:val="15"/>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sz w:val="15"/>
                <w:szCs w:val="15"/>
                <w:u w:val="none"/>
              </w:rPr>
              <w:t>小街小巷民生实事工程</w:t>
            </w:r>
          </w:p>
        </w:tc>
        <w:tc>
          <w:tcPr>
            <w:tcW w:w="6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sz w:val="15"/>
                <w:szCs w:val="15"/>
                <w:u w:val="none"/>
              </w:rPr>
              <w:t>小街小巷场地硬化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年度绩效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一级指标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二级指标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实际完成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产出指标</w:t>
            </w:r>
          </w:p>
        </w:tc>
        <w:tc>
          <w:tcPr>
            <w:tcW w:w="10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数量指标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完成市政维修人行道</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人行道11200m2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完成维修、更换路沿石</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 xml:space="preserve">路沿石1400米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eastAsia" w:eastAsia="宋体" w:cs="Times New Roman"/>
                <w:i w:val="0"/>
                <w:color w:val="000000"/>
                <w:sz w:val="13"/>
                <w:szCs w:val="13"/>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完成维修沥青砼道路、维修砼道路</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沥青砼道路18000m2、砼道路1155m2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eastAsia" w:eastAsia="宋体" w:cs="Times New Roman"/>
                <w:i w:val="0"/>
                <w:color w:val="000000"/>
                <w:sz w:val="13"/>
                <w:szCs w:val="13"/>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清理、疏通市政污水管网米、更换检查井套、雨水井套</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污水管网10000米、检查井480套、雨水井 410套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eastAsia" w:eastAsia="宋体" w:cs="Times New Roman"/>
                <w:i w:val="0"/>
                <w:color w:val="000000"/>
                <w:sz w:val="13"/>
                <w:szCs w:val="13"/>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城区内临时抗洪抢险工作</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10万元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eastAsia" w:eastAsia="宋体" w:cs="Times New Roman"/>
                <w:i w:val="0"/>
                <w:color w:val="000000"/>
                <w:sz w:val="13"/>
                <w:szCs w:val="13"/>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质量指标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维护、维修市政人行道、路沿石道路、清理、疏通市政管网 合格、管道排水畅通</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时效指标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202</w:t>
            </w:r>
            <w:r>
              <w:rPr>
                <w:rFonts w:hint="eastAsia" w:eastAsia="宋体" w:cs="Times New Roman"/>
                <w:i w:val="0"/>
                <w:color w:val="000000"/>
                <w:sz w:val="13"/>
                <w:szCs w:val="13"/>
                <w:u w:val="none"/>
                <w:lang w:val="en-US" w:eastAsia="zh-CN"/>
              </w:rPr>
              <w:t>3</w:t>
            </w:r>
            <w:r>
              <w:rPr>
                <w:rFonts w:hint="default" w:ascii="Times New Roman" w:hAnsi="Times New Roman" w:eastAsia="宋体" w:cs="Times New Roman"/>
                <w:i w:val="0"/>
                <w:color w:val="000000"/>
                <w:sz w:val="13"/>
                <w:szCs w:val="13"/>
                <w:u w:val="none"/>
              </w:rPr>
              <w:t>年1月-202</w:t>
            </w:r>
            <w:r>
              <w:rPr>
                <w:rFonts w:hint="eastAsia" w:eastAsia="宋体" w:cs="Times New Roman"/>
                <w:i w:val="0"/>
                <w:color w:val="000000"/>
                <w:sz w:val="13"/>
                <w:szCs w:val="13"/>
                <w:u w:val="none"/>
                <w:lang w:val="en-US" w:eastAsia="zh-CN"/>
              </w:rPr>
              <w:t>3</w:t>
            </w:r>
            <w:r>
              <w:rPr>
                <w:rFonts w:hint="default" w:ascii="Times New Roman" w:hAnsi="Times New Roman" w:eastAsia="宋体" w:cs="Times New Roman"/>
                <w:i w:val="0"/>
                <w:color w:val="000000"/>
                <w:sz w:val="13"/>
                <w:szCs w:val="13"/>
                <w:u w:val="none"/>
              </w:rPr>
              <w:t>年12月</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202</w:t>
            </w:r>
            <w:r>
              <w:rPr>
                <w:rFonts w:hint="eastAsia" w:eastAsia="宋体" w:cs="Times New Roman"/>
                <w:i w:val="0"/>
                <w:color w:val="000000"/>
                <w:sz w:val="13"/>
                <w:szCs w:val="13"/>
                <w:u w:val="none"/>
                <w:lang w:val="en-US" w:eastAsia="zh-CN"/>
              </w:rPr>
              <w:t>3</w:t>
            </w:r>
            <w:r>
              <w:rPr>
                <w:rFonts w:hint="default" w:ascii="Times New Roman" w:hAnsi="Times New Roman" w:eastAsia="宋体" w:cs="Times New Roman"/>
                <w:i w:val="0"/>
                <w:color w:val="000000"/>
                <w:sz w:val="13"/>
                <w:szCs w:val="13"/>
                <w:u w:val="none"/>
              </w:rPr>
              <w:t>年1月-202</w:t>
            </w:r>
            <w:r>
              <w:rPr>
                <w:rFonts w:hint="eastAsia" w:eastAsia="宋体" w:cs="Times New Roman"/>
                <w:i w:val="0"/>
                <w:color w:val="000000"/>
                <w:sz w:val="13"/>
                <w:szCs w:val="13"/>
                <w:u w:val="none"/>
                <w:lang w:val="en-US" w:eastAsia="zh-CN"/>
              </w:rPr>
              <w:t>3</w:t>
            </w:r>
            <w:r>
              <w:rPr>
                <w:rFonts w:hint="default" w:ascii="Times New Roman" w:hAnsi="Times New Roman" w:eastAsia="宋体" w:cs="Times New Roman"/>
                <w:i w:val="0"/>
                <w:color w:val="000000"/>
                <w:sz w:val="13"/>
                <w:szCs w:val="13"/>
                <w:u w:val="none"/>
              </w:rPr>
              <w:t>年12月</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效益指标</w:t>
            </w:r>
          </w:p>
        </w:tc>
        <w:tc>
          <w:tcPr>
            <w:tcW w:w="101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11"/>
                <w:szCs w:val="11"/>
                <w:u w:val="none"/>
              </w:rPr>
              <w:t>为使城市市政设施道路完好对人民群众出行方便、安全，排水畅通</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default" w:ascii="Times New Roman" w:hAnsi="Times New Roman" w:eastAsia="宋体" w:cs="Times New Roman"/>
                <w:i w:val="0"/>
                <w:color w:val="000000"/>
                <w:sz w:val="13"/>
                <w:szCs w:val="13"/>
                <w:u w:val="none"/>
              </w:rPr>
              <w:t>"</w:t>
            </w:r>
            <w:r>
              <w:rPr>
                <w:rFonts w:hint="eastAsia" w:eastAsia="宋体" w:cs="Times New Roman"/>
                <w:i w:val="0"/>
                <w:color w:val="000000"/>
                <w:sz w:val="13"/>
                <w:szCs w:val="13"/>
                <w:u w:val="none"/>
                <w:lang w:eastAsia="zh-CN"/>
              </w:rPr>
              <w:t>好坏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其他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eastAsia="zh-CN"/>
              </w:rPr>
            </w:pPr>
            <w:r>
              <w:rPr>
                <w:rFonts w:hint="eastAsia" w:eastAsia="宋体" w:cs="Times New Roman"/>
                <w:i w:val="0"/>
                <w:color w:val="000000"/>
                <w:sz w:val="13"/>
                <w:szCs w:val="13"/>
                <w:u w:val="none"/>
                <w:lang w:eastAsia="zh-CN"/>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满意度指标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满意度指标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人民群众满意度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sz w:val="13"/>
                <w:szCs w:val="13"/>
                <w:u w:val="none"/>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13"/>
                <w:szCs w:val="13"/>
                <w:u w:val="none"/>
                <w:lang w:val="en-US" w:eastAsia="zh-CN"/>
              </w:rPr>
            </w:pPr>
            <w:r>
              <w:rPr>
                <w:rFonts w:hint="eastAsia" w:eastAsia="宋体" w:cs="Times New Roman"/>
                <w:i w:val="0"/>
                <w:color w:val="000000"/>
                <w:sz w:val="13"/>
                <w:szCs w:val="13"/>
                <w:u w:val="none"/>
                <w:lang w:val="en-US" w:eastAsia="zh-CN"/>
              </w:rPr>
              <w:t>98%</w:t>
            </w:r>
          </w:p>
        </w:tc>
      </w:tr>
    </w:tbl>
    <w:p>
      <w:pPr>
        <w:widowControl w:val="0"/>
        <w:spacing w:after="120"/>
        <w:ind w:left="0" w:leftChars="0" w:firstLine="0" w:firstLineChars="0"/>
        <w:jc w:val="both"/>
        <w:rPr>
          <w:rFonts w:hint="default" w:ascii="Times New Roman" w:hAnsi="Times New Roman" w:eastAsia="黑体" w:cs="Times New Roman"/>
          <w:kern w:val="2"/>
          <w:sz w:val="24"/>
          <w:szCs w:val="24"/>
          <w:highlight w:val="none"/>
          <w:lang w:val="en-US" w:eastAsia="zh-CN" w:bidi="ar-SA"/>
        </w:rPr>
      </w:pPr>
    </w:p>
    <w:p>
      <w:pPr>
        <w:pStyle w:val="6"/>
        <w:rPr>
          <w:rFonts w:hint="default"/>
        </w:rPr>
      </w:pPr>
    </w:p>
    <w:p>
      <w:pPr>
        <w:pStyle w:val="6"/>
        <w:rPr>
          <w:rFonts w:hint="default" w:ascii="Times New Roman" w:hAnsi="Times New Roman" w:eastAsia="黑体" w:cs="Times New Roman"/>
          <w:color w:val="auto"/>
          <w:sz w:val="44"/>
          <w:szCs w:val="44"/>
          <w:highlight w:val="none"/>
        </w:rPr>
      </w:pPr>
    </w:p>
    <w:p>
      <w:pPr>
        <w:pStyle w:val="6"/>
        <w:rPr>
          <w:rFonts w:hint="default" w:ascii="Times New Roman" w:hAnsi="Times New Roman" w:eastAsia="黑体" w:cs="Times New Roman"/>
          <w:color w:val="auto"/>
          <w:sz w:val="44"/>
          <w:szCs w:val="44"/>
          <w:highlight w:val="none"/>
        </w:rPr>
      </w:pPr>
    </w:p>
    <w:p>
      <w:pPr>
        <w:spacing w:line="600" w:lineRule="exact"/>
        <w:jc w:val="center"/>
        <w:outlineLvl w:val="0"/>
        <w:rPr>
          <w:rStyle w:val="28"/>
          <w:rFonts w:hint="eastAsia" w:ascii="方正小标宋简体" w:hAnsi="方正小标宋简体" w:eastAsia="方正小标宋简体" w:cs="方正小标宋简体"/>
          <w:b w:val="0"/>
          <w:color w:val="auto"/>
          <w:highlight w:val="none"/>
        </w:rPr>
      </w:pPr>
      <w:r>
        <w:rPr>
          <w:rFonts w:hint="eastAsia" w:ascii="方正小标宋简体" w:hAnsi="方正小标宋简体" w:eastAsia="方正小标宋简体" w:cs="方正小标宋简体"/>
          <w:color w:val="auto"/>
          <w:sz w:val="44"/>
          <w:szCs w:val="44"/>
          <w:highlight w:val="none"/>
        </w:rPr>
        <w:t>第</w:t>
      </w:r>
      <w:r>
        <w:rPr>
          <w:rStyle w:val="28"/>
          <w:rFonts w:hint="eastAsia" w:ascii="方正小标宋简体" w:hAnsi="方正小标宋简体" w:eastAsia="方正小标宋简体" w:cs="方正小标宋简体"/>
          <w:b w:val="0"/>
          <w:color w:val="auto"/>
          <w:highlight w:val="none"/>
        </w:rPr>
        <w:t>五部分 附表</w:t>
      </w:r>
      <w:bookmarkEnd w:id="47"/>
      <w:bookmarkEnd w:id="49"/>
      <w:bookmarkStart w:id="50" w:name="_Toc15396619"/>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仿宋" w:cs="Times New Roman"/>
          <w:b w:val="0"/>
          <w:bCs/>
          <w:color w:val="auto"/>
          <w:kern w:val="2"/>
          <w:sz w:val="32"/>
          <w:szCs w:val="32"/>
          <w:highlight w:val="none"/>
          <w:lang w:val="en-US" w:eastAsia="zh-CN" w:bidi="ar-SA"/>
        </w:rPr>
      </w:pPr>
    </w:p>
    <w:bookmarkEnd w:id="50"/>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color w:val="auto"/>
          <w:highlight w:val="none"/>
        </w:rPr>
        <w:t>一、收</w:t>
      </w:r>
      <w:r>
        <w:rPr>
          <w:rStyle w:val="29"/>
          <w:rFonts w:hint="eastAsia" w:ascii="仿宋_GB2312" w:hAnsi="仿宋_GB2312" w:eastAsia="仿宋_GB2312" w:cs="仿宋_GB2312"/>
          <w:b w:val="0"/>
          <w:bCs w:val="0"/>
          <w:color w:val="auto"/>
          <w:highlight w:val="none"/>
        </w:rPr>
        <w:t>入支出决算总表</w:t>
      </w:r>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highlight w:val="none"/>
        </w:rPr>
      </w:pPr>
      <w:bookmarkStart w:id="51" w:name="_Toc15396620"/>
      <w:r>
        <w:rPr>
          <w:rFonts w:hint="eastAsia" w:ascii="仿宋_GB2312" w:hAnsi="仿宋_GB2312" w:eastAsia="仿宋_GB2312" w:cs="仿宋_GB2312"/>
          <w:b w:val="0"/>
          <w:color w:val="auto"/>
          <w:highlight w:val="none"/>
        </w:rPr>
        <w:t>二、收</w:t>
      </w:r>
      <w:r>
        <w:rPr>
          <w:rStyle w:val="29"/>
          <w:rFonts w:hint="eastAsia" w:ascii="仿宋_GB2312" w:hAnsi="仿宋_GB2312" w:eastAsia="仿宋_GB2312" w:cs="仿宋_GB2312"/>
          <w:b w:val="0"/>
          <w:bCs w:val="0"/>
          <w:color w:val="auto"/>
          <w:highlight w:val="none"/>
        </w:rPr>
        <w:t>入决算表</w:t>
      </w:r>
      <w:bookmarkEnd w:id="51"/>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highlight w:val="none"/>
        </w:rPr>
      </w:pPr>
      <w:bookmarkStart w:id="52" w:name="_Toc15396621"/>
      <w:r>
        <w:rPr>
          <w:rStyle w:val="29"/>
          <w:rFonts w:hint="eastAsia" w:ascii="仿宋_GB2312" w:hAnsi="仿宋_GB2312" w:eastAsia="仿宋_GB2312" w:cs="仿宋_GB2312"/>
          <w:b w:val="0"/>
          <w:bCs w:val="0"/>
          <w:color w:val="auto"/>
          <w:highlight w:val="none"/>
        </w:rPr>
        <w:t>三、</w:t>
      </w:r>
      <w:r>
        <w:rPr>
          <w:rFonts w:hint="eastAsia" w:ascii="仿宋_GB2312" w:hAnsi="仿宋_GB2312" w:eastAsia="仿宋_GB2312" w:cs="仿宋_GB2312"/>
          <w:b w:val="0"/>
          <w:color w:val="auto"/>
          <w:highlight w:val="none"/>
        </w:rPr>
        <w:t>支</w:t>
      </w:r>
      <w:r>
        <w:rPr>
          <w:rStyle w:val="29"/>
          <w:rFonts w:hint="eastAsia" w:ascii="仿宋_GB2312" w:hAnsi="仿宋_GB2312" w:eastAsia="仿宋_GB2312" w:cs="仿宋_GB2312"/>
          <w:b w:val="0"/>
          <w:bCs w:val="0"/>
          <w:color w:val="auto"/>
          <w:highlight w:val="none"/>
        </w:rPr>
        <w:t>出决算表</w:t>
      </w:r>
      <w:bookmarkEnd w:id="52"/>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color w:val="auto"/>
          <w:highlight w:val="none"/>
        </w:rPr>
      </w:pPr>
      <w:bookmarkStart w:id="53" w:name="_Toc15396622"/>
      <w:r>
        <w:rPr>
          <w:rStyle w:val="29"/>
          <w:rFonts w:hint="eastAsia" w:ascii="仿宋_GB2312" w:hAnsi="仿宋_GB2312" w:eastAsia="仿宋_GB2312" w:cs="仿宋_GB2312"/>
          <w:b w:val="0"/>
          <w:bCs w:val="0"/>
          <w:color w:val="auto"/>
          <w:highlight w:val="none"/>
        </w:rPr>
        <w:t>四、</w:t>
      </w:r>
      <w:r>
        <w:rPr>
          <w:rFonts w:hint="eastAsia" w:ascii="仿宋_GB2312" w:hAnsi="仿宋_GB2312" w:eastAsia="仿宋_GB2312" w:cs="仿宋_GB2312"/>
          <w:b w:val="0"/>
          <w:color w:val="auto"/>
          <w:highlight w:val="none"/>
        </w:rPr>
        <w:t>财</w:t>
      </w:r>
      <w:r>
        <w:rPr>
          <w:rStyle w:val="29"/>
          <w:rFonts w:hint="eastAsia" w:ascii="仿宋_GB2312" w:hAnsi="仿宋_GB2312" w:eastAsia="仿宋_GB2312" w:cs="仿宋_GB2312"/>
          <w:b w:val="0"/>
          <w:bCs w:val="0"/>
          <w:color w:val="auto"/>
          <w:highlight w:val="none"/>
        </w:rPr>
        <w:t>政拨款收入支出决算总表</w:t>
      </w:r>
      <w:bookmarkEnd w:id="53"/>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Style w:val="29"/>
          <w:rFonts w:hint="eastAsia" w:ascii="仿宋_GB2312" w:hAnsi="仿宋_GB2312" w:eastAsia="仿宋_GB2312" w:cs="仿宋_GB2312"/>
          <w:b w:val="0"/>
          <w:bCs w:val="0"/>
          <w:color w:val="auto"/>
          <w:highlight w:val="none"/>
        </w:rPr>
      </w:pPr>
      <w:bookmarkStart w:id="54" w:name="_Toc15396623"/>
      <w:r>
        <w:rPr>
          <w:rStyle w:val="29"/>
          <w:rFonts w:hint="eastAsia" w:ascii="仿宋_GB2312" w:hAnsi="仿宋_GB2312" w:eastAsia="仿宋_GB2312" w:cs="仿宋_GB2312"/>
          <w:b w:val="0"/>
          <w:bCs w:val="0"/>
          <w:color w:val="auto"/>
          <w:highlight w:val="none"/>
        </w:rPr>
        <w:t>五、</w:t>
      </w:r>
      <w:r>
        <w:rPr>
          <w:rFonts w:hint="eastAsia" w:ascii="仿宋_GB2312" w:hAnsi="仿宋_GB2312" w:eastAsia="仿宋_GB2312" w:cs="仿宋_GB2312"/>
          <w:b w:val="0"/>
          <w:color w:val="auto"/>
          <w:highlight w:val="none"/>
        </w:rPr>
        <w:t>财</w:t>
      </w:r>
      <w:r>
        <w:rPr>
          <w:rStyle w:val="29"/>
          <w:rFonts w:hint="eastAsia" w:ascii="仿宋_GB2312" w:hAnsi="仿宋_GB2312" w:eastAsia="仿宋_GB2312" w:cs="仿宋_GB2312"/>
          <w:b w:val="0"/>
          <w:bCs w:val="0"/>
          <w:color w:val="auto"/>
          <w:highlight w:val="none"/>
        </w:rPr>
        <w:t>政拨款支出决算明细表</w:t>
      </w:r>
      <w:bookmarkEnd w:id="54"/>
      <w:bookmarkStart w:id="55" w:name="_Toc15396624"/>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highlight w:val="none"/>
        </w:rPr>
      </w:pPr>
      <w:r>
        <w:rPr>
          <w:rStyle w:val="29"/>
          <w:rFonts w:hint="eastAsia" w:ascii="仿宋_GB2312" w:hAnsi="仿宋_GB2312" w:eastAsia="仿宋_GB2312" w:cs="仿宋_GB2312"/>
          <w:b w:val="0"/>
          <w:bCs w:val="0"/>
          <w:color w:val="auto"/>
          <w:highlight w:val="none"/>
        </w:rPr>
        <w:t>六、</w:t>
      </w:r>
      <w:r>
        <w:rPr>
          <w:rFonts w:hint="eastAsia" w:ascii="仿宋_GB2312" w:hAnsi="仿宋_GB2312" w:eastAsia="仿宋_GB2312" w:cs="仿宋_GB2312"/>
          <w:b w:val="0"/>
          <w:color w:val="auto"/>
          <w:highlight w:val="none"/>
        </w:rPr>
        <w:t>一</w:t>
      </w:r>
      <w:r>
        <w:rPr>
          <w:rStyle w:val="29"/>
          <w:rFonts w:hint="eastAsia" w:ascii="仿宋_GB2312" w:hAnsi="仿宋_GB2312" w:eastAsia="仿宋_GB2312" w:cs="仿宋_GB2312"/>
          <w:b w:val="0"/>
          <w:bCs w:val="0"/>
          <w:color w:val="auto"/>
          <w:highlight w:val="none"/>
        </w:rPr>
        <w:t>般公共预算财政拨款支出决算表</w:t>
      </w:r>
      <w:bookmarkEnd w:id="55"/>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highlight w:val="none"/>
        </w:rPr>
      </w:pPr>
      <w:bookmarkStart w:id="56" w:name="_Toc15396625"/>
      <w:r>
        <w:rPr>
          <w:rStyle w:val="29"/>
          <w:rFonts w:hint="eastAsia" w:ascii="仿宋_GB2312" w:hAnsi="仿宋_GB2312" w:eastAsia="仿宋_GB2312" w:cs="仿宋_GB2312"/>
          <w:b w:val="0"/>
          <w:bCs w:val="0"/>
          <w:color w:val="auto"/>
          <w:highlight w:val="none"/>
        </w:rPr>
        <w:t>七、</w:t>
      </w:r>
      <w:r>
        <w:rPr>
          <w:rFonts w:hint="eastAsia" w:ascii="仿宋_GB2312" w:hAnsi="仿宋_GB2312" w:eastAsia="仿宋_GB2312" w:cs="仿宋_GB2312"/>
          <w:b w:val="0"/>
          <w:color w:val="auto"/>
          <w:highlight w:val="none"/>
        </w:rPr>
        <w:t>一</w:t>
      </w:r>
      <w:r>
        <w:rPr>
          <w:rStyle w:val="29"/>
          <w:rFonts w:hint="eastAsia" w:ascii="仿宋_GB2312" w:hAnsi="仿宋_GB2312" w:eastAsia="仿宋_GB2312" w:cs="仿宋_GB2312"/>
          <w:b w:val="0"/>
          <w:bCs w:val="0"/>
          <w:color w:val="auto"/>
          <w:highlight w:val="none"/>
        </w:rPr>
        <w:t>般公共预算财政拨款支出决算明细表</w:t>
      </w:r>
      <w:bookmarkEnd w:id="56"/>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highlight w:val="none"/>
        </w:rPr>
      </w:pPr>
      <w:bookmarkStart w:id="57" w:name="_Toc15396626"/>
      <w:r>
        <w:rPr>
          <w:rStyle w:val="29"/>
          <w:rFonts w:hint="eastAsia" w:ascii="仿宋_GB2312" w:hAnsi="仿宋_GB2312" w:eastAsia="仿宋_GB2312" w:cs="仿宋_GB2312"/>
          <w:b w:val="0"/>
          <w:bCs w:val="0"/>
          <w:color w:val="auto"/>
          <w:highlight w:val="none"/>
        </w:rPr>
        <w:t>八、</w:t>
      </w:r>
      <w:r>
        <w:rPr>
          <w:rFonts w:hint="eastAsia" w:ascii="仿宋_GB2312" w:hAnsi="仿宋_GB2312" w:eastAsia="仿宋_GB2312" w:cs="仿宋_GB2312"/>
          <w:b w:val="0"/>
          <w:color w:val="auto"/>
          <w:highlight w:val="none"/>
        </w:rPr>
        <w:t>一</w:t>
      </w:r>
      <w:r>
        <w:rPr>
          <w:rStyle w:val="29"/>
          <w:rFonts w:hint="eastAsia" w:ascii="仿宋_GB2312" w:hAnsi="仿宋_GB2312" w:eastAsia="仿宋_GB2312" w:cs="仿宋_GB2312"/>
          <w:b w:val="0"/>
          <w:bCs w:val="0"/>
          <w:color w:val="auto"/>
          <w:highlight w:val="none"/>
        </w:rPr>
        <w:t>般公共预算财政拨款基本支出决算表</w:t>
      </w:r>
      <w:bookmarkEnd w:id="57"/>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highlight w:val="none"/>
        </w:rPr>
      </w:pPr>
      <w:bookmarkStart w:id="58" w:name="_Toc15396627"/>
      <w:r>
        <w:rPr>
          <w:rStyle w:val="29"/>
          <w:rFonts w:hint="eastAsia" w:ascii="仿宋_GB2312" w:hAnsi="仿宋_GB2312" w:eastAsia="仿宋_GB2312" w:cs="仿宋_GB2312"/>
          <w:b w:val="0"/>
          <w:bCs w:val="0"/>
          <w:color w:val="auto"/>
          <w:highlight w:val="none"/>
        </w:rPr>
        <w:t>九、</w:t>
      </w:r>
      <w:r>
        <w:rPr>
          <w:rFonts w:hint="eastAsia" w:ascii="仿宋_GB2312" w:hAnsi="仿宋_GB2312" w:eastAsia="仿宋_GB2312" w:cs="仿宋_GB2312"/>
          <w:b w:val="0"/>
          <w:color w:val="auto"/>
          <w:highlight w:val="none"/>
        </w:rPr>
        <w:t>一</w:t>
      </w:r>
      <w:r>
        <w:rPr>
          <w:rStyle w:val="29"/>
          <w:rFonts w:hint="eastAsia" w:ascii="仿宋_GB2312" w:hAnsi="仿宋_GB2312" w:eastAsia="仿宋_GB2312" w:cs="仿宋_GB2312"/>
          <w:b w:val="0"/>
          <w:bCs w:val="0"/>
          <w:color w:val="auto"/>
          <w:highlight w:val="none"/>
        </w:rPr>
        <w:t>般公共预算财政拨款项目支出决算表</w:t>
      </w:r>
      <w:bookmarkEnd w:id="58"/>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highlight w:val="none"/>
        </w:rPr>
      </w:pPr>
      <w:bookmarkStart w:id="59" w:name="_Toc15396628"/>
      <w:r>
        <w:rPr>
          <w:rStyle w:val="29"/>
          <w:rFonts w:hint="eastAsia" w:ascii="仿宋_GB2312" w:hAnsi="仿宋_GB2312" w:eastAsia="仿宋_GB2312" w:cs="仿宋_GB2312"/>
          <w:b w:val="0"/>
          <w:bCs w:val="0"/>
          <w:color w:val="auto"/>
          <w:highlight w:val="none"/>
        </w:rPr>
        <w:t>十、</w:t>
      </w:r>
      <w:bookmarkEnd w:id="59"/>
      <w:r>
        <w:rPr>
          <w:rFonts w:hint="eastAsia" w:ascii="仿宋_GB2312" w:hAnsi="仿宋_GB2312" w:eastAsia="仿宋_GB2312" w:cs="仿宋_GB2312"/>
          <w:b w:val="0"/>
          <w:color w:val="auto"/>
          <w:highlight w:val="none"/>
        </w:rPr>
        <w:t>政</w:t>
      </w:r>
      <w:r>
        <w:rPr>
          <w:rStyle w:val="29"/>
          <w:rFonts w:hint="eastAsia" w:ascii="仿宋_GB2312" w:hAnsi="仿宋_GB2312" w:eastAsia="仿宋_GB2312" w:cs="仿宋_GB2312"/>
          <w:b w:val="0"/>
          <w:bCs w:val="0"/>
          <w:color w:val="auto"/>
          <w:highlight w:val="none"/>
        </w:rPr>
        <w:t>府性基金预算财政拨款收入支出决算表</w:t>
      </w:r>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highlight w:val="none"/>
        </w:rPr>
      </w:pPr>
      <w:bookmarkStart w:id="60" w:name="_Toc15396629"/>
      <w:r>
        <w:rPr>
          <w:rStyle w:val="29"/>
          <w:rFonts w:hint="eastAsia" w:ascii="仿宋_GB2312" w:hAnsi="仿宋_GB2312" w:eastAsia="仿宋_GB2312" w:cs="仿宋_GB2312"/>
          <w:b w:val="0"/>
          <w:bCs w:val="0"/>
          <w:color w:val="auto"/>
          <w:highlight w:val="none"/>
        </w:rPr>
        <w:t>十一、</w:t>
      </w:r>
      <w:bookmarkEnd w:id="60"/>
      <w:r>
        <w:rPr>
          <w:rFonts w:hint="eastAsia" w:ascii="仿宋_GB2312" w:hAnsi="仿宋_GB2312" w:eastAsia="仿宋_GB2312" w:cs="仿宋_GB2312"/>
          <w:b w:val="0"/>
          <w:color w:val="auto"/>
          <w:highlight w:val="none"/>
        </w:rPr>
        <w:t>国</w:t>
      </w:r>
      <w:r>
        <w:rPr>
          <w:rStyle w:val="29"/>
          <w:rFonts w:hint="eastAsia" w:ascii="仿宋_GB2312" w:hAnsi="仿宋_GB2312" w:eastAsia="仿宋_GB2312" w:cs="仿宋_GB2312"/>
          <w:b w:val="0"/>
          <w:bCs w:val="0"/>
          <w:color w:val="auto"/>
          <w:highlight w:val="none"/>
        </w:rPr>
        <w:t>有资本经营预算</w:t>
      </w:r>
      <w:r>
        <w:rPr>
          <w:rStyle w:val="29"/>
          <w:rFonts w:hint="eastAsia" w:ascii="仿宋_GB2312" w:hAnsi="仿宋_GB2312" w:eastAsia="仿宋_GB2312" w:cs="仿宋_GB2312"/>
          <w:b w:val="0"/>
          <w:bCs w:val="0"/>
          <w:color w:val="auto"/>
          <w:highlight w:val="none"/>
          <w:lang w:eastAsia="zh-CN"/>
        </w:rPr>
        <w:t>财政拨款收入</w:t>
      </w:r>
      <w:r>
        <w:rPr>
          <w:rStyle w:val="29"/>
          <w:rFonts w:hint="eastAsia" w:ascii="仿宋_GB2312" w:hAnsi="仿宋_GB2312" w:eastAsia="仿宋_GB2312" w:cs="仿宋_GB2312"/>
          <w:b w:val="0"/>
          <w:bCs w:val="0"/>
          <w:color w:val="auto"/>
          <w:highlight w:val="none"/>
        </w:rPr>
        <w:t>支出决算表</w:t>
      </w:r>
    </w:p>
    <w:p>
      <w:pPr>
        <w:pStyle w:val="3"/>
        <w:keepNext/>
        <w:keepLines/>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highlight w:val="none"/>
        </w:rPr>
      </w:pPr>
      <w:bookmarkStart w:id="61" w:name="_Toc15396630"/>
      <w:r>
        <w:rPr>
          <w:rStyle w:val="29"/>
          <w:rFonts w:hint="eastAsia" w:ascii="仿宋_GB2312" w:hAnsi="仿宋_GB2312" w:eastAsia="仿宋_GB2312" w:cs="仿宋_GB2312"/>
          <w:b w:val="0"/>
          <w:bCs w:val="0"/>
          <w:color w:val="auto"/>
          <w:highlight w:val="none"/>
        </w:rPr>
        <w:t>十二、</w:t>
      </w:r>
      <w:bookmarkEnd w:id="61"/>
      <w:r>
        <w:rPr>
          <w:rStyle w:val="29"/>
          <w:rFonts w:hint="eastAsia" w:ascii="仿宋_GB2312" w:hAnsi="仿宋_GB2312" w:eastAsia="仿宋_GB2312" w:cs="仿宋_GB2312"/>
          <w:b w:val="0"/>
          <w:bCs w:val="0"/>
          <w:color w:val="auto"/>
          <w:highlight w:val="none"/>
          <w:lang w:eastAsia="zh-CN"/>
        </w:rPr>
        <w:t>国有资本经营预算财政拨款支出决算表</w:t>
      </w:r>
    </w:p>
    <w:p>
      <w:pPr>
        <w:ind w:firstLine="420" w:firstLineChars="200"/>
        <w:rPr>
          <w:rFonts w:hint="default" w:ascii="Times New Roman" w:hAnsi="Times New Roman" w:eastAsia="仿宋" w:cs="Times New Roman"/>
          <w:color w:val="auto"/>
          <w:highlight w:val="none"/>
          <w:lang w:eastAsia="zh-CN"/>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sdt>
      <w:sdtPr>
        <w:id w:val="-1994781956"/>
      </w:sdtPr>
      <w:sdtContent/>
    </w:sdt>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3F12F"/>
    <w:multiLevelType w:val="singleLevel"/>
    <w:tmpl w:val="82A3F12F"/>
    <w:lvl w:ilvl="0" w:tentative="0">
      <w:start w:val="1"/>
      <w:numFmt w:val="chineseCounting"/>
      <w:suff w:val="space"/>
      <w:lvlText w:val="第%1部分"/>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2">
    <w:nsid w:val="F795B458"/>
    <w:multiLevelType w:val="singleLevel"/>
    <w:tmpl w:val="F795B458"/>
    <w:lvl w:ilvl="0" w:tentative="0">
      <w:start w:val="4"/>
      <w:numFmt w:val="chineseCounting"/>
      <w:suff w:val="nothing"/>
      <w:lvlText w:val="（%1）"/>
      <w:lvlJc w:val="left"/>
      <w:pPr>
        <w:ind w:left="-10"/>
      </w:pPr>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YWRhYjY5YzZiYTE0NjBhZTIyZTg0OTk3ZjNiNDIifQ=="/>
    <w:docVar w:name="KSO_WPS_MARK_KEY" w:val="68e728ad-4940-4ee0-8db8-64b7d465836a"/>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387C"/>
    <w:rsid w:val="04271E73"/>
    <w:rsid w:val="06A53090"/>
    <w:rsid w:val="0A2032A3"/>
    <w:rsid w:val="0A3D338E"/>
    <w:rsid w:val="0A3F63D5"/>
    <w:rsid w:val="0AF82982"/>
    <w:rsid w:val="0B8A37D8"/>
    <w:rsid w:val="0DDE33A5"/>
    <w:rsid w:val="10C055FF"/>
    <w:rsid w:val="11536ED1"/>
    <w:rsid w:val="118107EC"/>
    <w:rsid w:val="11DD6519"/>
    <w:rsid w:val="16230626"/>
    <w:rsid w:val="16BB723D"/>
    <w:rsid w:val="18015F3F"/>
    <w:rsid w:val="18063ED3"/>
    <w:rsid w:val="18E40C40"/>
    <w:rsid w:val="1A3B4995"/>
    <w:rsid w:val="1BE8440E"/>
    <w:rsid w:val="1D155CEE"/>
    <w:rsid w:val="20D74482"/>
    <w:rsid w:val="20F57F95"/>
    <w:rsid w:val="240371BF"/>
    <w:rsid w:val="25175F0B"/>
    <w:rsid w:val="25C741E6"/>
    <w:rsid w:val="27842671"/>
    <w:rsid w:val="28A137BF"/>
    <w:rsid w:val="29DA0419"/>
    <w:rsid w:val="29FD04D3"/>
    <w:rsid w:val="2ABE7A3E"/>
    <w:rsid w:val="2C76074F"/>
    <w:rsid w:val="2CD43AA9"/>
    <w:rsid w:val="2D0009C2"/>
    <w:rsid w:val="2EFA178C"/>
    <w:rsid w:val="2F146A4F"/>
    <w:rsid w:val="30233FF0"/>
    <w:rsid w:val="30B33A8C"/>
    <w:rsid w:val="30B46D73"/>
    <w:rsid w:val="319F7F4E"/>
    <w:rsid w:val="31E32279"/>
    <w:rsid w:val="338E73DF"/>
    <w:rsid w:val="3470679A"/>
    <w:rsid w:val="36160449"/>
    <w:rsid w:val="37A058E7"/>
    <w:rsid w:val="37BD5F32"/>
    <w:rsid w:val="39AE70AB"/>
    <w:rsid w:val="39C31265"/>
    <w:rsid w:val="3BF41E69"/>
    <w:rsid w:val="3C0C0783"/>
    <w:rsid w:val="3F5C7D12"/>
    <w:rsid w:val="3F72590C"/>
    <w:rsid w:val="3F9F3A96"/>
    <w:rsid w:val="41426A6D"/>
    <w:rsid w:val="42F223AD"/>
    <w:rsid w:val="493C27E9"/>
    <w:rsid w:val="496F39ED"/>
    <w:rsid w:val="49FF41D3"/>
    <w:rsid w:val="4BE068DB"/>
    <w:rsid w:val="4BF6002B"/>
    <w:rsid w:val="4EB812A7"/>
    <w:rsid w:val="4ECE2238"/>
    <w:rsid w:val="51DB4B86"/>
    <w:rsid w:val="5259501A"/>
    <w:rsid w:val="5266638D"/>
    <w:rsid w:val="55333C3E"/>
    <w:rsid w:val="55501DDF"/>
    <w:rsid w:val="5B226235"/>
    <w:rsid w:val="5B285F89"/>
    <w:rsid w:val="5D6864C7"/>
    <w:rsid w:val="5DE62663"/>
    <w:rsid w:val="5FAC19D9"/>
    <w:rsid w:val="60C636CD"/>
    <w:rsid w:val="612B3CF9"/>
    <w:rsid w:val="615523A0"/>
    <w:rsid w:val="622A6195"/>
    <w:rsid w:val="64CA39A1"/>
    <w:rsid w:val="64F2536B"/>
    <w:rsid w:val="65425D45"/>
    <w:rsid w:val="695344E8"/>
    <w:rsid w:val="6B2A16FC"/>
    <w:rsid w:val="6C4A05C8"/>
    <w:rsid w:val="6CFD06AE"/>
    <w:rsid w:val="6DF700E0"/>
    <w:rsid w:val="71A37E53"/>
    <w:rsid w:val="726B5702"/>
    <w:rsid w:val="72734D90"/>
    <w:rsid w:val="73355D9B"/>
    <w:rsid w:val="743F4ECC"/>
    <w:rsid w:val="75F929C0"/>
    <w:rsid w:val="763444AF"/>
    <w:rsid w:val="763B7887"/>
    <w:rsid w:val="79E7B28D"/>
    <w:rsid w:val="7A21770D"/>
    <w:rsid w:val="7A8A5D97"/>
    <w:rsid w:val="7B4353AB"/>
    <w:rsid w:val="7B4B6285"/>
    <w:rsid w:val="7C723BAD"/>
    <w:rsid w:val="7F9F20EE"/>
    <w:rsid w:val="7FE8315F"/>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2"/>
    <w:qFormat/>
    <w:uiPriority w:val="9"/>
    <w:rPr>
      <w:rFonts w:ascii="Times New Roman" w:hAnsi="Times New Roman"/>
      <w:b/>
      <w:bCs/>
      <w:kern w:val="44"/>
      <w:sz w:val="44"/>
      <w:szCs w:val="44"/>
    </w:rPr>
  </w:style>
  <w:style w:type="character" w:customStyle="1" w:styleId="29">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image" Target="media/image3.png"/><Relationship Id="rId16" Type="http://www.wps.cn/officeDocument/2018/webExtension" Target="webExtensions/webExtension3.xml"/><Relationship Id="rId15" Type="http://schemas.openxmlformats.org/officeDocument/2006/relationships/image" Target="media/image2.png"/><Relationship Id="rId14" Type="http://www.wps.cn/officeDocument/2018/webExtension" Target="webExtensions/webExtension2.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png"/><Relationship Id="rId10" Type="http://www.wps.cn/officeDocument/2018/webExtension" Target="webExtensions/webExtension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80989364725312"/>
                  <c:y val="0.03435452601243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1026.87</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r>
                      <a:rPr lang="en-US" altLang="zh-CN"/>
                      <a:t>58.18</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141375"/>
                      <c:h val="0.1765"/>
                    </c:manualLayout>
                  </c15:layout>
                </c:ext>
              </c:extLst>
            </c:dLbl>
            <c:dLbl>
              <c:idx val="1"/>
              <c:layout>
                <c:manualLayout>
                  <c:x val="0.178764766452936"/>
                  <c:y val="0.026664635058872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738.21</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r>
                      <a:rPr lang="en-US" altLang="zh-CN"/>
                      <a:t>41.82</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148375"/>
                      <c:h val="0.13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一般公共预算收入</c:v>
                </c:pt>
                <c:pt idx="1">
                  <c:v>政府性基金预算收入</c:v>
                </c:pt>
              </c:strCache>
            </c:strRef>
          </c:cat>
          <c:val>
            <c:numRef>
              <c:f>Sheet1!$B$2:$B$5</c:f>
              <c:numCache>
                <c:formatCode>General</c:formatCode>
                <c:ptCount val="4"/>
                <c:pt idx="0">
                  <c:v>738.21</c:v>
                </c:pt>
                <c:pt idx="1">
                  <c:v>1028.87</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28537767486619"/>
                  <c:y val="0.14716627773937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648.453</a:t>
                    </a:r>
                    <a:r>
                      <a:rPr lang="en-US" altLang="zh-CN"/>
                      <a:t>6.75</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153134091510182"/>
                      <c:h val="0.204964539007092"/>
                    </c:manualLayout>
                  </c15:layout>
                </c:ext>
              </c:extLst>
            </c:dLbl>
            <c:dLbl>
              <c:idx val="1"/>
              <c:layout>
                <c:manualLayout>
                  <c:x val="0.149297140388772"/>
                  <c:y val="-0.18514733256397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1116.4363</a:t>
                    </a:r>
                    <a:r>
                      <a:rPr lang="en-US" altLang="zh-CN"/>
                      <a:t>.25</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16175"/>
                      <c:h val="0.134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648.45</c:v>
                </c:pt>
                <c:pt idx="1">
                  <c:v>1116.43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3673125"/>
          <c:y val="0.90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0933723910655438"/>
          <c:y val="0.025885225885225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51601458362624"/>
                  <c:y val="-0.0249300441708318"/>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dLbl>
              <c:idx val="1"/>
              <c:layout>
                <c:manualLayout>
                  <c:x val="-0.00810290332022694"/>
                  <c:y val="-0.229414710646371"/>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dLbl>
              <c:idx val="2"/>
              <c:layout>
                <c:manualLayout>
                  <c:x val="-0.0206158900665771"/>
                  <c:y val="-0.042190608797095"/>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dLbl>
              <c:idx val="3"/>
              <c:layout>
                <c:manualLayout>
                  <c:x val="0.010353496815145"/>
                  <c:y val="-0.0836730374424347"/>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dLbl>
              <c:idx val="4"/>
              <c:layout>
                <c:manualLayout>
                  <c:x val="0.0643516054671482"/>
                  <c:y val="-0.0853941507581526"/>
                </c:manualLayout>
              </c:layout>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c:v>
                </c:pt>
                <c:pt idx="1">
                  <c:v>城乡社区支出</c:v>
                </c:pt>
                <c:pt idx="2">
                  <c:v>住房保障支出</c:v>
                </c:pt>
                <c:pt idx="3">
                  <c:v>卫生健康支出</c:v>
                </c:pt>
                <c:pt idx="4">
                  <c:v>项目支出</c:v>
                </c:pt>
              </c:strCache>
            </c:strRef>
          </c:cat>
          <c:val>
            <c:numRef>
              <c:f>Sheet1!$B$2:$B$6</c:f>
              <c:numCache>
                <c:formatCode>General</c:formatCode>
                <c:ptCount val="5"/>
                <c:pt idx="0">
                  <c:v>93.8</c:v>
                </c:pt>
                <c:pt idx="1">
                  <c:v>494.45</c:v>
                </c:pt>
                <c:pt idx="2">
                  <c:v>42.54</c:v>
                </c:pt>
                <c:pt idx="3">
                  <c:v>17.87</c:v>
                </c:pt>
                <c:pt idx="4">
                  <c:v>89.56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4357378249725"/>
          <c:y val="0.896214896214896"/>
          <c:w val="0.821310875137312"/>
          <c:h val="0.081318681318681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03066314276845"/>
                  <c:y val="-0.329357154804616"/>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0972167777342219"/>
                      <c:h val="0.198836949228361"/>
                    </c:manualLayout>
                  </c15:layout>
                </c:ext>
              </c:extLst>
            </c:dLbl>
            <c:dLbl>
              <c:idx val="1"/>
              <c:layout>
                <c:manualLayout>
                  <c:x val="0.0228158559713346"/>
                  <c:y val="0.162296263120514"/>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manualLayout>
                      <c:w val="0.069625"/>
                      <c:h val="0.132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公务用车运行维护费</c:v>
                </c:pt>
                <c:pt idx="1">
                  <c:v>公务接待费</c:v>
                </c:pt>
              </c:strCache>
            </c:strRef>
          </c:cat>
          <c:val>
            <c:numRef>
              <c:f>Sheet1!$B$2:$B$5</c:f>
              <c:numCache>
                <c:formatCode>General</c:formatCode>
                <c:ptCount val="4"/>
                <c:pt idx="0">
                  <c:v>9.42</c:v>
                </c:pt>
                <c:pt idx="1">
                  <c:v>0.45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5.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6.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7.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单位：万元&quot;,&quot;&quot;],[&quot;2023年收入支出总体情况&quot;,&quot;1765.08&quot;],[&quot;2022年收入支出总体情况&quot;,&quot;1947&quot;]]],&quot;dataType&quot;:&quot;obejct-table&quot;,&quot;download&quot;:false,&quot;srcType&quot;:&quot;local&quot;,&quot;url&quot;:&quot;&quot;},&quot;function_type&quot;:[&quot;柱形图&quot;],&quot;gif&quot;:&quot;//web.docer.wpscdn.cn/docer/ds-page/images/444734748594536323.gif?imageView2/2/w/500/quality/90&quot;,&quot;isDocNotWatermark&quot;:true,&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color&quot;:&quot;#a1a1a1&quot;,&quot;grid&quot;:{&quot;color&quot;:&quot;#ccc&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FFFFFF&quot;,&quot;colors&quot;:{&quot;colorControlers&quot;:[&quot;multiple&quot;],&quot;list&quot;:[0],&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fals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18.46153846153845,&quot;ratio&quot;:&quot;&quot;,&quot;rotate&quot;:0,&quot;width&quot;:502.3076923076923},&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7&quot;,&quot;show&quot;:tru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4&quot;,&quot;templateSwitch&quot;:&quot;cross&quot;,&quot;theme&quot;:{&quot;_id&quot;:17,&quot;axis&quot;:{&quot;color&quot;:&quot;#a1a1a1&quot;},&quot;backgroundColor&quot;:&quot;#FFFFFF&quot;,&quot;card_color&quot;:&quot;#FEF5EF&quot;,&quot;colors&quot;:[&quot;#4150d8&quot;,&quot;#28bf7e&quot;,&quot;#ed7c2f&quot;,&quot;#f2a93b&quot;,&quot;#f9cf36&quot;,&quot;#4a5bdc&quot;,&quot;#4cd698&quot;,&quot;#f4914e&quot;,&quot;#fcb75b&quot;,&quot;#ffe180&quot;,&quot;#b6c2ff&quot;,&quot;#96edc1&quot;,&quot;#ffbe92&quot;,&quot;#ffd6ae&quot;,&quot;#ffecb6&quot;],&quot;fonts&quot;:{&quot;accessoryColor&quot;:&quot;#878787&quot;,&quot;color&quot;:&quot;#545454&quot;,&quot;fontFamily&quot;:&quot;阿里巴巴普惠体 常规&quot;,&quot;fontSize&quot;:&quot;14&quot;},&quot;grid&quot;:{&quot;color&quot;:&quot;#ccc&quot;},&quot;name&quot;:&quot;煦色韶光&quot;,&quot;price&quot;:&quot;0.0&quot;,&quot;shapeColor&quot;:1,&quot;themeId&quot;:&quot;17&quot;,&quot;thumb&quot;:&quot;https://ss1.dydata.io/v2/themes/17.png&quot;,&quot;titleFont&quot;:{&quot;color&quot;:&quot;#4c4c4c&quot;,&quot;fontFamily&quot;:&quot;阿里巴巴普惠体 常规&quot;,&quot;fontSize&quot;:&quot;36&quot;},&quot;typeDycharts&quot;:{}},&quot;thumb&quot;:&quot;./images/444734748594536323-4.png&quot;,&quot;title&quot;:&quot;基础柱状图&quot;,&quot;type&quot;:&quot;chart&quot;},&quot;dschart_id&quot;:&quot;444734748594536323-4&quot;,&quot;flag&quot;:&quot;1003&quot;,&quot;id&quot;:&quot;331&quot;}"/>
    <wpswe:property key="isUseCommonErrorPage" value="false"/>
    <wpswe:property key="loadingImage" value="res:/icons/DsWebShapeDefaultPage.svg"/>
  </wpswe:properties>
  <wpswe:watchingCache>
    <wpswe:linkPath>C:/Users/Administrator/AppData/Local/Temp/wps.fEhwhI/Workbook5.xlsx</wpswe:linkPath>
  </wpswe:watchingCache>
  <wpswe:snapshot xmlns:r="http://schemas.openxmlformats.org/officeDocument/2006/relationships" r:embed="rId2"/>
  <wpswe:externalData xmlns:r="http://schemas.openxmlformats.org/officeDocument/2006/relationships" r:id="rId1"/>
  <wpswe:url>https://clientweb.docer.wps.cn/ds/1.0.0/webShapeView?id=331&amp;dschart_id=444734748594536323&amp;from=chartwins&amp;productEntry=insert&amp;sceneEntry=rec&amp;flag=1003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单位：万元&quot;,&quot;&quot;],[&quot;2023年收入支出总体情况&quot;,&quot;1765.08&quot;],[&quot;2022年收入支出总体情况&quot;,&quot;1947&quot;]]],&quot;dataType&quot;:&quot;obejct-table&quot;,&quot;download&quot;:false,&quot;srcType&quot;:&quot;local&quot;,&quot;url&quot;:&quot;&quot;},&quot;function_type&quot;:[&quot;柱形图&quot;],&quot;gif&quot;:&quot;//web.docer.wpscdn.cn/docer/ds-page/images/444734748594536323.gif?imageView2/2/w/500/quality/90&quot;,&quot;isDocNotWatermark&quot;:true,&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color&quot;:&quot;#a1a1a1&quot;,&quot;grid&quot;:{&quot;color&quot;:&quot;#ccc&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FFFFFF&quot;,&quot;colors&quot;:{&quot;colorControlers&quot;:[&quot;multiple&quot;],&quot;list&quot;:[0],&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fals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63.6363636363636,&quot;ratio&quot;:&quot;&quot;,&quot;rotate&quot;:0,&quot;width&quot;:522.2222222222223},&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7&quot;,&quot;show&quot;:tru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4&quot;,&quot;templateSwitch&quot;:&quot;cross&quot;,&quot;theme&quot;:{&quot;_id&quot;:17,&quot;axis&quot;:{&quot;color&quot;:&quot;#a1a1a1&quot;},&quot;backgroundColor&quot;:&quot;#FFFFFF&quot;,&quot;card_color&quot;:&quot;#FEF5EF&quot;,&quot;colors&quot;:[&quot;#4150d8&quot;,&quot;#28bf7e&quot;,&quot;#ed7c2f&quot;,&quot;#f2a93b&quot;,&quot;#f9cf36&quot;,&quot;#4a5bdc&quot;,&quot;#4cd698&quot;,&quot;#f4914e&quot;,&quot;#fcb75b&quot;,&quot;#ffe180&quot;,&quot;#b6c2ff&quot;,&quot;#96edc1&quot;,&quot;#ffbe92&quot;,&quot;#ffd6ae&quot;,&quot;#ffecb6&quot;],&quot;fonts&quot;:{&quot;accessoryColor&quot;:&quot;#878787&quot;,&quot;color&quot;:&quot;#545454&quot;,&quot;fontFamily&quot;:&quot;阿里巴巴普惠体 常规&quot;,&quot;fontSize&quot;:&quot;14&quot;},&quot;grid&quot;:{&quot;color&quot;:&quot;#ccc&quot;},&quot;name&quot;:&quot;煦色韶光&quot;,&quot;price&quot;:&quot;0.0&quot;,&quot;shapeColor&quot;:1,&quot;themeId&quot;:&quot;17&quot;,&quot;thumb&quot;:&quot;https://ss1.dydata.io/v2/themes/17.png&quot;,&quot;titleFont&quot;:{&quot;color&quot;:&quot;#4c4c4c&quot;,&quot;fontFamily&quot;:&quot;阿里巴巴普惠体 常规&quot;,&quot;fontSize&quot;:&quot;36&quot;},&quot;typeDycharts&quot;:{}},&quot;thumb&quot;:&quot;./images/444734748594536323-4.png&quot;,&quot;title&quot;:&quot;基础柱状图&quot;,&quot;type&quot;:&quot;chart&quot;},&quot;dschart_id&quot;:&quot;444734748594536323-4&quot;,&quot;flag&quot;:&quot;1003&quot;,&quot;page&quot;:&quot;editor&quot;}"/>
    <wpswe:property key="isUseCommonErrorPage" value="false"/>
    <wpswe:property key="loadingImage" value="res:/icons/DsWebShapeDefaultPage.svg"/>
  </wpswe:properties>
  <wpswe:watchingCache>
    <wpswe:linkPath>C:/Users/Administrator/AppData/Local/Temp/wps.CDxscp/Workbook6.xlsx</wpswe:linkPath>
  </wpswe:watchingCache>
  <wpswe:snapshot xmlns:r="http://schemas.openxmlformats.org/officeDocument/2006/relationships" r:embed="rId2"/>
  <wpswe:externalData xmlns:r="http://schemas.openxmlformats.org/officeDocument/2006/relationships" r:id="rId1"/>
  <wpswe:url>https://clientweb.docer.wps.cn/ds/1.0.0/webShapeView?id=331&amp;dschart_id=444734748594536323&amp;from=chartwins&amp;productEntry=insert&amp;sceneEntry=rec&amp;flag=1003</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9688700346085&quot;,&quot;chart_type&quot;:&quot;柱状图&quot;,&quot;classifty_type&quot;:[&quot;比较类&quot;],&quot;dataSrc&quot;:{&quot;data&quot;:[[[&quot;单位：万元&quot;,&quot;&quot;],[&quot;2023年一般公共预算财政拨款支出&quot;,&quot;738.21&quot;],[&quot;2022年一般公共预算财政拨款支出&quot;,&quot;969.31&quot;]]],&quot;dataType&quot;:&quot;obejct-table&quot;,&quot;download&quot;:false,&quot;srcType&quot;:&quot;local&quot;,&quot;url&quot;:&quot;&quot;},&quot;function_type&quot;:[&quot;柱形图&quot;],&quot;gif&quot;:&quot;//web.docer.wpscdn.cn/docer/ds-page/images/444734748594536323.gif?imageView2/2/w/500/quality/90&quot;,&quot;isDocNotWatermark&quot;:true,&quot;isFree&quot;:&quot;0&quot;,&quot;label&quot;:&quot;&lt;e-barbasic-chart&gt;&quot;,&quot;projectId&quot;:&quot;444734748594536323&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color&quot;:&quot;#a1a1a1&quot;,&quot;grid&quot;:{&quot;color&quot;:&quot;#ccc&quot;,&quot;gridLineWidth&quot;:&quot;1&quot;,&quot;lineStyle&quot;:&quot;dashline&quot;,&quot;show&quot;:&quot;x&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FFFFFF&quot;,&quot;colors&quot;:{&quot;colorControlers&quot;:[&quot;multiple&quot;],&quot;list&quot;:[0],&quot;type&quot;:&quot;multiple&quot;},&quot;display&quot;:{&quot;bar4CornerRadius&quot;:[0,0,0,0],&quot;barWidthPercent&quot;:&quot;0.5&quot;,&quot;borderColor&quot;:&quot;&quot;,&quot;borderWidth&quot;:&quot;0&quot;,&quot;fillOpacity&quot;:&quot;1&quot;},&quot;font&quot;:{&quot;color&quot;:&quot;#545454&quot;,&quot;fontFamily&quot;:&quot;黑体&quot;,&quot;fontSize&quot;:&quot;14&quot;},&quot;label&quot;:{&quot;display&quot;:false,&quot;positionChoice&quot;:&quot;上面&quot;,&quot;positionOptions&quot;:[&quot;上面&quot;,&quot;内部居下&quot;],&quot;suffix&quot;:&quot;&quot;,&quot;textLabel&quot;:{&quot;color&quot;:&quot;#545454&quot;,&quot;fontFamily&quot;:&quot;黑体&quot;,&quot;fontSize&quot;:&quot;14&quot;}},&quot;legend&quot;:{&quot;color&quot;:[&quot;#545454&quot;],&quot;fontFamily&quot;:[&quot;黑体&quot;],&quot;fontSize&quot;:&quot;14&quot;,&quot;lineHeight&quot;:&quot;15&quot;,&quot;show&quot;:fals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391.7647058823529,&quot;ratio&quot;:&quot;&quot;,&quot;rotate&quot;:0,&quot;width&quot;:525.8823529411765},&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true,&quot;text&quot;:&quot;单位：万元&quot;,&quot;xPosition&quot;:&quot;left&quot;,&quot;yPosition&quot;:&quot;top&quot;},&quot;watermarkDisplay&quot;:{&quot;imgHeight&quot;:&quot;80&quot;,&quot;imgUrl&quot;:&quot;https://ss1.dydata.io/newchartWatermark.png&quot;,&quot;imgWidth&quot;:&quot;80&quot;,&quot;show&quot;:false}},&quot;templateId&quot;:&quot;444734748594536323-4&quot;,&quot;templateSwitch&quot;:&quot;cross&quot;,&quot;theme&quot;:{&quot;_id&quot;:17,&quot;axis&quot;:{&quot;color&quot;:&quot;#a1a1a1&quot;},&quot;backgroundColor&quot;:&quot;#FFFFFF&quot;,&quot;card_color&quot;:&quot;#FEF5EF&quot;,&quot;colors&quot;:[&quot;#4150d8&quot;,&quot;#28bf7e&quot;,&quot;#ed7c2f&quot;,&quot;#f2a93b&quot;,&quot;#f9cf36&quot;,&quot;#4a5bdc&quot;,&quot;#4cd698&quot;,&quot;#f4914e&quot;,&quot;#fcb75b&quot;,&quot;#ffe180&quot;,&quot;#b6c2ff&quot;,&quot;#96edc1&quot;,&quot;#ffbe92&quot;,&quot;#ffd6ae&quot;,&quot;#ffecb6&quot;],&quot;fonts&quot;:{&quot;accessoryColor&quot;:&quot;#878787&quot;,&quot;color&quot;:&quot;#545454&quot;,&quot;fontFamily&quot;:&quot;阿里巴巴普惠体 常规&quot;,&quot;fontSize&quot;:&quot;14&quot;},&quot;grid&quot;:{&quot;color&quot;:&quot;#ccc&quot;},&quot;name&quot;:&quot;煦色韶光&quot;,&quot;price&quot;:&quot;0.0&quot;,&quot;shapeColor&quot;:1,&quot;themeId&quot;:&quot;17&quot;,&quot;thumb&quot;:&quot;https://ss1.dydata.io/v2/themes/17.png&quot;,&quot;titleFont&quot;:{&quot;color&quot;:&quot;#4c4c4c&quot;,&quot;fontFamily&quot;:&quot;阿里巴巴普惠体 常规&quot;,&quot;fontSize&quot;:&quot;36&quot;},&quot;typeDycharts&quot;:{}},&quot;thumb&quot;:&quot;./images/444734748594536323-4.png&quot;,&quot;title&quot;:&quot;基础柱状图&quot;,&quot;type&quot;:&quot;chart&quot;},&quot;dschart_id&quot;:&quot;444734748594536323-4&quot;,&quot;flag&quot;:&quot;1003&quot;,&quot;id&quot;:&quot;331&quot;}"/>
    <wpswe:property key="isUseCommonErrorPage" value="false"/>
    <wpswe:property key="loadingImage" value="res:/icons/DsWebShapeDefaultPage.svg"/>
  </wpswe:properties>
  <wpswe:watchingCache>
    <wpswe:linkPath>C:/Users/Administrator/AppData/Local/Temp/wps.qZdFyQ/Workbook7.xlsx</wpswe:linkPath>
  </wpswe:watchingCache>
  <wpswe:snapshot xmlns:r="http://schemas.openxmlformats.org/officeDocument/2006/relationships" r:embed="rId2"/>
  <wpswe:externalData xmlns:r="http://schemas.openxmlformats.org/officeDocument/2006/relationships" r:id="rId1"/>
  <wpswe:url>https://clientweb.docer.wps.cn/ds/1.0.0/webShapeView?id=331&amp;dschart_id=444734748594536323&amp;from=chartwins&amp;productEntry=insert&amp;sceneEntry=rec&amp;flag=1003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4990</Words>
  <Characters>5589</Characters>
  <Lines>61</Lines>
  <Paragraphs>17</Paragraphs>
  <TotalTime>4</TotalTime>
  <ScaleCrop>false</ScaleCrop>
  <LinksUpToDate>false</LinksUpToDate>
  <CharactersWithSpaces>5648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hyt</cp:lastModifiedBy>
  <cp:lastPrinted>2022-08-06T02:23:00Z</cp:lastPrinted>
  <dcterms:modified xsi:type="dcterms:W3CDTF">2024-10-25T02:58:04Z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BA1B6C43DA614C1891D65F42338EF89F_13</vt:lpwstr>
  </property>
</Properties>
</file>