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7214F">
      <w:pPr>
        <w:spacing w:line="600" w:lineRule="exact"/>
        <w:jc w:val="left"/>
        <w:outlineLvl w:val="0"/>
        <w:rPr>
          <w:rFonts w:ascii="方正小标宋简体" w:hAnsi="宋体" w:eastAsia="方正小标宋简体"/>
          <w:b w:val="0"/>
          <w:bCs w:val="0"/>
          <w:szCs w:val="21"/>
        </w:rPr>
      </w:pPr>
      <w:bookmarkStart w:id="0" w:name="_Toc15306267"/>
    </w:p>
    <w:p w14:paraId="063D43FA">
      <w:pPr>
        <w:pStyle w:val="2"/>
        <w:spacing w:before="93"/>
        <w:rPr>
          <w:b w:val="0"/>
          <w:bCs w:val="0"/>
        </w:rPr>
      </w:pPr>
    </w:p>
    <w:p w14:paraId="560545C2">
      <w:pPr>
        <w:spacing w:line="600" w:lineRule="exact"/>
        <w:jc w:val="center"/>
        <w:outlineLvl w:val="0"/>
        <w:rPr>
          <w:rFonts w:ascii="方正小标宋简体" w:hAnsi="宋体" w:eastAsia="方正小标宋简体"/>
          <w:b w:val="0"/>
          <w:bCs w:val="0"/>
          <w:sz w:val="72"/>
          <w:szCs w:val="72"/>
        </w:rPr>
      </w:pPr>
    </w:p>
    <w:p w14:paraId="1B1A5B2F">
      <w:pPr>
        <w:spacing w:line="600" w:lineRule="exact"/>
        <w:jc w:val="center"/>
        <w:outlineLvl w:val="0"/>
        <w:rPr>
          <w:rFonts w:ascii="方正小标宋简体" w:hAnsi="宋体" w:eastAsia="方正小标宋简体"/>
          <w:b w:val="0"/>
          <w:bCs w:val="0"/>
          <w:sz w:val="72"/>
          <w:szCs w:val="72"/>
        </w:rPr>
      </w:pPr>
    </w:p>
    <w:p w14:paraId="323E47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b w:val="0"/>
          <w:bCs w:val="0"/>
          <w:sz w:val="72"/>
          <w:szCs w:val="72"/>
        </w:rPr>
      </w:pPr>
      <w:bookmarkStart w:id="1" w:name="_Toc15378441"/>
      <w:bookmarkStart w:id="2" w:name="_Toc15396475"/>
      <w:bookmarkStart w:id="3" w:name="_Toc15396597"/>
      <w:bookmarkStart w:id="4" w:name="_Toc15377425"/>
      <w:bookmarkStart w:id="5" w:name="_Toc15377193"/>
      <w:r>
        <w:rPr>
          <w:rFonts w:hint="eastAsia" w:ascii="方正小标宋简体" w:hAnsi="方正小标宋简体" w:cs="楷体" w:eastAsiaTheme="majorEastAsia"/>
          <w:b w:val="0"/>
          <w:bCs w:val="0"/>
          <w:spacing w:val="-17"/>
          <w:sz w:val="72"/>
          <w:szCs w:val="72"/>
          <w:highlight w:val="none"/>
          <w:lang w:val="en-US" w:eastAsia="zh-CN"/>
        </w:rPr>
        <w:t>2023年度</w:t>
      </w:r>
      <w:bookmarkEnd w:id="1"/>
      <w:bookmarkEnd w:id="2"/>
      <w:bookmarkEnd w:id="3"/>
      <w:bookmarkEnd w:id="4"/>
      <w:bookmarkEnd w:id="5"/>
    </w:p>
    <w:p w14:paraId="0C0CDBFD">
      <w:pPr>
        <w:pStyle w:val="2"/>
      </w:pPr>
    </w:p>
    <w:bookmarkEnd w:id="0"/>
    <w:p w14:paraId="68DBDE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cs="楷体" w:eastAsiaTheme="majorEastAsia"/>
          <w:b w:val="0"/>
          <w:bCs w:val="0"/>
          <w:spacing w:val="-17"/>
          <w:sz w:val="72"/>
          <w:szCs w:val="72"/>
          <w:highlight w:val="none"/>
          <w:lang w:val="en-US" w:eastAsia="zh-CN"/>
        </w:rPr>
      </w:pPr>
      <w:r>
        <w:rPr>
          <w:rFonts w:hint="eastAsia" w:ascii="方正小标宋简体" w:hAnsi="方正小标宋简体" w:cs="楷体" w:eastAsiaTheme="majorEastAsia"/>
          <w:b w:val="0"/>
          <w:bCs w:val="0"/>
          <w:spacing w:val="-17"/>
          <w:sz w:val="72"/>
          <w:szCs w:val="72"/>
          <w:highlight w:val="none"/>
          <w:lang w:val="en-US" w:eastAsia="zh-CN"/>
        </w:rPr>
        <w:t>大竹县月华镇第二中心小学</w:t>
      </w:r>
    </w:p>
    <w:p w14:paraId="4F9B28A3">
      <w:pPr>
        <w:pStyle w:val="2"/>
        <w:rPr>
          <w:rFonts w:hint="eastAsia"/>
          <w:lang w:val="en-US" w:eastAsia="zh-CN"/>
        </w:rPr>
      </w:pPr>
    </w:p>
    <w:p w14:paraId="7A6317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方正小标宋简体" w:hAnsi="方正小标宋简体" w:cs="楷体" w:eastAsiaTheme="majorEastAsia"/>
          <w:b w:val="0"/>
          <w:bCs w:val="0"/>
          <w:spacing w:val="-17"/>
          <w:sz w:val="72"/>
          <w:szCs w:val="72"/>
          <w:highlight w:val="none"/>
          <w:lang w:val="en-US" w:eastAsia="zh-CN"/>
        </w:rPr>
      </w:pPr>
      <w:r>
        <w:rPr>
          <w:rFonts w:hint="eastAsia" w:ascii="方正小标宋简体" w:hAnsi="方正小标宋简体" w:cs="楷体" w:eastAsiaTheme="majorEastAsia"/>
          <w:b w:val="0"/>
          <w:bCs w:val="0"/>
          <w:spacing w:val="-17"/>
          <w:sz w:val="72"/>
          <w:szCs w:val="72"/>
          <w:highlight w:val="none"/>
          <w:lang w:val="en-US" w:eastAsia="zh-CN"/>
        </w:rPr>
        <w:t>部门决算</w:t>
      </w:r>
    </w:p>
    <w:p w14:paraId="21E3B1C0">
      <w:pPr>
        <w:widowControl/>
        <w:jc w:val="center"/>
        <w:rPr>
          <w:rFonts w:ascii="黑体" w:hAnsi="黑体" w:eastAsia="黑体"/>
          <w:b w:val="0"/>
          <w:bCs w:val="0"/>
          <w:sz w:val="48"/>
          <w:szCs w:val="48"/>
        </w:rPr>
      </w:pPr>
      <w:r>
        <w:rPr>
          <w:rFonts w:ascii="方正小标宋简体" w:hAnsi="宋体" w:eastAsia="方正小标宋简体"/>
          <w:b w:val="0"/>
          <w:bCs w:val="0"/>
          <w:sz w:val="36"/>
          <w:szCs w:val="36"/>
        </w:rPr>
        <w:br w:type="page"/>
      </w:r>
      <w:r>
        <w:rPr>
          <w:rFonts w:hint="eastAsia" w:ascii="黑体" w:hAnsi="黑体" w:eastAsia="黑体"/>
          <w:b w:val="0"/>
          <w:bCs w:val="0"/>
          <w:sz w:val="48"/>
          <w:szCs w:val="48"/>
        </w:rPr>
        <w:t>目录</w:t>
      </w:r>
    </w:p>
    <w:p w14:paraId="0588FCE1">
      <w:pPr>
        <w:widowControl/>
        <w:jc w:val="center"/>
        <w:rPr>
          <w:rFonts w:ascii="黑体" w:hAnsi="黑体" w:eastAsia="黑体" w:cstheme="minorBidi"/>
          <w:b w:val="0"/>
          <w:bCs w:val="0"/>
          <w:sz w:val="28"/>
          <w:szCs w:val="28"/>
        </w:rPr>
      </w:pPr>
    </w:p>
    <w:p w14:paraId="6AC5E2F9">
      <w:pPr>
        <w:pStyle w:val="11"/>
        <w:rPr>
          <w:b w:val="0"/>
          <w:bCs w:val="0"/>
        </w:rPr>
      </w:pPr>
      <w:r>
        <w:rPr>
          <w:rFonts w:hint="eastAsia"/>
          <w:b w:val="0"/>
          <w:bCs w:val="0"/>
        </w:rPr>
        <w:t>公开时间：2023年</w:t>
      </w:r>
      <w:r>
        <w:rPr>
          <w:rFonts w:hint="eastAsia"/>
          <w:b w:val="0"/>
          <w:bCs w:val="0"/>
          <w:lang w:val="en-US" w:eastAsia="zh-CN"/>
        </w:rPr>
        <w:t>10</w:t>
      </w:r>
      <w:r>
        <w:rPr>
          <w:rFonts w:hint="eastAsia"/>
          <w:b w:val="0"/>
          <w:bCs w:val="0"/>
        </w:rPr>
        <w:t>月</w:t>
      </w:r>
      <w:r>
        <w:rPr>
          <w:rFonts w:hint="eastAsia"/>
          <w:b w:val="0"/>
          <w:bCs w:val="0"/>
          <w:lang w:val="en-US" w:eastAsia="zh-CN"/>
        </w:rPr>
        <w:t>18</w:t>
      </w:r>
      <w:r>
        <w:rPr>
          <w:rFonts w:hint="eastAsia"/>
          <w:b w:val="0"/>
          <w:bCs w:val="0"/>
        </w:rPr>
        <w:t>日</w:t>
      </w:r>
    </w:p>
    <w:p w14:paraId="50128DC7">
      <w:pPr>
        <w:rPr>
          <w:b w:val="0"/>
          <w:bCs w:val="0"/>
        </w:rPr>
      </w:pPr>
    </w:p>
    <w:p w14:paraId="613C6693">
      <w:pPr>
        <w:pStyle w:val="12"/>
        <w:adjustRightInd w:val="0"/>
        <w:snapToGrid w:val="0"/>
        <w:spacing w:line="440" w:lineRule="exact"/>
        <w:jc w:val="left"/>
        <w:rPr>
          <w:rFonts w:ascii="仿宋" w:hAnsi="仿宋" w:eastAsia="仿宋"/>
          <w:sz w:val="24"/>
        </w:rPr>
      </w:pPr>
      <w:bookmarkStart w:id="6" w:name="_Toc15396599"/>
      <w:bookmarkStart w:id="7" w:name="_Toc15377196"/>
      <w:r>
        <w:rPr>
          <w:rFonts w:hint="eastAsia"/>
          <w:sz w:val="24"/>
        </w:rPr>
        <w:t>第一部分</w:t>
      </w:r>
      <w:r>
        <w:rPr>
          <w:sz w:val="24"/>
        </w:rPr>
        <w:t xml:space="preserve"> </w:t>
      </w:r>
      <w:r>
        <w:rPr>
          <w:rFonts w:hint="eastAsia"/>
          <w:sz w:val="24"/>
        </w:rPr>
        <w:t>单位概况．．．．．．．．．．．．．．．．．．．．．．．．．．4</w:t>
      </w:r>
    </w:p>
    <w:p w14:paraId="40AB7081">
      <w:pPr>
        <w:pStyle w:val="12"/>
        <w:adjustRightInd w:val="0"/>
        <w:snapToGrid w:val="0"/>
        <w:spacing w:line="440" w:lineRule="exact"/>
        <w:jc w:val="left"/>
        <w:rPr>
          <w:rFonts w:ascii="仿宋" w:hAnsi="仿宋" w:eastAsia="仿宋"/>
          <w:sz w:val="24"/>
        </w:rPr>
      </w:pPr>
      <w:r>
        <w:rPr>
          <w:rFonts w:hint="eastAsia"/>
          <w:sz w:val="24"/>
        </w:rPr>
        <w:t>一、职能简介．．．．．．．．．．．．．．．．．．．．．．．．．．．．．4</w:t>
      </w:r>
    </w:p>
    <w:p w14:paraId="1B53E205">
      <w:pPr>
        <w:pStyle w:val="12"/>
        <w:adjustRightInd w:val="0"/>
        <w:snapToGrid w:val="0"/>
        <w:spacing w:line="440" w:lineRule="exact"/>
        <w:jc w:val="left"/>
        <w:rPr>
          <w:sz w:val="24"/>
        </w:rPr>
      </w:pPr>
      <w:r>
        <w:rPr>
          <w:rFonts w:hint="eastAsia"/>
          <w:sz w:val="24"/>
        </w:rPr>
        <w:t>二、机构设置．．．．．．．．．．．．．．．．．．．．．．．．．．．．．4</w:t>
      </w:r>
    </w:p>
    <w:p w14:paraId="69D92B3C">
      <w:pPr>
        <w:pStyle w:val="12"/>
        <w:adjustRightInd w:val="0"/>
        <w:snapToGrid w:val="0"/>
        <w:spacing w:line="440" w:lineRule="exact"/>
        <w:jc w:val="left"/>
        <w:rPr>
          <w:rFonts w:ascii="仿宋" w:hAnsi="仿宋"/>
          <w:sz w:val="24"/>
        </w:rPr>
      </w:pPr>
      <w:r>
        <w:rPr>
          <w:rFonts w:hint="eastAsia"/>
          <w:sz w:val="24"/>
        </w:rPr>
        <w:t>第二部分 202</w:t>
      </w:r>
      <w:r>
        <w:rPr>
          <w:rFonts w:hint="eastAsia"/>
          <w:sz w:val="24"/>
          <w:lang w:val="en-US" w:eastAsia="zh-CN"/>
        </w:rPr>
        <w:t>3</w:t>
      </w:r>
      <w:r>
        <w:rPr>
          <w:rFonts w:hint="eastAsia"/>
          <w:sz w:val="24"/>
        </w:rPr>
        <w:t>年度单位决算情况说明．．．．．．．．．．．．．．．．．．5一、收入支出决算总体情况说明．．．．．．．．．．．．．．．．．．．．．．．．5二、收入决算情况说明．．．．．．．．．．．．．．．．．．．．．．．．．5</w:t>
      </w:r>
    </w:p>
    <w:p w14:paraId="6DD6E1F6">
      <w:pPr>
        <w:pStyle w:val="12"/>
        <w:adjustRightInd w:val="0"/>
        <w:snapToGrid w:val="0"/>
        <w:spacing w:line="440" w:lineRule="exact"/>
        <w:jc w:val="left"/>
        <w:rPr>
          <w:rFonts w:ascii="仿宋" w:hAnsi="仿宋" w:eastAsia="仿宋"/>
          <w:sz w:val="24"/>
        </w:rPr>
      </w:pPr>
      <w:r>
        <w:rPr>
          <w:rFonts w:hint="eastAsia"/>
          <w:sz w:val="24"/>
        </w:rPr>
        <w:t>三、支出决算情况说明．．．．．．．．．．．．．．．．．．．．．．．．．．6</w:t>
      </w:r>
    </w:p>
    <w:p w14:paraId="38659292">
      <w:pPr>
        <w:pStyle w:val="12"/>
        <w:adjustRightInd w:val="0"/>
        <w:snapToGrid w:val="0"/>
        <w:spacing w:line="440" w:lineRule="exact"/>
        <w:jc w:val="left"/>
        <w:rPr>
          <w:rFonts w:ascii="仿宋" w:hAnsi="仿宋" w:eastAsia="仿宋"/>
          <w:sz w:val="24"/>
        </w:rPr>
      </w:pPr>
      <w:r>
        <w:rPr>
          <w:rFonts w:hint="eastAsia"/>
          <w:sz w:val="24"/>
        </w:rPr>
        <w:t>四、财政拨款收入支出决算总体情况说明．．．．．．．．．．．．．．．．．7</w:t>
      </w:r>
    </w:p>
    <w:p w14:paraId="1D51CE2E">
      <w:pPr>
        <w:pStyle w:val="12"/>
        <w:adjustRightInd w:val="0"/>
        <w:snapToGrid w:val="0"/>
        <w:spacing w:line="440" w:lineRule="exact"/>
        <w:jc w:val="left"/>
        <w:rPr>
          <w:rFonts w:hint="eastAsia" w:ascii="仿宋" w:hAnsi="仿宋" w:eastAsia="宋体"/>
          <w:sz w:val="24"/>
          <w:lang w:eastAsia="zh-CN"/>
        </w:rPr>
      </w:pPr>
      <w:r>
        <w:rPr>
          <w:rFonts w:hint="eastAsia"/>
          <w:sz w:val="24"/>
        </w:rPr>
        <w:t>五、一般公共预算财政拨款支出决算情况说明．．．．．．．．．．．．．．．．</w:t>
      </w:r>
      <w:r>
        <w:rPr>
          <w:rFonts w:hint="eastAsia"/>
          <w:sz w:val="24"/>
          <w:lang w:val="en-US" w:eastAsia="zh-CN"/>
        </w:rPr>
        <w:t>7</w:t>
      </w:r>
    </w:p>
    <w:p w14:paraId="32F1A490">
      <w:pPr>
        <w:pStyle w:val="12"/>
        <w:adjustRightInd w:val="0"/>
        <w:snapToGrid w:val="0"/>
        <w:spacing w:line="440" w:lineRule="exact"/>
        <w:jc w:val="left"/>
        <w:rPr>
          <w:rFonts w:ascii="仿宋" w:hAnsi="仿宋" w:eastAsia="仿宋"/>
          <w:sz w:val="24"/>
        </w:rPr>
      </w:pPr>
      <w:r>
        <w:rPr>
          <w:rFonts w:hint="eastAsia"/>
          <w:sz w:val="24"/>
        </w:rPr>
        <w:t>六、一般公共预算财政拨款基本支出决算情况说明．．．．．．．．．．．．10</w:t>
      </w:r>
    </w:p>
    <w:p w14:paraId="63072718">
      <w:pPr>
        <w:pStyle w:val="12"/>
        <w:adjustRightInd w:val="0"/>
        <w:snapToGrid w:val="0"/>
        <w:spacing w:line="440" w:lineRule="exact"/>
        <w:jc w:val="left"/>
        <w:rPr>
          <w:rFonts w:ascii="仿宋" w:hAnsi="仿宋" w:eastAsia="仿宋"/>
          <w:sz w:val="24"/>
        </w:rPr>
      </w:pPr>
      <w:r>
        <w:rPr>
          <w:rFonts w:hint="eastAsia"/>
          <w:sz w:val="24"/>
        </w:rPr>
        <w:t>七、“三公”经费财政拨款支出决算情况说明．．．．．．．．．．．．．．．10</w:t>
      </w:r>
    </w:p>
    <w:p w14:paraId="3ABA2782">
      <w:pPr>
        <w:pStyle w:val="12"/>
        <w:adjustRightInd w:val="0"/>
        <w:snapToGrid w:val="0"/>
        <w:spacing w:line="440" w:lineRule="exact"/>
        <w:jc w:val="left"/>
        <w:rPr>
          <w:rFonts w:hint="eastAsia" w:ascii="仿宋" w:hAnsi="仿宋" w:eastAsia="宋体"/>
          <w:sz w:val="24"/>
          <w:lang w:val="en-US" w:eastAsia="zh-CN"/>
        </w:rPr>
      </w:pPr>
      <w:r>
        <w:rPr>
          <w:rFonts w:hint="eastAsia"/>
          <w:sz w:val="24"/>
        </w:rPr>
        <w:t>八、政府性基金预算支出决算情况说明．．．．．．．．．．．．．．．．．．．1</w:t>
      </w:r>
      <w:r>
        <w:rPr>
          <w:rFonts w:hint="eastAsia"/>
          <w:sz w:val="24"/>
          <w:lang w:val="en-US" w:eastAsia="zh-CN"/>
        </w:rPr>
        <w:t>2</w:t>
      </w:r>
    </w:p>
    <w:p w14:paraId="29C18DA9">
      <w:pPr>
        <w:pStyle w:val="12"/>
        <w:adjustRightInd w:val="0"/>
        <w:snapToGrid w:val="0"/>
        <w:spacing w:line="440" w:lineRule="exact"/>
        <w:jc w:val="left"/>
        <w:rPr>
          <w:rFonts w:hint="default" w:ascii="仿宋" w:hAnsi="仿宋" w:eastAsia="宋体"/>
          <w:sz w:val="24"/>
          <w:lang w:val="en-US" w:eastAsia="zh-CN"/>
        </w:rPr>
      </w:pPr>
      <w:r>
        <w:rPr>
          <w:rFonts w:hint="eastAsia"/>
          <w:sz w:val="24"/>
        </w:rPr>
        <w:t>九、国有资本经营预算支出决算情况说明．．．．．．．．．．．．．．．．．</w:t>
      </w:r>
      <w:r>
        <w:rPr>
          <w:rFonts w:hint="eastAsia"/>
          <w:sz w:val="24"/>
          <w:lang w:val="en-US" w:eastAsia="zh-CN"/>
        </w:rPr>
        <w:t>12</w:t>
      </w:r>
    </w:p>
    <w:p w14:paraId="1E1BCB69">
      <w:pPr>
        <w:pStyle w:val="12"/>
        <w:adjustRightInd w:val="0"/>
        <w:snapToGrid w:val="0"/>
        <w:spacing w:line="440" w:lineRule="exact"/>
        <w:jc w:val="left"/>
        <w:rPr>
          <w:rFonts w:ascii="仿宋" w:hAnsi="仿宋" w:eastAsia="仿宋"/>
          <w:sz w:val="24"/>
        </w:rPr>
      </w:pPr>
      <w:r>
        <w:rPr>
          <w:rFonts w:hint="eastAsia"/>
          <w:sz w:val="24"/>
        </w:rPr>
        <w:t>十、其他重要事项的情况说明．．．．．．．．．．．．．．．．．．．．．．．13</w:t>
      </w:r>
    </w:p>
    <w:p w14:paraId="769D4E77">
      <w:pPr>
        <w:pStyle w:val="12"/>
        <w:adjustRightInd w:val="0"/>
        <w:snapToGrid w:val="0"/>
        <w:spacing w:line="440" w:lineRule="exact"/>
        <w:jc w:val="left"/>
        <w:rPr>
          <w:rFonts w:hint="eastAsia" w:ascii="仿宋" w:hAnsi="仿宋" w:eastAsia="宋体"/>
          <w:sz w:val="24"/>
          <w:lang w:eastAsia="zh-CN"/>
        </w:rPr>
      </w:pPr>
      <w:r>
        <w:rPr>
          <w:rFonts w:hint="eastAsia"/>
          <w:sz w:val="24"/>
        </w:rPr>
        <w:t>第三部分</w:t>
      </w:r>
      <w:r>
        <w:rPr>
          <w:sz w:val="24"/>
        </w:rPr>
        <w:t xml:space="preserve"> </w:t>
      </w:r>
      <w:r>
        <w:rPr>
          <w:rFonts w:hint="eastAsia"/>
          <w:sz w:val="24"/>
        </w:rPr>
        <w:t>名词解释．．．．．．．．．．．．．．．v．．．．．．．．．．1</w:t>
      </w:r>
      <w:r>
        <w:rPr>
          <w:rFonts w:hint="eastAsia"/>
          <w:sz w:val="24"/>
          <w:lang w:val="en-US" w:eastAsia="zh-CN"/>
        </w:rPr>
        <w:t>4</w:t>
      </w:r>
    </w:p>
    <w:p w14:paraId="1EAE5292">
      <w:pPr>
        <w:pStyle w:val="12"/>
        <w:adjustRightInd w:val="0"/>
        <w:snapToGrid w:val="0"/>
        <w:spacing w:line="440" w:lineRule="exact"/>
        <w:jc w:val="left"/>
        <w:rPr>
          <w:rFonts w:hint="eastAsia" w:ascii="仿宋" w:hAnsi="仿宋" w:eastAsia="宋体"/>
          <w:sz w:val="24"/>
          <w:lang w:eastAsia="zh-CN"/>
        </w:rPr>
      </w:pPr>
      <w:r>
        <w:rPr>
          <w:rFonts w:hint="eastAsia"/>
          <w:sz w:val="24"/>
        </w:rPr>
        <w:t>第四部分</w:t>
      </w:r>
      <w:r>
        <w:rPr>
          <w:sz w:val="24"/>
        </w:rPr>
        <w:t xml:space="preserve"> </w:t>
      </w:r>
      <w:r>
        <w:rPr>
          <w:rFonts w:hint="eastAsia"/>
          <w:sz w:val="24"/>
        </w:rPr>
        <w:t>附件．．．．．．．．．．．．．．．．．．．．．．．．．．．．．1</w:t>
      </w:r>
      <w:r>
        <w:rPr>
          <w:rFonts w:hint="eastAsia"/>
          <w:sz w:val="24"/>
          <w:lang w:val="en-US" w:eastAsia="zh-CN"/>
        </w:rPr>
        <w:t>7</w:t>
      </w:r>
    </w:p>
    <w:p w14:paraId="3A653E6E">
      <w:pPr>
        <w:pStyle w:val="12"/>
        <w:adjustRightInd w:val="0"/>
        <w:snapToGrid w:val="0"/>
        <w:spacing w:line="440" w:lineRule="exact"/>
        <w:jc w:val="left"/>
        <w:rPr>
          <w:rFonts w:hint="default" w:eastAsia="宋体"/>
          <w:sz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23</w:t>
      </w:r>
    </w:p>
    <w:p w14:paraId="5085C0E8">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23</w:t>
      </w:r>
    </w:p>
    <w:p w14:paraId="6956C1B6">
      <w:pPr>
        <w:pStyle w:val="12"/>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23</w:t>
      </w:r>
    </w:p>
    <w:p w14:paraId="76ECA96A">
      <w:pPr>
        <w:pStyle w:val="12"/>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23</w:t>
      </w:r>
    </w:p>
    <w:p w14:paraId="199BBB8F">
      <w:pPr>
        <w:pStyle w:val="12"/>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23</w:t>
      </w:r>
    </w:p>
    <w:p w14:paraId="0BF7AC9D">
      <w:pPr>
        <w:pStyle w:val="12"/>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lang w:val="en-US" w:eastAsia="zh-CN"/>
        </w:rPr>
        <w:t>23</w:t>
      </w:r>
    </w:p>
    <w:p w14:paraId="097E90CE">
      <w:pPr>
        <w:pStyle w:val="12"/>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23</w:t>
      </w:r>
    </w:p>
    <w:p w14:paraId="65712BEA">
      <w:pPr>
        <w:pStyle w:val="12"/>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23</w:t>
      </w:r>
    </w:p>
    <w:p w14:paraId="712C30D8">
      <w:pPr>
        <w:pStyle w:val="12"/>
        <w:adjustRightInd w:val="0"/>
        <w:snapToGrid w:val="0"/>
        <w:spacing w:line="440" w:lineRule="exact"/>
        <w:jc w:val="left"/>
        <w:rPr>
          <w:rFonts w:hint="default" w:eastAsia="宋体"/>
          <w:sz w:val="24"/>
          <w:lang w:val="en-US" w:eastAsia="zh-CN"/>
        </w:rPr>
      </w:pPr>
      <w:r>
        <w:rPr>
          <w:rFonts w:hint="eastAsia"/>
          <w:sz w:val="24"/>
        </w:rPr>
        <w:t>八、一般公共预算财政拨款基本支出决算表．．．．．．．．．．．．．．．</w:t>
      </w:r>
      <w:r>
        <w:rPr>
          <w:rFonts w:hint="eastAsia"/>
          <w:sz w:val="24"/>
          <w:lang w:val="en-US" w:eastAsia="zh-CN"/>
        </w:rPr>
        <w:t>23</w:t>
      </w:r>
      <w:r>
        <w:rPr>
          <w:rFonts w:hint="eastAsia"/>
          <w:sz w:val="24"/>
        </w:rPr>
        <w:t>九、一般公共预算财政拨款项目支出决算表．．．．．．．．．．．．．．．</w:t>
      </w:r>
      <w:r>
        <w:rPr>
          <w:rFonts w:hint="eastAsia"/>
          <w:sz w:val="24"/>
          <w:lang w:val="en-US" w:eastAsia="zh-CN"/>
        </w:rPr>
        <w:t>23</w:t>
      </w:r>
      <w:r>
        <w:rPr>
          <w:rFonts w:hint="eastAsia"/>
          <w:sz w:val="24"/>
        </w:rPr>
        <w:t>十、一般公共预算财政拨款“三公”经费支出决算表．．．．．．．．．．．</w:t>
      </w:r>
      <w:r>
        <w:rPr>
          <w:rFonts w:hint="eastAsia"/>
          <w:sz w:val="24"/>
          <w:lang w:val="en-US" w:eastAsia="zh-CN"/>
        </w:rPr>
        <w:t>23</w:t>
      </w:r>
      <w:r>
        <w:rPr>
          <w:rFonts w:hint="eastAsia"/>
          <w:sz w:val="24"/>
        </w:rPr>
        <w:t>十一、政府性基金预算财政拨款收入支出决算表．．．．．．．．．．．．．．</w:t>
      </w:r>
      <w:r>
        <w:rPr>
          <w:rFonts w:hint="eastAsia"/>
          <w:sz w:val="24"/>
          <w:lang w:val="en-US" w:eastAsia="zh-CN"/>
        </w:rPr>
        <w:t>23</w:t>
      </w:r>
      <w:r>
        <w:rPr>
          <w:rFonts w:hint="eastAsia"/>
          <w:sz w:val="24"/>
        </w:rPr>
        <w:t>十二、政府性基金预算财政拨款“三公”经费支出决算表．．．．．．．．．．</w:t>
      </w:r>
      <w:r>
        <w:rPr>
          <w:rFonts w:hint="eastAsia"/>
          <w:sz w:val="24"/>
          <w:lang w:val="en-US" w:eastAsia="zh-CN"/>
        </w:rPr>
        <w:t>23</w:t>
      </w:r>
      <w:r>
        <w:rPr>
          <w:rFonts w:hint="eastAsia"/>
          <w:sz w:val="24"/>
        </w:rPr>
        <w:t>十三、国有资本经营预算财政拨款收入支出决算表．．．．．．．．．．．．．</w:t>
      </w:r>
      <w:r>
        <w:rPr>
          <w:rFonts w:hint="eastAsia"/>
          <w:sz w:val="24"/>
          <w:lang w:val="en-US" w:eastAsia="zh-CN"/>
        </w:rPr>
        <w:t>23</w:t>
      </w:r>
    </w:p>
    <w:p w14:paraId="5F8FA26B">
      <w:pPr>
        <w:pStyle w:val="12"/>
        <w:adjustRightInd w:val="0"/>
        <w:snapToGrid w:val="0"/>
        <w:spacing w:line="440" w:lineRule="exact"/>
        <w:jc w:val="left"/>
        <w:rPr>
          <w:rFonts w:hint="default" w:eastAsia="宋体"/>
          <w:sz w:val="24"/>
          <w:lang w:val="en-US" w:eastAsia="zh-CN"/>
        </w:rPr>
      </w:pPr>
      <w:r>
        <w:rPr>
          <w:rFonts w:hint="eastAsia"/>
          <w:sz w:val="24"/>
        </w:rPr>
        <w:t>十四、国有资本经营预算财政拨款支出决算表．．．．．．．．．．．．．．．</w:t>
      </w:r>
      <w:r>
        <w:rPr>
          <w:rFonts w:hint="eastAsia"/>
          <w:sz w:val="24"/>
          <w:lang w:val="en-US" w:eastAsia="zh-CN"/>
        </w:rPr>
        <w:t>23</w:t>
      </w:r>
    </w:p>
    <w:p w14:paraId="351E3280">
      <w:pPr>
        <w:widowControl/>
        <w:spacing w:line="440" w:lineRule="exact"/>
        <w:jc w:val="left"/>
        <w:rPr>
          <w:rFonts w:ascii="仿宋" w:hAnsi="仿宋" w:eastAsia="仿宋"/>
          <w:b w:val="0"/>
          <w:bCs w:val="0"/>
          <w:kern w:val="44"/>
          <w:sz w:val="24"/>
        </w:rPr>
      </w:pPr>
      <w:r>
        <w:rPr>
          <w:rFonts w:ascii="仿宋" w:hAnsi="仿宋" w:eastAsia="仿宋"/>
          <w:b w:val="0"/>
          <w:bCs w:val="0"/>
          <w:sz w:val="24"/>
        </w:rPr>
        <w:br w:type="page"/>
      </w:r>
    </w:p>
    <w:p w14:paraId="255874D7">
      <w:pPr>
        <w:pStyle w:val="3"/>
        <w:numPr>
          <w:ilvl w:val="0"/>
          <w:numId w:val="1"/>
        </w:numPr>
        <w:jc w:val="center"/>
        <w:rPr>
          <w:rStyle w:val="27"/>
          <w:rFonts w:hint="eastAsia" w:ascii="黑体" w:hAnsi="黑体" w:eastAsia="黑体"/>
          <w:b w:val="0"/>
          <w:bCs w:val="0"/>
        </w:rPr>
      </w:pPr>
      <w:r>
        <w:rPr>
          <w:rFonts w:hint="eastAsia" w:ascii="黑体" w:hAnsi="黑体" w:eastAsia="黑体"/>
          <w:b w:val="0"/>
          <w:bCs w:val="0"/>
        </w:rPr>
        <w:t>单位</w:t>
      </w:r>
      <w:r>
        <w:rPr>
          <w:rStyle w:val="27"/>
          <w:rFonts w:hint="eastAsia" w:ascii="黑体" w:hAnsi="黑体" w:eastAsia="黑体"/>
          <w:b w:val="0"/>
          <w:bCs w:val="0"/>
        </w:rPr>
        <w:t>概况</w:t>
      </w:r>
      <w:bookmarkEnd w:id="6"/>
      <w:bookmarkEnd w:id="7"/>
    </w:p>
    <w:p w14:paraId="41DCC9ED">
      <w:pPr>
        <w:rPr>
          <w:rFonts w:hint="eastAsia"/>
          <w:b w:val="0"/>
          <w:bCs w:val="0"/>
        </w:rPr>
      </w:pPr>
    </w:p>
    <w:p w14:paraId="607F5885">
      <w:pPr>
        <w:pStyle w:val="4"/>
        <w:numPr>
          <w:ilvl w:val="0"/>
          <w:numId w:val="0"/>
        </w:numPr>
        <w:spacing w:before="0" w:after="0" w:line="240" w:lineRule="auto"/>
        <w:ind w:firstLine="640" w:firstLineChars="200"/>
        <w:rPr>
          <w:rStyle w:val="28"/>
          <w:rFonts w:ascii="黑体" w:hAnsi="黑体" w:eastAsia="黑体"/>
          <w:b w:val="0"/>
          <w:bCs w:val="0"/>
        </w:rPr>
      </w:pPr>
      <w:bookmarkStart w:id="8" w:name="_Toc15377197"/>
      <w:bookmarkStart w:id="9" w:name="_Toc15396600"/>
      <w:r>
        <w:rPr>
          <w:rStyle w:val="28"/>
          <w:rFonts w:hint="eastAsia" w:ascii="黑体" w:hAnsi="黑体" w:eastAsia="黑体"/>
          <w:b w:val="0"/>
          <w:bCs w:val="0"/>
          <w:lang w:val="en-US" w:eastAsia="zh-CN"/>
        </w:rPr>
        <w:t xml:space="preserve">一、 </w:t>
      </w:r>
      <w:r>
        <w:rPr>
          <w:rStyle w:val="28"/>
          <w:rFonts w:hint="eastAsia" w:ascii="黑体" w:hAnsi="黑体" w:eastAsia="黑体"/>
          <w:b w:val="0"/>
          <w:bCs w:val="0"/>
        </w:rPr>
        <w:t>主要职责</w:t>
      </w:r>
    </w:p>
    <w:p w14:paraId="7C2A3C46">
      <w:pPr>
        <w:pStyle w:val="2"/>
        <w:pageBreakBefore w:val="0"/>
        <w:widowControl w:val="0"/>
        <w:kinsoku/>
        <w:wordWrap/>
        <w:overflowPunct/>
        <w:topLinePunct w:val="0"/>
        <w:autoSpaceDE/>
        <w:autoSpaceDN/>
        <w:bidi w:val="0"/>
        <w:adjustRightInd w:val="0"/>
        <w:snapToGrid w:val="0"/>
        <w:spacing w:beforeLines="0" w:line="578" w:lineRule="exact"/>
        <w:ind w:firstLine="672" w:firstLineChars="210"/>
        <w:textAlignment w:val="auto"/>
        <w:rPr>
          <w:rFonts w:hint="eastAsia" w:ascii="Times New Roman" w:hAnsi="Times New Roman" w:cs="Times New Roman"/>
          <w:b w:val="0"/>
          <w:bCs w:val="0"/>
          <w:kern w:val="2"/>
          <w:sz w:val="32"/>
          <w:szCs w:val="32"/>
          <w:lang w:val="en-US" w:eastAsia="zh-CN"/>
        </w:rPr>
      </w:pPr>
      <w:r>
        <w:rPr>
          <w:rFonts w:hint="eastAsia" w:ascii="Times New Roman" w:hAnsi="Times New Roman" w:cs="Times New Roman"/>
          <w:b w:val="0"/>
          <w:bCs w:val="0"/>
          <w:kern w:val="2"/>
          <w:sz w:val="32"/>
          <w:szCs w:val="32"/>
          <w:lang w:val="en-US" w:eastAsia="zh-CN"/>
        </w:rPr>
        <w:t>宣传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九年义务教育，扫除新文盲，巩固提高教育成果。按照上级有关部门的规定，负责对学校教育的财务和基建进行管理。按照义务教育</w:t>
      </w:r>
      <w:r>
        <w:rPr>
          <w:rFonts w:hint="eastAsia" w:ascii="Times New Roman" w:cs="Times New Roman"/>
          <w:b w:val="0"/>
          <w:bCs w:val="0"/>
          <w:kern w:val="2"/>
          <w:sz w:val="32"/>
          <w:szCs w:val="32"/>
          <w:lang w:val="en-US" w:eastAsia="zh-CN"/>
        </w:rPr>
        <w:t>的</w:t>
      </w:r>
      <w:r>
        <w:rPr>
          <w:rFonts w:hint="eastAsia" w:ascii="Times New Roman" w:hAnsi="Times New Roman" w:cs="Times New Roman"/>
          <w:b w:val="0"/>
          <w:bCs w:val="0"/>
          <w:kern w:val="2"/>
          <w:sz w:val="32"/>
          <w:szCs w:val="32"/>
          <w:lang w:val="en-US" w:eastAsia="zh-CN"/>
        </w:rPr>
        <w:t>课程要求开齐课程开足课时，认真实施中小学的教育教学管理，全面推进素质教育，全面提高教育教学质量。</w:t>
      </w:r>
    </w:p>
    <w:p w14:paraId="0DE9E724">
      <w:pPr>
        <w:pStyle w:val="4"/>
        <w:pageBreakBefore w:val="0"/>
        <w:widowControl w:val="0"/>
        <w:numPr>
          <w:ilvl w:val="0"/>
          <w:numId w:val="0"/>
        </w:numPr>
        <w:kinsoku/>
        <w:wordWrap/>
        <w:overflowPunct/>
        <w:topLinePunct w:val="0"/>
        <w:autoSpaceDE/>
        <w:autoSpaceDN/>
        <w:bidi w:val="0"/>
        <w:spacing w:before="0" w:after="0" w:line="240" w:lineRule="auto"/>
        <w:ind w:leftChars="0" w:firstLine="640" w:firstLineChars="200"/>
        <w:textAlignment w:val="auto"/>
        <w:rPr>
          <w:rFonts w:hint="eastAsia" w:ascii="黑体" w:hAnsi="黑体" w:eastAsia="黑体"/>
          <w:b w:val="0"/>
          <w:bCs w:val="0"/>
        </w:rPr>
      </w:pPr>
      <w:r>
        <w:rPr>
          <w:rFonts w:hint="eastAsia" w:ascii="黑体" w:hAnsi="黑体" w:eastAsia="黑体"/>
          <w:b w:val="0"/>
          <w:bCs w:val="0"/>
          <w:lang w:val="en-US" w:eastAsia="zh-CN"/>
        </w:rPr>
        <w:t>二、</w:t>
      </w:r>
      <w:r>
        <w:rPr>
          <w:rFonts w:hint="eastAsia" w:ascii="黑体" w:hAnsi="黑体" w:eastAsia="黑体"/>
          <w:b w:val="0"/>
          <w:bCs w:val="0"/>
        </w:rPr>
        <w:t>机构设置</w:t>
      </w:r>
    </w:p>
    <w:p w14:paraId="1D76CEC3">
      <w:pPr>
        <w:pStyle w:val="2"/>
        <w:adjustRightInd w:val="0"/>
        <w:snapToGrid w:val="0"/>
        <w:spacing w:beforeLines="0" w:line="578" w:lineRule="exact"/>
        <w:ind w:firstLine="672" w:firstLineChars="210"/>
        <w:rPr>
          <w:rFonts w:hint="eastAsia" w:ascii="Times New Roman"/>
          <w:b w:val="0"/>
          <w:bCs w:val="0"/>
          <w:kern w:val="2"/>
          <w:sz w:val="32"/>
          <w:szCs w:val="32"/>
          <w:lang w:val="en-US" w:eastAsia="zh-CN"/>
        </w:rPr>
      </w:pPr>
      <w:r>
        <w:rPr>
          <w:rFonts w:hint="eastAsia" w:ascii="Times New Roman"/>
          <w:b w:val="0"/>
          <w:bCs w:val="0"/>
          <w:kern w:val="2"/>
          <w:sz w:val="32"/>
          <w:szCs w:val="32"/>
          <w:lang w:val="en-US" w:eastAsia="zh-CN"/>
        </w:rPr>
        <w:t>大竹县月华镇第二中心小学为一级预算单位，下属二级预算单位0个，其中行政单位0个，参照公务员法管理的事业单位0个，其他事业单位0个。</w:t>
      </w:r>
    </w:p>
    <w:p w14:paraId="5C66A3B6">
      <w:pPr>
        <w:pStyle w:val="2"/>
        <w:adjustRightInd w:val="0"/>
        <w:snapToGrid w:val="0"/>
        <w:spacing w:beforeLines="0" w:line="578" w:lineRule="exact"/>
        <w:ind w:firstLine="672" w:firstLineChars="210"/>
        <w:rPr>
          <w:b w:val="0"/>
          <w:bCs w:val="0"/>
        </w:rPr>
      </w:pPr>
      <w:r>
        <w:rPr>
          <w:rFonts w:hint="eastAsia" w:ascii="Times New Roman"/>
          <w:b w:val="0"/>
          <w:bCs w:val="0"/>
          <w:kern w:val="2"/>
          <w:sz w:val="32"/>
          <w:szCs w:val="32"/>
          <w:lang w:val="en-US" w:eastAsia="zh-CN"/>
        </w:rPr>
        <w:t>纳入大竹县月华镇第二中心小学2023年度部门决算编制范围的二级预算单位包括：无。</w:t>
      </w:r>
    </w:p>
    <w:bookmarkEnd w:id="8"/>
    <w:bookmarkEnd w:id="9"/>
    <w:p w14:paraId="3BDC6600">
      <w:pPr>
        <w:widowControl/>
        <w:jc w:val="left"/>
        <w:rPr>
          <w:rFonts w:ascii="仿宋" w:hAnsi="仿宋" w:eastAsia="仿宋"/>
          <w:b w:val="0"/>
          <w:bCs w:val="0"/>
          <w:kern w:val="0"/>
          <w:sz w:val="32"/>
          <w:szCs w:val="32"/>
        </w:rPr>
      </w:pPr>
      <w:r>
        <w:rPr>
          <w:rFonts w:ascii="仿宋" w:hAnsi="仿宋" w:eastAsia="仿宋"/>
          <w:b w:val="0"/>
          <w:bCs w:val="0"/>
          <w:sz w:val="32"/>
          <w:szCs w:val="32"/>
        </w:rPr>
        <w:br w:type="page"/>
      </w:r>
    </w:p>
    <w:p w14:paraId="6258C99E">
      <w:pPr>
        <w:pStyle w:val="3"/>
        <w:ind w:right="440"/>
        <w:jc w:val="center"/>
        <w:rPr>
          <w:b w:val="0"/>
          <w:bCs w:val="0"/>
        </w:rPr>
      </w:pPr>
      <w:bookmarkStart w:id="10" w:name="_Toc15377204"/>
      <w:bookmarkStart w:id="11" w:name="_Toc15396602"/>
      <w:r>
        <w:rPr>
          <w:rFonts w:hint="eastAsia" w:ascii="黑体" w:hAnsi="黑体" w:eastAsia="黑体"/>
          <w:b w:val="0"/>
          <w:bCs w:val="0"/>
        </w:rPr>
        <w:t>第二部分 2023年度</w:t>
      </w:r>
      <w:r>
        <w:rPr>
          <w:rStyle w:val="27"/>
          <w:rFonts w:hint="eastAsia" w:ascii="黑体" w:hAnsi="黑体" w:eastAsia="黑体"/>
          <w:b w:val="0"/>
          <w:bCs w:val="0"/>
        </w:rPr>
        <w:t>单位决算情况说明</w:t>
      </w:r>
      <w:bookmarkEnd w:id="10"/>
      <w:bookmarkEnd w:id="11"/>
    </w:p>
    <w:p w14:paraId="7259E200">
      <w:pPr>
        <w:pStyle w:val="26"/>
        <w:numPr>
          <w:ilvl w:val="0"/>
          <w:numId w:val="2"/>
        </w:numPr>
        <w:spacing w:line="600" w:lineRule="exact"/>
        <w:ind w:firstLineChars="0"/>
        <w:outlineLvl w:val="1"/>
        <w:rPr>
          <w:rStyle w:val="28"/>
          <w:rFonts w:ascii="黑体" w:hAnsi="黑体" w:eastAsia="黑体"/>
          <w:b w:val="0"/>
          <w:bCs w:val="0"/>
        </w:rPr>
      </w:pPr>
      <w:bookmarkStart w:id="12" w:name="_Toc15377205"/>
      <w:bookmarkStart w:id="13" w:name="_Toc15396603"/>
      <w:r>
        <w:rPr>
          <w:rFonts w:hint="eastAsia" w:ascii="黑体" w:hAnsi="黑体" w:eastAsia="黑体"/>
          <w:b w:val="0"/>
          <w:bCs w:val="0"/>
          <w:sz w:val="32"/>
          <w:szCs w:val="32"/>
        </w:rPr>
        <w:t>收</w:t>
      </w:r>
      <w:r>
        <w:rPr>
          <w:rStyle w:val="28"/>
          <w:rFonts w:hint="eastAsia" w:ascii="黑体" w:hAnsi="黑体" w:eastAsia="黑体"/>
          <w:b w:val="0"/>
          <w:bCs w:val="0"/>
        </w:rPr>
        <w:t>入支出决算总体情况说明</w:t>
      </w:r>
      <w:bookmarkEnd w:id="12"/>
      <w:bookmarkEnd w:id="13"/>
    </w:p>
    <w:p w14:paraId="782F2B7B">
      <w:pPr>
        <w:spacing w:line="6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2023年度收、支总计均为681.64万元。与2022年度相比，收、支总计各增加</w:t>
      </w:r>
      <w:r>
        <w:rPr>
          <w:rFonts w:hint="eastAsia" w:ascii="仿宋" w:hAnsi="仿宋" w:eastAsia="仿宋"/>
          <w:b w:val="0"/>
          <w:bCs w:val="0"/>
          <w:sz w:val="32"/>
          <w:szCs w:val="32"/>
          <w:lang w:val="en-US" w:eastAsia="zh-CN"/>
        </w:rPr>
        <w:t>37.93</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5.56</w:t>
      </w:r>
      <w:r>
        <w:rPr>
          <w:rFonts w:ascii="仿宋" w:hAnsi="仿宋" w:eastAsia="仿宋"/>
          <w:b w:val="0"/>
          <w:bCs w:val="0"/>
          <w:sz w:val="32"/>
          <w:szCs w:val="32"/>
        </w:rPr>
        <w:t>%</w:t>
      </w:r>
      <w:r>
        <w:rPr>
          <w:rFonts w:hint="eastAsia" w:ascii="仿宋" w:hAnsi="仿宋" w:eastAsia="仿宋"/>
          <w:b w:val="0"/>
          <w:bCs w:val="0"/>
          <w:sz w:val="32"/>
          <w:szCs w:val="32"/>
        </w:rPr>
        <w:t>。主要变动原因是</w:t>
      </w:r>
      <w:r>
        <w:rPr>
          <w:rFonts w:hint="eastAsia" w:ascii="仿宋" w:hAnsi="仿宋" w:eastAsia="仿宋"/>
          <w:b w:val="0"/>
          <w:bCs w:val="0"/>
          <w:sz w:val="32"/>
          <w:szCs w:val="32"/>
          <w:lang w:val="en-US" w:eastAsia="zh-CN"/>
        </w:rPr>
        <w:t>人员经费增加</w:t>
      </w:r>
      <w:r>
        <w:rPr>
          <w:rFonts w:hint="eastAsia" w:ascii="仿宋" w:hAnsi="仿宋" w:eastAsia="仿宋"/>
          <w:b w:val="0"/>
          <w:bCs w:val="0"/>
          <w:sz w:val="32"/>
          <w:szCs w:val="32"/>
        </w:rPr>
        <w:t>。</w:t>
      </w:r>
    </w:p>
    <w:p w14:paraId="089095E2">
      <w:pPr>
        <w:spacing w:line="240" w:lineRule="auto"/>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eastAsia="zh-CN"/>
        </w:rPr>
        <w:drawing>
          <wp:inline distT="0" distB="0" distL="114300" distR="114300">
            <wp:extent cx="4581525" cy="2752725"/>
            <wp:effectExtent l="0" t="0" r="9525" b="952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6"/>
                    <a:stretch>
                      <a:fillRect/>
                    </a:stretch>
                  </pic:blipFill>
                  <pic:spPr>
                    <a:xfrm>
                      <a:off x="0" y="0"/>
                      <a:ext cx="4581525" cy="2752725"/>
                    </a:xfrm>
                    <a:prstGeom prst="rect">
                      <a:avLst/>
                    </a:prstGeom>
                  </pic:spPr>
                </pic:pic>
              </a:graphicData>
            </a:graphic>
          </wp:inline>
        </w:drawing>
      </w:r>
    </w:p>
    <w:p w14:paraId="428C60C9">
      <w:pPr>
        <w:spacing w:line="600" w:lineRule="exact"/>
        <w:ind w:firstLine="1600" w:firstLineChars="500"/>
        <w:rPr>
          <w:rFonts w:ascii="仿宋_GB2312" w:eastAsia="仿宋_GB2312"/>
          <w:b w:val="0"/>
          <w:bCs w:val="0"/>
          <w:sz w:val="32"/>
          <w:szCs w:val="32"/>
        </w:rPr>
      </w:pPr>
      <w:r>
        <w:rPr>
          <w:rFonts w:hint="eastAsia" w:ascii="仿宋" w:hAnsi="仿宋" w:eastAsia="仿宋"/>
          <w:b w:val="0"/>
          <w:bCs w:val="0"/>
          <w:sz w:val="32"/>
          <w:szCs w:val="32"/>
        </w:rPr>
        <w:t>（图</w:t>
      </w:r>
      <w:r>
        <w:rPr>
          <w:rFonts w:ascii="仿宋" w:hAnsi="仿宋" w:eastAsia="仿宋"/>
          <w:b w:val="0"/>
          <w:bCs w:val="0"/>
          <w:sz w:val="32"/>
          <w:szCs w:val="32"/>
        </w:rPr>
        <w:t>1</w:t>
      </w:r>
      <w:r>
        <w:rPr>
          <w:rFonts w:hint="eastAsia" w:ascii="仿宋" w:hAnsi="仿宋" w:eastAsia="仿宋"/>
          <w:b w:val="0"/>
          <w:bCs w:val="0"/>
          <w:sz w:val="32"/>
          <w:szCs w:val="32"/>
        </w:rPr>
        <w:t>：收、支决算总计变动情况图）</w:t>
      </w:r>
    </w:p>
    <w:p w14:paraId="51485562">
      <w:pPr>
        <w:pStyle w:val="26"/>
        <w:numPr>
          <w:ilvl w:val="0"/>
          <w:numId w:val="2"/>
        </w:numPr>
        <w:spacing w:line="600" w:lineRule="exact"/>
        <w:ind w:firstLineChars="0"/>
        <w:outlineLvl w:val="1"/>
        <w:rPr>
          <w:rStyle w:val="28"/>
          <w:rFonts w:ascii="黑体" w:hAnsi="黑体" w:eastAsia="黑体"/>
          <w:b w:val="0"/>
          <w:bCs w:val="0"/>
        </w:rPr>
      </w:pPr>
      <w:bookmarkStart w:id="14" w:name="_Toc15396604"/>
      <w:bookmarkStart w:id="15" w:name="_Toc15377206"/>
      <w:r>
        <w:rPr>
          <w:rFonts w:hint="eastAsia" w:ascii="黑体" w:hAnsi="黑体" w:eastAsia="黑体"/>
          <w:b w:val="0"/>
          <w:bCs w:val="0"/>
          <w:sz w:val="32"/>
          <w:szCs w:val="32"/>
        </w:rPr>
        <w:t>收</w:t>
      </w:r>
      <w:r>
        <w:rPr>
          <w:rStyle w:val="28"/>
          <w:rFonts w:hint="eastAsia" w:ascii="黑体" w:hAnsi="黑体" w:eastAsia="黑体"/>
          <w:b w:val="0"/>
          <w:bCs w:val="0"/>
        </w:rPr>
        <w:t>入决算情况说明</w:t>
      </w:r>
      <w:bookmarkEnd w:id="14"/>
      <w:bookmarkEnd w:id="15"/>
    </w:p>
    <w:p w14:paraId="769D04A9">
      <w:pPr>
        <w:spacing w:line="600" w:lineRule="exact"/>
        <w:ind w:firstLine="640" w:firstLineChars="200"/>
        <w:outlineLvl w:val="1"/>
        <w:rPr>
          <w:rFonts w:ascii="仿宋" w:hAnsi="仿宋" w:eastAsia="仿宋"/>
          <w:b w:val="0"/>
          <w:bCs w:val="0"/>
          <w:sz w:val="32"/>
          <w:szCs w:val="32"/>
        </w:rPr>
      </w:pPr>
      <w:r>
        <w:rPr>
          <w:rFonts w:hint="eastAsia" w:ascii="仿宋" w:hAnsi="仿宋" w:eastAsia="仿宋"/>
          <w:b w:val="0"/>
          <w:bCs w:val="0"/>
          <w:sz w:val="32"/>
          <w:szCs w:val="32"/>
        </w:rPr>
        <w:t>2023年度本年收入合计</w:t>
      </w:r>
      <w:r>
        <w:rPr>
          <w:rFonts w:ascii="仿宋" w:hAnsi="仿宋" w:eastAsia="仿宋"/>
          <w:b w:val="0"/>
          <w:bCs w:val="0"/>
          <w:sz w:val="32"/>
          <w:szCs w:val="32"/>
        </w:rPr>
        <w:t>671.45</w:t>
      </w:r>
      <w:r>
        <w:rPr>
          <w:rFonts w:hint="eastAsia" w:ascii="仿宋" w:hAnsi="仿宋" w:eastAsia="仿宋"/>
          <w:b w:val="0"/>
          <w:bCs w:val="0"/>
          <w:sz w:val="32"/>
          <w:szCs w:val="32"/>
        </w:rPr>
        <w:t>万元，其中：一般公共预算财政拨款收入</w:t>
      </w:r>
      <w:r>
        <w:rPr>
          <w:rFonts w:ascii="仿宋" w:hAnsi="仿宋" w:eastAsia="仿宋"/>
          <w:b w:val="0"/>
          <w:bCs w:val="0"/>
          <w:sz w:val="32"/>
          <w:szCs w:val="32"/>
        </w:rPr>
        <w:t>671.45</w:t>
      </w:r>
      <w:r>
        <w:rPr>
          <w:rFonts w:hint="eastAsia" w:ascii="仿宋" w:hAnsi="仿宋" w:eastAsia="仿宋"/>
          <w:b w:val="0"/>
          <w:bCs w:val="0"/>
          <w:sz w:val="32"/>
          <w:szCs w:val="32"/>
        </w:rPr>
        <w:t>万元，占</w:t>
      </w:r>
      <w:r>
        <w:rPr>
          <w:rFonts w:ascii="仿宋" w:hAnsi="仿宋" w:eastAsia="仿宋"/>
          <w:b w:val="0"/>
          <w:bCs w:val="0"/>
          <w:sz w:val="32"/>
          <w:szCs w:val="32"/>
        </w:rPr>
        <w:t>100%</w:t>
      </w:r>
      <w:r>
        <w:rPr>
          <w:rFonts w:hint="eastAsia" w:ascii="仿宋" w:hAnsi="仿宋" w:eastAsia="仿宋"/>
          <w:b w:val="0"/>
          <w:bCs w:val="0"/>
          <w:sz w:val="32"/>
          <w:szCs w:val="32"/>
        </w:rPr>
        <w:t>；政府性基金预算财政拨款收入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；国有资本经营预算财政拨款收入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；上级补助收入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；事业收入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；经营收入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；附属单位上缴收入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；其他收入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p>
    <w:p w14:paraId="05361A7B">
      <w:pPr>
        <w:spacing w:line="240" w:lineRule="auto"/>
        <w:ind w:firstLine="640" w:firstLineChars="200"/>
        <w:outlineLvl w:val="1"/>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drawing>
          <wp:inline distT="0" distB="0" distL="114300" distR="114300">
            <wp:extent cx="4562475" cy="2553335"/>
            <wp:effectExtent l="0" t="0" r="9525" b="1841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7"/>
                    <a:stretch>
                      <a:fillRect/>
                    </a:stretch>
                  </pic:blipFill>
                  <pic:spPr>
                    <a:xfrm>
                      <a:off x="0" y="0"/>
                      <a:ext cx="4562475" cy="2553335"/>
                    </a:xfrm>
                    <a:prstGeom prst="rect">
                      <a:avLst/>
                    </a:prstGeom>
                  </pic:spPr>
                </pic:pic>
              </a:graphicData>
            </a:graphic>
          </wp:inline>
        </w:drawing>
      </w:r>
    </w:p>
    <w:p w14:paraId="27EA129F">
      <w:pPr>
        <w:spacing w:line="600" w:lineRule="exact"/>
        <w:ind w:firstLine="1920" w:firstLineChars="600"/>
        <w:rPr>
          <w:rFonts w:ascii="仿宋_GB2312" w:eastAsia="仿宋_GB2312"/>
          <w:b w:val="0"/>
          <w:bCs w:val="0"/>
          <w:sz w:val="32"/>
          <w:szCs w:val="32"/>
        </w:rPr>
      </w:pPr>
      <w:r>
        <w:rPr>
          <w:rFonts w:hint="eastAsia" w:ascii="仿宋" w:hAnsi="仿宋" w:eastAsia="仿宋"/>
          <w:b w:val="0"/>
          <w:bCs w:val="0"/>
          <w:sz w:val="32"/>
          <w:szCs w:val="32"/>
        </w:rPr>
        <w:t>（图2：收入决算结构图）</w:t>
      </w:r>
    </w:p>
    <w:p w14:paraId="46B5AE4B">
      <w:pPr>
        <w:pStyle w:val="26"/>
        <w:numPr>
          <w:ilvl w:val="0"/>
          <w:numId w:val="2"/>
        </w:numPr>
        <w:spacing w:line="600" w:lineRule="exact"/>
        <w:ind w:firstLineChars="0"/>
        <w:outlineLvl w:val="1"/>
        <w:rPr>
          <w:rStyle w:val="28"/>
          <w:rFonts w:ascii="黑体" w:hAnsi="黑体" w:eastAsia="黑体"/>
          <w:b w:val="0"/>
          <w:bCs w:val="0"/>
        </w:rPr>
      </w:pPr>
      <w:bookmarkStart w:id="16" w:name="_Toc15377207"/>
      <w:bookmarkStart w:id="17" w:name="_Toc15396605"/>
      <w:r>
        <w:rPr>
          <w:rFonts w:hint="eastAsia" w:ascii="黑体" w:hAnsi="黑体" w:eastAsia="黑体"/>
          <w:b w:val="0"/>
          <w:bCs w:val="0"/>
          <w:sz w:val="32"/>
          <w:szCs w:val="32"/>
        </w:rPr>
        <w:t>支</w:t>
      </w:r>
      <w:r>
        <w:rPr>
          <w:rStyle w:val="28"/>
          <w:rFonts w:hint="eastAsia" w:ascii="黑体" w:hAnsi="黑体" w:eastAsia="黑体"/>
          <w:b w:val="0"/>
          <w:bCs w:val="0"/>
        </w:rPr>
        <w:t>出决算情况说明</w:t>
      </w:r>
      <w:bookmarkEnd w:id="16"/>
      <w:bookmarkEnd w:id="17"/>
    </w:p>
    <w:p w14:paraId="0ED70353">
      <w:pPr>
        <w:spacing w:line="600" w:lineRule="exact"/>
        <w:ind w:firstLine="640" w:firstLineChars="200"/>
        <w:outlineLvl w:val="1"/>
        <w:rPr>
          <w:rFonts w:ascii="仿宋" w:hAnsi="仿宋" w:eastAsia="仿宋"/>
          <w:b w:val="0"/>
          <w:bCs w:val="0"/>
          <w:sz w:val="32"/>
          <w:szCs w:val="32"/>
          <w:shd w:val="pct10" w:color="auto" w:fill="FFFFFF"/>
        </w:rPr>
      </w:pPr>
      <w:r>
        <w:rPr>
          <w:rFonts w:hint="eastAsia" w:ascii="仿宋" w:hAnsi="仿宋" w:eastAsia="仿宋"/>
          <w:b w:val="0"/>
          <w:bCs w:val="0"/>
          <w:sz w:val="32"/>
          <w:szCs w:val="32"/>
        </w:rPr>
        <w:t>2023年度本年支出合计</w:t>
      </w:r>
      <w:r>
        <w:rPr>
          <w:rFonts w:ascii="仿宋" w:hAnsi="仿宋" w:eastAsia="仿宋"/>
          <w:b w:val="0"/>
          <w:bCs w:val="0"/>
          <w:sz w:val="32"/>
          <w:szCs w:val="32"/>
        </w:rPr>
        <w:t>681.64</w:t>
      </w:r>
      <w:r>
        <w:rPr>
          <w:rFonts w:hint="eastAsia" w:ascii="仿宋" w:hAnsi="仿宋" w:eastAsia="仿宋"/>
          <w:b w:val="0"/>
          <w:bCs w:val="0"/>
          <w:sz w:val="32"/>
          <w:szCs w:val="32"/>
        </w:rPr>
        <w:t>万元，其中：基本支出</w:t>
      </w:r>
      <w:r>
        <w:rPr>
          <w:rFonts w:ascii="仿宋" w:hAnsi="仿宋" w:eastAsia="仿宋"/>
          <w:b w:val="0"/>
          <w:bCs w:val="0"/>
          <w:sz w:val="32"/>
          <w:szCs w:val="32"/>
        </w:rPr>
        <w:t>661.69</w:t>
      </w:r>
      <w:r>
        <w:rPr>
          <w:rFonts w:hint="eastAsia" w:ascii="仿宋" w:hAnsi="仿宋" w:eastAsia="仿宋"/>
          <w:b w:val="0"/>
          <w:bCs w:val="0"/>
          <w:sz w:val="32"/>
          <w:szCs w:val="32"/>
        </w:rPr>
        <w:t>万元，占</w:t>
      </w:r>
      <w:r>
        <w:rPr>
          <w:rFonts w:ascii="仿宋" w:hAnsi="仿宋" w:eastAsia="仿宋"/>
          <w:b w:val="0"/>
          <w:bCs w:val="0"/>
          <w:sz w:val="32"/>
          <w:szCs w:val="32"/>
        </w:rPr>
        <w:t>97.07%</w:t>
      </w:r>
      <w:r>
        <w:rPr>
          <w:rFonts w:hint="eastAsia" w:ascii="仿宋" w:hAnsi="仿宋" w:eastAsia="仿宋"/>
          <w:b w:val="0"/>
          <w:bCs w:val="0"/>
          <w:sz w:val="32"/>
          <w:szCs w:val="32"/>
        </w:rPr>
        <w:t>；项目支出</w:t>
      </w:r>
      <w:r>
        <w:rPr>
          <w:rFonts w:ascii="仿宋" w:hAnsi="仿宋" w:eastAsia="仿宋"/>
          <w:b w:val="0"/>
          <w:bCs w:val="0"/>
          <w:sz w:val="32"/>
          <w:szCs w:val="32"/>
        </w:rPr>
        <w:t>19.95</w:t>
      </w:r>
      <w:r>
        <w:rPr>
          <w:rFonts w:hint="eastAsia" w:ascii="仿宋" w:hAnsi="仿宋" w:eastAsia="仿宋"/>
          <w:b w:val="0"/>
          <w:bCs w:val="0"/>
          <w:sz w:val="32"/>
          <w:szCs w:val="32"/>
        </w:rPr>
        <w:t>万元，占</w:t>
      </w:r>
      <w:r>
        <w:rPr>
          <w:rFonts w:ascii="仿宋" w:hAnsi="仿宋" w:eastAsia="仿宋"/>
          <w:b w:val="0"/>
          <w:bCs w:val="0"/>
          <w:sz w:val="32"/>
          <w:szCs w:val="32"/>
        </w:rPr>
        <w:t>2.9</w:t>
      </w:r>
      <w:r>
        <w:rPr>
          <w:rFonts w:hint="eastAsia" w:ascii="仿宋" w:hAnsi="仿宋" w:eastAsia="仿宋"/>
          <w:b w:val="0"/>
          <w:bCs w:val="0"/>
          <w:sz w:val="32"/>
          <w:szCs w:val="32"/>
          <w:lang w:val="en-US" w:eastAsia="zh-CN"/>
        </w:rPr>
        <w:t>3</w:t>
      </w:r>
      <w:r>
        <w:rPr>
          <w:rFonts w:ascii="仿宋" w:hAnsi="仿宋" w:eastAsia="仿宋"/>
          <w:b w:val="0"/>
          <w:bCs w:val="0"/>
          <w:sz w:val="32"/>
          <w:szCs w:val="32"/>
        </w:rPr>
        <w:t>%</w:t>
      </w:r>
      <w:r>
        <w:rPr>
          <w:rFonts w:hint="eastAsia" w:ascii="仿宋" w:hAnsi="仿宋" w:eastAsia="仿宋"/>
          <w:b w:val="0"/>
          <w:bCs w:val="0"/>
          <w:sz w:val="32"/>
          <w:szCs w:val="32"/>
        </w:rPr>
        <w:t>；上缴上级支出</w:t>
      </w:r>
      <w:r>
        <w:rPr>
          <w:rFonts w:ascii="仿宋" w:hAnsi="仿宋" w:eastAsia="仿宋"/>
          <w:b w:val="0"/>
          <w:bCs w:val="0"/>
          <w:sz w:val="32"/>
          <w:szCs w:val="32"/>
        </w:rPr>
        <w:t>0</w:t>
      </w:r>
      <w:r>
        <w:rPr>
          <w:rFonts w:hint="eastAsia" w:ascii="仿宋" w:hAnsi="仿宋" w:eastAsia="仿宋"/>
          <w:b w:val="0"/>
          <w:bCs w:val="0"/>
          <w:sz w:val="32"/>
          <w:szCs w:val="32"/>
        </w:rPr>
        <w:t>万元，占0</w:t>
      </w:r>
      <w:r>
        <w:rPr>
          <w:rFonts w:ascii="仿宋" w:hAnsi="仿宋" w:eastAsia="仿宋"/>
          <w:b w:val="0"/>
          <w:bCs w:val="0"/>
          <w:sz w:val="32"/>
          <w:szCs w:val="32"/>
        </w:rPr>
        <w:t>%</w:t>
      </w:r>
      <w:r>
        <w:rPr>
          <w:rFonts w:hint="eastAsia" w:ascii="仿宋" w:hAnsi="仿宋" w:eastAsia="仿宋"/>
          <w:b w:val="0"/>
          <w:bCs w:val="0"/>
          <w:sz w:val="32"/>
          <w:szCs w:val="32"/>
        </w:rPr>
        <w:t>；经营支出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；对附属单位补助支出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w:t>
      </w:r>
    </w:p>
    <w:p w14:paraId="0318C4F4">
      <w:pPr>
        <w:spacing w:line="240" w:lineRule="auto"/>
        <w:rPr>
          <w:rFonts w:hint="eastAsia" w:ascii="仿宋" w:hAnsi="仿宋" w:eastAsia="仿宋"/>
          <w:b w:val="0"/>
          <w:bCs w:val="0"/>
          <w:sz w:val="32"/>
          <w:szCs w:val="32"/>
          <w:shd w:val="pct10" w:color="auto" w:fill="FFFFFF"/>
          <w:lang w:eastAsia="zh-CN"/>
        </w:rPr>
      </w:pPr>
      <w:r>
        <w:rPr>
          <w:rFonts w:hint="eastAsia" w:ascii="仿宋" w:hAnsi="仿宋" w:eastAsia="仿宋"/>
          <w:b w:val="0"/>
          <w:bCs w:val="0"/>
          <w:sz w:val="32"/>
          <w:szCs w:val="32"/>
          <w:shd w:val="pct10" w:color="auto" w:fill="FFFFFF"/>
          <w:lang w:eastAsia="zh-CN"/>
        </w:rPr>
        <w:drawing>
          <wp:inline distT="0" distB="0" distL="114300" distR="114300">
            <wp:extent cx="5191125" cy="2610485"/>
            <wp:effectExtent l="0" t="0" r="9525" b="18415"/>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8"/>
                    <a:stretch>
                      <a:fillRect/>
                    </a:stretch>
                  </pic:blipFill>
                  <pic:spPr>
                    <a:xfrm>
                      <a:off x="0" y="0"/>
                      <a:ext cx="5191125" cy="2610485"/>
                    </a:xfrm>
                    <a:prstGeom prst="rect">
                      <a:avLst/>
                    </a:prstGeom>
                  </pic:spPr>
                </pic:pic>
              </a:graphicData>
            </a:graphic>
          </wp:inline>
        </w:drawing>
      </w:r>
    </w:p>
    <w:p w14:paraId="6719FE9D">
      <w:pPr>
        <w:spacing w:line="600" w:lineRule="exact"/>
        <w:ind w:firstLine="1920" w:firstLineChars="600"/>
        <w:rPr>
          <w:rFonts w:ascii="仿宋_GB2312" w:eastAsia="仿宋_GB2312"/>
          <w:b w:val="0"/>
          <w:bCs w:val="0"/>
          <w:sz w:val="32"/>
          <w:szCs w:val="32"/>
        </w:rPr>
      </w:pPr>
      <w:r>
        <w:rPr>
          <w:rFonts w:hint="eastAsia" w:ascii="仿宋" w:hAnsi="仿宋" w:eastAsia="仿宋"/>
          <w:b w:val="0"/>
          <w:bCs w:val="0"/>
          <w:sz w:val="32"/>
          <w:szCs w:val="32"/>
        </w:rPr>
        <w:t>（图3：支出决算结构图）</w:t>
      </w:r>
    </w:p>
    <w:p w14:paraId="49C4543A">
      <w:pPr>
        <w:spacing w:line="600" w:lineRule="exact"/>
        <w:ind w:firstLine="640" w:firstLineChars="200"/>
        <w:outlineLvl w:val="1"/>
        <w:rPr>
          <w:rStyle w:val="28"/>
          <w:rFonts w:ascii="黑体" w:hAnsi="黑体" w:eastAsia="黑体"/>
          <w:b w:val="0"/>
          <w:bCs w:val="0"/>
        </w:rPr>
      </w:pPr>
      <w:bookmarkStart w:id="18" w:name="_Toc15396606"/>
      <w:bookmarkStart w:id="19" w:name="_Toc15377208"/>
      <w:r>
        <w:rPr>
          <w:rFonts w:hint="eastAsia" w:ascii="黑体" w:hAnsi="黑体" w:eastAsia="黑体"/>
          <w:b w:val="0"/>
          <w:bCs w:val="0"/>
          <w:sz w:val="32"/>
          <w:szCs w:val="32"/>
        </w:rPr>
        <w:t>四、财</w:t>
      </w:r>
      <w:r>
        <w:rPr>
          <w:rStyle w:val="28"/>
          <w:rFonts w:hint="eastAsia" w:ascii="黑体" w:hAnsi="黑体" w:eastAsia="黑体"/>
          <w:b w:val="0"/>
          <w:bCs w:val="0"/>
        </w:rPr>
        <w:t>政拨款收入支出决算总体情况说明</w:t>
      </w:r>
      <w:bookmarkEnd w:id="18"/>
      <w:bookmarkEnd w:id="19"/>
    </w:p>
    <w:p w14:paraId="28C6BA22">
      <w:pPr>
        <w:spacing w:line="240" w:lineRule="auto"/>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rPr>
        <w:t>2023年度财政拨款收、支总计均为</w:t>
      </w:r>
      <w:r>
        <w:rPr>
          <w:rFonts w:ascii="仿宋" w:hAnsi="仿宋" w:eastAsia="仿宋"/>
          <w:b w:val="0"/>
          <w:bCs w:val="0"/>
          <w:sz w:val="32"/>
          <w:szCs w:val="32"/>
        </w:rPr>
        <w:t>681.64</w:t>
      </w:r>
      <w:r>
        <w:rPr>
          <w:rFonts w:hint="eastAsia" w:ascii="仿宋" w:hAnsi="仿宋" w:eastAsia="仿宋"/>
          <w:b w:val="0"/>
          <w:bCs w:val="0"/>
          <w:sz w:val="32"/>
          <w:szCs w:val="32"/>
        </w:rPr>
        <w:t>万元。与2022年度相比，财政拨款收、支总计各增加</w:t>
      </w:r>
      <w:r>
        <w:rPr>
          <w:rFonts w:hint="eastAsia" w:ascii="仿宋" w:hAnsi="仿宋" w:eastAsia="仿宋"/>
          <w:b w:val="0"/>
          <w:bCs w:val="0"/>
          <w:sz w:val="32"/>
          <w:szCs w:val="32"/>
          <w:lang w:val="en-US" w:eastAsia="zh-CN"/>
        </w:rPr>
        <w:t>37.93</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5.56</w:t>
      </w:r>
      <w:r>
        <w:rPr>
          <w:rFonts w:ascii="仿宋" w:hAnsi="仿宋" w:eastAsia="仿宋"/>
          <w:b w:val="0"/>
          <w:bCs w:val="0"/>
          <w:sz w:val="32"/>
          <w:szCs w:val="32"/>
        </w:rPr>
        <w:t>%</w:t>
      </w:r>
      <w:r>
        <w:rPr>
          <w:rFonts w:hint="eastAsia" w:ascii="仿宋" w:hAnsi="仿宋" w:eastAsia="仿宋"/>
          <w:b w:val="0"/>
          <w:bCs w:val="0"/>
          <w:sz w:val="32"/>
          <w:szCs w:val="32"/>
        </w:rPr>
        <w:t>。主要变动原因是</w:t>
      </w:r>
      <w:r>
        <w:rPr>
          <w:rFonts w:hint="eastAsia" w:ascii="仿宋" w:hAnsi="仿宋" w:eastAsia="仿宋"/>
          <w:b w:val="0"/>
          <w:bCs w:val="0"/>
          <w:sz w:val="32"/>
          <w:szCs w:val="32"/>
          <w:lang w:val="en-US" w:eastAsia="zh-CN"/>
        </w:rPr>
        <w:t>人员经费增加。</w:t>
      </w:r>
    </w:p>
    <w:p w14:paraId="3FC37363">
      <w:pPr>
        <w:spacing w:line="240" w:lineRule="auto"/>
        <w:ind w:firstLine="0"/>
        <w:rPr>
          <w:rFonts w:hint="eastAsia" w:ascii="仿宋" w:hAnsi="仿宋" w:eastAsia="仿宋"/>
          <w:b w:val="0"/>
          <w:bCs w:val="0"/>
          <w:sz w:val="32"/>
          <w:szCs w:val="32"/>
          <w:lang w:val="en-US" w:eastAsia="zh-CN"/>
        </w:rPr>
      </w:pPr>
    </w:p>
    <w:p w14:paraId="322D816F">
      <w:pPr>
        <w:spacing w:line="240" w:lineRule="auto"/>
        <w:ind w:firstLine="0"/>
        <w:jc w:val="both"/>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drawing>
          <wp:inline distT="0" distB="0" distL="114300" distR="114300">
            <wp:extent cx="5866765" cy="2743200"/>
            <wp:effectExtent l="0" t="0" r="635" b="0"/>
            <wp:docPr id="8"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1"/>
                    </pic:cNvPicPr>
                  </pic:nvPicPr>
                  <pic:blipFill>
                    <a:blip r:embed="rId9"/>
                    <a:stretch>
                      <a:fillRect/>
                    </a:stretch>
                  </pic:blipFill>
                  <pic:spPr>
                    <a:xfrm>
                      <a:off x="0" y="0"/>
                      <a:ext cx="5866765" cy="2743200"/>
                    </a:xfrm>
                    <a:prstGeom prst="rect">
                      <a:avLst/>
                    </a:prstGeom>
                  </pic:spPr>
                </pic:pic>
              </a:graphicData>
            </a:graphic>
          </wp:inline>
        </w:drawing>
      </w:r>
    </w:p>
    <w:p w14:paraId="54509FAD">
      <w:pPr>
        <w:spacing w:line="600" w:lineRule="exact"/>
        <w:ind w:firstLine="1280" w:firstLineChars="400"/>
        <w:rPr>
          <w:rFonts w:hint="eastAsia" w:ascii="仿宋" w:hAnsi="仿宋" w:eastAsia="仿宋"/>
          <w:b w:val="0"/>
          <w:bCs w:val="0"/>
          <w:sz w:val="32"/>
          <w:szCs w:val="32"/>
        </w:rPr>
      </w:pPr>
      <w:r>
        <w:rPr>
          <w:rFonts w:hint="eastAsia" w:ascii="仿宋" w:hAnsi="仿宋" w:eastAsia="仿宋"/>
          <w:b w:val="0"/>
          <w:bCs w:val="0"/>
          <w:sz w:val="32"/>
          <w:szCs w:val="32"/>
        </w:rPr>
        <w:t>（图4：财政拨款收、支决算总计变动情况）</w:t>
      </w:r>
    </w:p>
    <w:p w14:paraId="56EB6125">
      <w:pPr>
        <w:spacing w:line="600" w:lineRule="exact"/>
        <w:ind w:firstLine="640" w:firstLineChars="200"/>
        <w:rPr>
          <w:rFonts w:hint="eastAsia" w:ascii="仿宋" w:hAnsi="仿宋" w:eastAsia="仿宋"/>
          <w:b w:val="0"/>
          <w:bCs w:val="0"/>
          <w:sz w:val="32"/>
          <w:szCs w:val="32"/>
        </w:rPr>
      </w:pPr>
    </w:p>
    <w:p w14:paraId="0D805249">
      <w:pPr>
        <w:spacing w:line="600" w:lineRule="exact"/>
        <w:ind w:firstLine="640" w:firstLineChars="200"/>
        <w:outlineLvl w:val="1"/>
        <w:rPr>
          <w:rStyle w:val="28"/>
          <w:rFonts w:ascii="黑体" w:hAnsi="黑体" w:eastAsia="黑体"/>
          <w:b w:val="0"/>
          <w:bCs w:val="0"/>
        </w:rPr>
      </w:pPr>
      <w:bookmarkStart w:id="20" w:name="_Toc15396607"/>
      <w:bookmarkStart w:id="21" w:name="_Toc15377209"/>
      <w:r>
        <w:rPr>
          <w:rFonts w:hint="eastAsia" w:ascii="黑体" w:hAnsi="黑体" w:eastAsia="黑体"/>
          <w:b w:val="0"/>
          <w:bCs w:val="0"/>
          <w:sz w:val="32"/>
          <w:szCs w:val="32"/>
        </w:rPr>
        <w:t>五、一</w:t>
      </w:r>
      <w:r>
        <w:rPr>
          <w:rStyle w:val="28"/>
          <w:rFonts w:hint="eastAsia" w:ascii="黑体" w:hAnsi="黑体" w:eastAsia="黑体"/>
          <w:b w:val="0"/>
          <w:bCs w:val="0"/>
        </w:rPr>
        <w:t>般公共预算财政拨款支出决算情况说明</w:t>
      </w:r>
      <w:bookmarkEnd w:id="20"/>
      <w:bookmarkEnd w:id="21"/>
    </w:p>
    <w:p w14:paraId="462644CE">
      <w:pPr>
        <w:spacing w:line="600" w:lineRule="exact"/>
        <w:ind w:firstLine="640" w:firstLineChars="200"/>
        <w:outlineLvl w:val="2"/>
        <w:rPr>
          <w:rFonts w:hint="eastAsia" w:ascii="楷体" w:hAnsi="楷体" w:eastAsia="楷体" w:cs="楷体"/>
          <w:b w:val="0"/>
          <w:bCs w:val="0"/>
          <w:sz w:val="32"/>
          <w:szCs w:val="32"/>
        </w:rPr>
      </w:pPr>
      <w:bookmarkStart w:id="22" w:name="_Toc15377210"/>
      <w:r>
        <w:rPr>
          <w:rFonts w:hint="eastAsia" w:ascii="楷体" w:hAnsi="楷体" w:eastAsia="楷体" w:cs="楷体"/>
          <w:b w:val="0"/>
          <w:bCs w:val="0"/>
          <w:sz w:val="32"/>
          <w:szCs w:val="32"/>
        </w:rPr>
        <w:t>（一）一般公共预算财政拨款支出决算总体情况</w:t>
      </w:r>
      <w:bookmarkEnd w:id="22"/>
    </w:p>
    <w:p w14:paraId="449E8921">
      <w:pPr>
        <w:spacing w:line="60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2023年度一般公共预算财政拨款支出</w:t>
      </w:r>
      <w:r>
        <w:rPr>
          <w:rFonts w:ascii="仿宋" w:hAnsi="仿宋" w:eastAsia="仿宋"/>
          <w:b w:val="0"/>
          <w:bCs w:val="0"/>
          <w:sz w:val="32"/>
          <w:szCs w:val="32"/>
        </w:rPr>
        <w:t>681.64</w:t>
      </w:r>
      <w:r>
        <w:rPr>
          <w:rFonts w:hint="eastAsia" w:ascii="仿宋" w:hAnsi="仿宋" w:eastAsia="仿宋"/>
          <w:b w:val="0"/>
          <w:bCs w:val="0"/>
          <w:sz w:val="32"/>
          <w:szCs w:val="32"/>
        </w:rPr>
        <w:t>万元，占本年支出合计的</w:t>
      </w:r>
      <w:r>
        <w:rPr>
          <w:rFonts w:ascii="仿宋" w:hAnsi="仿宋" w:eastAsia="仿宋"/>
          <w:b w:val="0"/>
          <w:bCs w:val="0"/>
          <w:sz w:val="32"/>
          <w:szCs w:val="32"/>
        </w:rPr>
        <w:t>100%</w:t>
      </w:r>
      <w:r>
        <w:rPr>
          <w:rFonts w:hint="eastAsia" w:ascii="仿宋" w:hAnsi="仿宋" w:eastAsia="仿宋"/>
          <w:b w:val="0"/>
          <w:bCs w:val="0"/>
          <w:sz w:val="32"/>
          <w:szCs w:val="32"/>
        </w:rPr>
        <w:t>。与2022年度相比，一般公共预算财政拨款支出增加</w:t>
      </w:r>
      <w:r>
        <w:rPr>
          <w:rFonts w:hint="eastAsia" w:ascii="仿宋" w:hAnsi="仿宋" w:eastAsia="仿宋"/>
          <w:b w:val="0"/>
          <w:bCs w:val="0"/>
          <w:sz w:val="32"/>
          <w:szCs w:val="32"/>
          <w:lang w:val="en-US" w:eastAsia="zh-CN"/>
        </w:rPr>
        <w:t>37.93</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5.56</w:t>
      </w:r>
      <w:r>
        <w:rPr>
          <w:rFonts w:ascii="仿宋" w:hAnsi="仿宋" w:eastAsia="仿宋"/>
          <w:b w:val="0"/>
          <w:bCs w:val="0"/>
          <w:sz w:val="32"/>
          <w:szCs w:val="32"/>
        </w:rPr>
        <w:t>%</w:t>
      </w:r>
      <w:r>
        <w:rPr>
          <w:rFonts w:hint="eastAsia" w:ascii="仿宋" w:hAnsi="仿宋" w:eastAsia="仿宋"/>
          <w:b w:val="0"/>
          <w:bCs w:val="0"/>
          <w:sz w:val="32"/>
          <w:szCs w:val="32"/>
        </w:rPr>
        <w:t>。主要变动原因是</w:t>
      </w:r>
      <w:r>
        <w:rPr>
          <w:rFonts w:hint="eastAsia" w:ascii="仿宋" w:hAnsi="仿宋" w:eastAsia="仿宋"/>
          <w:b w:val="0"/>
          <w:bCs w:val="0"/>
          <w:sz w:val="32"/>
          <w:szCs w:val="32"/>
          <w:lang w:val="en-US" w:eastAsia="zh-CN"/>
        </w:rPr>
        <w:t>人员经费增加。</w:t>
      </w:r>
    </w:p>
    <w:p w14:paraId="0DAFFF6A">
      <w:pPr>
        <w:spacing w:line="600" w:lineRule="exact"/>
        <w:rPr>
          <w:rFonts w:hint="eastAsia" w:ascii="仿宋" w:hAnsi="仿宋" w:eastAsia="仿宋"/>
          <w:b w:val="0"/>
          <w:bCs w:val="0"/>
          <w:sz w:val="32"/>
          <w:szCs w:val="32"/>
        </w:rPr>
      </w:pPr>
    </w:p>
    <w:p w14:paraId="37C42C69">
      <w:pPr>
        <w:spacing w:line="240" w:lineRule="auto"/>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eastAsia="zh-CN"/>
        </w:rPr>
        <w:drawing>
          <wp:inline distT="0" distB="0" distL="114300" distR="114300">
            <wp:extent cx="5162550" cy="2733675"/>
            <wp:effectExtent l="0" t="0" r="0" b="9525"/>
            <wp:docPr id="9" name="图片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
                    <pic:cNvPicPr>
                      <a:picLocks noChangeAspect="1"/>
                    </pic:cNvPicPr>
                  </pic:nvPicPr>
                  <pic:blipFill>
                    <a:blip r:embed="rId10"/>
                    <a:stretch>
                      <a:fillRect/>
                    </a:stretch>
                  </pic:blipFill>
                  <pic:spPr>
                    <a:xfrm>
                      <a:off x="0" y="0"/>
                      <a:ext cx="5162550" cy="2733675"/>
                    </a:xfrm>
                    <a:prstGeom prst="rect">
                      <a:avLst/>
                    </a:prstGeom>
                  </pic:spPr>
                </pic:pic>
              </a:graphicData>
            </a:graphic>
          </wp:inline>
        </w:drawing>
      </w:r>
    </w:p>
    <w:p w14:paraId="39B6D3D2">
      <w:pPr>
        <w:spacing w:line="6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（图5：一般公共预算财政拨款支出决算变动情况）</w:t>
      </w:r>
    </w:p>
    <w:p w14:paraId="3781B606">
      <w:pPr>
        <w:spacing w:line="600" w:lineRule="exact"/>
        <w:ind w:firstLine="640" w:firstLineChars="200"/>
        <w:outlineLvl w:val="2"/>
        <w:rPr>
          <w:rFonts w:hint="eastAsia" w:ascii="楷体" w:hAnsi="楷体" w:eastAsia="楷体" w:cs="楷体"/>
          <w:b w:val="0"/>
          <w:bCs w:val="0"/>
          <w:sz w:val="32"/>
          <w:szCs w:val="32"/>
        </w:rPr>
      </w:pPr>
      <w:bookmarkStart w:id="23" w:name="_Toc15377211"/>
      <w:r>
        <w:rPr>
          <w:rFonts w:hint="eastAsia" w:ascii="楷体" w:hAnsi="楷体" w:eastAsia="楷体" w:cs="楷体"/>
          <w:b w:val="0"/>
          <w:bCs w:val="0"/>
          <w:sz w:val="32"/>
          <w:szCs w:val="32"/>
        </w:rPr>
        <w:t>（二）一般公共预算财政拨款支出决算结构情况</w:t>
      </w:r>
      <w:bookmarkEnd w:id="23"/>
    </w:p>
    <w:p w14:paraId="202DEB02">
      <w:pPr>
        <w:spacing w:line="600" w:lineRule="exact"/>
        <w:ind w:firstLine="640"/>
        <w:rPr>
          <w:rFonts w:ascii="仿宋" w:hAnsi="仿宋" w:eastAsia="仿宋"/>
          <w:b w:val="0"/>
          <w:bCs w:val="0"/>
          <w:sz w:val="32"/>
          <w:szCs w:val="32"/>
        </w:rPr>
      </w:pPr>
      <w:r>
        <w:rPr>
          <w:rFonts w:hint="eastAsia" w:ascii="仿宋" w:hAnsi="仿宋" w:eastAsia="仿宋"/>
          <w:b w:val="0"/>
          <w:bCs w:val="0"/>
          <w:sz w:val="32"/>
          <w:szCs w:val="32"/>
        </w:rPr>
        <w:t>2023年度一般公共预算财政拨款支出</w:t>
      </w:r>
      <w:r>
        <w:rPr>
          <w:rFonts w:ascii="仿宋" w:hAnsi="仿宋" w:eastAsia="仿宋"/>
          <w:b w:val="0"/>
          <w:bCs w:val="0"/>
          <w:sz w:val="32"/>
          <w:szCs w:val="32"/>
        </w:rPr>
        <w:t>681.64</w:t>
      </w:r>
      <w:r>
        <w:rPr>
          <w:rFonts w:hint="eastAsia" w:ascii="仿宋" w:hAnsi="仿宋" w:eastAsia="仿宋"/>
          <w:b w:val="0"/>
          <w:bCs w:val="0"/>
          <w:sz w:val="32"/>
          <w:szCs w:val="32"/>
        </w:rPr>
        <w:t>万元，主要用于以下方面</w:t>
      </w:r>
      <w:r>
        <w:rPr>
          <w:rFonts w:ascii="仿宋" w:hAnsi="仿宋" w:eastAsia="仿宋"/>
          <w:b w:val="0"/>
          <w:bCs w:val="0"/>
          <w:sz w:val="32"/>
          <w:szCs w:val="32"/>
        </w:rPr>
        <w:t>:</w:t>
      </w:r>
      <w:r>
        <w:rPr>
          <w:rFonts w:hint="eastAsia" w:ascii="仿宋" w:hAnsi="仿宋" w:eastAsia="仿宋"/>
          <w:b w:val="0"/>
          <w:bCs w:val="0"/>
          <w:sz w:val="32"/>
          <w:szCs w:val="32"/>
        </w:rPr>
        <w:t>教育支出</w:t>
      </w:r>
      <w:r>
        <w:rPr>
          <w:rFonts w:hint="eastAsia" w:ascii="仿宋" w:hAnsi="仿宋" w:eastAsia="仿宋"/>
          <w:b w:val="0"/>
          <w:bCs w:val="0"/>
          <w:sz w:val="32"/>
          <w:szCs w:val="32"/>
          <w:lang w:val="en-US" w:eastAsia="zh-CN"/>
        </w:rPr>
        <w:t>521.25</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76.47</w:t>
      </w:r>
      <w:r>
        <w:rPr>
          <w:rFonts w:ascii="仿宋" w:hAnsi="仿宋" w:eastAsia="仿宋"/>
          <w:b w:val="0"/>
          <w:bCs w:val="0"/>
          <w:sz w:val="32"/>
          <w:szCs w:val="32"/>
        </w:rPr>
        <w:t>%</w:t>
      </w:r>
      <w:r>
        <w:rPr>
          <w:rFonts w:hint="eastAsia" w:ascii="仿宋" w:hAnsi="仿宋" w:eastAsia="仿宋"/>
          <w:b w:val="0"/>
          <w:bCs w:val="0"/>
          <w:sz w:val="32"/>
          <w:szCs w:val="32"/>
        </w:rPr>
        <w:t>；文化旅游体育与传媒支出</w:t>
      </w:r>
      <w:r>
        <w:rPr>
          <w:rFonts w:hint="eastAsia" w:ascii="仿宋" w:hAnsi="仿宋" w:eastAsia="仿宋"/>
          <w:b w:val="0"/>
          <w:bCs w:val="0"/>
          <w:sz w:val="32"/>
          <w:szCs w:val="32"/>
          <w:lang w:val="en-US" w:eastAsia="zh-CN"/>
        </w:rPr>
        <w:t>2.5</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0.37</w:t>
      </w:r>
      <w:r>
        <w:rPr>
          <w:rFonts w:ascii="仿宋" w:hAnsi="仿宋" w:eastAsia="仿宋"/>
          <w:b w:val="0"/>
          <w:bCs w:val="0"/>
          <w:sz w:val="32"/>
          <w:szCs w:val="32"/>
        </w:rPr>
        <w:t>%</w:t>
      </w:r>
      <w:r>
        <w:rPr>
          <w:rFonts w:hint="eastAsia" w:ascii="仿宋" w:hAnsi="仿宋" w:eastAsia="仿宋"/>
          <w:b w:val="0"/>
          <w:bCs w:val="0"/>
          <w:sz w:val="32"/>
          <w:szCs w:val="32"/>
        </w:rPr>
        <w:t>；社会保障和就业支出</w:t>
      </w:r>
      <w:r>
        <w:rPr>
          <w:rFonts w:hint="eastAsia" w:ascii="仿宋" w:hAnsi="仿宋" w:eastAsia="仿宋"/>
          <w:b w:val="0"/>
          <w:bCs w:val="0"/>
          <w:sz w:val="32"/>
          <w:szCs w:val="32"/>
          <w:lang w:val="en-US" w:eastAsia="zh-CN"/>
        </w:rPr>
        <w:t>121.19</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17.78</w:t>
      </w:r>
      <w:r>
        <w:rPr>
          <w:rFonts w:ascii="仿宋" w:hAnsi="仿宋" w:eastAsia="仿宋"/>
          <w:b w:val="0"/>
          <w:bCs w:val="0"/>
          <w:sz w:val="32"/>
          <w:szCs w:val="32"/>
        </w:rPr>
        <w:t>%</w:t>
      </w:r>
      <w:r>
        <w:rPr>
          <w:rFonts w:hint="eastAsia" w:ascii="仿宋" w:hAnsi="仿宋" w:eastAsia="仿宋"/>
          <w:b w:val="0"/>
          <w:bCs w:val="0"/>
          <w:sz w:val="32"/>
          <w:szCs w:val="32"/>
        </w:rPr>
        <w:t>；卫生健康支出</w:t>
      </w:r>
      <w:r>
        <w:rPr>
          <w:rFonts w:hint="eastAsia" w:ascii="仿宋" w:hAnsi="仿宋" w:eastAsia="仿宋"/>
          <w:b w:val="0"/>
          <w:bCs w:val="0"/>
          <w:sz w:val="32"/>
          <w:szCs w:val="32"/>
          <w:lang w:val="en-US" w:eastAsia="zh-CN"/>
        </w:rPr>
        <w:t>24.53</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3.60</w:t>
      </w:r>
      <w:r>
        <w:rPr>
          <w:rFonts w:ascii="仿宋" w:hAnsi="仿宋" w:eastAsia="仿宋"/>
          <w:b w:val="0"/>
          <w:bCs w:val="0"/>
          <w:sz w:val="32"/>
          <w:szCs w:val="32"/>
        </w:rPr>
        <w:t>%</w:t>
      </w:r>
      <w:r>
        <w:rPr>
          <w:rFonts w:hint="eastAsia" w:ascii="仿宋" w:hAnsi="仿宋" w:eastAsia="仿宋"/>
          <w:b w:val="0"/>
          <w:bCs w:val="0"/>
          <w:sz w:val="32"/>
          <w:szCs w:val="32"/>
        </w:rPr>
        <w:t>；住房保障支出</w:t>
      </w:r>
      <w:r>
        <w:rPr>
          <w:rFonts w:hint="eastAsia" w:ascii="仿宋" w:hAnsi="仿宋" w:eastAsia="仿宋"/>
          <w:b w:val="0"/>
          <w:bCs w:val="0"/>
          <w:sz w:val="32"/>
          <w:szCs w:val="32"/>
          <w:lang w:val="en-US" w:eastAsia="zh-CN"/>
        </w:rPr>
        <w:t>12.17</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1.78</w:t>
      </w:r>
      <w:r>
        <w:rPr>
          <w:rFonts w:ascii="仿宋" w:hAnsi="仿宋" w:eastAsia="仿宋"/>
          <w:b w:val="0"/>
          <w:bCs w:val="0"/>
          <w:sz w:val="32"/>
          <w:szCs w:val="32"/>
        </w:rPr>
        <w:t>%</w:t>
      </w:r>
      <w:r>
        <w:rPr>
          <w:rFonts w:hint="eastAsia" w:ascii="仿宋" w:hAnsi="仿宋" w:eastAsia="仿宋"/>
          <w:b w:val="0"/>
          <w:bCs w:val="0"/>
          <w:sz w:val="32"/>
          <w:szCs w:val="32"/>
        </w:rPr>
        <w:t>。</w:t>
      </w:r>
    </w:p>
    <w:p w14:paraId="390046A5">
      <w:pPr>
        <w:spacing w:line="240" w:lineRule="auto"/>
        <w:rPr>
          <w:rFonts w:hint="eastAsia" w:ascii="仿宋" w:hAnsi="仿宋" w:eastAsia="仿宋"/>
          <w:b w:val="0"/>
          <w:bCs w:val="0"/>
          <w:sz w:val="32"/>
          <w:szCs w:val="32"/>
          <w:lang w:eastAsia="zh-CN"/>
        </w:rPr>
      </w:pPr>
      <w:r>
        <w:rPr>
          <w:rFonts w:hint="eastAsia" w:ascii="仿宋" w:hAnsi="仿宋" w:eastAsia="仿宋"/>
          <w:b w:val="0"/>
          <w:bCs w:val="0"/>
          <w:sz w:val="32"/>
          <w:szCs w:val="32"/>
          <w:lang w:val="en-US" w:eastAsia="zh-CN"/>
        </w:rPr>
        <w:t xml:space="preserve">     </w:t>
      </w:r>
      <w:r>
        <w:rPr>
          <w:rFonts w:hint="eastAsia" w:ascii="仿宋" w:hAnsi="仿宋" w:eastAsia="仿宋"/>
          <w:b w:val="0"/>
          <w:bCs w:val="0"/>
          <w:sz w:val="32"/>
          <w:szCs w:val="32"/>
          <w:lang w:eastAsia="zh-CN"/>
        </w:rPr>
        <w:drawing>
          <wp:inline distT="0" distB="0" distL="114300" distR="114300">
            <wp:extent cx="4572000" cy="2543810"/>
            <wp:effectExtent l="0" t="0" r="0" b="8890"/>
            <wp:docPr id="10" name="图片 1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
                    <pic:cNvPicPr>
                      <a:picLocks noChangeAspect="1"/>
                    </pic:cNvPicPr>
                  </pic:nvPicPr>
                  <pic:blipFill>
                    <a:blip r:embed="rId11"/>
                    <a:stretch>
                      <a:fillRect/>
                    </a:stretch>
                  </pic:blipFill>
                  <pic:spPr>
                    <a:xfrm>
                      <a:off x="0" y="0"/>
                      <a:ext cx="4572000" cy="2543810"/>
                    </a:xfrm>
                    <a:prstGeom prst="rect">
                      <a:avLst/>
                    </a:prstGeom>
                  </pic:spPr>
                </pic:pic>
              </a:graphicData>
            </a:graphic>
          </wp:inline>
        </w:drawing>
      </w:r>
    </w:p>
    <w:p w14:paraId="1DF5569E">
      <w:pPr>
        <w:spacing w:line="6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（图6：一般公共预算财政拨款支出决算结构）</w:t>
      </w:r>
    </w:p>
    <w:p w14:paraId="73E0E9ED">
      <w:pPr>
        <w:spacing w:line="600" w:lineRule="exact"/>
        <w:ind w:firstLine="640" w:firstLineChars="200"/>
        <w:rPr>
          <w:rFonts w:hint="eastAsia" w:ascii="仿宋" w:hAnsi="仿宋" w:eastAsia="仿宋"/>
          <w:b w:val="0"/>
          <w:bCs w:val="0"/>
          <w:sz w:val="32"/>
          <w:szCs w:val="32"/>
        </w:rPr>
      </w:pPr>
    </w:p>
    <w:p w14:paraId="78B47B56">
      <w:pPr>
        <w:spacing w:line="600" w:lineRule="exact"/>
        <w:ind w:firstLine="640" w:firstLineChars="200"/>
        <w:outlineLvl w:val="2"/>
        <w:rPr>
          <w:rFonts w:hint="eastAsia" w:ascii="楷体" w:hAnsi="楷体" w:eastAsia="楷体" w:cs="楷体"/>
          <w:b w:val="0"/>
          <w:bCs w:val="0"/>
          <w:sz w:val="32"/>
          <w:szCs w:val="32"/>
        </w:rPr>
      </w:pPr>
      <w:bookmarkStart w:id="24" w:name="_Toc15377212"/>
      <w:r>
        <w:rPr>
          <w:rFonts w:hint="eastAsia" w:ascii="楷体" w:hAnsi="楷体" w:eastAsia="楷体" w:cs="楷体"/>
          <w:b w:val="0"/>
          <w:bCs w:val="0"/>
          <w:sz w:val="32"/>
          <w:szCs w:val="32"/>
        </w:rPr>
        <w:t>（三）一般公共预算财政拨款支出决算具体情况</w:t>
      </w:r>
      <w:bookmarkEnd w:id="24"/>
    </w:p>
    <w:p w14:paraId="1A4EC2B7">
      <w:pPr>
        <w:spacing w:line="600" w:lineRule="exact"/>
        <w:ind w:firstLine="640" w:firstLineChars="200"/>
        <w:outlineLvl w:val="2"/>
        <w:rPr>
          <w:rFonts w:ascii="仿宋" w:hAnsi="仿宋" w:eastAsia="仿宋"/>
          <w:b w:val="0"/>
          <w:bCs w:val="0"/>
          <w:sz w:val="32"/>
          <w:szCs w:val="32"/>
        </w:rPr>
      </w:pPr>
      <w:bookmarkStart w:id="25" w:name="_Toc15377444"/>
      <w:bookmarkStart w:id="26" w:name="_Toc15377213"/>
      <w:bookmarkStart w:id="27" w:name="_Toc15378460"/>
      <w:r>
        <w:rPr>
          <w:rFonts w:hint="eastAsia" w:ascii="仿宋" w:hAnsi="仿宋" w:eastAsia="仿宋"/>
          <w:b w:val="0"/>
          <w:bCs w:val="0"/>
          <w:sz w:val="32"/>
          <w:szCs w:val="32"/>
        </w:rPr>
        <w:t>2023年度一般公共预算支出决算数为</w:t>
      </w:r>
      <w:r>
        <w:rPr>
          <w:rFonts w:ascii="仿宋" w:hAnsi="仿宋" w:eastAsia="仿宋"/>
          <w:b w:val="0"/>
          <w:bCs w:val="0"/>
          <w:sz w:val="32"/>
          <w:szCs w:val="32"/>
        </w:rPr>
        <w:t>681.64</w:t>
      </w:r>
      <w:r>
        <w:rPr>
          <w:rFonts w:hint="eastAsia" w:ascii="仿宋" w:hAnsi="仿宋" w:eastAsia="仿宋"/>
          <w:b w:val="0"/>
          <w:bCs w:val="0"/>
          <w:sz w:val="32"/>
          <w:szCs w:val="32"/>
        </w:rPr>
        <w:t>，</w:t>
      </w:r>
      <w:r>
        <w:rPr>
          <w:rStyle w:val="16"/>
          <w:rFonts w:hint="eastAsia" w:ascii="仿宋" w:hAnsi="仿宋" w:eastAsia="仿宋"/>
          <w:b w:val="0"/>
          <w:bCs w:val="0"/>
          <w:sz w:val="32"/>
          <w:szCs w:val="32"/>
        </w:rPr>
        <w:t>完成预算</w:t>
      </w:r>
      <w:r>
        <w:rPr>
          <w:rStyle w:val="16"/>
          <w:rFonts w:hint="eastAsia" w:ascii="仿宋" w:hAnsi="仿宋" w:eastAsia="仿宋"/>
          <w:b w:val="0"/>
          <w:bCs w:val="0"/>
          <w:sz w:val="32"/>
          <w:szCs w:val="32"/>
          <w:lang w:val="en-US" w:eastAsia="zh-CN"/>
        </w:rPr>
        <w:t>100</w:t>
      </w:r>
      <w:r>
        <w:rPr>
          <w:rStyle w:val="16"/>
          <w:rFonts w:ascii="仿宋" w:hAnsi="仿宋" w:eastAsia="仿宋"/>
          <w:b w:val="0"/>
          <w:bCs w:val="0"/>
          <w:sz w:val="32"/>
          <w:szCs w:val="32"/>
        </w:rPr>
        <w:t>%</w:t>
      </w:r>
      <w:r>
        <w:rPr>
          <w:rStyle w:val="16"/>
          <w:rFonts w:hint="eastAsia" w:ascii="仿宋" w:hAnsi="仿宋" w:eastAsia="仿宋"/>
          <w:b w:val="0"/>
          <w:bCs w:val="0"/>
          <w:sz w:val="32"/>
          <w:szCs w:val="32"/>
        </w:rPr>
        <w:t>。其中：</w:t>
      </w:r>
      <w:bookmarkEnd w:id="25"/>
      <w:bookmarkEnd w:id="26"/>
      <w:bookmarkEnd w:id="27"/>
    </w:p>
    <w:p w14:paraId="63941505">
      <w:pPr>
        <w:spacing w:line="600" w:lineRule="exact"/>
        <w:ind w:firstLine="640" w:firstLineChars="200"/>
        <w:rPr>
          <w:rStyle w:val="16"/>
          <w:rFonts w:hint="eastAsia" w:ascii="仿宋" w:hAnsi="仿宋" w:eastAsia="仿宋"/>
          <w:b w:val="0"/>
          <w:bCs w:val="0"/>
          <w:sz w:val="32"/>
          <w:szCs w:val="32"/>
        </w:rPr>
      </w:pPr>
      <w:r>
        <w:rPr>
          <w:rStyle w:val="16"/>
          <w:rFonts w:hint="eastAsia" w:ascii="仿宋" w:hAnsi="仿宋" w:eastAsia="仿宋"/>
          <w:b w:val="0"/>
          <w:bCs w:val="0"/>
          <w:sz w:val="32"/>
          <w:szCs w:val="32"/>
        </w:rPr>
        <w:t>1.教育（205）普通教育（20502）学前教育（2050201）: 支出决算为</w:t>
      </w:r>
      <w:r>
        <w:rPr>
          <w:rStyle w:val="16"/>
          <w:rFonts w:hint="eastAsia" w:ascii="仿宋" w:hAnsi="仿宋" w:eastAsia="仿宋"/>
          <w:b w:val="0"/>
          <w:bCs w:val="0"/>
          <w:sz w:val="32"/>
          <w:szCs w:val="32"/>
          <w:lang w:val="en-US" w:eastAsia="zh-CN"/>
        </w:rPr>
        <w:t>0.25</w:t>
      </w:r>
      <w:r>
        <w:rPr>
          <w:rStyle w:val="16"/>
          <w:rFonts w:hint="eastAsia" w:ascii="仿宋" w:hAnsi="仿宋" w:eastAsia="仿宋"/>
          <w:b w:val="0"/>
          <w:bCs w:val="0"/>
          <w:sz w:val="32"/>
          <w:szCs w:val="32"/>
        </w:rPr>
        <w:t>万元，完成预算100%。</w:t>
      </w:r>
    </w:p>
    <w:p w14:paraId="3BF2994F">
      <w:pPr>
        <w:spacing w:line="600" w:lineRule="exact"/>
        <w:ind w:firstLine="640" w:firstLineChars="200"/>
        <w:rPr>
          <w:rStyle w:val="16"/>
          <w:rFonts w:hint="eastAsia" w:ascii="仿宋" w:hAnsi="仿宋" w:eastAsia="仿宋"/>
          <w:b w:val="0"/>
          <w:bCs w:val="0"/>
          <w:sz w:val="32"/>
          <w:szCs w:val="32"/>
        </w:rPr>
      </w:pPr>
      <w:r>
        <w:rPr>
          <w:rStyle w:val="16"/>
          <w:rFonts w:hint="eastAsia" w:ascii="仿宋" w:hAnsi="仿宋" w:eastAsia="仿宋"/>
          <w:b w:val="0"/>
          <w:bCs w:val="0"/>
          <w:sz w:val="32"/>
          <w:szCs w:val="32"/>
        </w:rPr>
        <w:t>2.教育（205）普通教育（20502）小学教育（2050202）: 支出决算为511.36万元，完成预算100%。</w:t>
      </w:r>
    </w:p>
    <w:p w14:paraId="0B3B089C">
      <w:pPr>
        <w:spacing w:line="600" w:lineRule="exact"/>
        <w:ind w:firstLine="640" w:firstLineChars="200"/>
        <w:rPr>
          <w:rStyle w:val="16"/>
          <w:rFonts w:hint="eastAsia" w:ascii="仿宋" w:hAnsi="仿宋" w:eastAsia="仿宋"/>
          <w:b w:val="0"/>
          <w:bCs w:val="0"/>
          <w:sz w:val="32"/>
          <w:szCs w:val="32"/>
        </w:rPr>
      </w:pPr>
      <w:r>
        <w:rPr>
          <w:rStyle w:val="16"/>
          <w:rFonts w:hint="eastAsia" w:ascii="仿宋" w:hAnsi="仿宋" w:eastAsia="仿宋"/>
          <w:b w:val="0"/>
          <w:bCs w:val="0"/>
          <w:sz w:val="32"/>
          <w:szCs w:val="32"/>
        </w:rPr>
        <w:t>3.文化旅游体育与传媒支出（207）其他文化旅游体育与传媒支出（20799）宣传文化发展专项支出（2079902）：支出决算为</w:t>
      </w:r>
      <w:r>
        <w:rPr>
          <w:rStyle w:val="16"/>
          <w:rFonts w:hint="eastAsia" w:ascii="仿宋" w:hAnsi="仿宋" w:eastAsia="仿宋"/>
          <w:b w:val="0"/>
          <w:bCs w:val="0"/>
          <w:sz w:val="32"/>
          <w:szCs w:val="32"/>
          <w:lang w:val="en-US" w:eastAsia="zh-CN"/>
        </w:rPr>
        <w:t>2.5</w:t>
      </w:r>
      <w:r>
        <w:rPr>
          <w:rStyle w:val="16"/>
          <w:rFonts w:hint="eastAsia" w:ascii="仿宋" w:hAnsi="仿宋" w:eastAsia="仿宋"/>
          <w:b w:val="0"/>
          <w:bCs w:val="0"/>
          <w:sz w:val="32"/>
          <w:szCs w:val="32"/>
        </w:rPr>
        <w:t>万元，完成预算100%.</w:t>
      </w:r>
    </w:p>
    <w:p w14:paraId="2CB71656">
      <w:pPr>
        <w:spacing w:line="600" w:lineRule="exact"/>
        <w:ind w:firstLine="640" w:firstLineChars="200"/>
        <w:rPr>
          <w:rStyle w:val="16"/>
          <w:rFonts w:hint="eastAsia" w:ascii="仿宋" w:hAnsi="仿宋" w:eastAsia="仿宋"/>
          <w:b w:val="0"/>
          <w:bCs w:val="0"/>
          <w:sz w:val="32"/>
          <w:szCs w:val="32"/>
        </w:rPr>
      </w:pPr>
      <w:r>
        <w:rPr>
          <w:rStyle w:val="16"/>
          <w:rFonts w:hint="eastAsia" w:ascii="仿宋" w:hAnsi="仿宋" w:eastAsia="仿宋"/>
          <w:b w:val="0"/>
          <w:bCs w:val="0"/>
          <w:sz w:val="32"/>
          <w:szCs w:val="32"/>
          <w:lang w:val="en-US" w:eastAsia="zh-CN"/>
        </w:rPr>
        <w:t>4</w:t>
      </w:r>
      <w:r>
        <w:rPr>
          <w:rStyle w:val="16"/>
          <w:rFonts w:hint="eastAsia" w:ascii="仿宋" w:hAnsi="仿宋" w:eastAsia="仿宋"/>
          <w:b w:val="0"/>
          <w:bCs w:val="0"/>
          <w:sz w:val="32"/>
          <w:szCs w:val="32"/>
        </w:rPr>
        <w:t>.社会保障和就业（208）行政事业单位养老支出（05）事业单位离退休支出（2080502）: 支出决算为5.67万元，完成预算100%。</w:t>
      </w:r>
    </w:p>
    <w:p w14:paraId="0FF526A3">
      <w:pPr>
        <w:spacing w:line="600" w:lineRule="exact"/>
        <w:ind w:firstLine="640" w:firstLineChars="200"/>
        <w:rPr>
          <w:rStyle w:val="16"/>
          <w:rFonts w:hint="eastAsia" w:ascii="仿宋" w:hAnsi="仿宋" w:eastAsia="仿宋"/>
          <w:b w:val="0"/>
          <w:bCs w:val="0"/>
          <w:sz w:val="32"/>
          <w:szCs w:val="32"/>
        </w:rPr>
      </w:pPr>
      <w:r>
        <w:rPr>
          <w:rStyle w:val="16"/>
          <w:rFonts w:hint="eastAsia" w:ascii="仿宋" w:hAnsi="仿宋" w:eastAsia="仿宋"/>
          <w:b w:val="0"/>
          <w:bCs w:val="0"/>
          <w:sz w:val="32"/>
          <w:szCs w:val="32"/>
          <w:lang w:val="en-US" w:eastAsia="zh-CN"/>
        </w:rPr>
        <w:t>5</w:t>
      </w:r>
      <w:r>
        <w:rPr>
          <w:rStyle w:val="16"/>
          <w:rFonts w:hint="eastAsia" w:ascii="仿宋" w:hAnsi="仿宋" w:eastAsia="仿宋"/>
          <w:b w:val="0"/>
          <w:bCs w:val="0"/>
          <w:sz w:val="32"/>
          <w:szCs w:val="32"/>
        </w:rPr>
        <w:t>.社会保障和就业（208）行政事业单位养老支出（05） 机关事业单位基本养老保险费支出（2080505）: 支出决算为26.15万元，完成预算100%。</w:t>
      </w:r>
    </w:p>
    <w:p w14:paraId="2BFD9D43">
      <w:pPr>
        <w:spacing w:line="600" w:lineRule="exact"/>
        <w:ind w:firstLine="640" w:firstLineChars="200"/>
        <w:rPr>
          <w:rStyle w:val="16"/>
          <w:rFonts w:hint="eastAsia" w:ascii="仿宋" w:hAnsi="仿宋" w:eastAsia="仿宋"/>
          <w:b w:val="0"/>
          <w:bCs w:val="0"/>
          <w:sz w:val="32"/>
          <w:szCs w:val="32"/>
        </w:rPr>
      </w:pPr>
      <w:r>
        <w:rPr>
          <w:rStyle w:val="16"/>
          <w:rFonts w:hint="eastAsia" w:ascii="仿宋" w:hAnsi="仿宋" w:eastAsia="仿宋"/>
          <w:b w:val="0"/>
          <w:bCs w:val="0"/>
          <w:sz w:val="32"/>
          <w:szCs w:val="32"/>
          <w:lang w:val="en-US" w:eastAsia="zh-CN"/>
        </w:rPr>
        <w:t>6</w:t>
      </w:r>
      <w:r>
        <w:rPr>
          <w:rStyle w:val="16"/>
          <w:rFonts w:hint="eastAsia" w:ascii="仿宋" w:hAnsi="仿宋" w:eastAsia="仿宋"/>
          <w:b w:val="0"/>
          <w:bCs w:val="0"/>
          <w:sz w:val="32"/>
          <w:szCs w:val="32"/>
        </w:rPr>
        <w:t>.社会保障和就业（208）行政事业单位养老支出（05）  其他行政事业单位养老支出（2080599）: 支出决算为57.76万元，完成预算100%。</w:t>
      </w:r>
    </w:p>
    <w:p w14:paraId="229DB27B">
      <w:pPr>
        <w:spacing w:line="600" w:lineRule="exact"/>
        <w:ind w:firstLine="640" w:firstLineChars="200"/>
        <w:rPr>
          <w:rStyle w:val="16"/>
          <w:rFonts w:hint="eastAsia" w:ascii="仿宋" w:hAnsi="仿宋" w:eastAsia="仿宋"/>
          <w:b w:val="0"/>
          <w:bCs w:val="0"/>
          <w:sz w:val="32"/>
          <w:szCs w:val="32"/>
        </w:rPr>
      </w:pPr>
      <w:r>
        <w:rPr>
          <w:rStyle w:val="16"/>
          <w:rFonts w:hint="eastAsia" w:ascii="仿宋" w:hAnsi="仿宋" w:eastAsia="仿宋"/>
          <w:b w:val="0"/>
          <w:bCs w:val="0"/>
          <w:sz w:val="32"/>
          <w:szCs w:val="32"/>
          <w:lang w:val="en-US" w:eastAsia="zh-CN"/>
        </w:rPr>
        <w:t>7</w:t>
      </w:r>
      <w:r>
        <w:rPr>
          <w:rStyle w:val="16"/>
          <w:rFonts w:hint="eastAsia" w:ascii="仿宋" w:hAnsi="仿宋" w:eastAsia="仿宋"/>
          <w:b w:val="0"/>
          <w:bCs w:val="0"/>
          <w:sz w:val="32"/>
          <w:szCs w:val="32"/>
        </w:rPr>
        <w:t>.社会保障和就业（208）抚恤支出（08） 死亡抚恤支出（2080801）: 支出决算为31.61万元，完成预算100%。</w:t>
      </w:r>
    </w:p>
    <w:p w14:paraId="0866E5BC">
      <w:pPr>
        <w:spacing w:line="600" w:lineRule="exact"/>
        <w:ind w:firstLine="640" w:firstLineChars="200"/>
        <w:rPr>
          <w:rStyle w:val="16"/>
          <w:rFonts w:hint="eastAsia" w:ascii="仿宋" w:hAnsi="仿宋" w:eastAsia="仿宋"/>
          <w:b w:val="0"/>
          <w:bCs w:val="0"/>
          <w:sz w:val="32"/>
          <w:szCs w:val="32"/>
        </w:rPr>
      </w:pPr>
      <w:r>
        <w:rPr>
          <w:rStyle w:val="16"/>
          <w:rFonts w:hint="eastAsia" w:ascii="仿宋" w:hAnsi="仿宋" w:eastAsia="仿宋"/>
          <w:b w:val="0"/>
          <w:bCs w:val="0"/>
          <w:sz w:val="32"/>
          <w:szCs w:val="32"/>
          <w:lang w:val="en-US" w:eastAsia="zh-CN"/>
        </w:rPr>
        <w:t>8</w:t>
      </w:r>
      <w:r>
        <w:rPr>
          <w:rStyle w:val="16"/>
          <w:rFonts w:hint="eastAsia" w:ascii="仿宋" w:hAnsi="仿宋" w:eastAsia="仿宋"/>
          <w:b w:val="0"/>
          <w:bCs w:val="0"/>
          <w:sz w:val="32"/>
          <w:szCs w:val="32"/>
        </w:rPr>
        <w:t>.卫生健康（210）行政事业单位医疗（21011）事业单位医疗（2101102）:支出决算为24.53万元，完成预算100%。</w:t>
      </w:r>
    </w:p>
    <w:p w14:paraId="5F292B9D">
      <w:pPr>
        <w:spacing w:line="600" w:lineRule="exact"/>
        <w:ind w:firstLine="640" w:firstLineChars="200"/>
        <w:rPr>
          <w:rFonts w:ascii="仿宋" w:hAnsi="仿宋" w:eastAsia="仿宋"/>
          <w:b w:val="0"/>
          <w:bCs w:val="0"/>
          <w:sz w:val="32"/>
          <w:szCs w:val="32"/>
        </w:rPr>
      </w:pPr>
      <w:r>
        <w:rPr>
          <w:rStyle w:val="16"/>
          <w:rFonts w:hint="eastAsia" w:ascii="仿宋" w:hAnsi="仿宋" w:eastAsia="仿宋"/>
          <w:b w:val="0"/>
          <w:bCs w:val="0"/>
          <w:sz w:val="32"/>
          <w:szCs w:val="32"/>
          <w:lang w:val="en-US" w:eastAsia="zh-CN"/>
        </w:rPr>
        <w:t>9</w:t>
      </w:r>
      <w:r>
        <w:rPr>
          <w:rStyle w:val="16"/>
          <w:rFonts w:hint="eastAsia" w:ascii="仿宋" w:hAnsi="仿宋" w:eastAsia="仿宋"/>
          <w:b w:val="0"/>
          <w:bCs w:val="0"/>
          <w:sz w:val="32"/>
          <w:szCs w:val="32"/>
        </w:rPr>
        <w:t>.住房保障支出（221）住房改革支出（22102）住房公积金（2210201）:支出决算为12.17万元，完成预算100%。</w:t>
      </w:r>
    </w:p>
    <w:p w14:paraId="4075644D">
      <w:pPr>
        <w:tabs>
          <w:tab w:val="right" w:pos="8306"/>
        </w:tabs>
        <w:spacing w:line="600" w:lineRule="exact"/>
        <w:ind w:firstLine="640"/>
        <w:outlineLvl w:val="1"/>
        <w:rPr>
          <w:rStyle w:val="28"/>
          <w:b w:val="0"/>
          <w:bCs w:val="0"/>
        </w:rPr>
      </w:pPr>
      <w:bookmarkStart w:id="28" w:name="_Toc15377214"/>
      <w:bookmarkStart w:id="29" w:name="_Toc15396608"/>
      <w:r>
        <w:rPr>
          <w:rFonts w:hint="eastAsia" w:ascii="黑体" w:eastAsia="黑体"/>
          <w:b w:val="0"/>
          <w:bCs w:val="0"/>
          <w:sz w:val="32"/>
          <w:szCs w:val="32"/>
        </w:rPr>
        <w:t>六、</w:t>
      </w:r>
      <w:r>
        <w:rPr>
          <w:rFonts w:hint="eastAsia" w:ascii="黑体" w:hAnsi="黑体" w:eastAsia="黑体"/>
          <w:b w:val="0"/>
          <w:bCs w:val="0"/>
          <w:sz w:val="32"/>
          <w:szCs w:val="32"/>
        </w:rPr>
        <w:t>一</w:t>
      </w:r>
      <w:r>
        <w:rPr>
          <w:rStyle w:val="28"/>
          <w:rFonts w:hint="eastAsia" w:ascii="黑体" w:hAnsi="黑体" w:eastAsia="黑体"/>
          <w:b w:val="0"/>
          <w:bCs w:val="0"/>
        </w:rPr>
        <w:t>般公共预算财政拨款基本支出决算情况说明</w:t>
      </w:r>
      <w:bookmarkEnd w:id="28"/>
      <w:bookmarkEnd w:id="29"/>
      <w:r>
        <w:rPr>
          <w:rStyle w:val="28"/>
          <w:rFonts w:ascii="黑体" w:hAnsi="黑体" w:eastAsia="黑体"/>
          <w:b w:val="0"/>
          <w:bCs w:val="0"/>
        </w:rPr>
        <w:tab/>
      </w:r>
    </w:p>
    <w:p w14:paraId="132D49F6">
      <w:pPr>
        <w:spacing w:line="600" w:lineRule="exact"/>
        <w:ind w:firstLine="645"/>
        <w:rPr>
          <w:rFonts w:ascii="仿宋" w:hAnsi="仿宋" w:eastAsia="仿宋"/>
          <w:b w:val="0"/>
          <w:bCs w:val="0"/>
          <w:sz w:val="32"/>
          <w:szCs w:val="32"/>
        </w:rPr>
      </w:pPr>
      <w:r>
        <w:rPr>
          <w:rFonts w:hint="eastAsia" w:ascii="仿宋" w:hAnsi="仿宋" w:eastAsia="仿宋"/>
          <w:b w:val="0"/>
          <w:bCs w:val="0"/>
          <w:sz w:val="32"/>
          <w:szCs w:val="32"/>
        </w:rPr>
        <w:t>2023年度一般公共预算财政拨款基本支出</w:t>
      </w:r>
      <w:r>
        <w:rPr>
          <w:rFonts w:ascii="仿宋" w:hAnsi="仿宋" w:eastAsia="仿宋"/>
          <w:b w:val="0"/>
          <w:bCs w:val="0"/>
          <w:sz w:val="32"/>
          <w:szCs w:val="32"/>
        </w:rPr>
        <w:t>661.69</w:t>
      </w:r>
      <w:r>
        <w:rPr>
          <w:rFonts w:hint="eastAsia" w:ascii="仿宋" w:hAnsi="仿宋" w:eastAsia="仿宋"/>
          <w:b w:val="0"/>
          <w:bCs w:val="0"/>
          <w:sz w:val="32"/>
          <w:szCs w:val="32"/>
        </w:rPr>
        <w:t>万元，其中：</w:t>
      </w:r>
    </w:p>
    <w:p w14:paraId="776625A3">
      <w:pPr>
        <w:spacing w:line="600" w:lineRule="exact"/>
        <w:ind w:firstLine="645"/>
        <w:rPr>
          <w:rFonts w:hint="eastAsia" w:ascii="仿宋" w:hAnsi="仿宋" w:eastAsia="仿宋"/>
          <w:b w:val="0"/>
          <w:bCs w:val="0"/>
          <w:sz w:val="32"/>
          <w:szCs w:val="32"/>
          <w:lang w:eastAsia="zh-CN"/>
        </w:rPr>
      </w:pPr>
      <w:r>
        <w:rPr>
          <w:rFonts w:hint="eastAsia" w:ascii="仿宋" w:hAnsi="仿宋" w:eastAsia="仿宋"/>
          <w:b w:val="0"/>
          <w:bCs w:val="0"/>
          <w:sz w:val="32"/>
          <w:szCs w:val="32"/>
        </w:rPr>
        <w:t>人员经费</w:t>
      </w:r>
      <w:r>
        <w:rPr>
          <w:rFonts w:ascii="仿宋" w:hAnsi="仿宋" w:eastAsia="仿宋"/>
          <w:b w:val="0"/>
          <w:bCs w:val="0"/>
          <w:sz w:val="32"/>
          <w:szCs w:val="32"/>
        </w:rPr>
        <w:t>612.0</w:t>
      </w:r>
      <w:r>
        <w:rPr>
          <w:rFonts w:hint="eastAsia" w:ascii="仿宋" w:hAnsi="仿宋" w:eastAsia="仿宋"/>
          <w:b w:val="0"/>
          <w:bCs w:val="0"/>
          <w:sz w:val="32"/>
          <w:szCs w:val="32"/>
          <w:lang w:val="en-US" w:eastAsia="zh-CN"/>
        </w:rPr>
        <w:t>5</w:t>
      </w:r>
      <w:r>
        <w:rPr>
          <w:rFonts w:hint="eastAsia" w:ascii="仿宋" w:hAnsi="仿宋" w:eastAsia="仿宋"/>
          <w:b w:val="0"/>
          <w:bCs w:val="0"/>
          <w:sz w:val="32"/>
          <w:szCs w:val="32"/>
        </w:rPr>
        <w:t>万元，主要包括：基本工资198.89</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、津贴补贴29.34</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、绩效工资110.72</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、机关事业单位基本养老保险缴费26.15</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、其他工资福利支出115.21</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、退休费5.67</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、抚恤金31.61</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、生活补助57.76</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、医疗费补助24.53</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、奖励金、住房公积金12.17</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lang w:eastAsia="zh-CN"/>
        </w:rPr>
        <w:t>。</w:t>
      </w:r>
    </w:p>
    <w:p w14:paraId="28AA87D9">
      <w:pPr>
        <w:spacing w:line="600" w:lineRule="exact"/>
        <w:ind w:firstLine="645"/>
        <w:rPr>
          <w:rFonts w:ascii="仿宋" w:hAnsi="仿宋" w:eastAsia="仿宋"/>
          <w:b w:val="0"/>
          <w:bCs w:val="0"/>
          <w:sz w:val="32"/>
          <w:szCs w:val="32"/>
        </w:rPr>
      </w:pPr>
      <w:r>
        <w:rPr>
          <w:rFonts w:hint="eastAsia" w:ascii="仿宋" w:hAnsi="仿宋" w:eastAsia="仿宋"/>
          <w:b w:val="0"/>
          <w:bCs w:val="0"/>
          <w:sz w:val="32"/>
          <w:szCs w:val="32"/>
        </w:rPr>
        <w:t>公用经费</w:t>
      </w:r>
      <w:r>
        <w:rPr>
          <w:rFonts w:ascii="仿宋" w:hAnsi="仿宋" w:eastAsia="仿宋"/>
          <w:b w:val="0"/>
          <w:bCs w:val="0"/>
          <w:sz w:val="32"/>
          <w:szCs w:val="32"/>
        </w:rPr>
        <w:t>49.65</w:t>
      </w:r>
      <w:r>
        <w:rPr>
          <w:rFonts w:hint="eastAsia" w:ascii="仿宋" w:hAnsi="仿宋" w:eastAsia="仿宋"/>
          <w:b w:val="0"/>
          <w:bCs w:val="0"/>
          <w:sz w:val="32"/>
          <w:szCs w:val="32"/>
        </w:rPr>
        <w:t>万元，主要包括：办公费11.33</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、水费</w:t>
      </w:r>
      <w:r>
        <w:rPr>
          <w:rFonts w:hint="eastAsia" w:ascii="仿宋" w:hAnsi="仿宋" w:eastAsia="仿宋"/>
          <w:b w:val="0"/>
          <w:bCs w:val="0"/>
          <w:sz w:val="32"/>
          <w:szCs w:val="32"/>
          <w:lang w:val="en-US" w:eastAsia="zh-CN"/>
        </w:rPr>
        <w:t>0.83万元</w:t>
      </w:r>
      <w:r>
        <w:rPr>
          <w:rFonts w:hint="eastAsia" w:ascii="仿宋" w:hAnsi="仿宋" w:eastAsia="仿宋"/>
          <w:b w:val="0"/>
          <w:bCs w:val="0"/>
          <w:sz w:val="32"/>
          <w:szCs w:val="32"/>
        </w:rPr>
        <w:t>、电费</w:t>
      </w:r>
      <w:r>
        <w:rPr>
          <w:rFonts w:hint="eastAsia" w:ascii="仿宋" w:hAnsi="仿宋" w:eastAsia="仿宋"/>
          <w:b w:val="0"/>
          <w:bCs w:val="0"/>
          <w:sz w:val="32"/>
          <w:szCs w:val="32"/>
          <w:lang w:val="en-US" w:eastAsia="zh-CN"/>
        </w:rPr>
        <w:t>1.25万元</w:t>
      </w:r>
      <w:r>
        <w:rPr>
          <w:rFonts w:hint="eastAsia" w:ascii="仿宋" w:hAnsi="仿宋" w:eastAsia="仿宋"/>
          <w:b w:val="0"/>
          <w:bCs w:val="0"/>
          <w:sz w:val="32"/>
          <w:szCs w:val="32"/>
        </w:rPr>
        <w:t>、邮电费</w:t>
      </w:r>
      <w:r>
        <w:rPr>
          <w:rFonts w:hint="eastAsia" w:ascii="仿宋" w:hAnsi="仿宋" w:eastAsia="仿宋"/>
          <w:b w:val="0"/>
          <w:bCs w:val="0"/>
          <w:sz w:val="32"/>
          <w:szCs w:val="32"/>
          <w:lang w:val="en-US" w:eastAsia="zh-CN"/>
        </w:rPr>
        <w:t>1.5万元</w:t>
      </w:r>
      <w:r>
        <w:rPr>
          <w:rFonts w:hint="eastAsia" w:ascii="仿宋" w:hAnsi="仿宋" w:eastAsia="仿宋"/>
          <w:b w:val="0"/>
          <w:bCs w:val="0"/>
          <w:sz w:val="32"/>
          <w:szCs w:val="32"/>
        </w:rPr>
        <w:t>、差旅费1.74</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、维修（护）费4.99</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、会议费0.95</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、培训费</w:t>
      </w:r>
      <w:r>
        <w:rPr>
          <w:rFonts w:hint="eastAsia" w:ascii="仿宋" w:hAnsi="仿宋" w:eastAsia="仿宋"/>
          <w:b w:val="0"/>
          <w:bCs w:val="0"/>
          <w:sz w:val="32"/>
          <w:szCs w:val="32"/>
          <w:lang w:val="en-US" w:eastAsia="zh-CN"/>
        </w:rPr>
        <w:t>1万元</w:t>
      </w:r>
      <w:r>
        <w:rPr>
          <w:rFonts w:hint="eastAsia" w:ascii="仿宋" w:hAnsi="仿宋" w:eastAsia="仿宋"/>
          <w:b w:val="0"/>
          <w:bCs w:val="0"/>
          <w:sz w:val="32"/>
          <w:szCs w:val="32"/>
        </w:rPr>
        <w:t>、公务接待费</w:t>
      </w:r>
      <w:r>
        <w:rPr>
          <w:rFonts w:hint="eastAsia" w:ascii="仿宋" w:hAnsi="仿宋" w:eastAsia="仿宋"/>
          <w:b w:val="0"/>
          <w:bCs w:val="0"/>
          <w:sz w:val="32"/>
          <w:szCs w:val="32"/>
          <w:lang w:val="en-US" w:eastAsia="zh-CN"/>
        </w:rPr>
        <w:t>0.05万元</w:t>
      </w:r>
      <w:r>
        <w:rPr>
          <w:rFonts w:hint="eastAsia" w:ascii="仿宋" w:hAnsi="仿宋" w:eastAsia="仿宋"/>
          <w:b w:val="0"/>
          <w:bCs w:val="0"/>
          <w:sz w:val="32"/>
          <w:szCs w:val="32"/>
        </w:rPr>
        <w:t>、工会经费7.75</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、福利费11.48</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、其他商品和服务支出6.78</w:t>
      </w:r>
      <w:r>
        <w:rPr>
          <w:rFonts w:hint="eastAsia" w:ascii="仿宋" w:hAnsi="仿宋" w:eastAsia="仿宋"/>
          <w:b w:val="0"/>
          <w:bCs w:val="0"/>
          <w:sz w:val="32"/>
          <w:szCs w:val="32"/>
          <w:lang w:val="en-US" w:eastAsia="zh-CN"/>
        </w:rPr>
        <w:t>万元</w:t>
      </w:r>
      <w:r>
        <w:rPr>
          <w:rFonts w:hint="eastAsia" w:ascii="仿宋" w:hAnsi="仿宋" w:eastAsia="仿宋"/>
          <w:b w:val="0"/>
          <w:bCs w:val="0"/>
          <w:sz w:val="32"/>
          <w:szCs w:val="32"/>
        </w:rPr>
        <w:t>。</w:t>
      </w:r>
    </w:p>
    <w:p w14:paraId="1F69206D">
      <w:pPr>
        <w:spacing w:line="600" w:lineRule="exact"/>
        <w:ind w:firstLine="640"/>
        <w:outlineLvl w:val="1"/>
        <w:rPr>
          <w:rStyle w:val="28"/>
          <w:rFonts w:ascii="黑体" w:hAnsi="黑体" w:eastAsia="黑体"/>
          <w:b w:val="0"/>
          <w:bCs w:val="0"/>
        </w:rPr>
      </w:pPr>
      <w:bookmarkStart w:id="30" w:name="_Toc15377215"/>
      <w:bookmarkStart w:id="31" w:name="_Toc15396609"/>
      <w:r>
        <w:rPr>
          <w:rFonts w:hint="eastAsia" w:ascii="黑体" w:eastAsia="黑体"/>
          <w:b w:val="0"/>
          <w:bCs w:val="0"/>
          <w:sz w:val="32"/>
          <w:szCs w:val="32"/>
        </w:rPr>
        <w:t>七、</w:t>
      </w:r>
      <w:r>
        <w:rPr>
          <w:rStyle w:val="28"/>
          <w:rFonts w:hint="eastAsia" w:ascii="黑体" w:hAnsi="黑体" w:eastAsia="黑体"/>
          <w:b w:val="0"/>
          <w:bCs w:val="0"/>
        </w:rPr>
        <w:t>财政拨款“三公”经费支出决算情况说明</w:t>
      </w:r>
      <w:bookmarkEnd w:id="30"/>
      <w:bookmarkEnd w:id="31"/>
    </w:p>
    <w:p w14:paraId="6CBFA215">
      <w:pPr>
        <w:spacing w:line="600" w:lineRule="exact"/>
        <w:ind w:firstLine="640"/>
        <w:outlineLvl w:val="2"/>
        <w:rPr>
          <w:rFonts w:hint="eastAsia" w:ascii="楷体" w:hAnsi="楷体" w:eastAsia="楷体" w:cs="楷体"/>
          <w:b w:val="0"/>
          <w:bCs w:val="0"/>
          <w:sz w:val="32"/>
          <w:szCs w:val="32"/>
        </w:rPr>
      </w:pPr>
      <w:bookmarkStart w:id="32" w:name="_Toc15377216"/>
      <w:r>
        <w:rPr>
          <w:rFonts w:hint="eastAsia" w:ascii="楷体" w:hAnsi="楷体" w:eastAsia="楷体" w:cs="楷体"/>
          <w:b w:val="0"/>
          <w:bCs w:val="0"/>
          <w:sz w:val="32"/>
          <w:szCs w:val="32"/>
        </w:rPr>
        <w:t>（一）“三公”经费财政拨款支出决算总体情况说明</w:t>
      </w:r>
      <w:bookmarkEnd w:id="32"/>
    </w:p>
    <w:p w14:paraId="489F8074">
      <w:pPr>
        <w:spacing w:line="600" w:lineRule="exact"/>
        <w:ind w:firstLine="640"/>
        <w:rPr>
          <w:rFonts w:ascii="仿宋" w:hAnsi="仿宋" w:eastAsia="仿宋"/>
          <w:b w:val="0"/>
          <w:bCs w:val="0"/>
          <w:sz w:val="32"/>
          <w:szCs w:val="32"/>
        </w:rPr>
      </w:pPr>
      <w:r>
        <w:rPr>
          <w:rFonts w:hint="eastAsia" w:ascii="仿宋" w:hAnsi="仿宋" w:eastAsia="仿宋"/>
          <w:b w:val="0"/>
          <w:bCs w:val="0"/>
          <w:sz w:val="32"/>
          <w:szCs w:val="32"/>
        </w:rPr>
        <w:t>2023年度“三公”经费财政拨款支出决算为</w:t>
      </w:r>
      <w:r>
        <w:rPr>
          <w:rFonts w:ascii="仿宋" w:hAnsi="仿宋" w:eastAsia="仿宋"/>
          <w:b w:val="0"/>
          <w:bCs w:val="0"/>
          <w:sz w:val="32"/>
          <w:szCs w:val="32"/>
        </w:rPr>
        <w:t>0.05</w:t>
      </w:r>
      <w:r>
        <w:rPr>
          <w:rFonts w:hint="eastAsia" w:ascii="仿宋" w:hAnsi="仿宋" w:eastAsia="仿宋"/>
          <w:b w:val="0"/>
          <w:bCs w:val="0"/>
          <w:sz w:val="32"/>
          <w:szCs w:val="32"/>
        </w:rPr>
        <w:t>万元，完成预算</w:t>
      </w:r>
      <w:r>
        <w:rPr>
          <w:rFonts w:ascii="仿宋" w:hAnsi="仿宋" w:eastAsia="仿宋"/>
          <w:b w:val="0"/>
          <w:bCs w:val="0"/>
          <w:sz w:val="32"/>
          <w:szCs w:val="32"/>
        </w:rPr>
        <w:t>100%</w:t>
      </w:r>
      <w:r>
        <w:rPr>
          <w:rFonts w:hint="eastAsia" w:ascii="仿宋" w:hAnsi="仿宋" w:eastAsia="仿宋"/>
          <w:b w:val="0"/>
          <w:bCs w:val="0"/>
          <w:sz w:val="32"/>
          <w:szCs w:val="32"/>
        </w:rPr>
        <w:t>，较上年度减少</w:t>
      </w:r>
      <w:r>
        <w:rPr>
          <w:rFonts w:hint="eastAsia" w:ascii="仿宋" w:hAnsi="仿宋" w:eastAsia="仿宋"/>
          <w:b w:val="0"/>
          <w:bCs w:val="0"/>
          <w:sz w:val="32"/>
          <w:szCs w:val="32"/>
          <w:lang w:val="en-US" w:eastAsia="zh-CN"/>
        </w:rPr>
        <w:t>0.21</w:t>
      </w:r>
      <w:r>
        <w:rPr>
          <w:rFonts w:hint="eastAsia" w:ascii="仿宋" w:hAnsi="仿宋" w:eastAsia="仿宋"/>
          <w:b w:val="0"/>
          <w:bCs w:val="0"/>
          <w:sz w:val="32"/>
          <w:szCs w:val="32"/>
        </w:rPr>
        <w:t>元，下降</w:t>
      </w:r>
      <w:r>
        <w:rPr>
          <w:rFonts w:hint="eastAsia" w:ascii="仿宋" w:hAnsi="仿宋" w:eastAsia="仿宋"/>
          <w:b w:val="0"/>
          <w:bCs w:val="0"/>
          <w:sz w:val="32"/>
          <w:szCs w:val="32"/>
          <w:lang w:val="en-US" w:eastAsia="zh-CN"/>
        </w:rPr>
        <w:t>80.77</w:t>
      </w:r>
      <w:r>
        <w:rPr>
          <w:rFonts w:hint="eastAsia" w:ascii="仿宋" w:hAnsi="仿宋" w:eastAsia="仿宋"/>
          <w:b w:val="0"/>
          <w:bCs w:val="0"/>
          <w:sz w:val="32"/>
          <w:szCs w:val="32"/>
        </w:rPr>
        <w:t>%。决算数小于预算数（或与预算数持平）的主要原因是</w:t>
      </w:r>
      <w:r>
        <w:rPr>
          <w:rFonts w:hint="eastAsia" w:ascii="仿宋" w:hAnsi="仿宋" w:eastAsia="仿宋"/>
          <w:b w:val="0"/>
          <w:bCs w:val="0"/>
          <w:sz w:val="32"/>
          <w:szCs w:val="32"/>
          <w:lang w:val="en-US" w:eastAsia="zh-CN"/>
        </w:rPr>
        <w:t>减少了公务接待</w:t>
      </w:r>
      <w:r>
        <w:rPr>
          <w:rFonts w:hint="eastAsia" w:ascii="仿宋" w:hAnsi="仿宋" w:eastAsia="仿宋"/>
          <w:b w:val="0"/>
          <w:bCs w:val="0"/>
          <w:sz w:val="32"/>
          <w:szCs w:val="32"/>
        </w:rPr>
        <w:t>。</w:t>
      </w:r>
    </w:p>
    <w:p w14:paraId="3860A717">
      <w:pPr>
        <w:spacing w:line="600" w:lineRule="exact"/>
        <w:ind w:firstLine="640"/>
        <w:outlineLvl w:val="2"/>
        <w:rPr>
          <w:rFonts w:ascii="仿宋" w:hAnsi="仿宋" w:eastAsia="仿宋"/>
          <w:b w:val="0"/>
          <w:bCs w:val="0"/>
          <w:sz w:val="32"/>
          <w:szCs w:val="32"/>
        </w:rPr>
      </w:pPr>
      <w:bookmarkStart w:id="33" w:name="_Toc15377217"/>
      <w:r>
        <w:rPr>
          <w:rFonts w:hint="eastAsia" w:ascii="楷体" w:hAnsi="楷体" w:eastAsia="楷体" w:cs="楷体"/>
          <w:b w:val="0"/>
          <w:bCs w:val="0"/>
          <w:sz w:val="32"/>
          <w:szCs w:val="32"/>
        </w:rPr>
        <w:t>（二）“三公”经费财政拨款支出决算具体情况说明</w:t>
      </w:r>
      <w:bookmarkEnd w:id="33"/>
    </w:p>
    <w:p w14:paraId="39893DF9">
      <w:pPr>
        <w:spacing w:line="600" w:lineRule="exact"/>
        <w:ind w:firstLine="640"/>
        <w:rPr>
          <w:rFonts w:hint="eastAsia" w:ascii="仿宋" w:hAnsi="仿宋" w:eastAsia="仿宋"/>
          <w:b w:val="0"/>
          <w:bCs w:val="0"/>
          <w:sz w:val="32"/>
          <w:szCs w:val="32"/>
        </w:rPr>
      </w:pPr>
      <w:r>
        <w:rPr>
          <w:rFonts w:hint="eastAsia" w:ascii="仿宋" w:hAnsi="仿宋" w:eastAsia="仿宋"/>
          <w:b w:val="0"/>
          <w:bCs w:val="0"/>
          <w:sz w:val="32"/>
          <w:szCs w:val="32"/>
        </w:rPr>
        <w:t>2023年度“三公”经费财政拨款支出决算中，因公出国（境）费支出决算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；公务用车购置及运行维护费支出决算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；公务接待费支出决算</w:t>
      </w:r>
      <w:r>
        <w:rPr>
          <w:rFonts w:ascii="仿宋" w:hAnsi="仿宋" w:eastAsia="仿宋"/>
          <w:b w:val="0"/>
          <w:bCs w:val="0"/>
          <w:sz w:val="32"/>
          <w:szCs w:val="32"/>
        </w:rPr>
        <w:t>0.05</w:t>
      </w:r>
      <w:r>
        <w:rPr>
          <w:rFonts w:hint="eastAsia" w:ascii="仿宋" w:hAnsi="仿宋" w:eastAsia="仿宋"/>
          <w:b w:val="0"/>
          <w:bCs w:val="0"/>
          <w:sz w:val="32"/>
          <w:szCs w:val="32"/>
        </w:rPr>
        <w:t>万元，占</w:t>
      </w:r>
      <w:r>
        <w:rPr>
          <w:rFonts w:ascii="仿宋" w:hAnsi="仿宋" w:eastAsia="仿宋"/>
          <w:b w:val="0"/>
          <w:bCs w:val="0"/>
          <w:sz w:val="32"/>
          <w:szCs w:val="32"/>
        </w:rPr>
        <w:t>100%</w:t>
      </w:r>
      <w:r>
        <w:rPr>
          <w:rFonts w:hint="eastAsia" w:ascii="仿宋" w:hAnsi="仿宋" w:eastAsia="仿宋"/>
          <w:b w:val="0"/>
          <w:bCs w:val="0"/>
          <w:sz w:val="32"/>
          <w:szCs w:val="32"/>
        </w:rPr>
        <w:t>。具体情况如下：</w:t>
      </w:r>
    </w:p>
    <w:p w14:paraId="3B1F5837">
      <w:pPr>
        <w:spacing w:line="240" w:lineRule="auto"/>
        <w:ind w:firstLine="640"/>
        <w:rPr>
          <w:rFonts w:hint="eastAsia" w:ascii="仿宋" w:hAnsi="仿宋" w:eastAsia="仿宋"/>
          <w:b w:val="0"/>
          <w:bCs w:val="0"/>
          <w:sz w:val="32"/>
          <w:szCs w:val="32"/>
          <w:lang w:eastAsia="zh-CN"/>
        </w:rPr>
      </w:pPr>
      <w:r>
        <w:rPr>
          <w:rFonts w:hint="eastAsia" w:ascii="仿宋" w:hAnsi="仿宋" w:eastAsia="仿宋"/>
          <w:b w:val="0"/>
          <w:bCs w:val="0"/>
          <w:sz w:val="32"/>
          <w:szCs w:val="32"/>
          <w:lang w:val="en-US" w:eastAsia="zh-CN"/>
        </w:rPr>
        <w:t xml:space="preserve"> </w:t>
      </w:r>
      <w:r>
        <w:rPr>
          <w:rFonts w:hint="eastAsia" w:ascii="仿宋" w:hAnsi="仿宋" w:eastAsia="仿宋"/>
          <w:b w:val="0"/>
          <w:bCs w:val="0"/>
          <w:sz w:val="32"/>
          <w:szCs w:val="32"/>
          <w:lang w:eastAsia="zh-CN"/>
        </w:rPr>
        <w:drawing>
          <wp:inline distT="0" distB="0" distL="114300" distR="114300">
            <wp:extent cx="4524375" cy="2924810"/>
            <wp:effectExtent l="0" t="0" r="9525" b="8890"/>
            <wp:docPr id="11" name="图片 1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
                    <pic:cNvPicPr>
                      <a:picLocks noChangeAspect="1"/>
                    </pic:cNvPicPr>
                  </pic:nvPicPr>
                  <pic:blipFill>
                    <a:blip r:embed="rId12"/>
                    <a:stretch>
                      <a:fillRect/>
                    </a:stretch>
                  </pic:blipFill>
                  <pic:spPr>
                    <a:xfrm>
                      <a:off x="0" y="0"/>
                      <a:ext cx="4524375" cy="2924810"/>
                    </a:xfrm>
                    <a:prstGeom prst="rect">
                      <a:avLst/>
                    </a:prstGeom>
                  </pic:spPr>
                </pic:pic>
              </a:graphicData>
            </a:graphic>
          </wp:inline>
        </w:drawing>
      </w:r>
    </w:p>
    <w:p w14:paraId="3C7B6D75">
      <w:pPr>
        <w:spacing w:line="600" w:lineRule="exact"/>
        <w:ind w:firstLine="1280" w:firstLineChars="400"/>
        <w:rPr>
          <w:rFonts w:ascii="仿宋" w:hAnsi="仿宋" w:eastAsia="仿宋"/>
          <w:b w:val="0"/>
          <w:bCs w:val="0"/>
          <w:sz w:val="32"/>
          <w:szCs w:val="32"/>
        </w:rPr>
      </w:pPr>
      <w:r>
        <w:rPr>
          <w:rFonts w:hint="eastAsia" w:ascii="仿宋" w:hAnsi="仿宋" w:eastAsia="仿宋"/>
          <w:b w:val="0"/>
          <w:bCs w:val="0"/>
          <w:sz w:val="32"/>
          <w:szCs w:val="32"/>
        </w:rPr>
        <w:t>（图7：“三公”经费财政拨款支出结构）</w:t>
      </w:r>
    </w:p>
    <w:p w14:paraId="5909771C">
      <w:pPr>
        <w:spacing w:line="600" w:lineRule="exact"/>
        <w:ind w:firstLine="640"/>
        <w:rPr>
          <w:rFonts w:ascii="仿宋_GB2312" w:eastAsia="仿宋_GB2312"/>
          <w:b w:val="0"/>
          <w:bCs w:val="0"/>
          <w:sz w:val="32"/>
          <w:szCs w:val="32"/>
        </w:rPr>
      </w:pPr>
      <w:bookmarkStart w:id="34" w:name="_Toc15377218"/>
      <w:bookmarkStart w:id="35" w:name="_Toc15396610"/>
      <w:r>
        <w:rPr>
          <w:rFonts w:ascii="仿宋_GB2312" w:eastAsia="仿宋_GB2312"/>
          <w:b w:val="0"/>
          <w:bCs w:val="0"/>
          <w:sz w:val="32"/>
          <w:szCs w:val="32"/>
        </w:rPr>
        <w:t>1.</w:t>
      </w:r>
      <w:r>
        <w:rPr>
          <w:rFonts w:hint="eastAsia" w:ascii="仿宋_GB2312" w:eastAsia="仿宋_GB2312"/>
          <w:b w:val="0"/>
          <w:bCs w:val="0"/>
          <w:sz w:val="32"/>
          <w:szCs w:val="32"/>
        </w:rPr>
        <w:t>因公出国（境）经费支出</w:t>
      </w:r>
      <w:r>
        <w:rPr>
          <w:rFonts w:ascii="仿宋" w:hAnsi="仿宋" w:eastAsia="仿宋"/>
          <w:b w:val="0"/>
          <w:bCs w:val="0"/>
          <w:sz w:val="32"/>
          <w:szCs w:val="32"/>
        </w:rPr>
        <w:t>0</w:t>
      </w:r>
      <w:r>
        <w:rPr>
          <w:rFonts w:hint="eastAsia" w:ascii="仿宋_GB2312" w:eastAsia="仿宋_GB2312"/>
          <w:b w:val="0"/>
          <w:bCs w:val="0"/>
          <w:sz w:val="32"/>
          <w:szCs w:val="32"/>
        </w:rPr>
        <w:t>万元，</w:t>
      </w:r>
      <w:r>
        <w:rPr>
          <w:rStyle w:val="16"/>
          <w:rFonts w:hint="eastAsia" w:ascii="仿宋" w:hAnsi="仿宋" w:eastAsia="仿宋"/>
          <w:b w:val="0"/>
          <w:bCs w:val="0"/>
          <w:sz w:val="32"/>
          <w:szCs w:val="32"/>
        </w:rPr>
        <w:t>完成预算</w:t>
      </w:r>
      <w:r>
        <w:rPr>
          <w:rStyle w:val="16"/>
          <w:rFonts w:ascii="仿宋" w:hAnsi="仿宋" w:eastAsia="仿宋"/>
          <w:b w:val="0"/>
          <w:bCs w:val="0"/>
          <w:sz w:val="32"/>
          <w:szCs w:val="32"/>
        </w:rPr>
        <w:t>0%</w:t>
      </w:r>
      <w:r>
        <w:rPr>
          <w:rStyle w:val="16"/>
          <w:rFonts w:hint="eastAsia" w:ascii="仿宋" w:hAnsi="仿宋" w:eastAsia="仿宋"/>
          <w:b w:val="0"/>
          <w:bCs w:val="0"/>
          <w:sz w:val="32"/>
          <w:szCs w:val="32"/>
        </w:rPr>
        <w:t>。</w:t>
      </w:r>
      <w:r>
        <w:rPr>
          <w:rFonts w:hint="eastAsia" w:ascii="仿宋_GB2312" w:eastAsia="仿宋_GB2312"/>
          <w:b w:val="0"/>
          <w:bCs w:val="0"/>
          <w:sz w:val="32"/>
          <w:szCs w:val="32"/>
        </w:rPr>
        <w:t>全年安排因公出国（境）团组</w:t>
      </w:r>
      <w:r>
        <w:rPr>
          <w:rFonts w:ascii="仿宋_GB2312" w:eastAsia="仿宋_GB2312"/>
          <w:b w:val="0"/>
          <w:bCs w:val="0"/>
          <w:sz w:val="32"/>
          <w:szCs w:val="32"/>
        </w:rPr>
        <w:t>0</w:t>
      </w:r>
      <w:r>
        <w:rPr>
          <w:rFonts w:hint="eastAsia" w:ascii="仿宋_GB2312" w:eastAsia="仿宋_GB2312"/>
          <w:b w:val="0"/>
          <w:bCs w:val="0"/>
          <w:sz w:val="32"/>
          <w:szCs w:val="32"/>
        </w:rPr>
        <w:t>次，出国（境）</w:t>
      </w:r>
      <w:r>
        <w:rPr>
          <w:rFonts w:ascii="仿宋_GB2312" w:eastAsia="仿宋_GB2312"/>
          <w:b w:val="0"/>
          <w:bCs w:val="0"/>
          <w:sz w:val="32"/>
          <w:szCs w:val="32"/>
        </w:rPr>
        <w:t>0</w:t>
      </w:r>
      <w:r>
        <w:rPr>
          <w:rFonts w:hint="eastAsia" w:ascii="仿宋_GB2312" w:eastAsia="仿宋_GB2312"/>
          <w:b w:val="0"/>
          <w:bCs w:val="0"/>
          <w:sz w:val="32"/>
          <w:szCs w:val="32"/>
        </w:rPr>
        <w:t>人。因公出国（境）支出决算比2022年减少</w:t>
      </w:r>
      <w:r>
        <w:rPr>
          <w:rFonts w:hint="eastAsia" w:ascii="仿宋_GB2312" w:eastAsia="仿宋_GB2312"/>
          <w:b w:val="0"/>
          <w:bCs w:val="0"/>
          <w:sz w:val="32"/>
          <w:szCs w:val="32"/>
          <w:lang w:val="en-US" w:eastAsia="zh-CN"/>
        </w:rPr>
        <w:t>0.21</w:t>
      </w:r>
      <w:r>
        <w:rPr>
          <w:rFonts w:hint="eastAsia" w:ascii="仿宋_GB2312" w:eastAsia="仿宋_GB2312"/>
          <w:b w:val="0"/>
          <w:bCs w:val="0"/>
          <w:sz w:val="32"/>
          <w:szCs w:val="32"/>
        </w:rPr>
        <w:t>万元，下降</w:t>
      </w:r>
      <w:r>
        <w:rPr>
          <w:rFonts w:hint="eastAsia" w:ascii="仿宋_GB2312" w:eastAsia="仿宋_GB2312"/>
          <w:b w:val="0"/>
          <w:bCs w:val="0"/>
          <w:sz w:val="32"/>
          <w:szCs w:val="32"/>
          <w:lang w:val="en-US" w:eastAsia="zh-CN"/>
        </w:rPr>
        <w:t>80.77</w:t>
      </w:r>
      <w:r>
        <w:rPr>
          <w:rFonts w:ascii="仿宋_GB2312" w:eastAsia="仿宋_GB2312"/>
          <w:b w:val="0"/>
          <w:bCs w:val="0"/>
          <w:sz w:val="32"/>
          <w:szCs w:val="32"/>
        </w:rPr>
        <w:t>%</w:t>
      </w:r>
      <w:r>
        <w:rPr>
          <w:rFonts w:hint="eastAsia" w:ascii="仿宋_GB2312" w:eastAsia="仿宋_GB2312"/>
          <w:b w:val="0"/>
          <w:bCs w:val="0"/>
          <w:sz w:val="32"/>
          <w:szCs w:val="32"/>
        </w:rPr>
        <w:t>。主要原因是</w:t>
      </w:r>
      <w:r>
        <w:rPr>
          <w:rFonts w:hint="eastAsia" w:ascii="仿宋" w:hAnsi="仿宋" w:eastAsia="仿宋"/>
          <w:b w:val="0"/>
          <w:bCs w:val="0"/>
          <w:sz w:val="32"/>
          <w:szCs w:val="32"/>
          <w:lang w:val="en-US" w:eastAsia="zh-CN"/>
        </w:rPr>
        <w:t>减少了公务接待</w:t>
      </w:r>
      <w:r>
        <w:rPr>
          <w:rFonts w:hint="eastAsia" w:ascii="仿宋_GB2312" w:eastAsia="仿宋_GB2312"/>
          <w:b w:val="0"/>
          <w:bCs w:val="0"/>
          <w:sz w:val="32"/>
          <w:szCs w:val="32"/>
        </w:rPr>
        <w:t>。</w:t>
      </w:r>
    </w:p>
    <w:p w14:paraId="5CCF4CD9">
      <w:pPr>
        <w:spacing w:line="600" w:lineRule="exact"/>
        <w:ind w:firstLine="640"/>
        <w:rPr>
          <w:rFonts w:ascii="仿宋_GB2312" w:eastAsia="仿宋_GB2312"/>
          <w:b w:val="0"/>
          <w:bCs w:val="0"/>
          <w:sz w:val="32"/>
          <w:szCs w:val="32"/>
        </w:rPr>
      </w:pPr>
      <w:r>
        <w:rPr>
          <w:rFonts w:ascii="仿宋_GB2312" w:eastAsia="仿宋_GB2312"/>
          <w:b w:val="0"/>
          <w:bCs w:val="0"/>
          <w:sz w:val="32"/>
          <w:szCs w:val="32"/>
        </w:rPr>
        <w:t>2.</w:t>
      </w:r>
      <w:r>
        <w:rPr>
          <w:rFonts w:hint="eastAsia" w:ascii="仿宋_GB2312" w:eastAsia="仿宋_GB2312"/>
          <w:b w:val="0"/>
          <w:bCs w:val="0"/>
          <w:sz w:val="32"/>
          <w:szCs w:val="32"/>
        </w:rPr>
        <w:t>公务用车购置及运行维护费支出</w:t>
      </w:r>
      <w:r>
        <w:rPr>
          <w:rFonts w:ascii="仿宋" w:hAnsi="仿宋" w:eastAsia="仿宋"/>
          <w:b w:val="0"/>
          <w:bCs w:val="0"/>
          <w:sz w:val="32"/>
          <w:szCs w:val="32"/>
        </w:rPr>
        <w:t>0</w:t>
      </w:r>
      <w:r>
        <w:rPr>
          <w:rFonts w:hint="eastAsia" w:ascii="仿宋_GB2312" w:eastAsia="仿宋_GB2312"/>
          <w:b w:val="0"/>
          <w:bCs w:val="0"/>
          <w:sz w:val="32"/>
          <w:szCs w:val="32"/>
        </w:rPr>
        <w:t>万元,</w:t>
      </w:r>
      <w:r>
        <w:rPr>
          <w:rStyle w:val="16"/>
          <w:rFonts w:hint="eastAsia" w:ascii="仿宋" w:hAnsi="仿宋" w:eastAsia="仿宋"/>
          <w:b w:val="0"/>
          <w:bCs w:val="0"/>
          <w:sz w:val="32"/>
          <w:szCs w:val="32"/>
        </w:rPr>
        <w:t>完成预算</w:t>
      </w:r>
      <w:r>
        <w:rPr>
          <w:rStyle w:val="16"/>
          <w:rFonts w:ascii="仿宋" w:hAnsi="仿宋" w:eastAsia="仿宋"/>
          <w:b w:val="0"/>
          <w:bCs w:val="0"/>
          <w:sz w:val="32"/>
          <w:szCs w:val="32"/>
        </w:rPr>
        <w:t>0%</w:t>
      </w:r>
      <w:r>
        <w:rPr>
          <w:rStyle w:val="16"/>
          <w:rFonts w:hint="eastAsia" w:ascii="仿宋" w:hAnsi="仿宋" w:eastAsia="仿宋"/>
          <w:b w:val="0"/>
          <w:bCs w:val="0"/>
          <w:sz w:val="32"/>
          <w:szCs w:val="32"/>
        </w:rPr>
        <w:t>。</w:t>
      </w:r>
    </w:p>
    <w:p w14:paraId="032E4B94">
      <w:pPr>
        <w:spacing w:line="60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其中：公务用车购置支出</w:t>
      </w:r>
      <w:r>
        <w:rPr>
          <w:rFonts w:ascii="仿宋" w:hAnsi="仿宋" w:eastAsia="仿宋"/>
          <w:b w:val="0"/>
          <w:bCs w:val="0"/>
          <w:sz w:val="32"/>
          <w:szCs w:val="32"/>
        </w:rPr>
        <w:t>0</w:t>
      </w:r>
      <w:r>
        <w:rPr>
          <w:rFonts w:hint="eastAsia" w:ascii="仿宋_GB2312" w:eastAsia="仿宋_GB2312"/>
          <w:b w:val="0"/>
          <w:bCs w:val="0"/>
          <w:sz w:val="32"/>
          <w:szCs w:val="32"/>
        </w:rPr>
        <w:t>万元。全年更新购置公务用车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辆，其中：轿车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辆、金额</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万元，越野车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辆、金额</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万元，载客汽车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辆、金额</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万元。截至2023年</w:t>
      </w:r>
      <w:r>
        <w:rPr>
          <w:rFonts w:ascii="仿宋_GB2312" w:eastAsia="仿宋_GB2312"/>
          <w:b w:val="0"/>
          <w:bCs w:val="0"/>
          <w:sz w:val="32"/>
          <w:szCs w:val="32"/>
        </w:rPr>
        <w:t>12</w:t>
      </w:r>
      <w:r>
        <w:rPr>
          <w:rFonts w:hint="eastAsia" w:ascii="仿宋_GB2312" w:eastAsia="仿宋_GB2312"/>
          <w:b w:val="0"/>
          <w:bCs w:val="0"/>
          <w:sz w:val="32"/>
          <w:szCs w:val="32"/>
        </w:rPr>
        <w:t>月31日，单位共有公务用车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辆，其中：轿车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辆、越野车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辆、载客汽车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w:t>
      </w:r>
    </w:p>
    <w:p w14:paraId="165EC106">
      <w:pPr>
        <w:spacing w:line="600" w:lineRule="exact"/>
        <w:ind w:firstLine="640"/>
        <w:rPr>
          <w:rFonts w:ascii="仿宋_GB2312" w:eastAsia="仿宋_GB2312"/>
          <w:b w:val="0"/>
          <w:bCs w:val="0"/>
          <w:sz w:val="32"/>
          <w:szCs w:val="32"/>
        </w:rPr>
      </w:pPr>
      <w:r>
        <w:rPr>
          <w:rFonts w:hint="eastAsia" w:ascii="仿宋_GB2312" w:eastAsia="仿宋_GB2312"/>
          <w:b w:val="0"/>
          <w:bCs w:val="0"/>
          <w:sz w:val="32"/>
          <w:szCs w:val="32"/>
        </w:rPr>
        <w:t>公务用车运行维护费支出</w:t>
      </w:r>
      <w:r>
        <w:rPr>
          <w:rFonts w:ascii="仿宋" w:hAnsi="仿宋" w:eastAsia="仿宋"/>
          <w:b w:val="0"/>
          <w:bCs w:val="0"/>
          <w:sz w:val="32"/>
          <w:szCs w:val="32"/>
        </w:rPr>
        <w:t>0</w:t>
      </w:r>
      <w:r>
        <w:rPr>
          <w:rFonts w:hint="eastAsia" w:ascii="仿宋_GB2312" w:eastAsia="仿宋_GB2312"/>
          <w:b w:val="0"/>
          <w:bCs w:val="0"/>
          <w:sz w:val="32"/>
          <w:szCs w:val="32"/>
        </w:rPr>
        <w:t>万元。主要用于</w:t>
      </w:r>
      <w:r>
        <w:rPr>
          <w:rFonts w:ascii="仿宋_GB2312" w:eastAsia="仿宋_GB2312"/>
          <w:b w:val="0"/>
          <w:bCs w:val="0"/>
          <w:sz w:val="32"/>
          <w:szCs w:val="32"/>
        </w:rPr>
        <w:t>…</w:t>
      </w:r>
      <w:r>
        <w:rPr>
          <w:rFonts w:hint="eastAsia" w:ascii="仿宋_GB2312" w:eastAsia="仿宋_GB2312"/>
          <w:b w:val="0"/>
          <w:bCs w:val="0"/>
          <w:sz w:val="32"/>
          <w:szCs w:val="32"/>
        </w:rPr>
        <w:t>（具体工作）等所需的公务用车燃料费、维修费、过路过桥费、保险费等支出。</w:t>
      </w:r>
    </w:p>
    <w:p w14:paraId="031A7731">
      <w:pPr>
        <w:spacing w:line="600" w:lineRule="exact"/>
        <w:ind w:firstLine="640"/>
        <w:rPr>
          <w:rFonts w:ascii="仿宋_GB2312" w:eastAsia="仿宋_GB2312"/>
          <w:b w:val="0"/>
          <w:bCs w:val="0"/>
          <w:sz w:val="32"/>
          <w:szCs w:val="32"/>
        </w:rPr>
      </w:pPr>
      <w:r>
        <w:rPr>
          <w:rFonts w:ascii="仿宋_GB2312" w:eastAsia="仿宋_GB2312"/>
          <w:b w:val="0"/>
          <w:bCs w:val="0"/>
          <w:sz w:val="32"/>
          <w:szCs w:val="32"/>
        </w:rPr>
        <w:t>3.</w:t>
      </w:r>
      <w:r>
        <w:rPr>
          <w:rFonts w:hint="eastAsia" w:ascii="仿宋_GB2312" w:eastAsia="仿宋_GB2312"/>
          <w:b w:val="0"/>
          <w:bCs w:val="0"/>
          <w:sz w:val="32"/>
          <w:szCs w:val="32"/>
        </w:rPr>
        <w:t>公务接待费支出</w:t>
      </w:r>
      <w:r>
        <w:rPr>
          <w:rFonts w:ascii="仿宋" w:hAnsi="仿宋" w:eastAsia="仿宋"/>
          <w:b w:val="0"/>
          <w:bCs w:val="0"/>
          <w:sz w:val="32"/>
          <w:szCs w:val="32"/>
        </w:rPr>
        <w:t>0.05</w:t>
      </w:r>
      <w:r>
        <w:rPr>
          <w:rFonts w:hint="eastAsia" w:ascii="仿宋_GB2312" w:eastAsia="仿宋_GB2312"/>
          <w:b w:val="0"/>
          <w:bCs w:val="0"/>
          <w:sz w:val="32"/>
          <w:szCs w:val="32"/>
        </w:rPr>
        <w:t>万元，</w:t>
      </w:r>
      <w:r>
        <w:rPr>
          <w:rStyle w:val="16"/>
          <w:rFonts w:hint="eastAsia" w:ascii="仿宋" w:hAnsi="仿宋" w:eastAsia="仿宋"/>
          <w:b w:val="0"/>
          <w:bCs w:val="0"/>
          <w:sz w:val="32"/>
          <w:szCs w:val="32"/>
        </w:rPr>
        <w:t>完成预算</w:t>
      </w:r>
      <w:r>
        <w:rPr>
          <w:rStyle w:val="16"/>
          <w:rFonts w:ascii="仿宋" w:hAnsi="仿宋" w:eastAsia="仿宋"/>
          <w:b w:val="0"/>
          <w:bCs w:val="0"/>
          <w:sz w:val="32"/>
          <w:szCs w:val="32"/>
        </w:rPr>
        <w:t>100%</w:t>
      </w:r>
      <w:r>
        <w:rPr>
          <w:rStyle w:val="16"/>
          <w:rFonts w:hint="eastAsia" w:ascii="仿宋" w:hAnsi="仿宋" w:eastAsia="仿宋"/>
          <w:b w:val="0"/>
          <w:bCs w:val="0"/>
          <w:sz w:val="32"/>
          <w:szCs w:val="32"/>
        </w:rPr>
        <w:t>。</w:t>
      </w:r>
      <w:r>
        <w:rPr>
          <w:rFonts w:hint="eastAsia" w:ascii="仿宋_GB2312" w:eastAsia="仿宋_GB2312"/>
          <w:b w:val="0"/>
          <w:bCs w:val="0"/>
          <w:sz w:val="32"/>
          <w:szCs w:val="32"/>
        </w:rPr>
        <w:t>公务接待费支出决算比2022年度减少</w:t>
      </w:r>
      <w:r>
        <w:rPr>
          <w:rFonts w:hint="eastAsia" w:ascii="仿宋_GB2312" w:eastAsia="仿宋_GB2312"/>
          <w:b w:val="0"/>
          <w:bCs w:val="0"/>
          <w:sz w:val="32"/>
          <w:szCs w:val="32"/>
          <w:lang w:val="en-US" w:eastAsia="zh-CN"/>
        </w:rPr>
        <w:t>0.21</w:t>
      </w:r>
      <w:r>
        <w:rPr>
          <w:rFonts w:hint="eastAsia" w:ascii="仿宋_GB2312" w:eastAsia="仿宋_GB2312"/>
          <w:b w:val="0"/>
          <w:bCs w:val="0"/>
          <w:sz w:val="32"/>
          <w:szCs w:val="32"/>
        </w:rPr>
        <w:t>万元，下降</w:t>
      </w:r>
      <w:r>
        <w:rPr>
          <w:rFonts w:hint="eastAsia" w:ascii="仿宋_GB2312" w:eastAsia="仿宋_GB2312"/>
          <w:b w:val="0"/>
          <w:bCs w:val="0"/>
          <w:sz w:val="32"/>
          <w:szCs w:val="32"/>
          <w:lang w:val="en-US" w:eastAsia="zh-CN"/>
        </w:rPr>
        <w:t>80.77</w:t>
      </w:r>
      <w:r>
        <w:rPr>
          <w:rFonts w:ascii="仿宋_GB2312" w:eastAsia="仿宋_GB2312"/>
          <w:b w:val="0"/>
          <w:bCs w:val="0"/>
          <w:sz w:val="32"/>
          <w:szCs w:val="32"/>
        </w:rPr>
        <w:t>%</w:t>
      </w:r>
      <w:r>
        <w:rPr>
          <w:rFonts w:hint="eastAsia" w:ascii="仿宋_GB2312" w:eastAsia="仿宋_GB2312"/>
          <w:b w:val="0"/>
          <w:bCs w:val="0"/>
          <w:sz w:val="32"/>
          <w:szCs w:val="32"/>
        </w:rPr>
        <w:t>。主要原因是</w:t>
      </w:r>
      <w:r>
        <w:rPr>
          <w:rFonts w:hint="eastAsia" w:ascii="仿宋" w:hAnsi="仿宋" w:eastAsia="仿宋"/>
          <w:b w:val="0"/>
          <w:bCs w:val="0"/>
          <w:sz w:val="32"/>
          <w:szCs w:val="32"/>
          <w:lang w:val="en-US" w:eastAsia="zh-CN"/>
        </w:rPr>
        <w:t>减少了公务接待</w:t>
      </w:r>
      <w:r>
        <w:rPr>
          <w:rFonts w:hint="eastAsia" w:ascii="仿宋_GB2312" w:eastAsia="仿宋_GB2312"/>
          <w:b w:val="0"/>
          <w:bCs w:val="0"/>
          <w:sz w:val="32"/>
          <w:szCs w:val="32"/>
        </w:rPr>
        <w:t>。其中：</w:t>
      </w:r>
    </w:p>
    <w:p w14:paraId="53342CCB">
      <w:pPr>
        <w:spacing w:line="600" w:lineRule="exact"/>
        <w:ind w:firstLine="640"/>
        <w:rPr>
          <w:rFonts w:ascii="仿宋_GB2312" w:eastAsia="仿宋_GB2312"/>
          <w:b w:val="0"/>
          <w:bCs w:val="0"/>
          <w:sz w:val="32"/>
          <w:szCs w:val="32"/>
        </w:rPr>
      </w:pPr>
      <w:r>
        <w:rPr>
          <w:rFonts w:hint="eastAsia" w:ascii="仿宋" w:hAnsi="仿宋" w:eastAsia="仿宋"/>
          <w:b w:val="0"/>
          <w:bCs w:val="0"/>
          <w:sz w:val="32"/>
          <w:szCs w:val="32"/>
        </w:rPr>
        <w:t>国内公务接待支出</w:t>
      </w:r>
      <w:r>
        <w:rPr>
          <w:rFonts w:ascii="仿宋" w:hAnsi="仿宋" w:eastAsia="仿宋"/>
          <w:b w:val="0"/>
          <w:bCs w:val="0"/>
          <w:sz w:val="32"/>
          <w:szCs w:val="32"/>
        </w:rPr>
        <w:t>0.05</w:t>
      </w:r>
      <w:r>
        <w:rPr>
          <w:rFonts w:hint="eastAsia" w:ascii="仿宋_GB2312" w:eastAsia="仿宋_GB2312"/>
          <w:b w:val="0"/>
          <w:bCs w:val="0"/>
          <w:sz w:val="32"/>
          <w:szCs w:val="32"/>
        </w:rPr>
        <w:t>万元，主要用于开展业务活动开支用餐费。国内公务接待</w:t>
      </w:r>
      <w:r>
        <w:rPr>
          <w:rFonts w:hint="eastAsia" w:ascii="仿宋_GB2312" w:eastAsia="仿宋_GB2312"/>
          <w:b w:val="0"/>
          <w:bCs w:val="0"/>
          <w:sz w:val="32"/>
          <w:szCs w:val="32"/>
          <w:lang w:val="en-US" w:eastAsia="zh-CN"/>
        </w:rPr>
        <w:t>3</w:t>
      </w:r>
      <w:r>
        <w:rPr>
          <w:rFonts w:hint="eastAsia" w:ascii="仿宋_GB2312" w:eastAsia="仿宋_GB2312"/>
          <w:b w:val="0"/>
          <w:bCs w:val="0"/>
          <w:sz w:val="32"/>
          <w:szCs w:val="32"/>
        </w:rPr>
        <w:t>批次，</w:t>
      </w:r>
      <w:r>
        <w:rPr>
          <w:rFonts w:hint="eastAsia" w:ascii="仿宋_GB2312" w:eastAsia="仿宋_GB2312"/>
          <w:b w:val="0"/>
          <w:bCs w:val="0"/>
          <w:sz w:val="32"/>
          <w:szCs w:val="32"/>
          <w:lang w:val="en-US" w:eastAsia="zh-CN"/>
        </w:rPr>
        <w:t>20</w:t>
      </w:r>
      <w:r>
        <w:rPr>
          <w:rFonts w:hint="eastAsia" w:ascii="仿宋_GB2312" w:eastAsia="仿宋_GB2312"/>
          <w:b w:val="0"/>
          <w:bCs w:val="0"/>
          <w:sz w:val="32"/>
          <w:szCs w:val="32"/>
        </w:rPr>
        <w:t>人次（不包括陪同人员），共计支出</w:t>
      </w:r>
      <w:r>
        <w:rPr>
          <w:rFonts w:hint="eastAsia" w:ascii="仿宋_GB2312" w:eastAsia="仿宋_GB2312"/>
          <w:b w:val="0"/>
          <w:bCs w:val="0"/>
          <w:sz w:val="32"/>
          <w:szCs w:val="32"/>
          <w:lang w:val="en-US" w:eastAsia="zh-CN"/>
        </w:rPr>
        <w:t>0.05</w:t>
      </w:r>
      <w:r>
        <w:rPr>
          <w:rFonts w:hint="eastAsia" w:ascii="仿宋_GB2312" w:eastAsia="仿宋_GB2312"/>
          <w:b w:val="0"/>
          <w:bCs w:val="0"/>
          <w:sz w:val="32"/>
          <w:szCs w:val="32"/>
        </w:rPr>
        <w:t>万元，具体内容包括：</w:t>
      </w:r>
      <w:r>
        <w:rPr>
          <w:rFonts w:hint="eastAsia" w:ascii="仿宋_GB2312" w:eastAsia="仿宋_GB2312"/>
          <w:b w:val="0"/>
          <w:bCs w:val="0"/>
          <w:sz w:val="32"/>
          <w:szCs w:val="32"/>
          <w:lang w:val="en-US" w:eastAsia="zh-CN"/>
        </w:rPr>
        <w:t>教学常规检查、抽考等工作</w:t>
      </w:r>
      <w:r>
        <w:rPr>
          <w:rFonts w:hint="eastAsia" w:ascii="仿宋_GB2312" w:eastAsia="仿宋_GB2312"/>
          <w:b w:val="0"/>
          <w:bCs w:val="0"/>
          <w:sz w:val="32"/>
          <w:szCs w:val="32"/>
        </w:rPr>
        <w:t>。</w:t>
      </w:r>
    </w:p>
    <w:p w14:paraId="30B0DCB8">
      <w:pPr>
        <w:spacing w:line="600" w:lineRule="exact"/>
        <w:ind w:firstLine="640" w:firstLineChars="200"/>
        <w:rPr>
          <w:rFonts w:ascii="黑体" w:eastAsia="黑体"/>
          <w:b w:val="0"/>
          <w:bCs w:val="0"/>
          <w:sz w:val="32"/>
          <w:szCs w:val="32"/>
        </w:rPr>
      </w:pPr>
      <w:r>
        <w:rPr>
          <w:rFonts w:hint="eastAsia" w:ascii="仿宋" w:hAnsi="仿宋" w:eastAsia="仿宋"/>
          <w:b w:val="0"/>
          <w:bCs w:val="0"/>
          <w:sz w:val="32"/>
          <w:szCs w:val="32"/>
        </w:rPr>
        <w:t>外事接待支出</w:t>
      </w:r>
      <w:r>
        <w:rPr>
          <w:rFonts w:ascii="仿宋" w:hAnsi="仿宋" w:eastAsia="仿宋"/>
          <w:b w:val="0"/>
          <w:bCs w:val="0"/>
          <w:sz w:val="32"/>
          <w:szCs w:val="32"/>
        </w:rPr>
        <w:t>0</w:t>
      </w:r>
      <w:r>
        <w:rPr>
          <w:rFonts w:hint="eastAsia" w:ascii="仿宋_GB2312" w:eastAsia="仿宋_GB2312"/>
          <w:b w:val="0"/>
          <w:bCs w:val="0"/>
          <w:sz w:val="32"/>
          <w:szCs w:val="32"/>
        </w:rPr>
        <w:t>万元，外事接待</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批次，</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人次（不包括陪同人员），共计支出</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万元。</w:t>
      </w:r>
    </w:p>
    <w:p w14:paraId="77ABE630">
      <w:pPr>
        <w:spacing w:line="600" w:lineRule="exact"/>
        <w:ind w:firstLine="640"/>
        <w:outlineLvl w:val="1"/>
        <w:rPr>
          <w:rStyle w:val="28"/>
          <w:rFonts w:ascii="黑体" w:hAnsi="黑体" w:eastAsia="黑体"/>
          <w:b w:val="0"/>
          <w:bCs w:val="0"/>
        </w:rPr>
      </w:pPr>
      <w:r>
        <w:rPr>
          <w:rFonts w:hint="eastAsia" w:ascii="黑体" w:eastAsia="黑体"/>
          <w:b w:val="0"/>
          <w:bCs w:val="0"/>
          <w:sz w:val="32"/>
          <w:szCs w:val="32"/>
        </w:rPr>
        <w:t>八、</w:t>
      </w:r>
      <w:r>
        <w:rPr>
          <w:rStyle w:val="28"/>
          <w:rFonts w:hint="eastAsia" w:ascii="黑体" w:hAnsi="黑体" w:eastAsia="黑体"/>
          <w:b w:val="0"/>
          <w:bCs w:val="0"/>
        </w:rPr>
        <w:t>政府性基金预算支出决算情况说明</w:t>
      </w:r>
      <w:bookmarkEnd w:id="34"/>
      <w:bookmarkEnd w:id="35"/>
    </w:p>
    <w:p w14:paraId="7D3A7F67">
      <w:pPr>
        <w:spacing w:line="600" w:lineRule="exact"/>
        <w:ind w:firstLine="640"/>
        <w:rPr>
          <w:rFonts w:ascii="仿宋_GB2312" w:eastAsia="仿宋_GB2312"/>
          <w:b w:val="0"/>
          <w:bCs w:val="0"/>
          <w:sz w:val="32"/>
          <w:szCs w:val="32"/>
        </w:rPr>
      </w:pPr>
      <w:r>
        <w:rPr>
          <w:rFonts w:hint="eastAsia" w:ascii="仿宋_GB2312" w:eastAsia="仿宋_GB2312"/>
          <w:b w:val="0"/>
          <w:bCs w:val="0"/>
          <w:sz w:val="32"/>
          <w:szCs w:val="32"/>
        </w:rPr>
        <w:t>2023年度政府性基金预算财政拨款支出</w:t>
      </w:r>
      <w:r>
        <w:rPr>
          <w:rFonts w:ascii="仿宋" w:hAnsi="仿宋" w:eastAsia="仿宋"/>
          <w:b w:val="0"/>
          <w:bCs w:val="0"/>
          <w:sz w:val="32"/>
          <w:szCs w:val="32"/>
        </w:rPr>
        <w:t>0</w:t>
      </w:r>
      <w:r>
        <w:rPr>
          <w:rFonts w:hint="eastAsia" w:ascii="仿宋_GB2312" w:eastAsia="仿宋_GB2312"/>
          <w:b w:val="0"/>
          <w:bCs w:val="0"/>
          <w:sz w:val="32"/>
          <w:szCs w:val="32"/>
        </w:rPr>
        <w:t>万元。</w:t>
      </w:r>
    </w:p>
    <w:p w14:paraId="5AE74F82">
      <w:pPr>
        <w:numPr>
          <w:ilvl w:val="0"/>
          <w:numId w:val="3"/>
        </w:numPr>
        <w:spacing w:line="600" w:lineRule="exact"/>
        <w:ind w:firstLine="640"/>
        <w:outlineLvl w:val="1"/>
        <w:rPr>
          <w:rStyle w:val="28"/>
          <w:rFonts w:ascii="黑体" w:hAnsi="黑体" w:eastAsia="黑体"/>
          <w:b w:val="0"/>
          <w:bCs w:val="0"/>
        </w:rPr>
      </w:pPr>
      <w:bookmarkStart w:id="36" w:name="_Toc15396611"/>
      <w:bookmarkStart w:id="37" w:name="_Toc15377219"/>
      <w:r>
        <w:rPr>
          <w:rStyle w:val="28"/>
          <w:rFonts w:hint="eastAsia" w:ascii="黑体" w:hAnsi="黑体" w:eastAsia="黑体"/>
          <w:b w:val="0"/>
          <w:bCs w:val="0"/>
        </w:rPr>
        <w:t>国有资本经营预算支出决算情况说明</w:t>
      </w:r>
      <w:bookmarkEnd w:id="36"/>
      <w:bookmarkEnd w:id="37"/>
    </w:p>
    <w:p w14:paraId="5BF8FA66">
      <w:pPr>
        <w:spacing w:line="600" w:lineRule="exact"/>
        <w:ind w:firstLine="640"/>
        <w:rPr>
          <w:rFonts w:ascii="方正小标宋简体" w:hAnsi="方正小标宋简体" w:eastAsia="方正小标宋简体" w:cs="方正小标宋简体"/>
          <w:b w:val="0"/>
          <w:bCs w:val="0"/>
          <w:sz w:val="44"/>
          <w:szCs w:val="44"/>
        </w:rPr>
      </w:pPr>
      <w:r>
        <w:rPr>
          <w:rFonts w:hint="eastAsia" w:ascii="仿宋_GB2312" w:eastAsia="仿宋_GB2312"/>
          <w:b w:val="0"/>
          <w:bCs w:val="0"/>
          <w:sz w:val="32"/>
          <w:szCs w:val="32"/>
        </w:rPr>
        <w:t>2023年度国有资本经营预算财政拨款支出</w:t>
      </w:r>
      <w:r>
        <w:rPr>
          <w:rFonts w:ascii="仿宋" w:hAnsi="仿宋" w:eastAsia="仿宋"/>
          <w:b w:val="0"/>
          <w:bCs w:val="0"/>
          <w:sz w:val="32"/>
          <w:szCs w:val="32"/>
        </w:rPr>
        <w:t>0</w:t>
      </w:r>
      <w:r>
        <w:rPr>
          <w:rFonts w:hint="eastAsia" w:ascii="仿宋_GB2312" w:eastAsia="仿宋_GB2312"/>
          <w:b w:val="0"/>
          <w:bCs w:val="0"/>
          <w:sz w:val="32"/>
          <w:szCs w:val="32"/>
        </w:rPr>
        <w:t>万元。</w:t>
      </w:r>
    </w:p>
    <w:p w14:paraId="1559114F">
      <w:pPr>
        <w:numPr>
          <w:ilvl w:val="0"/>
          <w:numId w:val="3"/>
        </w:numPr>
        <w:spacing w:line="600" w:lineRule="exact"/>
        <w:ind w:firstLine="640"/>
        <w:outlineLvl w:val="1"/>
        <w:rPr>
          <w:rStyle w:val="28"/>
          <w:rFonts w:ascii="黑体" w:hAnsi="黑体" w:eastAsia="黑体"/>
          <w:b w:val="0"/>
          <w:bCs w:val="0"/>
        </w:rPr>
      </w:pPr>
      <w:bookmarkStart w:id="38" w:name="_Toc15377221"/>
      <w:bookmarkStart w:id="39" w:name="_Toc15396612"/>
      <w:r>
        <w:rPr>
          <w:rStyle w:val="28"/>
          <w:rFonts w:hint="eastAsia" w:ascii="黑体" w:hAnsi="黑体" w:eastAsia="黑体"/>
          <w:b w:val="0"/>
          <w:bCs w:val="0"/>
        </w:rPr>
        <w:t>其他重要事项的情况说明</w:t>
      </w:r>
      <w:bookmarkEnd w:id="38"/>
      <w:bookmarkEnd w:id="39"/>
    </w:p>
    <w:p w14:paraId="3CEDFC7B">
      <w:pPr>
        <w:spacing w:line="600" w:lineRule="exact"/>
        <w:ind w:firstLine="640" w:firstLineChars="200"/>
        <w:outlineLvl w:val="2"/>
        <w:rPr>
          <w:rFonts w:hint="eastAsia" w:ascii="楷体" w:hAnsi="楷体" w:eastAsia="楷体" w:cs="楷体"/>
          <w:b w:val="0"/>
          <w:bCs w:val="0"/>
          <w:sz w:val="32"/>
          <w:szCs w:val="32"/>
        </w:rPr>
      </w:pPr>
      <w:bookmarkStart w:id="40" w:name="_Toc15377222"/>
      <w:r>
        <w:rPr>
          <w:rFonts w:hint="eastAsia" w:ascii="楷体" w:hAnsi="楷体" w:eastAsia="楷体" w:cs="楷体"/>
          <w:b w:val="0"/>
          <w:bCs w:val="0"/>
          <w:sz w:val="32"/>
          <w:szCs w:val="32"/>
        </w:rPr>
        <w:t>（一）机关运行经费支出情况</w:t>
      </w:r>
      <w:bookmarkEnd w:id="40"/>
    </w:p>
    <w:p w14:paraId="65588029">
      <w:pPr>
        <w:autoSpaceDE w:val="0"/>
        <w:autoSpaceDN w:val="0"/>
        <w:adjustRightInd w:val="0"/>
        <w:spacing w:line="600" w:lineRule="exact"/>
        <w:ind w:firstLine="640" w:firstLineChars="200"/>
        <w:jc w:val="left"/>
        <w:outlineLvl w:val="2"/>
        <w:rPr>
          <w:rFonts w:eastAsia="仿宋_GB2312"/>
          <w:sz w:val="32"/>
          <w:szCs w:val="32"/>
        </w:rPr>
      </w:pPr>
      <w:bookmarkStart w:id="41" w:name="_Toc15377223"/>
      <w:r>
        <w:rPr>
          <w:rFonts w:eastAsia="仿宋_GB2312"/>
          <w:sz w:val="32"/>
          <w:szCs w:val="32"/>
        </w:rPr>
        <w:t>202</w:t>
      </w:r>
      <w:r>
        <w:rPr>
          <w:rFonts w:hint="eastAsia" w:eastAsia="仿宋_GB2312"/>
          <w:sz w:val="32"/>
          <w:szCs w:val="32"/>
          <w:lang w:val="en-US" w:eastAsia="zh-CN"/>
        </w:rPr>
        <w:t>3</w:t>
      </w:r>
      <w:r>
        <w:rPr>
          <w:rFonts w:eastAsia="仿宋_GB2312"/>
          <w:sz w:val="32"/>
          <w:szCs w:val="32"/>
        </w:rPr>
        <w:t>年，大竹县月华镇第二中心小学执行事业单位会计制度无机关运行经费支出。</w:t>
      </w:r>
    </w:p>
    <w:p w14:paraId="0842557B">
      <w:pPr>
        <w:spacing w:line="600" w:lineRule="exact"/>
        <w:ind w:firstLine="640" w:firstLineChars="200"/>
        <w:outlineLvl w:val="2"/>
        <w:rPr>
          <w:rFonts w:hint="eastAsia" w:ascii="楷体" w:hAnsi="楷体" w:eastAsia="楷体" w:cs="楷体"/>
          <w:b w:val="0"/>
          <w:bCs w:val="0"/>
          <w:sz w:val="32"/>
          <w:szCs w:val="32"/>
        </w:rPr>
      </w:pPr>
      <w:r>
        <w:rPr>
          <w:rFonts w:hint="eastAsia" w:ascii="楷体" w:hAnsi="楷体" w:eastAsia="楷体" w:cs="楷体"/>
          <w:b w:val="0"/>
          <w:bCs w:val="0"/>
          <w:sz w:val="32"/>
          <w:szCs w:val="32"/>
        </w:rPr>
        <w:t>（二）政府采购支出情况</w:t>
      </w:r>
      <w:bookmarkEnd w:id="41"/>
    </w:p>
    <w:p w14:paraId="35B71FA8">
      <w:pPr>
        <w:spacing w:line="600" w:lineRule="exact"/>
        <w:ind w:firstLine="640" w:firstLineChars="200"/>
        <w:rPr>
          <w:rFonts w:ascii="仿宋" w:hAnsi="仿宋" w:eastAsia="仿宋"/>
          <w:b w:val="0"/>
          <w:bCs w:val="0"/>
          <w:sz w:val="32"/>
          <w:szCs w:val="32"/>
        </w:rPr>
      </w:pPr>
      <w:r>
        <w:rPr>
          <w:rFonts w:hint="eastAsia" w:ascii="仿宋_GB2312" w:eastAsia="仿宋_GB2312"/>
          <w:b w:val="0"/>
          <w:bCs w:val="0"/>
          <w:sz w:val="32"/>
          <w:szCs w:val="32"/>
        </w:rPr>
        <w:t>2023年度</w:t>
      </w:r>
      <w:r>
        <w:rPr>
          <w:rFonts w:eastAsia="仿宋_GB2312"/>
          <w:sz w:val="32"/>
          <w:szCs w:val="32"/>
        </w:rPr>
        <w:t>，大竹县月华镇第二中心小学无政府采购支出。</w:t>
      </w:r>
    </w:p>
    <w:p w14:paraId="7557F0BE">
      <w:pPr>
        <w:spacing w:line="600" w:lineRule="exact"/>
        <w:ind w:firstLine="640" w:firstLineChars="200"/>
        <w:outlineLvl w:val="2"/>
        <w:rPr>
          <w:rFonts w:hint="eastAsia" w:ascii="楷体" w:hAnsi="楷体" w:eastAsia="楷体" w:cs="楷体"/>
          <w:b w:val="0"/>
          <w:bCs w:val="0"/>
          <w:sz w:val="32"/>
          <w:szCs w:val="32"/>
        </w:rPr>
      </w:pPr>
      <w:bookmarkStart w:id="42" w:name="_Toc15377224"/>
      <w:r>
        <w:rPr>
          <w:rFonts w:hint="eastAsia" w:ascii="楷体" w:hAnsi="楷体" w:eastAsia="楷体" w:cs="楷体"/>
          <w:b w:val="0"/>
          <w:bCs w:val="0"/>
          <w:sz w:val="32"/>
          <w:szCs w:val="32"/>
        </w:rPr>
        <w:t>（三）国有资产占有使用情况</w:t>
      </w:r>
      <w:bookmarkEnd w:id="42"/>
    </w:p>
    <w:p w14:paraId="5AB70C5D">
      <w:pPr>
        <w:autoSpaceDE w:val="0"/>
        <w:autoSpaceDN w:val="0"/>
        <w:adjustRightInd w:val="0"/>
        <w:spacing w:line="600" w:lineRule="exact"/>
        <w:ind w:firstLine="640" w:firstLineChars="200"/>
        <w:jc w:val="left"/>
        <w:rPr>
          <w:rFonts w:ascii="仿宋_GB2312" w:eastAsia="仿宋_GB2312"/>
          <w:b w:val="0"/>
          <w:bCs w:val="0"/>
          <w:sz w:val="32"/>
          <w:szCs w:val="32"/>
        </w:rPr>
      </w:pPr>
      <w:r>
        <w:rPr>
          <w:rFonts w:hint="eastAsia" w:ascii="仿宋_GB2312" w:eastAsia="仿宋_GB2312"/>
          <w:b w:val="0"/>
          <w:bCs w:val="0"/>
          <w:sz w:val="32"/>
          <w:szCs w:val="32"/>
        </w:rPr>
        <w:t>截至2023年</w:t>
      </w:r>
      <w:r>
        <w:rPr>
          <w:rFonts w:ascii="仿宋_GB2312" w:eastAsia="仿宋_GB2312"/>
          <w:b w:val="0"/>
          <w:bCs w:val="0"/>
          <w:sz w:val="32"/>
          <w:szCs w:val="32"/>
        </w:rPr>
        <w:t>12</w:t>
      </w:r>
      <w:r>
        <w:rPr>
          <w:rFonts w:hint="eastAsia" w:ascii="仿宋_GB2312" w:eastAsia="仿宋_GB2312"/>
          <w:b w:val="0"/>
          <w:bCs w:val="0"/>
          <w:sz w:val="32"/>
          <w:szCs w:val="32"/>
        </w:rPr>
        <w:t>月</w:t>
      </w:r>
      <w:r>
        <w:rPr>
          <w:rFonts w:ascii="仿宋_GB2312" w:eastAsia="仿宋_GB2312"/>
          <w:b w:val="0"/>
          <w:bCs w:val="0"/>
          <w:sz w:val="32"/>
          <w:szCs w:val="32"/>
        </w:rPr>
        <w:t>31</w:t>
      </w:r>
      <w:r>
        <w:rPr>
          <w:rFonts w:hint="eastAsia" w:ascii="仿宋_GB2312" w:eastAsia="仿宋_GB2312"/>
          <w:b w:val="0"/>
          <w:bCs w:val="0"/>
          <w:sz w:val="32"/>
          <w:szCs w:val="32"/>
        </w:rPr>
        <w:t>日，</w:t>
      </w:r>
      <w:r>
        <w:rPr>
          <w:rFonts w:ascii="仿宋_GB2312" w:eastAsia="仿宋_GB2312"/>
          <w:b w:val="0"/>
          <w:bCs w:val="0"/>
          <w:sz w:val="32"/>
          <w:szCs w:val="32"/>
        </w:rPr>
        <w:t>大竹县月华镇第二中心小学</w:t>
      </w:r>
      <w:r>
        <w:rPr>
          <w:rFonts w:hint="eastAsia" w:ascii="仿宋_GB2312" w:eastAsia="仿宋_GB2312"/>
          <w:b w:val="0"/>
          <w:bCs w:val="0"/>
          <w:sz w:val="32"/>
          <w:szCs w:val="32"/>
        </w:rPr>
        <w:t>共有车辆0辆，其中：主要领导干部用车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辆、机要通信用车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辆、应急保障用车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辆、其他用车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辆。单价</w:t>
      </w:r>
      <w:r>
        <w:rPr>
          <w:rFonts w:ascii="仿宋_GB2312" w:eastAsia="仿宋_GB2312"/>
          <w:b w:val="0"/>
          <w:bCs w:val="0"/>
          <w:sz w:val="32"/>
          <w:szCs w:val="32"/>
        </w:rPr>
        <w:t>100</w:t>
      </w:r>
      <w:r>
        <w:rPr>
          <w:rFonts w:hint="eastAsia" w:ascii="仿宋_GB2312" w:eastAsia="仿宋_GB2312"/>
          <w:b w:val="0"/>
          <w:bCs w:val="0"/>
          <w:sz w:val="32"/>
          <w:szCs w:val="32"/>
        </w:rPr>
        <w:t>万元以上设备（不含车辆）</w:t>
      </w:r>
      <w:r>
        <w:rPr>
          <w:rFonts w:ascii="仿宋_GB2312" w:eastAsia="仿宋_GB2312"/>
          <w:b w:val="0"/>
          <w:bCs w:val="0"/>
          <w:sz w:val="32"/>
          <w:szCs w:val="32"/>
        </w:rPr>
        <w:t>0</w:t>
      </w:r>
      <w:r>
        <w:rPr>
          <w:rFonts w:hint="eastAsia" w:ascii="仿宋_GB2312" w:eastAsia="仿宋_GB2312"/>
          <w:b w:val="0"/>
          <w:bCs w:val="0"/>
          <w:sz w:val="32"/>
          <w:szCs w:val="32"/>
        </w:rPr>
        <w:t>台（套）。</w:t>
      </w:r>
    </w:p>
    <w:p w14:paraId="2EFE99FD">
      <w:pPr>
        <w:autoSpaceDE w:val="0"/>
        <w:autoSpaceDN w:val="0"/>
        <w:adjustRightInd w:val="0"/>
        <w:spacing w:line="600" w:lineRule="exact"/>
        <w:ind w:firstLine="640" w:firstLineChars="200"/>
        <w:jc w:val="left"/>
        <w:outlineLvl w:val="2"/>
        <w:rPr>
          <w:rFonts w:ascii="仿宋" w:hAnsi="仿宋" w:eastAsia="仿宋"/>
          <w:b w:val="0"/>
          <w:bCs w:val="0"/>
          <w:sz w:val="32"/>
          <w:szCs w:val="32"/>
        </w:rPr>
      </w:pPr>
      <w:r>
        <w:rPr>
          <w:rFonts w:hint="eastAsia" w:ascii="楷体" w:hAnsi="楷体" w:eastAsia="楷体" w:cs="楷体"/>
          <w:b w:val="0"/>
          <w:bCs w:val="0"/>
          <w:sz w:val="32"/>
          <w:szCs w:val="32"/>
        </w:rPr>
        <w:t>（四）预算绩效管理情况</w:t>
      </w:r>
    </w:p>
    <w:p w14:paraId="4AE57F10">
      <w:pPr>
        <w:spacing w:line="60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根据预算绩效管理要求，本单位在2023年度预算编制阶段，组织对</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项目（项目名称）等</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个项目开展了预算事前绩效评估，对</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个项目编制了绩效目标，预算执行过程中，选取</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个项目开展绩效监控，组织对</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个项目开展绩效自评，绩效自评表详见第四部分附件。</w:t>
      </w:r>
    </w:p>
    <w:p w14:paraId="29409FAD">
      <w:pPr>
        <w:spacing w:line="60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br w:type="page"/>
      </w:r>
    </w:p>
    <w:p w14:paraId="4D352126">
      <w:pPr>
        <w:numPr>
          <w:ilvl w:val="0"/>
          <w:numId w:val="4"/>
        </w:numPr>
        <w:spacing w:line="600" w:lineRule="exact"/>
        <w:ind w:firstLine="660" w:firstLineChars="150"/>
        <w:jc w:val="center"/>
        <w:outlineLvl w:val="0"/>
        <w:rPr>
          <w:rStyle w:val="27"/>
          <w:rFonts w:ascii="黑体" w:hAnsi="黑体" w:eastAsia="黑体"/>
          <w:b w:val="0"/>
          <w:bCs w:val="0"/>
        </w:rPr>
      </w:pPr>
      <w:bookmarkStart w:id="43" w:name="_Toc15377225"/>
      <w:bookmarkStart w:id="44" w:name="_Toc15396613"/>
      <w:r>
        <w:rPr>
          <w:rFonts w:hint="eastAsia" w:ascii="黑体" w:hAnsi="黑体" w:eastAsia="黑体"/>
          <w:b w:val="0"/>
          <w:bCs w:val="0"/>
          <w:sz w:val="44"/>
          <w:szCs w:val="44"/>
        </w:rPr>
        <w:t>名</w:t>
      </w:r>
      <w:r>
        <w:rPr>
          <w:rStyle w:val="27"/>
          <w:rFonts w:hint="eastAsia" w:ascii="黑体" w:hAnsi="黑体" w:eastAsia="黑体"/>
          <w:b w:val="0"/>
          <w:bCs w:val="0"/>
        </w:rPr>
        <w:t>词解释</w:t>
      </w:r>
      <w:bookmarkEnd w:id="43"/>
      <w:bookmarkEnd w:id="44"/>
    </w:p>
    <w:p w14:paraId="5D9F9B69">
      <w:pPr>
        <w:spacing w:line="600" w:lineRule="exact"/>
        <w:jc w:val="left"/>
        <w:rPr>
          <w:rFonts w:ascii="宋体"/>
          <w:b w:val="0"/>
          <w:bCs w:val="0"/>
          <w:sz w:val="44"/>
          <w:szCs w:val="44"/>
        </w:rPr>
      </w:pPr>
    </w:p>
    <w:p w14:paraId="16A1E4CF">
      <w:pPr>
        <w:spacing w:line="600" w:lineRule="exact"/>
        <w:ind w:firstLine="640" w:firstLineChars="200"/>
        <w:jc w:val="left"/>
        <w:outlineLvl w:val="0"/>
        <w:rPr>
          <w:rFonts w:ascii="仿宋" w:hAnsi="仿宋" w:eastAsia="仿宋"/>
          <w:sz w:val="32"/>
          <w:szCs w:val="32"/>
        </w:rPr>
      </w:pPr>
      <w:bookmarkStart w:id="45" w:name="_Toc15377226"/>
      <w:r>
        <w:rPr>
          <w:rFonts w:hint="eastAsia" w:ascii="仿宋" w:hAnsi="仿宋" w:eastAsia="仿宋"/>
          <w:sz w:val="32"/>
          <w:szCs w:val="32"/>
        </w:rPr>
        <w:t>1.财政拨款收入：指单位从同级财政部门取得的财政预算资金。</w:t>
      </w:r>
    </w:p>
    <w:p w14:paraId="305FCD3F">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2.事业收入：指事业单位开展专业业务活动及辅助活动取得的收入。</w:t>
      </w:r>
    </w:p>
    <w:p w14:paraId="290F6B04">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3.经营收入：指事业单位在专业业务活动及其辅助活动之外开展非独立核算经营活动取得的收入。</w:t>
      </w:r>
    </w:p>
    <w:p w14:paraId="731DA84D">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4.其他收入：指单位取得的除上述收入以外的各项收入。</w:t>
      </w:r>
    </w:p>
    <w:p w14:paraId="6680467F">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5.用基金弥补收支差额：指事业单位在当年的财政拨款收入、事业收入、经营收入、其他收入不足以安排当年支出的情况下，使用以前年度积累的基金（事业单位当年收支相抵后按国家规定提取、用于弥补以后年度收支差额的基金）弥补本年度收支缺口的资金。</w:t>
      </w:r>
    </w:p>
    <w:p w14:paraId="6C9F8328">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6.年初结转和结余：指以前年度尚未完成、结转到本年按有关规定继续使用的资金。</w:t>
      </w:r>
    </w:p>
    <w:p w14:paraId="2A618E88">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7.结余分配：指事业单位按照事业单位会计制度的规定从非财政补助结余中分配的基金和职工福利基金等。</w:t>
      </w:r>
    </w:p>
    <w:p w14:paraId="678D1162">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8、年末结转和结余：指单位按有关规定结转到下年或以后年度继续使用的资金。</w:t>
      </w:r>
    </w:p>
    <w:p w14:paraId="31B0F251">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9.教育支出（205）普通教育（02）</w:t>
      </w:r>
      <w:r>
        <w:rPr>
          <w:rFonts w:hint="eastAsia" w:ascii="仿宋" w:hAnsi="仿宋" w:eastAsia="仿宋"/>
          <w:sz w:val="32"/>
          <w:szCs w:val="32"/>
          <w:lang w:val="en-US" w:eastAsia="zh-CN"/>
        </w:rPr>
        <w:t>小学</w:t>
      </w:r>
      <w:r>
        <w:rPr>
          <w:rFonts w:hint="eastAsia" w:ascii="仿宋" w:hAnsi="仿宋" w:eastAsia="仿宋"/>
          <w:sz w:val="32"/>
          <w:szCs w:val="32"/>
        </w:rPr>
        <w:t>教育（0</w:t>
      </w:r>
      <w:r>
        <w:rPr>
          <w:rFonts w:hint="eastAsia" w:ascii="仿宋" w:hAnsi="仿宋" w:eastAsia="仿宋"/>
          <w:sz w:val="32"/>
          <w:szCs w:val="32"/>
          <w:lang w:val="en-US" w:eastAsia="zh-CN"/>
        </w:rPr>
        <w:t>2</w:t>
      </w:r>
      <w:r>
        <w:rPr>
          <w:rFonts w:hint="eastAsia" w:ascii="仿宋" w:hAnsi="仿宋" w:eastAsia="仿宋"/>
          <w:sz w:val="32"/>
          <w:szCs w:val="32"/>
        </w:rPr>
        <w:t>）：反应各部门</w:t>
      </w:r>
      <w:r>
        <w:rPr>
          <w:rFonts w:hint="eastAsia" w:ascii="仿宋" w:hAnsi="仿宋" w:eastAsia="仿宋"/>
          <w:sz w:val="32"/>
          <w:szCs w:val="32"/>
          <w:lang w:val="en-US" w:eastAsia="zh-CN"/>
        </w:rPr>
        <w:t>小学</w:t>
      </w:r>
      <w:r>
        <w:rPr>
          <w:rFonts w:hint="eastAsia" w:ascii="仿宋" w:hAnsi="仿宋" w:eastAsia="仿宋"/>
          <w:sz w:val="32"/>
          <w:szCs w:val="32"/>
        </w:rPr>
        <w:t>教育支出。政府各部门对社会组织等举办的初中的资助，如捐赠、补贴等，也在本科目中反映。</w:t>
      </w:r>
    </w:p>
    <w:p w14:paraId="07C43AA3">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10.社会保障和就业支出（208）行政事业单位养老支出（05）机关事业单位基本养老保险缴费支出（05）：指反映机关事业单位实施养老保险制度由单位缴纳的基本养老保险费支出。</w:t>
      </w:r>
    </w:p>
    <w:p w14:paraId="47AEDF64">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11.社会保障和就业支出（208）行政事业单位养老支出（05）其他行政事业单位养老支出（99）：反映除上述项目以外其他用于行政事业单位养老方面的支出。</w:t>
      </w:r>
    </w:p>
    <w:p w14:paraId="213C4603">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12.卫生健康支出（210）行政事业单位医疗（11）事业单位医疗（02）：反映财政部门安排的事业单位基本医疗保险缴费经费，未参加医疗保险的事业单位的公费医疗经费，按国家规定享受离休人员待遇的医疗经费。</w:t>
      </w:r>
    </w:p>
    <w:p w14:paraId="1BA48448">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13.住房保障支出（221）住房改革支出（02）住房公积金（01）：指反映行政事业单位按人力资源和社会保障部、财政部规定的基本工资和津贴补贴以及规定比例为职工缴纳的住房公积金。</w:t>
      </w:r>
    </w:p>
    <w:p w14:paraId="3C267893">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14.基本支出：指为保障机构正常运转、完成日常工作任务而发生的人员支出和公用支出。</w:t>
      </w:r>
    </w:p>
    <w:p w14:paraId="2A354C09">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15.项目支出：指在基本支出之外为完成特定行政任务和事业发展目标所发生的支出。</w:t>
      </w:r>
    </w:p>
    <w:p w14:paraId="0B157870">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16.经营支出：指事业单位在专业业务活动及其辅助活动之外开支非独立核算经营活动发生的支出。</w:t>
      </w:r>
    </w:p>
    <w:p w14:paraId="4E4744E0">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w:t>
      </w:r>
      <w:r>
        <w:rPr>
          <w:rFonts w:hint="eastAsia" w:ascii="仿宋" w:hAnsi="仿宋" w:eastAsia="仿宋"/>
          <w:sz w:val="32"/>
          <w:szCs w:val="32"/>
          <w:lang w:val="en-US" w:eastAsia="zh-CN"/>
        </w:rPr>
        <w:t>未</w:t>
      </w:r>
      <w:r>
        <w:rPr>
          <w:rFonts w:hint="eastAsia" w:ascii="仿宋" w:hAnsi="仿宋" w:eastAsia="仿宋"/>
          <w:sz w:val="32"/>
          <w:szCs w:val="32"/>
        </w:rPr>
        <w:t>按规定</w:t>
      </w:r>
      <w:r>
        <w:rPr>
          <w:rFonts w:hint="eastAsia" w:ascii="仿宋" w:hAnsi="仿宋" w:eastAsia="仿宋"/>
          <w:sz w:val="32"/>
          <w:szCs w:val="32"/>
          <w:lang w:val="en-US" w:eastAsia="zh-CN"/>
        </w:rPr>
        <w:t>的</w:t>
      </w:r>
      <w:r>
        <w:rPr>
          <w:rFonts w:hint="eastAsia" w:ascii="仿宋" w:hAnsi="仿宋" w:eastAsia="仿宋"/>
          <w:sz w:val="32"/>
          <w:szCs w:val="32"/>
        </w:rPr>
        <w:t>各类公务接待（含外宾接待）支出。</w:t>
      </w:r>
    </w:p>
    <w:p w14:paraId="5156A963">
      <w:pPr>
        <w:spacing w:line="240" w:lineRule="auto"/>
        <w:ind w:firstLine="640"/>
        <w:jc w:val="center"/>
        <w:outlineLvl w:val="0"/>
        <w:rPr>
          <w:rFonts w:hint="eastAsia" w:ascii="仿宋" w:hAnsi="仿宋" w:eastAsia="仿宋"/>
          <w:sz w:val="32"/>
          <w:szCs w:val="32"/>
        </w:rPr>
      </w:pPr>
      <w:r>
        <w:rPr>
          <w:rFonts w:hint="eastAsia" w:ascii="仿宋" w:hAnsi="仿宋" w:eastAsia="仿宋"/>
          <w:sz w:val="32"/>
          <w:szCs w:val="32"/>
          <w:lang w:val="en-US" w:eastAsia="zh-CN"/>
        </w:rPr>
        <w:t>18</w:t>
      </w:r>
      <w:r>
        <w:rPr>
          <w:rFonts w:hint="eastAsia" w:ascii="仿宋" w:hAnsi="仿宋" w:eastAsia="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w:t>
      </w:r>
    </w:p>
    <w:p w14:paraId="5AD289C5">
      <w:pPr>
        <w:spacing w:line="240" w:lineRule="auto"/>
        <w:jc w:val="center"/>
        <w:outlineLvl w:val="0"/>
        <w:rPr>
          <w:rFonts w:ascii="仿宋_GB2312" w:hAnsi="仿宋_GB2312" w:eastAsia="仿宋_GB2312" w:cs="仿宋_GB2312"/>
          <w:b w:val="0"/>
          <w:bCs w:val="0"/>
          <w:sz w:val="32"/>
          <w:szCs w:val="32"/>
        </w:rPr>
      </w:pPr>
      <w:r>
        <w:rPr>
          <w:rFonts w:hint="eastAsia" w:ascii="仿宋" w:hAnsi="仿宋" w:eastAsia="仿宋"/>
          <w:sz w:val="32"/>
          <w:szCs w:val="32"/>
        </w:rPr>
        <w:t>公用房物业管理费、公务用车运行维护费及其他费用。</w:t>
      </w:r>
      <w:r>
        <w:rPr>
          <w:rFonts w:ascii="宋体"/>
          <w:b w:val="0"/>
          <w:bCs w:val="0"/>
          <w:sz w:val="44"/>
          <w:szCs w:val="44"/>
        </w:rPr>
        <w:br w:type="page"/>
      </w:r>
      <w:bookmarkStart w:id="46" w:name="_Toc15396614"/>
      <w:r>
        <w:rPr>
          <w:rFonts w:hint="eastAsia" w:ascii="宋体"/>
          <w:b w:val="0"/>
          <w:bCs w:val="0"/>
          <w:sz w:val="44"/>
          <w:szCs w:val="44"/>
          <w:lang w:val="en-US" w:eastAsia="zh-CN"/>
        </w:rPr>
        <w:t xml:space="preserve">  </w:t>
      </w:r>
      <w:r>
        <w:rPr>
          <w:rFonts w:hint="eastAsia" w:ascii="黑体" w:hAnsi="黑体" w:eastAsia="黑体"/>
          <w:b w:val="0"/>
          <w:bCs w:val="0"/>
          <w:sz w:val="44"/>
          <w:szCs w:val="44"/>
        </w:rPr>
        <w:t>第</w:t>
      </w:r>
      <w:r>
        <w:rPr>
          <w:rStyle w:val="27"/>
          <w:rFonts w:hint="eastAsia" w:ascii="黑体" w:hAnsi="黑体" w:eastAsia="黑体"/>
          <w:b w:val="0"/>
          <w:bCs w:val="0"/>
        </w:rPr>
        <w:t>四部分 附件</w:t>
      </w:r>
      <w:bookmarkEnd w:id="46"/>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24"/>
        <w:gridCol w:w="1165"/>
        <w:gridCol w:w="1169"/>
        <w:gridCol w:w="1789"/>
        <w:gridCol w:w="933"/>
        <w:gridCol w:w="1087"/>
        <w:gridCol w:w="700"/>
        <w:gridCol w:w="544"/>
        <w:gridCol w:w="750"/>
      </w:tblGrid>
      <w:tr w14:paraId="6105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9"/>
            <w:tcBorders>
              <w:top w:val="nil"/>
              <w:left w:val="nil"/>
              <w:bottom w:val="nil"/>
              <w:right w:val="nil"/>
            </w:tcBorders>
            <w:shd w:val="clear"/>
            <w:vAlign w:val="center"/>
          </w:tcPr>
          <w:p w14:paraId="31C30B7A">
            <w:pPr>
              <w:keepNext w:val="0"/>
              <w:keepLines w:val="0"/>
              <w:widowControl/>
              <w:suppressLineNumbers w:val="0"/>
              <w:jc w:val="center"/>
              <w:textAlignment w:val="center"/>
              <w:rPr>
                <w:rFonts w:ascii="黑体" w:hAnsi="宋体" w:eastAsia="黑体" w:cs="黑体"/>
                <w:i w:val="0"/>
                <w:iCs w:val="0"/>
                <w:color w:val="000000"/>
                <w:sz w:val="30"/>
                <w:szCs w:val="30"/>
                <w:u w:val="none"/>
              </w:rPr>
            </w:pPr>
            <w:bookmarkStart w:id="47" w:name="_Toc15396618"/>
            <w:r>
              <w:rPr>
                <w:rFonts w:hint="eastAsia" w:ascii="黑体" w:hAnsi="宋体" w:eastAsia="黑体" w:cs="黑体"/>
                <w:i w:val="0"/>
                <w:iCs w:val="0"/>
                <w:color w:val="000000"/>
                <w:kern w:val="0"/>
                <w:sz w:val="30"/>
                <w:szCs w:val="30"/>
                <w:u w:val="none"/>
                <w:bdr w:val="none" w:color="auto" w:sz="0" w:space="0"/>
                <w:lang w:val="en-US" w:eastAsia="zh-CN" w:bidi="ar"/>
              </w:rPr>
              <w:t>部门整体支出绩效目标完成情况自评表</w:t>
            </w:r>
          </w:p>
        </w:tc>
      </w:tr>
      <w:tr w14:paraId="44CF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9"/>
            <w:tcBorders>
              <w:top w:val="nil"/>
              <w:left w:val="nil"/>
              <w:bottom w:val="nil"/>
              <w:right w:val="nil"/>
            </w:tcBorders>
            <w:shd w:val="clear"/>
            <w:vAlign w:val="center"/>
          </w:tcPr>
          <w:p w14:paraId="01980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（2023年度）</w:t>
            </w:r>
          </w:p>
        </w:tc>
      </w:tr>
      <w:tr w14:paraId="4127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9"/>
            <w:tcBorders>
              <w:top w:val="nil"/>
              <w:left w:val="nil"/>
              <w:bottom w:val="nil"/>
              <w:right w:val="nil"/>
            </w:tcBorders>
            <w:shd w:val="clear"/>
            <w:vAlign w:val="center"/>
          </w:tcPr>
          <w:p w14:paraId="25DAB75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0DD1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1798" w:type="pct"/>
            <w:gridSpan w:val="3"/>
            <w:tcBorders>
              <w:top w:val="single" w:color="000000" w:sz="4" w:space="0"/>
              <w:left w:val="single" w:color="000000" w:sz="4" w:space="0"/>
              <w:bottom w:val="single" w:color="000000" w:sz="4" w:space="0"/>
              <w:right w:val="single" w:color="000000" w:sz="4" w:space="0"/>
            </w:tcBorders>
            <w:shd w:val="clear"/>
            <w:vAlign w:val="center"/>
          </w:tcPr>
          <w:p w14:paraId="0D775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p>
        </w:tc>
        <w:tc>
          <w:tcPr>
            <w:tcW w:w="3201" w:type="pct"/>
            <w:gridSpan w:val="6"/>
            <w:tcBorders>
              <w:top w:val="single" w:color="000000" w:sz="4" w:space="0"/>
              <w:left w:val="single" w:color="000000" w:sz="4" w:space="0"/>
              <w:bottom w:val="single" w:color="000000" w:sz="4" w:space="0"/>
              <w:right w:val="single" w:color="000000" w:sz="4" w:space="0"/>
            </w:tcBorders>
            <w:shd w:val="clear"/>
            <w:vAlign w:val="center"/>
          </w:tcPr>
          <w:p w14:paraId="6D13B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大竹县月华镇第二中心小学部门</w:t>
            </w:r>
          </w:p>
        </w:tc>
      </w:tr>
      <w:tr w14:paraId="73181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vAlign w:val="center"/>
          </w:tcPr>
          <w:p w14:paraId="58B18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年度部门整体支出预算</w:t>
            </w:r>
          </w:p>
        </w:tc>
        <w:tc>
          <w:tcPr>
            <w:tcW w:w="1287" w:type="pct"/>
            <w:gridSpan w:val="2"/>
            <w:tcBorders>
              <w:top w:val="single" w:color="000000" w:sz="4" w:space="0"/>
              <w:left w:val="single" w:color="000000" w:sz="4" w:space="0"/>
              <w:bottom w:val="single" w:color="000000" w:sz="4" w:space="0"/>
              <w:right w:val="single" w:color="000000" w:sz="4" w:space="0"/>
            </w:tcBorders>
            <w:shd w:val="clear"/>
            <w:vAlign w:val="center"/>
          </w:tcPr>
          <w:p w14:paraId="1D044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资金总额</w:t>
            </w:r>
          </w:p>
        </w:tc>
        <w:tc>
          <w:tcPr>
            <w:tcW w:w="1502" w:type="pct"/>
            <w:gridSpan w:val="2"/>
            <w:tcBorders>
              <w:top w:val="single" w:color="000000" w:sz="4" w:space="0"/>
              <w:left w:val="single" w:color="000000" w:sz="4" w:space="0"/>
              <w:bottom w:val="single" w:color="000000" w:sz="4" w:space="0"/>
              <w:right w:val="single" w:color="000000" w:sz="4" w:space="0"/>
            </w:tcBorders>
            <w:shd w:val="clear"/>
            <w:vAlign w:val="center"/>
          </w:tcPr>
          <w:p w14:paraId="4B229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财政拨款</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14:paraId="08639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r>
      <w:tr w14:paraId="0B4D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7B102E">
            <w:pPr>
              <w:jc w:val="center"/>
              <w:rPr>
                <w:rFonts w:hint="eastAsia" w:ascii="宋体" w:hAnsi="宋体" w:eastAsia="宋体" w:cs="宋体"/>
                <w:i w:val="0"/>
                <w:iCs w:val="0"/>
                <w:color w:val="000000"/>
                <w:sz w:val="18"/>
                <w:szCs w:val="18"/>
                <w:u w:val="none"/>
              </w:rPr>
            </w:pPr>
          </w:p>
        </w:tc>
        <w:tc>
          <w:tcPr>
            <w:tcW w:w="1287" w:type="pct"/>
            <w:gridSpan w:val="2"/>
            <w:tcBorders>
              <w:top w:val="single" w:color="000000" w:sz="4" w:space="0"/>
              <w:left w:val="single" w:color="000000" w:sz="4" w:space="0"/>
              <w:bottom w:val="single" w:color="000000" w:sz="4" w:space="0"/>
              <w:right w:val="single" w:color="000000" w:sz="4" w:space="0"/>
            </w:tcBorders>
            <w:shd w:val="clear"/>
            <w:vAlign w:val="center"/>
          </w:tcPr>
          <w:p w14:paraId="215F7E1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681.64</w:t>
            </w:r>
          </w:p>
        </w:tc>
        <w:tc>
          <w:tcPr>
            <w:tcW w:w="1502" w:type="pct"/>
            <w:gridSpan w:val="2"/>
            <w:tcBorders>
              <w:top w:val="single" w:color="000000" w:sz="4" w:space="0"/>
              <w:left w:val="single" w:color="000000" w:sz="4" w:space="0"/>
              <w:bottom w:val="single" w:color="000000" w:sz="4" w:space="0"/>
              <w:right w:val="single" w:color="000000" w:sz="4" w:space="0"/>
            </w:tcBorders>
            <w:shd w:val="clear"/>
            <w:vAlign w:val="center"/>
          </w:tcPr>
          <w:p w14:paraId="0E88EE8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681.61</w:t>
            </w:r>
          </w:p>
        </w:tc>
        <w:tc>
          <w:tcPr>
            <w:tcW w:w="1698" w:type="pct"/>
            <w:gridSpan w:val="4"/>
            <w:tcBorders>
              <w:top w:val="single" w:color="000000" w:sz="4" w:space="0"/>
              <w:left w:val="single" w:color="000000" w:sz="4" w:space="0"/>
              <w:bottom w:val="single" w:color="000000" w:sz="4" w:space="0"/>
              <w:right w:val="single" w:color="000000" w:sz="4" w:space="0"/>
            </w:tcBorders>
            <w:shd w:val="clear"/>
            <w:vAlign w:val="center"/>
          </w:tcPr>
          <w:p w14:paraId="2D3DC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r>
      <w:tr w14:paraId="3652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2" w:hRule="atLeast"/>
        </w:trPr>
        <w:tc>
          <w:tcPr>
            <w:tcW w:w="510" w:type="pct"/>
            <w:tcBorders>
              <w:top w:val="single" w:color="000000" w:sz="4" w:space="0"/>
              <w:left w:val="single" w:color="000000" w:sz="4" w:space="0"/>
              <w:bottom w:val="single" w:color="000000" w:sz="4" w:space="0"/>
              <w:right w:val="single" w:color="000000" w:sz="4" w:space="0"/>
            </w:tcBorders>
            <w:shd w:val="clear"/>
            <w:vAlign w:val="center"/>
          </w:tcPr>
          <w:p w14:paraId="36196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年度总体目标</w:t>
            </w:r>
          </w:p>
        </w:tc>
        <w:tc>
          <w:tcPr>
            <w:tcW w:w="4489" w:type="pct"/>
            <w:gridSpan w:val="8"/>
            <w:tcBorders>
              <w:top w:val="single" w:color="000000" w:sz="4" w:space="0"/>
              <w:left w:val="single" w:color="000000" w:sz="4" w:space="0"/>
              <w:bottom w:val="single" w:color="000000" w:sz="4" w:space="0"/>
              <w:right w:val="single" w:color="000000" w:sz="4" w:space="0"/>
            </w:tcBorders>
            <w:shd w:val="clear"/>
            <w:vAlign w:val="center"/>
          </w:tcPr>
          <w:p w14:paraId="5F4E5E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目标1：保障学校在职人员34人、退休人员27人的正常办公、生活秩序；</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目标2：坚决执行党和国家教育方针政策；</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目标 3：管好用好国家的教育资金，改善和优化农村的办学条件。</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目标 4：把教育教学质量放在首位，提高教师从教的幸福感，办人民满意的教育。</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目标 5：引领教师专业进步，进行专业进修。</w:t>
            </w:r>
            <w:bookmarkStart w:id="61" w:name="_GoBack"/>
            <w:bookmarkEnd w:id="61"/>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目标 6：保障学生平等权益，保障校园安全。</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目标 7：培训教师教育教研活动，提高教师的业务水平。</w:t>
            </w:r>
          </w:p>
        </w:tc>
      </w:tr>
      <w:tr w14:paraId="6328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vAlign w:val="center"/>
          </w:tcPr>
          <w:p w14:paraId="7E636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年度主要任务</w:t>
            </w:r>
          </w:p>
        </w:tc>
        <w:tc>
          <w:tcPr>
            <w:tcW w:w="1287" w:type="pct"/>
            <w:gridSpan w:val="2"/>
            <w:tcBorders>
              <w:top w:val="single" w:color="000000" w:sz="4" w:space="0"/>
              <w:left w:val="single" w:color="000000" w:sz="4" w:space="0"/>
              <w:bottom w:val="single" w:color="000000" w:sz="4" w:space="0"/>
              <w:right w:val="single" w:color="000000" w:sz="4" w:space="0"/>
            </w:tcBorders>
            <w:shd w:val="clear"/>
            <w:vAlign w:val="center"/>
          </w:tcPr>
          <w:p w14:paraId="7E544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任务名称</w:t>
            </w:r>
          </w:p>
        </w:tc>
        <w:tc>
          <w:tcPr>
            <w:tcW w:w="3201" w:type="pct"/>
            <w:gridSpan w:val="6"/>
            <w:tcBorders>
              <w:top w:val="single" w:color="000000" w:sz="4" w:space="0"/>
              <w:left w:val="single" w:color="000000" w:sz="4" w:space="0"/>
              <w:bottom w:val="single" w:color="000000" w:sz="4" w:space="0"/>
              <w:right w:val="single" w:color="000000" w:sz="4" w:space="0"/>
            </w:tcBorders>
            <w:shd w:val="clear"/>
            <w:vAlign w:val="center"/>
          </w:tcPr>
          <w:p w14:paraId="36635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主要内容</w:t>
            </w:r>
          </w:p>
        </w:tc>
      </w:tr>
      <w:tr w14:paraId="18FE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DA058C">
            <w:pPr>
              <w:jc w:val="center"/>
              <w:rPr>
                <w:rFonts w:hint="eastAsia" w:ascii="宋体" w:hAnsi="宋体" w:eastAsia="宋体" w:cs="宋体"/>
                <w:i w:val="0"/>
                <w:iCs w:val="0"/>
                <w:color w:val="000000"/>
                <w:sz w:val="18"/>
                <w:szCs w:val="18"/>
                <w:u w:val="none"/>
              </w:rPr>
            </w:pPr>
          </w:p>
        </w:tc>
        <w:tc>
          <w:tcPr>
            <w:tcW w:w="1287" w:type="pct"/>
            <w:gridSpan w:val="2"/>
            <w:tcBorders>
              <w:top w:val="single" w:color="000000" w:sz="4" w:space="0"/>
              <w:left w:val="single" w:color="000000" w:sz="4" w:space="0"/>
              <w:bottom w:val="single" w:color="000000" w:sz="4" w:space="0"/>
              <w:right w:val="single" w:color="000000" w:sz="4" w:space="0"/>
            </w:tcBorders>
            <w:shd w:val="clear"/>
            <w:vAlign w:val="center"/>
          </w:tcPr>
          <w:p w14:paraId="0A332A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目标 1：保障学校在职人员 34 人、退休人员 27人的正常办公、生活秩序；</w:t>
            </w:r>
          </w:p>
        </w:tc>
        <w:tc>
          <w:tcPr>
            <w:tcW w:w="3201" w:type="pct"/>
            <w:gridSpan w:val="6"/>
            <w:tcBorders>
              <w:top w:val="single" w:color="000000" w:sz="4" w:space="0"/>
              <w:left w:val="single" w:color="000000" w:sz="4" w:space="0"/>
              <w:bottom w:val="single" w:color="000000" w:sz="4" w:space="0"/>
              <w:right w:val="single" w:color="000000" w:sz="4" w:space="0"/>
            </w:tcBorders>
            <w:shd w:val="clear"/>
            <w:vAlign w:val="center"/>
          </w:tcPr>
          <w:p w14:paraId="2EFF3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保障学校在职人员 34人、退休人员 27人的正常办公、生活秩序</w:t>
            </w:r>
          </w:p>
        </w:tc>
      </w:tr>
      <w:tr w14:paraId="22D2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F28FA3">
            <w:pPr>
              <w:jc w:val="center"/>
              <w:rPr>
                <w:rFonts w:hint="eastAsia" w:ascii="宋体" w:hAnsi="宋体" w:eastAsia="宋体" w:cs="宋体"/>
                <w:i w:val="0"/>
                <w:iCs w:val="0"/>
                <w:color w:val="000000"/>
                <w:sz w:val="18"/>
                <w:szCs w:val="18"/>
                <w:u w:val="none"/>
              </w:rPr>
            </w:pPr>
          </w:p>
        </w:tc>
        <w:tc>
          <w:tcPr>
            <w:tcW w:w="1287" w:type="pct"/>
            <w:gridSpan w:val="2"/>
            <w:tcBorders>
              <w:top w:val="single" w:color="000000" w:sz="4" w:space="0"/>
              <w:left w:val="single" w:color="000000" w:sz="4" w:space="0"/>
              <w:bottom w:val="single" w:color="000000" w:sz="4" w:space="0"/>
              <w:right w:val="single" w:color="000000" w:sz="4" w:space="0"/>
            </w:tcBorders>
            <w:shd w:val="clear"/>
            <w:vAlign w:val="center"/>
          </w:tcPr>
          <w:p w14:paraId="303459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目标 2：坚决执行党和国家的教育方针政策。</w:t>
            </w:r>
          </w:p>
        </w:tc>
        <w:tc>
          <w:tcPr>
            <w:tcW w:w="3201" w:type="pct"/>
            <w:gridSpan w:val="6"/>
            <w:tcBorders>
              <w:top w:val="single" w:color="000000" w:sz="4" w:space="0"/>
              <w:left w:val="single" w:color="000000" w:sz="4" w:space="0"/>
              <w:bottom w:val="single" w:color="000000" w:sz="4" w:space="0"/>
              <w:right w:val="single" w:color="000000" w:sz="4" w:space="0"/>
            </w:tcBorders>
            <w:shd w:val="clear"/>
            <w:vAlign w:val="center"/>
          </w:tcPr>
          <w:p w14:paraId="2DAEF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坚决执行党和国家的教育方针政策</w:t>
            </w:r>
          </w:p>
        </w:tc>
      </w:tr>
      <w:tr w14:paraId="36EC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6A8C29">
            <w:pPr>
              <w:jc w:val="center"/>
              <w:rPr>
                <w:rFonts w:hint="eastAsia" w:ascii="宋体" w:hAnsi="宋体" w:eastAsia="宋体" w:cs="宋体"/>
                <w:i w:val="0"/>
                <w:iCs w:val="0"/>
                <w:color w:val="000000"/>
                <w:sz w:val="18"/>
                <w:szCs w:val="18"/>
                <w:u w:val="none"/>
              </w:rPr>
            </w:pPr>
          </w:p>
        </w:tc>
        <w:tc>
          <w:tcPr>
            <w:tcW w:w="1287" w:type="pct"/>
            <w:gridSpan w:val="2"/>
            <w:tcBorders>
              <w:top w:val="single" w:color="000000" w:sz="4" w:space="0"/>
              <w:left w:val="single" w:color="000000" w:sz="4" w:space="0"/>
              <w:bottom w:val="single" w:color="000000" w:sz="4" w:space="0"/>
              <w:right w:val="single" w:color="000000" w:sz="4" w:space="0"/>
            </w:tcBorders>
            <w:shd w:val="clear"/>
            <w:vAlign w:val="center"/>
          </w:tcPr>
          <w:p w14:paraId="29D02C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目标 3：管好用好国家的教育资金，改善和优化农村的办学条件。</w:t>
            </w:r>
          </w:p>
        </w:tc>
        <w:tc>
          <w:tcPr>
            <w:tcW w:w="3201" w:type="pct"/>
            <w:gridSpan w:val="6"/>
            <w:tcBorders>
              <w:top w:val="single" w:color="000000" w:sz="4" w:space="0"/>
              <w:left w:val="single" w:color="000000" w:sz="4" w:space="0"/>
              <w:bottom w:val="single" w:color="000000" w:sz="4" w:space="0"/>
              <w:right w:val="single" w:color="000000" w:sz="4" w:space="0"/>
            </w:tcBorders>
            <w:shd w:val="clear"/>
            <w:vAlign w:val="center"/>
          </w:tcPr>
          <w:p w14:paraId="53CE6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管好用好国家的教育资金，改善和优化农村的办学条件</w:t>
            </w:r>
          </w:p>
        </w:tc>
      </w:tr>
      <w:tr w14:paraId="1778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D6EE4A">
            <w:pPr>
              <w:jc w:val="center"/>
              <w:rPr>
                <w:rFonts w:hint="eastAsia" w:ascii="宋体" w:hAnsi="宋体" w:eastAsia="宋体" w:cs="宋体"/>
                <w:i w:val="0"/>
                <w:iCs w:val="0"/>
                <w:color w:val="000000"/>
                <w:sz w:val="18"/>
                <w:szCs w:val="18"/>
                <w:u w:val="none"/>
              </w:rPr>
            </w:pPr>
          </w:p>
        </w:tc>
        <w:tc>
          <w:tcPr>
            <w:tcW w:w="1287" w:type="pct"/>
            <w:gridSpan w:val="2"/>
            <w:tcBorders>
              <w:top w:val="single" w:color="000000" w:sz="4" w:space="0"/>
              <w:left w:val="single" w:color="000000" w:sz="4" w:space="0"/>
              <w:bottom w:val="single" w:color="000000" w:sz="4" w:space="0"/>
              <w:right w:val="single" w:color="000000" w:sz="4" w:space="0"/>
            </w:tcBorders>
            <w:shd w:val="clear"/>
            <w:vAlign w:val="center"/>
          </w:tcPr>
          <w:p w14:paraId="31AE38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目标 4：把教育教学质量放在首位，提高教师从教的幸福感，办人民满意的教育</w:t>
            </w:r>
          </w:p>
        </w:tc>
        <w:tc>
          <w:tcPr>
            <w:tcW w:w="3201" w:type="pct"/>
            <w:gridSpan w:val="6"/>
            <w:tcBorders>
              <w:top w:val="single" w:color="000000" w:sz="4" w:space="0"/>
              <w:left w:val="single" w:color="000000" w:sz="4" w:space="0"/>
              <w:bottom w:val="single" w:color="000000" w:sz="4" w:space="0"/>
              <w:right w:val="single" w:color="000000" w:sz="4" w:space="0"/>
            </w:tcBorders>
            <w:shd w:val="clear"/>
            <w:vAlign w:val="center"/>
          </w:tcPr>
          <w:p w14:paraId="41BBB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把教育教学质量放在首位，提高教师从教的幸福感，办人民满意的教育</w:t>
            </w:r>
          </w:p>
        </w:tc>
      </w:tr>
      <w:tr w14:paraId="3D6A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0" w:type="pct"/>
            <w:vMerge w:val="restart"/>
            <w:tcBorders>
              <w:top w:val="single" w:color="000000" w:sz="4" w:space="0"/>
              <w:left w:val="single" w:color="000000" w:sz="4" w:space="0"/>
              <w:bottom w:val="single" w:color="000000" w:sz="4" w:space="0"/>
              <w:right w:val="single" w:color="000000" w:sz="4" w:space="0"/>
            </w:tcBorders>
            <w:shd w:val="clear"/>
            <w:vAlign w:val="center"/>
          </w:tcPr>
          <w:p w14:paraId="78522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年度绩效指标</w:t>
            </w:r>
          </w:p>
        </w:tc>
        <w:tc>
          <w:tcPr>
            <w:tcW w:w="643" w:type="pct"/>
            <w:tcBorders>
              <w:top w:val="single" w:color="000000" w:sz="4" w:space="0"/>
              <w:left w:val="single" w:color="000000" w:sz="4" w:space="0"/>
              <w:bottom w:val="single" w:color="000000" w:sz="4" w:space="0"/>
              <w:right w:val="single" w:color="000000" w:sz="4" w:space="0"/>
            </w:tcBorders>
            <w:shd w:val="clear"/>
            <w:vAlign w:val="center"/>
          </w:tcPr>
          <w:p w14:paraId="756A5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643" w:type="pct"/>
            <w:tcBorders>
              <w:top w:val="single" w:color="000000" w:sz="4" w:space="0"/>
              <w:left w:val="single" w:color="000000" w:sz="4" w:space="0"/>
              <w:bottom w:val="single" w:color="000000" w:sz="4" w:space="0"/>
              <w:right w:val="single" w:color="000000" w:sz="4" w:space="0"/>
            </w:tcBorders>
            <w:shd w:val="clear"/>
            <w:vAlign w:val="center"/>
          </w:tcPr>
          <w:p w14:paraId="0B3C2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5E6B1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658FA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绩效指标性质</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05753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绩效指标值</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E460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绩效度量单位</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5E073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7023F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实际完成指标值</w:t>
            </w:r>
          </w:p>
        </w:tc>
      </w:tr>
      <w:tr w14:paraId="54F5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026C1D2">
            <w:pPr>
              <w:jc w:val="center"/>
              <w:rPr>
                <w:rFonts w:hint="eastAsia" w:ascii="宋体" w:hAnsi="宋体" w:eastAsia="宋体" w:cs="宋体"/>
                <w:i w:val="0"/>
                <w:iCs w:val="0"/>
                <w:color w:val="000000"/>
                <w:sz w:val="18"/>
                <w:szCs w:val="18"/>
                <w:u w:val="none"/>
              </w:rPr>
            </w:pPr>
          </w:p>
        </w:tc>
        <w:tc>
          <w:tcPr>
            <w:tcW w:w="643" w:type="pct"/>
            <w:vMerge w:val="restart"/>
            <w:tcBorders>
              <w:top w:val="single" w:color="000000" w:sz="4" w:space="0"/>
              <w:left w:val="single" w:color="000000" w:sz="4" w:space="0"/>
              <w:bottom w:val="single" w:color="000000" w:sz="4" w:space="0"/>
              <w:right w:val="single" w:color="000000" w:sz="4" w:space="0"/>
            </w:tcBorders>
            <w:shd w:val="clear"/>
            <w:vAlign w:val="center"/>
          </w:tcPr>
          <w:p w14:paraId="7A52EF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643" w:type="pct"/>
            <w:vMerge w:val="restart"/>
            <w:tcBorders>
              <w:top w:val="single" w:color="000000" w:sz="4" w:space="0"/>
              <w:left w:val="single" w:color="000000" w:sz="4" w:space="0"/>
              <w:bottom w:val="single" w:color="000000" w:sz="4" w:space="0"/>
              <w:right w:val="single" w:color="000000" w:sz="4" w:space="0"/>
            </w:tcBorders>
            <w:shd w:val="clear"/>
            <w:vAlign w:val="center"/>
          </w:tcPr>
          <w:p w14:paraId="747D5C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4B0999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毕业率</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6D5E84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450F28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673C3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663950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3A135C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r>
      <w:tr w14:paraId="6386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24B618">
            <w:pPr>
              <w:jc w:val="center"/>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959B2AE">
            <w:pPr>
              <w:jc w:val="left"/>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0AD6715">
            <w:pPr>
              <w:jc w:val="left"/>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006371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不能有辍学儿童</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14A53A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1346F9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D124C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715B95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036193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r>
      <w:tr w14:paraId="2029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FBD340">
            <w:pPr>
              <w:jc w:val="center"/>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270DD6">
            <w:pPr>
              <w:jc w:val="left"/>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6D1B60">
            <w:pPr>
              <w:jc w:val="left"/>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173F4F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辖区内适龄儿童全部入学</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360CFF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5B0A5A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3EAFE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16CFCD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73661B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r>
      <w:tr w14:paraId="6C73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24C132">
            <w:pPr>
              <w:jc w:val="center"/>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9FBEAC">
            <w:pPr>
              <w:jc w:val="left"/>
              <w:rPr>
                <w:rFonts w:hint="eastAsia" w:ascii="宋体" w:hAnsi="宋体" w:eastAsia="宋体" w:cs="宋体"/>
                <w:i w:val="0"/>
                <w:iCs w:val="0"/>
                <w:color w:val="000000"/>
                <w:sz w:val="18"/>
                <w:szCs w:val="18"/>
                <w:u w:val="none"/>
              </w:rPr>
            </w:pPr>
          </w:p>
        </w:tc>
        <w:tc>
          <w:tcPr>
            <w:tcW w:w="643" w:type="pct"/>
            <w:vMerge w:val="restart"/>
            <w:tcBorders>
              <w:top w:val="single" w:color="000000" w:sz="4" w:space="0"/>
              <w:left w:val="single" w:color="000000" w:sz="4" w:space="0"/>
              <w:bottom w:val="single" w:color="000000" w:sz="4" w:space="0"/>
              <w:right w:val="single" w:color="000000" w:sz="4" w:space="0"/>
            </w:tcBorders>
            <w:shd w:val="clear"/>
            <w:vAlign w:val="center"/>
          </w:tcPr>
          <w:p w14:paraId="339B58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1535A7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提升教学质量</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3FE162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20F158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221014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3EFA76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2C096B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r>
      <w:tr w14:paraId="34D9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A7AD57">
            <w:pPr>
              <w:jc w:val="center"/>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47BEB2">
            <w:pPr>
              <w:jc w:val="left"/>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A43FB3">
            <w:pPr>
              <w:jc w:val="left"/>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1064BD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校园安全，无安全事故</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543749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0D8999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234BA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5D5AB0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38883D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r>
      <w:tr w14:paraId="44C5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692FAC">
            <w:pPr>
              <w:jc w:val="center"/>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451FECB">
            <w:pPr>
              <w:jc w:val="left"/>
              <w:rPr>
                <w:rFonts w:hint="eastAsia" w:ascii="宋体" w:hAnsi="宋体" w:eastAsia="宋体" w:cs="宋体"/>
                <w:i w:val="0"/>
                <w:iCs w:val="0"/>
                <w:color w:val="000000"/>
                <w:sz w:val="18"/>
                <w:szCs w:val="18"/>
                <w:u w:val="none"/>
              </w:rPr>
            </w:pPr>
          </w:p>
        </w:tc>
        <w:tc>
          <w:tcPr>
            <w:tcW w:w="643" w:type="pct"/>
            <w:tcBorders>
              <w:top w:val="single" w:color="000000" w:sz="4" w:space="0"/>
              <w:left w:val="single" w:color="000000" w:sz="4" w:space="0"/>
              <w:bottom w:val="single" w:color="000000" w:sz="4" w:space="0"/>
              <w:right w:val="single" w:color="000000" w:sz="4" w:space="0"/>
            </w:tcBorders>
            <w:shd w:val="clear"/>
            <w:vAlign w:val="center"/>
          </w:tcPr>
          <w:p w14:paraId="4990A0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37C491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正常按月发放工资</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54535A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3447A1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4592C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030DEE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7961DD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r>
      <w:tr w14:paraId="5F8A0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430BA2">
            <w:pPr>
              <w:jc w:val="center"/>
              <w:rPr>
                <w:rFonts w:hint="eastAsia" w:ascii="宋体" w:hAnsi="宋体" w:eastAsia="宋体" w:cs="宋体"/>
                <w:i w:val="0"/>
                <w:iCs w:val="0"/>
                <w:color w:val="000000"/>
                <w:sz w:val="18"/>
                <w:szCs w:val="18"/>
                <w:u w:val="none"/>
              </w:rPr>
            </w:pPr>
          </w:p>
        </w:tc>
        <w:tc>
          <w:tcPr>
            <w:tcW w:w="643" w:type="pct"/>
            <w:vMerge w:val="restart"/>
            <w:tcBorders>
              <w:top w:val="single" w:color="000000" w:sz="4" w:space="0"/>
              <w:left w:val="single" w:color="000000" w:sz="4" w:space="0"/>
              <w:bottom w:val="single" w:color="000000" w:sz="4" w:space="0"/>
              <w:right w:val="single" w:color="000000" w:sz="4" w:space="0"/>
            </w:tcBorders>
            <w:shd w:val="clear"/>
            <w:vAlign w:val="center"/>
          </w:tcPr>
          <w:p w14:paraId="391547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643" w:type="pct"/>
            <w:vMerge w:val="restart"/>
            <w:tcBorders>
              <w:top w:val="single" w:color="000000" w:sz="4" w:space="0"/>
              <w:left w:val="single" w:color="000000" w:sz="4" w:space="0"/>
              <w:bottom w:val="single" w:color="000000" w:sz="4" w:space="0"/>
              <w:right w:val="single" w:color="000000" w:sz="4" w:space="0"/>
            </w:tcBorders>
            <w:shd w:val="clear"/>
            <w:vAlign w:val="center"/>
          </w:tcPr>
          <w:p w14:paraId="51D904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379034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让社会、家长、学生满意</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6E7128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7DBEE9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891D7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5F58B0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21558E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14:paraId="6640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ED45DF">
            <w:pPr>
              <w:jc w:val="center"/>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7013DA">
            <w:pPr>
              <w:jc w:val="left"/>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898B72">
            <w:pPr>
              <w:jc w:val="left"/>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77D181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学校知名度</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68C8A4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774A35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3E7617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0F304A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424C75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r>
      <w:tr w14:paraId="3773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302F16">
            <w:pPr>
              <w:jc w:val="center"/>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5994B97">
            <w:pPr>
              <w:jc w:val="left"/>
              <w:rPr>
                <w:rFonts w:hint="eastAsia" w:ascii="宋体" w:hAnsi="宋体" w:eastAsia="宋体" w:cs="宋体"/>
                <w:i w:val="0"/>
                <w:iCs w:val="0"/>
                <w:color w:val="000000"/>
                <w:sz w:val="18"/>
                <w:szCs w:val="18"/>
                <w:u w:val="none"/>
              </w:rPr>
            </w:pPr>
          </w:p>
        </w:tc>
        <w:tc>
          <w:tcPr>
            <w:tcW w:w="643" w:type="pct"/>
            <w:tcBorders>
              <w:top w:val="single" w:color="000000" w:sz="4" w:space="0"/>
              <w:left w:val="single" w:color="000000" w:sz="4" w:space="0"/>
              <w:bottom w:val="single" w:color="000000" w:sz="4" w:space="0"/>
              <w:right w:val="single" w:color="000000" w:sz="4" w:space="0"/>
            </w:tcBorders>
            <w:shd w:val="clear"/>
            <w:vAlign w:val="center"/>
          </w:tcPr>
          <w:p w14:paraId="11F4E3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生态效益指标</w:t>
            </w: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10A445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增加保持校园绿化面积率</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3F3632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1237A7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830E7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4FDD34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11E66A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r>
      <w:tr w14:paraId="2720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EE7C32">
            <w:pPr>
              <w:jc w:val="center"/>
              <w:rPr>
                <w:rFonts w:hint="eastAsia" w:ascii="宋体" w:hAnsi="宋体" w:eastAsia="宋体" w:cs="宋体"/>
                <w:i w:val="0"/>
                <w:iCs w:val="0"/>
                <w:color w:val="000000"/>
                <w:sz w:val="18"/>
                <w:szCs w:val="18"/>
                <w:u w:val="none"/>
              </w:rPr>
            </w:pPr>
          </w:p>
        </w:tc>
        <w:tc>
          <w:tcPr>
            <w:tcW w:w="643" w:type="pct"/>
            <w:vMerge w:val="restart"/>
            <w:tcBorders>
              <w:top w:val="single" w:color="000000" w:sz="4" w:space="0"/>
              <w:left w:val="single" w:color="000000" w:sz="4" w:space="0"/>
              <w:bottom w:val="single" w:color="000000" w:sz="4" w:space="0"/>
              <w:right w:val="single" w:color="000000" w:sz="4" w:space="0"/>
            </w:tcBorders>
            <w:shd w:val="clear"/>
            <w:vAlign w:val="center"/>
          </w:tcPr>
          <w:p w14:paraId="4AC82B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643" w:type="pct"/>
            <w:vMerge w:val="restart"/>
            <w:tcBorders>
              <w:top w:val="single" w:color="000000" w:sz="4" w:space="0"/>
              <w:left w:val="single" w:color="000000" w:sz="4" w:space="0"/>
              <w:bottom w:val="single" w:color="000000" w:sz="4" w:space="0"/>
              <w:right w:val="single" w:color="000000" w:sz="4" w:space="0"/>
            </w:tcBorders>
            <w:shd w:val="clear"/>
            <w:vAlign w:val="center"/>
          </w:tcPr>
          <w:p w14:paraId="7753C9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7AB02D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教师、学生、家长认可度</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73772A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562F8F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5F76B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2BF0D8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5DDFDF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14:paraId="69D38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C5992A2">
            <w:pPr>
              <w:jc w:val="center"/>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ECD454">
            <w:pPr>
              <w:jc w:val="left"/>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C4AB87">
            <w:pPr>
              <w:jc w:val="left"/>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17C455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社会认可度</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4DF8C5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5FAA7B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0415C2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063622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2FA1B4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14:paraId="2205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C18DFD">
            <w:pPr>
              <w:jc w:val="center"/>
              <w:rPr>
                <w:rFonts w:hint="eastAsia" w:ascii="宋体" w:hAnsi="宋体" w:eastAsia="宋体" w:cs="宋体"/>
                <w:i w:val="0"/>
                <w:iCs w:val="0"/>
                <w:color w:val="000000"/>
                <w:sz w:val="18"/>
                <w:szCs w:val="18"/>
                <w:u w:val="none"/>
              </w:rPr>
            </w:pPr>
          </w:p>
        </w:tc>
        <w:tc>
          <w:tcPr>
            <w:tcW w:w="643" w:type="pct"/>
            <w:vMerge w:val="restart"/>
            <w:tcBorders>
              <w:top w:val="single" w:color="000000" w:sz="4" w:space="0"/>
              <w:left w:val="single" w:color="000000" w:sz="4" w:space="0"/>
              <w:bottom w:val="single" w:color="000000" w:sz="4" w:space="0"/>
              <w:right w:val="single" w:color="000000" w:sz="4" w:space="0"/>
            </w:tcBorders>
            <w:shd w:val="clear"/>
            <w:vAlign w:val="center"/>
          </w:tcPr>
          <w:p w14:paraId="4CB8E1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643" w:type="pct"/>
            <w:tcBorders>
              <w:top w:val="single" w:color="000000" w:sz="4" w:space="0"/>
              <w:left w:val="single" w:color="000000" w:sz="4" w:space="0"/>
              <w:bottom w:val="single" w:color="000000" w:sz="4" w:space="0"/>
              <w:right w:val="single" w:color="000000" w:sz="4" w:space="0"/>
            </w:tcBorders>
            <w:shd w:val="clear"/>
            <w:vAlign w:val="center"/>
          </w:tcPr>
          <w:p w14:paraId="02D3D3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4CCDA1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严格执行财务管理制度，合理安排资金</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640DCE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14A76A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512BF7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5B3B2F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5AC364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r>
      <w:tr w14:paraId="0ECD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0"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D6FFE6">
            <w:pPr>
              <w:jc w:val="center"/>
              <w:rPr>
                <w:rFonts w:hint="eastAsia" w:ascii="宋体" w:hAnsi="宋体" w:eastAsia="宋体" w:cs="宋体"/>
                <w:i w:val="0"/>
                <w:iCs w:val="0"/>
                <w:color w:val="000000"/>
                <w:sz w:val="18"/>
                <w:szCs w:val="18"/>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73C008">
            <w:pPr>
              <w:jc w:val="left"/>
              <w:rPr>
                <w:rFonts w:hint="eastAsia" w:ascii="宋体" w:hAnsi="宋体" w:eastAsia="宋体" w:cs="宋体"/>
                <w:i w:val="0"/>
                <w:iCs w:val="0"/>
                <w:color w:val="000000"/>
                <w:sz w:val="18"/>
                <w:szCs w:val="18"/>
                <w:u w:val="none"/>
              </w:rPr>
            </w:pPr>
          </w:p>
        </w:tc>
        <w:tc>
          <w:tcPr>
            <w:tcW w:w="643" w:type="pct"/>
            <w:tcBorders>
              <w:top w:val="single" w:color="000000" w:sz="4" w:space="0"/>
              <w:left w:val="single" w:color="000000" w:sz="4" w:space="0"/>
              <w:bottom w:val="single" w:color="000000" w:sz="4" w:space="0"/>
              <w:right w:val="single" w:color="000000" w:sz="4" w:space="0"/>
            </w:tcBorders>
            <w:shd w:val="clear"/>
            <w:vAlign w:val="center"/>
          </w:tcPr>
          <w:p w14:paraId="4C0553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生态环境成本指标</w:t>
            </w:r>
          </w:p>
        </w:tc>
        <w:tc>
          <w:tcPr>
            <w:tcW w:w="987" w:type="pct"/>
            <w:tcBorders>
              <w:top w:val="single" w:color="000000" w:sz="4" w:space="0"/>
              <w:left w:val="single" w:color="000000" w:sz="4" w:space="0"/>
              <w:bottom w:val="single" w:color="000000" w:sz="4" w:space="0"/>
              <w:right w:val="single" w:color="000000" w:sz="4" w:space="0"/>
            </w:tcBorders>
            <w:shd w:val="clear"/>
            <w:vAlign w:val="center"/>
          </w:tcPr>
          <w:p w14:paraId="3B96F6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节能减排</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2E5F6D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vAlign w:val="center"/>
          </w:tcPr>
          <w:p w14:paraId="52D406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386" w:type="pct"/>
            <w:tcBorders>
              <w:top w:val="single" w:color="000000" w:sz="4" w:space="0"/>
              <w:left w:val="single" w:color="000000" w:sz="4" w:space="0"/>
              <w:bottom w:val="single" w:color="000000" w:sz="4" w:space="0"/>
              <w:right w:val="single" w:color="000000" w:sz="4" w:space="0"/>
            </w:tcBorders>
            <w:shd w:val="clear"/>
            <w:vAlign w:val="center"/>
          </w:tcPr>
          <w:p w14:paraId="7DADFF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vAlign w:val="center"/>
          </w:tcPr>
          <w:p w14:paraId="718314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14:paraId="1F93C9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r>
    </w:tbl>
    <w:p w14:paraId="77F412BB">
      <w:pPr>
        <w:spacing w:line="600" w:lineRule="exact"/>
        <w:jc w:val="center"/>
        <w:outlineLvl w:val="0"/>
        <w:rPr>
          <w:rFonts w:ascii="黑体" w:hAnsi="黑体" w:eastAsia="黑体"/>
          <w:b w:val="0"/>
          <w:bCs w:val="0"/>
          <w:color w:val="FF0000"/>
          <w:sz w:val="44"/>
          <w:szCs w:val="44"/>
        </w:rPr>
      </w:pPr>
    </w:p>
    <w:p w14:paraId="129D8B6F">
      <w:pPr>
        <w:pStyle w:val="2"/>
        <w:spacing w:before="93"/>
        <w:rPr>
          <w:rFonts w:hAnsi="Calibri" w:cs="仿宋"/>
          <w:b w:val="0"/>
          <w:bCs w:val="0"/>
          <w:sz w:val="32"/>
          <w:szCs w:val="32"/>
        </w:rPr>
      </w:pPr>
    </w:p>
    <w:p w14:paraId="2608A8B0">
      <w:pPr>
        <w:pStyle w:val="2"/>
        <w:spacing w:before="93"/>
        <w:rPr>
          <w:rFonts w:hAnsi="Calibri" w:cs="仿宋"/>
          <w:b w:val="0"/>
          <w:bCs w:val="0"/>
          <w:sz w:val="32"/>
          <w:szCs w:val="32"/>
        </w:rPr>
      </w:pPr>
    </w:p>
    <w:p w14:paraId="4FE17B26">
      <w:pPr>
        <w:pStyle w:val="2"/>
        <w:spacing w:before="93"/>
        <w:rPr>
          <w:rFonts w:hAnsi="Calibri" w:cs="仿宋"/>
          <w:b w:val="0"/>
          <w:bCs w:val="0"/>
          <w:sz w:val="32"/>
          <w:szCs w:val="32"/>
        </w:rPr>
      </w:pPr>
    </w:p>
    <w:p w14:paraId="16FD9853">
      <w:pPr>
        <w:pStyle w:val="2"/>
        <w:spacing w:before="93"/>
        <w:rPr>
          <w:rFonts w:hAnsi="Calibri" w:cs="仿宋"/>
          <w:b w:val="0"/>
          <w:bCs w:val="0"/>
          <w:sz w:val="32"/>
          <w:szCs w:val="32"/>
        </w:rPr>
      </w:pPr>
    </w:p>
    <w:p w14:paraId="33DF25B7">
      <w:pPr>
        <w:pStyle w:val="2"/>
        <w:spacing w:before="93"/>
        <w:rPr>
          <w:rFonts w:hAnsi="Calibri" w:cs="仿宋"/>
          <w:b w:val="0"/>
          <w:bCs w:val="0"/>
          <w:sz w:val="32"/>
          <w:szCs w:val="32"/>
        </w:rPr>
      </w:pPr>
    </w:p>
    <w:p w14:paraId="22DCD56C">
      <w:pPr>
        <w:pStyle w:val="2"/>
        <w:spacing w:before="93"/>
        <w:rPr>
          <w:rFonts w:hAnsi="Calibri" w:cs="仿宋"/>
          <w:b w:val="0"/>
          <w:bCs w:val="0"/>
          <w:sz w:val="32"/>
          <w:szCs w:val="32"/>
        </w:rPr>
      </w:pPr>
    </w:p>
    <w:p w14:paraId="013D685D">
      <w:pPr>
        <w:pStyle w:val="2"/>
        <w:spacing w:before="93"/>
        <w:rPr>
          <w:rFonts w:hAnsi="Calibri" w:cs="仿宋"/>
          <w:b w:val="0"/>
          <w:bCs w:val="0"/>
          <w:sz w:val="32"/>
          <w:szCs w:val="32"/>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66"/>
        <w:gridCol w:w="988"/>
        <w:gridCol w:w="1302"/>
        <w:gridCol w:w="396"/>
        <w:gridCol w:w="925"/>
        <w:gridCol w:w="396"/>
        <w:gridCol w:w="846"/>
        <w:gridCol w:w="486"/>
        <w:gridCol w:w="486"/>
        <w:gridCol w:w="1494"/>
      </w:tblGrid>
      <w:tr w14:paraId="2EDD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04F69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A3E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FA4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A291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51172422T000005636316-(存量)大竹县月华镇第二中心小学及附属工程</w:t>
            </w:r>
          </w:p>
        </w:tc>
      </w:tr>
      <w:tr w14:paraId="1817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229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CD83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大竹县月华镇第二中心小学部门</w:t>
            </w:r>
          </w:p>
        </w:tc>
        <w:tc>
          <w:tcPr>
            <w:tcW w:w="386" w:type="pct"/>
            <w:tcBorders>
              <w:top w:val="nil"/>
              <w:left w:val="nil"/>
              <w:bottom w:val="nil"/>
              <w:right w:val="nil"/>
            </w:tcBorders>
            <w:shd w:val="clear" w:color="auto" w:fill="auto"/>
            <w:vAlign w:val="center"/>
          </w:tcPr>
          <w:p w14:paraId="77DFFFB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4D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大竹县月华镇第二中心小学</w:t>
            </w:r>
          </w:p>
        </w:tc>
      </w:tr>
      <w:tr w14:paraId="1520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7DF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001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AF4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C5D91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C15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E2FA">
            <w:pPr>
              <w:rPr>
                <w:rFonts w:hint="eastAsia" w:ascii="宋体" w:hAnsi="宋体" w:eastAsia="宋体" w:cs="宋体"/>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42BAA">
            <w:pPr>
              <w:rPr>
                <w:rFonts w:hint="eastAsia" w:ascii="宋体" w:hAnsi="宋体" w:eastAsia="宋体" w:cs="宋体"/>
                <w:i w:val="0"/>
                <w:iCs w:val="0"/>
                <w:color w:val="000000"/>
                <w:sz w:val="18"/>
                <w:szCs w:val="18"/>
                <w:u w:val="none"/>
              </w:rPr>
            </w:pPr>
          </w:p>
        </w:tc>
        <w:tc>
          <w:tcPr>
            <w:tcW w:w="23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EB2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严格执行相关政策，保障项目经费按时足额支出。</w:t>
            </w:r>
          </w:p>
        </w:tc>
        <w:tc>
          <w:tcPr>
            <w:tcW w:w="16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BD667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1877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0E51">
            <w:pP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1E7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6227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本年度严格按照相关政策，按时足额完成项目经费支出。</w:t>
            </w:r>
          </w:p>
        </w:tc>
      </w:tr>
      <w:tr w14:paraId="2397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11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FE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A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F8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67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4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AD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E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2D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27D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02872">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59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C5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E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9.64</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21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9.64</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5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4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5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72D1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B4E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B4F12">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37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BD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FE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9.64</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29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9.64</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2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7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1B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38BA9">
            <w:pPr>
              <w:rPr>
                <w:rFonts w:hint="eastAsia" w:ascii="黑体" w:hAnsi="黑体" w:eastAsia="黑体" w:cs="黑体"/>
                <w:i/>
                <w:iCs/>
                <w:color w:val="000000"/>
                <w:sz w:val="18"/>
                <w:szCs w:val="18"/>
                <w:u w:val="none"/>
              </w:rPr>
            </w:pPr>
          </w:p>
        </w:tc>
      </w:tr>
      <w:tr w14:paraId="212E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E3BD8">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6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F5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6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00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1C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9C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6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7E31F">
            <w:pPr>
              <w:rPr>
                <w:rFonts w:hint="eastAsia" w:ascii="黑体" w:hAnsi="黑体" w:eastAsia="黑体" w:cs="黑体"/>
                <w:i/>
                <w:iCs/>
                <w:color w:val="000000"/>
                <w:sz w:val="18"/>
                <w:szCs w:val="18"/>
                <w:u w:val="none"/>
              </w:rPr>
            </w:pPr>
          </w:p>
        </w:tc>
      </w:tr>
      <w:tr w14:paraId="7AC0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0EDFA">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0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4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4D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A0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1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8C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0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2CDDE">
            <w:pPr>
              <w:rPr>
                <w:rFonts w:hint="eastAsia" w:ascii="黑体" w:hAnsi="黑体" w:eastAsia="黑体" w:cs="黑体"/>
                <w:i/>
                <w:iCs/>
                <w:color w:val="000000"/>
                <w:sz w:val="18"/>
                <w:szCs w:val="18"/>
                <w:u w:val="none"/>
              </w:rPr>
            </w:pPr>
          </w:p>
        </w:tc>
      </w:tr>
      <w:tr w14:paraId="726E0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317CA">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7C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4D37">
            <w:pPr>
              <w:jc w:val="center"/>
              <w:rPr>
                <w:rFonts w:hint="eastAsia" w:ascii="微软雅黑" w:hAnsi="微软雅黑" w:eastAsia="微软雅黑" w:cs="微软雅黑"/>
                <w:i/>
                <w:iCs/>
                <w:color w:val="000000"/>
                <w:sz w:val="16"/>
                <w:szCs w:val="16"/>
                <w:u w:val="none"/>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6EB6">
            <w:pPr>
              <w:jc w:val="center"/>
              <w:rPr>
                <w:rFonts w:hint="eastAsia" w:ascii="微软雅黑" w:hAnsi="微软雅黑" w:eastAsia="微软雅黑" w:cs="微软雅黑"/>
                <w:i/>
                <w:iCs/>
                <w:color w:val="000000"/>
                <w:sz w:val="16"/>
                <w:szCs w:val="16"/>
                <w:u w:val="none"/>
              </w:rPr>
            </w:pP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43DB8">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75178">
            <w:pPr>
              <w:jc w:val="center"/>
              <w:rPr>
                <w:rFonts w:hint="eastAsia" w:ascii="微软雅黑" w:hAnsi="微软雅黑" w:eastAsia="微软雅黑" w:cs="微软雅黑"/>
                <w:i/>
                <w:iCs/>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B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2F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DD0ED">
            <w:pPr>
              <w:rPr>
                <w:rFonts w:hint="eastAsia" w:ascii="黑体" w:hAnsi="黑体" w:eastAsia="黑体" w:cs="黑体"/>
                <w:i/>
                <w:iCs/>
                <w:color w:val="000000"/>
                <w:sz w:val="18"/>
                <w:szCs w:val="18"/>
                <w:u w:val="none"/>
              </w:rPr>
            </w:pPr>
          </w:p>
        </w:tc>
      </w:tr>
      <w:tr w14:paraId="5698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2A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A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5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F2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B5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63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7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4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4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3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09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60E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6264A">
            <w:pPr>
              <w:jc w:val="center"/>
              <w:rPr>
                <w:rFonts w:hint="eastAsia" w:ascii="宋体" w:hAnsi="宋体" w:eastAsia="宋体" w:cs="宋体"/>
                <w:i w:val="0"/>
                <w:iCs w:val="0"/>
                <w:color w:val="000000"/>
                <w:sz w:val="18"/>
                <w:szCs w:val="18"/>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14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06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E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E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C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F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2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F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B4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3CE85">
            <w:pPr>
              <w:jc w:val="center"/>
              <w:rPr>
                <w:rFonts w:hint="eastAsia" w:ascii="微软雅黑" w:hAnsi="微软雅黑" w:eastAsia="微软雅黑" w:cs="微软雅黑"/>
                <w:i/>
                <w:iCs/>
                <w:color w:val="000000"/>
                <w:sz w:val="16"/>
                <w:szCs w:val="16"/>
                <w:u w:val="none"/>
              </w:rPr>
            </w:pPr>
          </w:p>
        </w:tc>
      </w:tr>
      <w:tr w14:paraId="4ACA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57149">
            <w:pPr>
              <w:jc w:val="center"/>
              <w:rPr>
                <w:rFonts w:hint="eastAsia" w:ascii="宋体" w:hAnsi="宋体" w:eastAsia="宋体" w:cs="宋体"/>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55EE2">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BB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1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6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8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A4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F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BE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D9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026D">
            <w:pPr>
              <w:rPr>
                <w:rFonts w:hint="eastAsia" w:ascii="宋体" w:hAnsi="宋体" w:eastAsia="宋体" w:cs="宋体"/>
                <w:i w:val="0"/>
                <w:iCs w:val="0"/>
                <w:color w:val="000000"/>
                <w:sz w:val="18"/>
                <w:szCs w:val="18"/>
                <w:u w:val="none"/>
              </w:rPr>
            </w:pPr>
          </w:p>
        </w:tc>
      </w:tr>
      <w:tr w14:paraId="154B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0D87C">
            <w:pPr>
              <w:jc w:val="center"/>
              <w:rPr>
                <w:rFonts w:hint="eastAsia" w:ascii="宋体" w:hAnsi="宋体" w:eastAsia="宋体" w:cs="宋体"/>
                <w:i w:val="0"/>
                <w:iCs w:val="0"/>
                <w:color w:val="000000"/>
                <w:sz w:val="18"/>
                <w:szCs w:val="18"/>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A4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F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7C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经费控制率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5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A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8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C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6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9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D4EF6">
            <w:pPr>
              <w:rPr>
                <w:rFonts w:hint="eastAsia" w:ascii="宋体" w:hAnsi="宋体" w:eastAsia="宋体" w:cs="宋体"/>
                <w:i w:val="0"/>
                <w:iCs w:val="0"/>
                <w:color w:val="000000"/>
                <w:sz w:val="18"/>
                <w:szCs w:val="18"/>
                <w:u w:val="none"/>
              </w:rPr>
            </w:pPr>
          </w:p>
        </w:tc>
      </w:tr>
      <w:tr w14:paraId="49A4F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143AB">
            <w:pPr>
              <w:jc w:val="center"/>
              <w:rPr>
                <w:rFonts w:hint="eastAsia" w:ascii="宋体" w:hAnsi="宋体" w:eastAsia="宋体" w:cs="宋体"/>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4788B">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7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4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CB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9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F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1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09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3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E075">
            <w:pPr>
              <w:rPr>
                <w:rFonts w:hint="eastAsia" w:ascii="宋体" w:hAnsi="宋体" w:eastAsia="宋体" w:cs="宋体"/>
                <w:i w:val="0"/>
                <w:iCs w:val="0"/>
                <w:color w:val="000000"/>
                <w:sz w:val="18"/>
                <w:szCs w:val="18"/>
                <w:u w:val="none"/>
              </w:rPr>
            </w:pPr>
          </w:p>
        </w:tc>
      </w:tr>
      <w:tr w14:paraId="657F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20B6E">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F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5F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BC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1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DA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08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F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B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FE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5B431">
            <w:pPr>
              <w:rPr>
                <w:rFonts w:hint="eastAsia" w:ascii="宋体" w:hAnsi="宋体" w:eastAsia="宋体" w:cs="宋体"/>
                <w:i w:val="0"/>
                <w:iCs w:val="0"/>
                <w:color w:val="000000"/>
                <w:sz w:val="18"/>
                <w:szCs w:val="18"/>
                <w:u w:val="none"/>
              </w:rPr>
            </w:pPr>
          </w:p>
        </w:tc>
      </w:tr>
      <w:tr w14:paraId="6A6D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4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CF5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E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A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CFEA9">
            <w:pPr>
              <w:rPr>
                <w:rFonts w:hint="eastAsia" w:ascii="宋体" w:hAnsi="宋体" w:eastAsia="宋体" w:cs="宋体"/>
                <w:i w:val="0"/>
                <w:iCs w:val="0"/>
                <w:color w:val="000000"/>
                <w:sz w:val="18"/>
                <w:szCs w:val="18"/>
                <w:u w:val="none"/>
              </w:rPr>
            </w:pPr>
          </w:p>
        </w:tc>
      </w:tr>
      <w:tr w14:paraId="2A7A2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73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DFCC1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本年度顺利完成附属工程项目，资金到位，支付到位，该项目自评得分10分</w:t>
            </w:r>
          </w:p>
        </w:tc>
      </w:tr>
      <w:tr w14:paraId="3F1B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8D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83EA7A">
            <w:pPr>
              <w:rPr>
                <w:rFonts w:hint="eastAsia" w:ascii="微软雅黑" w:hAnsi="微软雅黑" w:eastAsia="微软雅黑" w:cs="微软雅黑"/>
                <w:i/>
                <w:iCs/>
                <w:color w:val="000000"/>
                <w:sz w:val="16"/>
                <w:szCs w:val="16"/>
                <w:u w:val="none"/>
              </w:rPr>
            </w:pPr>
          </w:p>
        </w:tc>
      </w:tr>
      <w:tr w14:paraId="0001B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51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B86823">
            <w:pPr>
              <w:rPr>
                <w:rFonts w:hint="eastAsia" w:ascii="微软雅黑" w:hAnsi="微软雅黑" w:eastAsia="微软雅黑" w:cs="微软雅黑"/>
                <w:i/>
                <w:iCs/>
                <w:color w:val="000000"/>
                <w:sz w:val="16"/>
                <w:szCs w:val="16"/>
                <w:u w:val="none"/>
              </w:rPr>
            </w:pPr>
          </w:p>
        </w:tc>
      </w:tr>
      <w:tr w14:paraId="22CD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CCD4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项目负责人：任菊</w:t>
            </w:r>
          </w:p>
        </w:tc>
        <w:tc>
          <w:tcPr>
            <w:tcW w:w="242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E675B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财务负责人：李锦胜</w:t>
            </w:r>
          </w:p>
        </w:tc>
      </w:tr>
      <w:tr w14:paraId="1B193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475396BA">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6A748179">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14:paraId="6BC1DBF9">
            <w:pPr>
              <w:rPr>
                <w:rFonts w:hint="eastAsia" w:ascii="宋体" w:hAnsi="宋体" w:eastAsia="宋体" w:cs="宋体"/>
                <w:i w:val="0"/>
                <w:iCs w:val="0"/>
                <w:color w:val="000000"/>
                <w:sz w:val="18"/>
                <w:szCs w:val="18"/>
                <w:u w:val="none"/>
              </w:rPr>
            </w:pPr>
          </w:p>
        </w:tc>
        <w:tc>
          <w:tcPr>
            <w:tcW w:w="800" w:type="pct"/>
            <w:tcBorders>
              <w:top w:val="nil"/>
              <w:left w:val="nil"/>
              <w:bottom w:val="nil"/>
              <w:right w:val="nil"/>
            </w:tcBorders>
            <w:shd w:val="clear" w:color="auto" w:fill="auto"/>
            <w:vAlign w:val="center"/>
          </w:tcPr>
          <w:p w14:paraId="11B134B8">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534C3396">
            <w:pPr>
              <w:rPr>
                <w:rFonts w:hint="eastAsia" w:ascii="宋体" w:hAnsi="宋体" w:eastAsia="宋体" w:cs="宋体"/>
                <w:i w:val="0"/>
                <w:iCs w:val="0"/>
                <w:color w:val="000000"/>
                <w:sz w:val="18"/>
                <w:szCs w:val="18"/>
                <w:u w:val="none"/>
              </w:rPr>
            </w:pPr>
          </w:p>
        </w:tc>
        <w:tc>
          <w:tcPr>
            <w:tcW w:w="592" w:type="pct"/>
            <w:tcBorders>
              <w:top w:val="nil"/>
              <w:left w:val="nil"/>
              <w:bottom w:val="nil"/>
              <w:right w:val="nil"/>
            </w:tcBorders>
            <w:shd w:val="clear" w:color="auto" w:fill="auto"/>
            <w:vAlign w:val="center"/>
          </w:tcPr>
          <w:p w14:paraId="638962DC">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5AEB4985">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color="auto" w:fill="auto"/>
            <w:vAlign w:val="center"/>
          </w:tcPr>
          <w:p w14:paraId="0BC08427">
            <w:pPr>
              <w:rPr>
                <w:rFonts w:hint="eastAsia" w:ascii="宋体" w:hAnsi="宋体" w:eastAsia="宋体" w:cs="宋体"/>
                <w:i w:val="0"/>
                <w:iCs w:val="0"/>
                <w:color w:val="000000"/>
                <w:sz w:val="18"/>
                <w:szCs w:val="18"/>
                <w:u w:val="none"/>
              </w:rPr>
            </w:pPr>
          </w:p>
        </w:tc>
        <w:tc>
          <w:tcPr>
            <w:tcW w:w="178" w:type="pct"/>
            <w:tcBorders>
              <w:top w:val="nil"/>
              <w:left w:val="nil"/>
              <w:bottom w:val="nil"/>
              <w:right w:val="nil"/>
            </w:tcBorders>
            <w:shd w:val="clear" w:color="auto" w:fill="auto"/>
            <w:vAlign w:val="center"/>
          </w:tcPr>
          <w:p w14:paraId="142B4B5A">
            <w:pPr>
              <w:rPr>
                <w:rFonts w:hint="eastAsia" w:ascii="宋体" w:hAnsi="宋体" w:eastAsia="宋体" w:cs="宋体"/>
                <w:i w:val="0"/>
                <w:iCs w:val="0"/>
                <w:color w:val="000000"/>
                <w:sz w:val="18"/>
                <w:szCs w:val="18"/>
                <w:u w:val="none"/>
              </w:rPr>
            </w:pPr>
          </w:p>
        </w:tc>
        <w:tc>
          <w:tcPr>
            <w:tcW w:w="172" w:type="pct"/>
            <w:tcBorders>
              <w:top w:val="nil"/>
              <w:left w:val="nil"/>
              <w:bottom w:val="nil"/>
              <w:right w:val="nil"/>
            </w:tcBorders>
            <w:shd w:val="clear" w:color="auto" w:fill="auto"/>
            <w:vAlign w:val="center"/>
          </w:tcPr>
          <w:p w14:paraId="4FFF27A2">
            <w:pPr>
              <w:rPr>
                <w:rFonts w:hint="eastAsia" w:ascii="宋体" w:hAnsi="宋体" w:eastAsia="宋体" w:cs="宋体"/>
                <w:i w:val="0"/>
                <w:iCs w:val="0"/>
                <w:color w:val="000000"/>
                <w:sz w:val="18"/>
                <w:szCs w:val="18"/>
                <w:u w:val="none"/>
              </w:rPr>
            </w:pPr>
          </w:p>
        </w:tc>
        <w:tc>
          <w:tcPr>
            <w:tcW w:w="905" w:type="pct"/>
            <w:tcBorders>
              <w:top w:val="nil"/>
              <w:left w:val="nil"/>
              <w:bottom w:val="nil"/>
              <w:right w:val="nil"/>
            </w:tcBorders>
            <w:shd w:val="clear" w:color="auto" w:fill="auto"/>
            <w:vAlign w:val="center"/>
          </w:tcPr>
          <w:p w14:paraId="66C8F6D2">
            <w:pPr>
              <w:rPr>
                <w:rFonts w:hint="eastAsia" w:ascii="宋体" w:hAnsi="宋体" w:eastAsia="宋体" w:cs="宋体"/>
                <w:i w:val="0"/>
                <w:iCs w:val="0"/>
                <w:color w:val="000000"/>
                <w:sz w:val="18"/>
                <w:szCs w:val="18"/>
                <w:u w:val="none"/>
              </w:rPr>
            </w:pPr>
          </w:p>
        </w:tc>
      </w:tr>
      <w:tr w14:paraId="48ED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ED6BC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5A0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9CB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85B9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51172422T000005735821-营养餐</w:t>
            </w:r>
          </w:p>
        </w:tc>
      </w:tr>
      <w:tr w14:paraId="2D752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142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7CA5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大竹县月华镇第二中心小学部门</w:t>
            </w:r>
          </w:p>
        </w:tc>
        <w:tc>
          <w:tcPr>
            <w:tcW w:w="386" w:type="pct"/>
            <w:tcBorders>
              <w:top w:val="nil"/>
              <w:left w:val="nil"/>
              <w:bottom w:val="nil"/>
              <w:right w:val="nil"/>
            </w:tcBorders>
            <w:shd w:val="clear" w:color="auto" w:fill="auto"/>
            <w:vAlign w:val="center"/>
          </w:tcPr>
          <w:p w14:paraId="4131A9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33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大竹县月华镇第二中心小学</w:t>
            </w:r>
          </w:p>
        </w:tc>
      </w:tr>
      <w:tr w14:paraId="68E3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6E4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5B0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CD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3BAD2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F8A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B27AC">
            <w:pPr>
              <w:rPr>
                <w:rFonts w:hint="eastAsia" w:ascii="宋体" w:hAnsi="宋体" w:eastAsia="宋体" w:cs="宋体"/>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36937">
            <w:pPr>
              <w:rPr>
                <w:rFonts w:hint="eastAsia" w:ascii="宋体" w:hAnsi="宋体" w:eastAsia="宋体" w:cs="宋体"/>
                <w:i w:val="0"/>
                <w:iCs w:val="0"/>
                <w:color w:val="000000"/>
                <w:sz w:val="18"/>
                <w:szCs w:val="18"/>
                <w:u w:val="none"/>
              </w:rPr>
            </w:pPr>
          </w:p>
        </w:tc>
        <w:tc>
          <w:tcPr>
            <w:tcW w:w="23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F544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严格执行相关政策，按时完成营养餐支付。</w:t>
            </w:r>
          </w:p>
        </w:tc>
        <w:tc>
          <w:tcPr>
            <w:tcW w:w="16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72CA7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0C236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69C7D">
            <w:pP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2B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3C70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本年度严格按照相关政策要求，按时足额完成营养餐支付。</w:t>
            </w:r>
          </w:p>
        </w:tc>
      </w:tr>
      <w:tr w14:paraId="0782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C5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8A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88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F4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3E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F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BD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A1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0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354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D61A8">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C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7B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1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38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5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3B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A8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A693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5AD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4223C">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7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3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1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4E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1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A0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F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CEF6F">
            <w:pPr>
              <w:rPr>
                <w:rFonts w:hint="eastAsia" w:ascii="黑体" w:hAnsi="黑体" w:eastAsia="黑体" w:cs="黑体"/>
                <w:i/>
                <w:iCs/>
                <w:color w:val="000000"/>
                <w:sz w:val="18"/>
                <w:szCs w:val="18"/>
                <w:u w:val="none"/>
              </w:rPr>
            </w:pPr>
          </w:p>
        </w:tc>
      </w:tr>
      <w:tr w14:paraId="2B43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DB9A0">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3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9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9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F3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F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7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6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D1CD0">
            <w:pPr>
              <w:rPr>
                <w:rFonts w:hint="eastAsia" w:ascii="黑体" w:hAnsi="黑体" w:eastAsia="黑体" w:cs="黑体"/>
                <w:i/>
                <w:iCs/>
                <w:color w:val="000000"/>
                <w:sz w:val="18"/>
                <w:szCs w:val="18"/>
                <w:u w:val="none"/>
              </w:rPr>
            </w:pPr>
          </w:p>
        </w:tc>
      </w:tr>
      <w:tr w14:paraId="3DB5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F69E0">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4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5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F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1D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31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B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EB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78714">
            <w:pPr>
              <w:rPr>
                <w:rFonts w:hint="eastAsia" w:ascii="黑体" w:hAnsi="黑体" w:eastAsia="黑体" w:cs="黑体"/>
                <w:i/>
                <w:iCs/>
                <w:color w:val="000000"/>
                <w:sz w:val="18"/>
                <w:szCs w:val="18"/>
                <w:u w:val="none"/>
              </w:rPr>
            </w:pPr>
          </w:p>
        </w:tc>
      </w:tr>
      <w:tr w14:paraId="5D74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4E93A">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DC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2931F">
            <w:pPr>
              <w:jc w:val="center"/>
              <w:rPr>
                <w:rFonts w:hint="eastAsia" w:ascii="微软雅黑" w:hAnsi="微软雅黑" w:eastAsia="微软雅黑" w:cs="微软雅黑"/>
                <w:i/>
                <w:iCs/>
                <w:color w:val="000000"/>
                <w:sz w:val="16"/>
                <w:szCs w:val="16"/>
                <w:u w:val="none"/>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DF82">
            <w:pPr>
              <w:jc w:val="center"/>
              <w:rPr>
                <w:rFonts w:hint="eastAsia" w:ascii="微软雅黑" w:hAnsi="微软雅黑" w:eastAsia="微软雅黑" w:cs="微软雅黑"/>
                <w:i/>
                <w:iCs/>
                <w:color w:val="000000"/>
                <w:sz w:val="16"/>
                <w:szCs w:val="16"/>
                <w:u w:val="none"/>
              </w:rPr>
            </w:pP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CC525">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1444F">
            <w:pPr>
              <w:jc w:val="center"/>
              <w:rPr>
                <w:rFonts w:hint="eastAsia" w:ascii="微软雅黑" w:hAnsi="微软雅黑" w:eastAsia="微软雅黑" w:cs="微软雅黑"/>
                <w:i/>
                <w:iCs/>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3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F2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98207">
            <w:pPr>
              <w:rPr>
                <w:rFonts w:hint="eastAsia" w:ascii="黑体" w:hAnsi="黑体" w:eastAsia="黑体" w:cs="黑体"/>
                <w:i/>
                <w:iCs/>
                <w:color w:val="000000"/>
                <w:sz w:val="18"/>
                <w:szCs w:val="18"/>
                <w:u w:val="none"/>
              </w:rPr>
            </w:pPr>
          </w:p>
        </w:tc>
      </w:tr>
      <w:tr w14:paraId="414A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63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C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7E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F2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18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53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20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B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3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F2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E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7B8B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ECB89">
            <w:pPr>
              <w:jc w:val="center"/>
              <w:rPr>
                <w:rFonts w:hint="eastAsia" w:ascii="宋体" w:hAnsi="宋体" w:eastAsia="宋体" w:cs="宋体"/>
                <w:i w:val="0"/>
                <w:iCs w:val="0"/>
                <w:color w:val="000000"/>
                <w:sz w:val="18"/>
                <w:szCs w:val="18"/>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0A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9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2E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D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2D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3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4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8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10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393FD">
            <w:pPr>
              <w:jc w:val="center"/>
              <w:rPr>
                <w:rFonts w:hint="eastAsia" w:ascii="宋体" w:hAnsi="宋体" w:eastAsia="宋体" w:cs="宋体"/>
                <w:i w:val="0"/>
                <w:iCs w:val="0"/>
                <w:color w:val="000000"/>
                <w:sz w:val="18"/>
                <w:szCs w:val="18"/>
                <w:u w:val="none"/>
              </w:rPr>
            </w:pPr>
          </w:p>
        </w:tc>
      </w:tr>
      <w:tr w14:paraId="222C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E1AEF">
            <w:pPr>
              <w:jc w:val="center"/>
              <w:rPr>
                <w:rFonts w:hint="eastAsia" w:ascii="宋体" w:hAnsi="宋体" w:eastAsia="宋体" w:cs="宋体"/>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0D209">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6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4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19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4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A2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B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C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5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E1256">
            <w:pPr>
              <w:jc w:val="center"/>
              <w:rPr>
                <w:rFonts w:hint="eastAsia" w:ascii="宋体" w:hAnsi="宋体" w:eastAsia="宋体" w:cs="宋体"/>
                <w:i w:val="0"/>
                <w:iCs w:val="0"/>
                <w:color w:val="000000"/>
                <w:sz w:val="18"/>
                <w:szCs w:val="18"/>
                <w:u w:val="none"/>
              </w:rPr>
            </w:pPr>
          </w:p>
        </w:tc>
      </w:tr>
      <w:tr w14:paraId="1D8F3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011FA">
            <w:pPr>
              <w:jc w:val="center"/>
              <w:rPr>
                <w:rFonts w:hint="eastAsia" w:ascii="宋体" w:hAnsi="宋体" w:eastAsia="宋体" w:cs="宋体"/>
                <w:i w:val="0"/>
                <w:iCs w:val="0"/>
                <w:color w:val="000000"/>
                <w:sz w:val="18"/>
                <w:szCs w:val="18"/>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22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5A3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C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经费控制率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2A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BE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8E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2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1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79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EFCB6">
            <w:pPr>
              <w:jc w:val="center"/>
              <w:rPr>
                <w:rFonts w:hint="eastAsia" w:ascii="宋体" w:hAnsi="宋体" w:eastAsia="宋体" w:cs="宋体"/>
                <w:i w:val="0"/>
                <w:iCs w:val="0"/>
                <w:color w:val="000000"/>
                <w:sz w:val="18"/>
                <w:szCs w:val="18"/>
                <w:u w:val="none"/>
              </w:rPr>
            </w:pPr>
          </w:p>
        </w:tc>
      </w:tr>
      <w:tr w14:paraId="67E9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636F6">
            <w:pPr>
              <w:jc w:val="center"/>
              <w:rPr>
                <w:rFonts w:hint="eastAsia" w:ascii="宋体" w:hAnsi="宋体" w:eastAsia="宋体" w:cs="宋体"/>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90759">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AC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F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C1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4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3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8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47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8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CF6D">
            <w:pPr>
              <w:jc w:val="center"/>
              <w:rPr>
                <w:rFonts w:hint="eastAsia" w:ascii="宋体" w:hAnsi="宋体" w:eastAsia="宋体" w:cs="宋体"/>
                <w:i w:val="0"/>
                <w:iCs w:val="0"/>
                <w:color w:val="000000"/>
                <w:sz w:val="18"/>
                <w:szCs w:val="18"/>
                <w:u w:val="none"/>
              </w:rPr>
            </w:pPr>
          </w:p>
        </w:tc>
      </w:tr>
      <w:tr w14:paraId="3CAC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FC76C">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0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9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9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B9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9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0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E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E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0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7589C">
            <w:pPr>
              <w:rPr>
                <w:rFonts w:hint="eastAsia" w:ascii="宋体" w:hAnsi="宋体" w:eastAsia="宋体" w:cs="宋体"/>
                <w:i w:val="0"/>
                <w:iCs w:val="0"/>
                <w:color w:val="000000"/>
                <w:sz w:val="18"/>
                <w:szCs w:val="18"/>
                <w:u w:val="none"/>
              </w:rPr>
            </w:pPr>
          </w:p>
        </w:tc>
      </w:tr>
      <w:tr w14:paraId="4688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4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4CF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0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9999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AC101">
            <w:pPr>
              <w:rPr>
                <w:rFonts w:hint="eastAsia" w:ascii="宋体" w:hAnsi="宋体" w:eastAsia="宋体" w:cs="宋体"/>
                <w:i w:val="0"/>
                <w:iCs w:val="0"/>
                <w:color w:val="000000"/>
                <w:sz w:val="18"/>
                <w:szCs w:val="18"/>
                <w:u w:val="none"/>
              </w:rPr>
            </w:pPr>
          </w:p>
        </w:tc>
      </w:tr>
      <w:tr w14:paraId="620C6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CB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16EC8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本年度营养餐项目资金拨付及时、支付到位，该项目自评得分10分</w:t>
            </w:r>
          </w:p>
        </w:tc>
      </w:tr>
      <w:tr w14:paraId="65A3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1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C11ED2">
            <w:pPr>
              <w:rPr>
                <w:rFonts w:hint="eastAsia" w:ascii="微软雅黑" w:hAnsi="微软雅黑" w:eastAsia="微软雅黑" w:cs="微软雅黑"/>
                <w:i/>
                <w:iCs/>
                <w:color w:val="000000"/>
                <w:sz w:val="16"/>
                <w:szCs w:val="16"/>
                <w:u w:val="none"/>
              </w:rPr>
            </w:pPr>
          </w:p>
        </w:tc>
      </w:tr>
      <w:tr w14:paraId="683D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DC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421622">
            <w:pPr>
              <w:rPr>
                <w:rFonts w:hint="eastAsia" w:ascii="微软雅黑" w:hAnsi="微软雅黑" w:eastAsia="微软雅黑" w:cs="微软雅黑"/>
                <w:i/>
                <w:iCs/>
                <w:color w:val="000000"/>
                <w:sz w:val="16"/>
                <w:szCs w:val="16"/>
                <w:u w:val="none"/>
              </w:rPr>
            </w:pPr>
          </w:p>
        </w:tc>
      </w:tr>
      <w:tr w14:paraId="2185A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1D8A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项目负责人：任菊</w:t>
            </w:r>
          </w:p>
        </w:tc>
        <w:tc>
          <w:tcPr>
            <w:tcW w:w="242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989B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财务负责人：李锦胜</w:t>
            </w:r>
          </w:p>
        </w:tc>
      </w:tr>
      <w:tr w14:paraId="3B01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25CB44B6">
            <w:pPr>
              <w:rPr>
                <w:rFonts w:hint="eastAsia" w:ascii="宋体" w:hAnsi="宋体" w:eastAsia="宋体" w:cs="宋体"/>
                <w:i w:val="0"/>
                <w:iCs w:val="0"/>
                <w:color w:val="000000"/>
                <w:sz w:val="18"/>
                <w:szCs w:val="18"/>
                <w:u w:val="none"/>
              </w:rPr>
            </w:pPr>
          </w:p>
        </w:tc>
        <w:tc>
          <w:tcPr>
            <w:tcW w:w="725" w:type="pct"/>
            <w:tcBorders>
              <w:top w:val="nil"/>
              <w:left w:val="nil"/>
              <w:bottom w:val="nil"/>
              <w:right w:val="nil"/>
            </w:tcBorders>
            <w:shd w:val="clear" w:color="auto" w:fill="auto"/>
            <w:vAlign w:val="center"/>
          </w:tcPr>
          <w:p w14:paraId="4970B6F1">
            <w:pPr>
              <w:rPr>
                <w:rFonts w:hint="eastAsia" w:ascii="宋体" w:hAnsi="宋体" w:eastAsia="宋体" w:cs="宋体"/>
                <w:i w:val="0"/>
                <w:iCs w:val="0"/>
                <w:color w:val="000000"/>
                <w:sz w:val="18"/>
                <w:szCs w:val="18"/>
                <w:u w:val="none"/>
              </w:rPr>
            </w:pPr>
          </w:p>
        </w:tc>
        <w:tc>
          <w:tcPr>
            <w:tcW w:w="627" w:type="pct"/>
            <w:tcBorders>
              <w:top w:val="nil"/>
              <w:left w:val="nil"/>
              <w:bottom w:val="nil"/>
              <w:right w:val="nil"/>
            </w:tcBorders>
            <w:shd w:val="clear" w:color="auto" w:fill="auto"/>
            <w:vAlign w:val="center"/>
          </w:tcPr>
          <w:p w14:paraId="0F3CE78C">
            <w:pPr>
              <w:rPr>
                <w:rFonts w:hint="eastAsia" w:ascii="宋体" w:hAnsi="宋体" w:eastAsia="宋体" w:cs="宋体"/>
                <w:i w:val="0"/>
                <w:iCs w:val="0"/>
                <w:color w:val="000000"/>
                <w:sz w:val="18"/>
                <w:szCs w:val="18"/>
                <w:u w:val="none"/>
              </w:rPr>
            </w:pPr>
          </w:p>
        </w:tc>
        <w:tc>
          <w:tcPr>
            <w:tcW w:w="800" w:type="pct"/>
            <w:tcBorders>
              <w:top w:val="nil"/>
              <w:left w:val="nil"/>
              <w:bottom w:val="nil"/>
              <w:right w:val="nil"/>
            </w:tcBorders>
            <w:shd w:val="clear" w:color="auto" w:fill="auto"/>
            <w:vAlign w:val="center"/>
          </w:tcPr>
          <w:p w14:paraId="0E0DF6B1">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4A672016">
            <w:pPr>
              <w:rPr>
                <w:rFonts w:hint="eastAsia" w:ascii="宋体" w:hAnsi="宋体" w:eastAsia="宋体" w:cs="宋体"/>
                <w:i w:val="0"/>
                <w:iCs w:val="0"/>
                <w:color w:val="000000"/>
                <w:sz w:val="18"/>
                <w:szCs w:val="18"/>
                <w:u w:val="none"/>
              </w:rPr>
            </w:pPr>
          </w:p>
        </w:tc>
        <w:tc>
          <w:tcPr>
            <w:tcW w:w="592" w:type="pct"/>
            <w:tcBorders>
              <w:top w:val="nil"/>
              <w:left w:val="nil"/>
              <w:bottom w:val="nil"/>
              <w:right w:val="nil"/>
            </w:tcBorders>
            <w:shd w:val="clear" w:color="auto" w:fill="auto"/>
            <w:vAlign w:val="center"/>
          </w:tcPr>
          <w:p w14:paraId="5B67C83B">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4B1562CA">
            <w:pPr>
              <w:rPr>
                <w:rFonts w:hint="eastAsia" w:ascii="宋体" w:hAnsi="宋体" w:eastAsia="宋体" w:cs="宋体"/>
                <w:i w:val="0"/>
                <w:iCs w:val="0"/>
                <w:color w:val="000000"/>
                <w:sz w:val="18"/>
                <w:szCs w:val="18"/>
                <w:u w:val="none"/>
              </w:rPr>
            </w:pPr>
          </w:p>
        </w:tc>
        <w:tc>
          <w:tcPr>
            <w:tcW w:w="386" w:type="pct"/>
            <w:tcBorders>
              <w:top w:val="nil"/>
              <w:left w:val="nil"/>
              <w:bottom w:val="nil"/>
              <w:right w:val="nil"/>
            </w:tcBorders>
            <w:shd w:val="clear" w:color="auto" w:fill="auto"/>
            <w:vAlign w:val="center"/>
          </w:tcPr>
          <w:p w14:paraId="52B4AD88">
            <w:pPr>
              <w:rPr>
                <w:rFonts w:hint="eastAsia" w:ascii="宋体" w:hAnsi="宋体" w:eastAsia="宋体" w:cs="宋体"/>
                <w:i w:val="0"/>
                <w:iCs w:val="0"/>
                <w:color w:val="000000"/>
                <w:sz w:val="18"/>
                <w:szCs w:val="18"/>
                <w:u w:val="none"/>
              </w:rPr>
            </w:pPr>
          </w:p>
        </w:tc>
        <w:tc>
          <w:tcPr>
            <w:tcW w:w="178" w:type="pct"/>
            <w:tcBorders>
              <w:top w:val="nil"/>
              <w:left w:val="nil"/>
              <w:bottom w:val="nil"/>
              <w:right w:val="nil"/>
            </w:tcBorders>
            <w:shd w:val="clear" w:color="auto" w:fill="auto"/>
            <w:vAlign w:val="center"/>
          </w:tcPr>
          <w:p w14:paraId="2CAE158C">
            <w:pPr>
              <w:rPr>
                <w:rFonts w:hint="eastAsia" w:ascii="宋体" w:hAnsi="宋体" w:eastAsia="宋体" w:cs="宋体"/>
                <w:i w:val="0"/>
                <w:iCs w:val="0"/>
                <w:color w:val="000000"/>
                <w:sz w:val="18"/>
                <w:szCs w:val="18"/>
                <w:u w:val="none"/>
              </w:rPr>
            </w:pPr>
          </w:p>
        </w:tc>
        <w:tc>
          <w:tcPr>
            <w:tcW w:w="172" w:type="pct"/>
            <w:tcBorders>
              <w:top w:val="nil"/>
              <w:left w:val="nil"/>
              <w:bottom w:val="nil"/>
              <w:right w:val="nil"/>
            </w:tcBorders>
            <w:shd w:val="clear" w:color="auto" w:fill="auto"/>
            <w:vAlign w:val="center"/>
          </w:tcPr>
          <w:p w14:paraId="5F470B5E">
            <w:pPr>
              <w:rPr>
                <w:rFonts w:hint="eastAsia" w:ascii="宋体" w:hAnsi="宋体" w:eastAsia="宋体" w:cs="宋体"/>
                <w:i w:val="0"/>
                <w:iCs w:val="0"/>
                <w:color w:val="000000"/>
                <w:sz w:val="18"/>
                <w:szCs w:val="18"/>
                <w:u w:val="none"/>
              </w:rPr>
            </w:pPr>
          </w:p>
        </w:tc>
        <w:tc>
          <w:tcPr>
            <w:tcW w:w="905" w:type="pct"/>
            <w:tcBorders>
              <w:top w:val="nil"/>
              <w:left w:val="nil"/>
              <w:bottom w:val="nil"/>
              <w:right w:val="nil"/>
            </w:tcBorders>
            <w:shd w:val="clear" w:color="auto" w:fill="auto"/>
            <w:vAlign w:val="center"/>
          </w:tcPr>
          <w:p w14:paraId="71CC2534">
            <w:pPr>
              <w:rPr>
                <w:rFonts w:hint="eastAsia" w:ascii="宋体" w:hAnsi="宋体" w:eastAsia="宋体" w:cs="宋体"/>
                <w:i w:val="0"/>
                <w:iCs w:val="0"/>
                <w:color w:val="000000"/>
                <w:sz w:val="18"/>
                <w:szCs w:val="18"/>
                <w:u w:val="none"/>
              </w:rPr>
            </w:pPr>
          </w:p>
        </w:tc>
      </w:tr>
      <w:tr w14:paraId="16B6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F109C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D99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142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1B17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51172423T000008014711-校舍维修</w:t>
            </w:r>
          </w:p>
        </w:tc>
      </w:tr>
      <w:tr w14:paraId="1291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F22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E8C8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大竹县月华镇第二中心小学部门</w:t>
            </w:r>
          </w:p>
        </w:tc>
        <w:tc>
          <w:tcPr>
            <w:tcW w:w="386" w:type="pct"/>
            <w:tcBorders>
              <w:top w:val="nil"/>
              <w:left w:val="nil"/>
              <w:bottom w:val="nil"/>
              <w:right w:val="nil"/>
            </w:tcBorders>
            <w:shd w:val="clear" w:color="auto" w:fill="auto"/>
            <w:vAlign w:val="center"/>
          </w:tcPr>
          <w:p w14:paraId="6E1DEE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E6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大竹县月华镇第二中心小学</w:t>
            </w:r>
          </w:p>
        </w:tc>
      </w:tr>
      <w:tr w14:paraId="28ED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1FE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10B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7C0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946F8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723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66439">
            <w:pPr>
              <w:rPr>
                <w:rFonts w:hint="eastAsia" w:ascii="宋体" w:hAnsi="宋体" w:eastAsia="宋体" w:cs="宋体"/>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0E2E5">
            <w:pPr>
              <w:rPr>
                <w:rFonts w:hint="eastAsia" w:ascii="宋体" w:hAnsi="宋体" w:eastAsia="宋体" w:cs="宋体"/>
                <w:i w:val="0"/>
                <w:iCs w:val="0"/>
                <w:color w:val="000000"/>
                <w:sz w:val="18"/>
                <w:szCs w:val="18"/>
                <w:u w:val="none"/>
              </w:rPr>
            </w:pPr>
          </w:p>
        </w:tc>
        <w:tc>
          <w:tcPr>
            <w:tcW w:w="238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43EA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通过校舍维修改造，改善办学条件。</w:t>
            </w:r>
          </w:p>
        </w:tc>
        <w:tc>
          <w:tcPr>
            <w:tcW w:w="16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400A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5B38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92CF1">
            <w:pP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135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04CD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通过校舍维修改造，改善办学条件。</w:t>
            </w:r>
          </w:p>
        </w:tc>
      </w:tr>
      <w:tr w14:paraId="406A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83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D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A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C4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02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3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1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B1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B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74D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3CC03">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2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BA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24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D3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7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F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F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D287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DDF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1EE56">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4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72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0F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75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3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8D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4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822ED">
            <w:pPr>
              <w:rPr>
                <w:rFonts w:hint="eastAsia" w:ascii="黑体" w:hAnsi="黑体" w:eastAsia="黑体" w:cs="黑体"/>
                <w:i/>
                <w:iCs/>
                <w:color w:val="000000"/>
                <w:sz w:val="18"/>
                <w:szCs w:val="18"/>
                <w:u w:val="none"/>
              </w:rPr>
            </w:pPr>
          </w:p>
        </w:tc>
      </w:tr>
      <w:tr w14:paraId="522E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C1BC">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38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C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6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F4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DF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2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8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621C">
            <w:pPr>
              <w:rPr>
                <w:rFonts w:hint="eastAsia" w:ascii="黑体" w:hAnsi="黑体" w:eastAsia="黑体" w:cs="黑体"/>
                <w:i/>
                <w:iCs/>
                <w:color w:val="000000"/>
                <w:sz w:val="18"/>
                <w:szCs w:val="18"/>
                <w:u w:val="none"/>
              </w:rPr>
            </w:pPr>
          </w:p>
        </w:tc>
      </w:tr>
      <w:tr w14:paraId="5094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539C8">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27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0A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0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E2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62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6B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F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6FEAA">
            <w:pPr>
              <w:rPr>
                <w:rFonts w:hint="eastAsia" w:ascii="黑体" w:hAnsi="黑体" w:eastAsia="黑体" w:cs="黑体"/>
                <w:i/>
                <w:iCs/>
                <w:color w:val="000000"/>
                <w:sz w:val="18"/>
                <w:szCs w:val="18"/>
                <w:u w:val="none"/>
              </w:rPr>
            </w:pPr>
          </w:p>
        </w:tc>
      </w:tr>
      <w:tr w14:paraId="36ED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9F1AA">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5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7568E">
            <w:pPr>
              <w:jc w:val="center"/>
              <w:rPr>
                <w:rFonts w:hint="eastAsia" w:ascii="微软雅黑" w:hAnsi="微软雅黑" w:eastAsia="微软雅黑" w:cs="微软雅黑"/>
                <w:i/>
                <w:iCs/>
                <w:color w:val="000000"/>
                <w:sz w:val="16"/>
                <w:szCs w:val="16"/>
                <w:u w:val="none"/>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CB25B">
            <w:pPr>
              <w:jc w:val="center"/>
              <w:rPr>
                <w:rFonts w:hint="eastAsia" w:ascii="微软雅黑" w:hAnsi="微软雅黑" w:eastAsia="微软雅黑" w:cs="微软雅黑"/>
                <w:i/>
                <w:iCs/>
                <w:color w:val="000000"/>
                <w:sz w:val="16"/>
                <w:szCs w:val="16"/>
                <w:u w:val="none"/>
              </w:rPr>
            </w:pPr>
          </w:p>
        </w:tc>
        <w:tc>
          <w:tcPr>
            <w:tcW w:w="9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898D1">
            <w:pPr>
              <w:jc w:val="center"/>
              <w:rPr>
                <w:rFonts w:hint="eastAsia" w:ascii="微软雅黑" w:hAnsi="微软雅黑" w:eastAsia="微软雅黑" w:cs="微软雅黑"/>
                <w:i/>
                <w:iCs/>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63759">
            <w:pPr>
              <w:jc w:val="center"/>
              <w:rPr>
                <w:rFonts w:hint="eastAsia" w:ascii="微软雅黑" w:hAnsi="微软雅黑" w:eastAsia="微软雅黑" w:cs="微软雅黑"/>
                <w:i/>
                <w:iCs/>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18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D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2F24C">
            <w:pPr>
              <w:rPr>
                <w:rFonts w:hint="eastAsia" w:ascii="黑体" w:hAnsi="黑体" w:eastAsia="黑体" w:cs="黑体"/>
                <w:i/>
                <w:iCs/>
                <w:color w:val="000000"/>
                <w:sz w:val="18"/>
                <w:szCs w:val="18"/>
                <w:u w:val="none"/>
              </w:rPr>
            </w:pPr>
          </w:p>
        </w:tc>
      </w:tr>
      <w:tr w14:paraId="75A1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F3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F2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9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5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C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0E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E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51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D5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9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2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05F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049A">
            <w:pPr>
              <w:jc w:val="center"/>
              <w:rPr>
                <w:rFonts w:hint="eastAsia" w:ascii="宋体" w:hAnsi="宋体" w:eastAsia="宋体" w:cs="宋体"/>
                <w:i w:val="0"/>
                <w:iCs w:val="0"/>
                <w:color w:val="000000"/>
                <w:sz w:val="18"/>
                <w:szCs w:val="18"/>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26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0B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D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5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6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8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25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2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C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BEE1D">
            <w:pPr>
              <w:jc w:val="center"/>
              <w:rPr>
                <w:rFonts w:hint="eastAsia" w:ascii="微软雅黑" w:hAnsi="微软雅黑" w:eastAsia="微软雅黑" w:cs="微软雅黑"/>
                <w:i/>
                <w:iCs/>
                <w:color w:val="000000"/>
                <w:sz w:val="16"/>
                <w:szCs w:val="16"/>
                <w:u w:val="none"/>
              </w:rPr>
            </w:pPr>
          </w:p>
        </w:tc>
      </w:tr>
      <w:tr w14:paraId="5494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08840">
            <w:pPr>
              <w:jc w:val="center"/>
              <w:rPr>
                <w:rFonts w:hint="eastAsia" w:ascii="宋体" w:hAnsi="宋体" w:eastAsia="宋体" w:cs="宋体"/>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6087">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ED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4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E4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9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7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9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2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4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DE6E">
            <w:pPr>
              <w:rPr>
                <w:rFonts w:hint="eastAsia" w:ascii="宋体" w:hAnsi="宋体" w:eastAsia="宋体" w:cs="宋体"/>
                <w:i w:val="0"/>
                <w:iCs w:val="0"/>
                <w:color w:val="000000"/>
                <w:sz w:val="18"/>
                <w:szCs w:val="18"/>
                <w:u w:val="none"/>
              </w:rPr>
            </w:pPr>
          </w:p>
        </w:tc>
      </w:tr>
      <w:tr w14:paraId="542E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BF144">
            <w:pPr>
              <w:jc w:val="center"/>
              <w:rPr>
                <w:rFonts w:hint="eastAsia" w:ascii="宋体" w:hAnsi="宋体" w:eastAsia="宋体" w:cs="宋体"/>
                <w:i w:val="0"/>
                <w:iCs w:val="0"/>
                <w:color w:val="000000"/>
                <w:sz w:val="18"/>
                <w:szCs w:val="18"/>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CB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7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5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经费控制率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4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3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F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8F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7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5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FC9D">
            <w:pPr>
              <w:rPr>
                <w:rFonts w:hint="eastAsia" w:ascii="宋体" w:hAnsi="宋体" w:eastAsia="宋体" w:cs="宋体"/>
                <w:i w:val="0"/>
                <w:iCs w:val="0"/>
                <w:color w:val="000000"/>
                <w:sz w:val="18"/>
                <w:szCs w:val="18"/>
                <w:u w:val="none"/>
              </w:rPr>
            </w:pPr>
          </w:p>
        </w:tc>
      </w:tr>
      <w:tr w14:paraId="226A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85ABF">
            <w:pPr>
              <w:jc w:val="center"/>
              <w:rPr>
                <w:rFonts w:hint="eastAsia" w:ascii="宋体" w:hAnsi="宋体" w:eastAsia="宋体" w:cs="宋体"/>
                <w:i w:val="0"/>
                <w:iCs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3C469">
            <w:pPr>
              <w:jc w:val="center"/>
              <w:rPr>
                <w:rFonts w:hint="eastAsia" w:ascii="宋体" w:hAnsi="宋体" w:eastAsia="宋体" w:cs="宋体"/>
                <w:i w:val="0"/>
                <w:iCs w:val="0"/>
                <w:color w:val="000000"/>
                <w:sz w:val="18"/>
                <w:szCs w:val="18"/>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8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C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3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B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B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7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1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7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1B88">
            <w:pPr>
              <w:rPr>
                <w:rFonts w:hint="eastAsia" w:ascii="宋体" w:hAnsi="宋体" w:eastAsia="宋体" w:cs="宋体"/>
                <w:i w:val="0"/>
                <w:iCs w:val="0"/>
                <w:color w:val="000000"/>
                <w:sz w:val="18"/>
                <w:szCs w:val="18"/>
                <w:u w:val="none"/>
              </w:rPr>
            </w:pPr>
          </w:p>
        </w:tc>
      </w:tr>
      <w:tr w14:paraId="0818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072B5">
            <w:pPr>
              <w:jc w:val="center"/>
              <w:rPr>
                <w:rFonts w:hint="eastAsia" w:ascii="宋体" w:hAnsi="宋体" w:eastAsia="宋体" w:cs="宋体"/>
                <w:i w:val="0"/>
                <w:iCs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1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D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2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C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C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4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8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D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72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34F6F">
            <w:pPr>
              <w:rPr>
                <w:rFonts w:hint="eastAsia" w:ascii="宋体" w:hAnsi="宋体" w:eastAsia="宋体" w:cs="宋体"/>
                <w:i w:val="0"/>
                <w:iCs w:val="0"/>
                <w:color w:val="000000"/>
                <w:sz w:val="18"/>
                <w:szCs w:val="18"/>
                <w:u w:val="none"/>
              </w:rPr>
            </w:pPr>
          </w:p>
        </w:tc>
      </w:tr>
      <w:tr w14:paraId="0A1A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4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71A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E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E4D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1163">
            <w:pPr>
              <w:rPr>
                <w:rFonts w:hint="eastAsia" w:ascii="宋体" w:hAnsi="宋体" w:eastAsia="宋体" w:cs="宋体"/>
                <w:i w:val="0"/>
                <w:iCs w:val="0"/>
                <w:color w:val="000000"/>
                <w:sz w:val="18"/>
                <w:szCs w:val="18"/>
                <w:u w:val="none"/>
              </w:rPr>
            </w:pPr>
          </w:p>
        </w:tc>
      </w:tr>
      <w:tr w14:paraId="0A14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8F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FFCB3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本年度顺利完成校舍维修项目，资金到位，支付到位，该项目自评得分10分</w:t>
            </w:r>
          </w:p>
        </w:tc>
      </w:tr>
      <w:tr w14:paraId="7794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B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C97D68">
            <w:pPr>
              <w:rPr>
                <w:rFonts w:hint="eastAsia" w:ascii="微软雅黑" w:hAnsi="微软雅黑" w:eastAsia="微软雅黑" w:cs="微软雅黑"/>
                <w:i/>
                <w:iCs/>
                <w:color w:val="000000"/>
                <w:sz w:val="16"/>
                <w:szCs w:val="16"/>
                <w:u w:val="none"/>
              </w:rPr>
            </w:pPr>
          </w:p>
        </w:tc>
      </w:tr>
      <w:tr w14:paraId="2BB5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AF2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96D1C3">
            <w:pPr>
              <w:rPr>
                <w:rFonts w:hint="eastAsia" w:ascii="微软雅黑" w:hAnsi="微软雅黑" w:eastAsia="微软雅黑" w:cs="微软雅黑"/>
                <w:i/>
                <w:iCs/>
                <w:color w:val="000000"/>
                <w:sz w:val="16"/>
                <w:szCs w:val="16"/>
                <w:u w:val="none"/>
              </w:rPr>
            </w:pPr>
          </w:p>
        </w:tc>
      </w:tr>
      <w:tr w14:paraId="676B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BF5B5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项目负责人：任菊</w:t>
            </w:r>
          </w:p>
        </w:tc>
        <w:tc>
          <w:tcPr>
            <w:tcW w:w="242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2C88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财务负责人：李锦胜</w:t>
            </w:r>
          </w:p>
        </w:tc>
      </w:tr>
    </w:tbl>
    <w:p w14:paraId="69C94BF9">
      <w:pPr>
        <w:spacing w:line="600" w:lineRule="exact"/>
        <w:jc w:val="center"/>
        <w:outlineLvl w:val="0"/>
        <w:rPr>
          <w:rFonts w:hint="eastAsia" w:ascii="黑体" w:hAnsi="黑体" w:eastAsia="黑体"/>
          <w:b w:val="0"/>
          <w:bCs w:val="0"/>
          <w:sz w:val="44"/>
          <w:szCs w:val="44"/>
        </w:rPr>
      </w:pPr>
    </w:p>
    <w:p w14:paraId="1BE64EDC">
      <w:pPr>
        <w:spacing w:line="600" w:lineRule="exact"/>
        <w:jc w:val="center"/>
        <w:outlineLvl w:val="0"/>
        <w:rPr>
          <w:rFonts w:hint="eastAsia" w:ascii="黑体" w:hAnsi="黑体" w:eastAsia="黑体"/>
          <w:b w:val="0"/>
          <w:bCs w:val="0"/>
          <w:sz w:val="44"/>
          <w:szCs w:val="44"/>
        </w:rPr>
      </w:pPr>
    </w:p>
    <w:p w14:paraId="74CDC1A4">
      <w:pPr>
        <w:pStyle w:val="2"/>
        <w:rPr>
          <w:rFonts w:hint="eastAsia" w:ascii="黑体" w:hAnsi="黑体" w:eastAsia="黑体"/>
          <w:b w:val="0"/>
          <w:bCs w:val="0"/>
          <w:sz w:val="44"/>
          <w:szCs w:val="44"/>
        </w:rPr>
      </w:pPr>
    </w:p>
    <w:p w14:paraId="218F4811">
      <w:pPr>
        <w:spacing w:line="600" w:lineRule="exact"/>
        <w:jc w:val="center"/>
        <w:outlineLvl w:val="0"/>
        <w:rPr>
          <w:rStyle w:val="27"/>
          <w:rFonts w:hint="eastAsia" w:ascii="黑体" w:hAnsi="黑体" w:eastAsia="黑体"/>
          <w:b w:val="0"/>
          <w:bCs w:val="0"/>
        </w:rPr>
      </w:pPr>
      <w:r>
        <w:rPr>
          <w:rFonts w:hint="eastAsia" w:ascii="黑体" w:hAnsi="黑体" w:eastAsia="黑体"/>
          <w:b w:val="0"/>
          <w:bCs w:val="0"/>
          <w:sz w:val="44"/>
          <w:szCs w:val="44"/>
        </w:rPr>
        <w:t>第</w:t>
      </w:r>
      <w:r>
        <w:rPr>
          <w:rStyle w:val="27"/>
          <w:rFonts w:hint="eastAsia" w:ascii="黑体" w:hAnsi="黑体" w:eastAsia="黑体"/>
          <w:b w:val="0"/>
          <w:bCs w:val="0"/>
        </w:rPr>
        <w:t>五部分 附表</w:t>
      </w:r>
      <w:bookmarkEnd w:id="45"/>
      <w:bookmarkEnd w:id="47"/>
      <w:bookmarkStart w:id="48" w:name="_Toc15396619"/>
    </w:p>
    <w:p w14:paraId="2C8041CE">
      <w:pPr>
        <w:pStyle w:val="2"/>
      </w:pPr>
    </w:p>
    <w:p w14:paraId="7899BA72">
      <w:pPr>
        <w:pStyle w:val="4"/>
        <w:rPr>
          <w:rFonts w:ascii="仿宋" w:hAnsi="仿宋" w:eastAsia="仿宋"/>
          <w:b w:val="0"/>
          <w:bCs w:val="0"/>
        </w:rPr>
      </w:pPr>
      <w:r>
        <w:rPr>
          <w:rFonts w:hint="eastAsia" w:ascii="仿宋" w:hAnsi="仿宋" w:eastAsia="仿宋"/>
          <w:b w:val="0"/>
          <w:bCs w:val="0"/>
        </w:rPr>
        <w:t>一、收</w:t>
      </w:r>
      <w:r>
        <w:rPr>
          <w:rStyle w:val="28"/>
          <w:rFonts w:hint="eastAsia" w:ascii="仿宋" w:hAnsi="仿宋" w:eastAsia="仿宋"/>
          <w:b w:val="0"/>
          <w:bCs w:val="0"/>
        </w:rPr>
        <w:t>入支出决算总表</w:t>
      </w:r>
      <w:bookmarkEnd w:id="48"/>
    </w:p>
    <w:p w14:paraId="59A4FEB1">
      <w:pPr>
        <w:pStyle w:val="4"/>
        <w:rPr>
          <w:rFonts w:ascii="仿宋" w:hAnsi="仿宋" w:eastAsia="仿宋"/>
          <w:b w:val="0"/>
          <w:bCs w:val="0"/>
        </w:rPr>
      </w:pPr>
      <w:bookmarkStart w:id="49" w:name="_Toc15396620"/>
      <w:r>
        <w:rPr>
          <w:rFonts w:hint="eastAsia" w:ascii="仿宋" w:hAnsi="仿宋" w:eastAsia="仿宋"/>
          <w:b w:val="0"/>
          <w:bCs w:val="0"/>
        </w:rPr>
        <w:t>二、收</w:t>
      </w:r>
      <w:r>
        <w:rPr>
          <w:rStyle w:val="28"/>
          <w:rFonts w:hint="eastAsia" w:ascii="仿宋" w:hAnsi="仿宋" w:eastAsia="仿宋"/>
          <w:b w:val="0"/>
          <w:bCs w:val="0"/>
        </w:rPr>
        <w:t>入决算表</w:t>
      </w:r>
      <w:bookmarkEnd w:id="49"/>
    </w:p>
    <w:p w14:paraId="650BF0A5">
      <w:pPr>
        <w:pStyle w:val="4"/>
        <w:rPr>
          <w:rFonts w:ascii="仿宋" w:hAnsi="仿宋" w:eastAsia="仿宋"/>
          <w:b w:val="0"/>
          <w:bCs w:val="0"/>
        </w:rPr>
      </w:pPr>
      <w:bookmarkStart w:id="50" w:name="_Toc15396621"/>
      <w:r>
        <w:rPr>
          <w:rStyle w:val="28"/>
          <w:rFonts w:hint="eastAsia" w:ascii="仿宋" w:hAnsi="仿宋" w:eastAsia="仿宋"/>
          <w:b w:val="0"/>
          <w:bCs w:val="0"/>
        </w:rPr>
        <w:t>三、</w:t>
      </w:r>
      <w:r>
        <w:rPr>
          <w:rFonts w:hint="eastAsia" w:ascii="仿宋" w:hAnsi="仿宋" w:eastAsia="仿宋"/>
          <w:b w:val="0"/>
          <w:bCs w:val="0"/>
        </w:rPr>
        <w:t>支</w:t>
      </w:r>
      <w:r>
        <w:rPr>
          <w:rStyle w:val="28"/>
          <w:rFonts w:hint="eastAsia" w:ascii="仿宋" w:hAnsi="仿宋" w:eastAsia="仿宋"/>
          <w:b w:val="0"/>
          <w:bCs w:val="0"/>
        </w:rPr>
        <w:t>出决算表</w:t>
      </w:r>
      <w:bookmarkEnd w:id="50"/>
    </w:p>
    <w:p w14:paraId="5FD26BFD">
      <w:pPr>
        <w:pStyle w:val="4"/>
        <w:rPr>
          <w:rFonts w:ascii="仿宋" w:hAnsi="仿宋" w:eastAsia="仿宋"/>
          <w:b w:val="0"/>
          <w:bCs w:val="0"/>
        </w:rPr>
      </w:pPr>
      <w:bookmarkStart w:id="51" w:name="_Toc15396622"/>
      <w:r>
        <w:rPr>
          <w:rStyle w:val="28"/>
          <w:rFonts w:hint="eastAsia" w:ascii="仿宋" w:hAnsi="仿宋" w:eastAsia="仿宋"/>
          <w:b w:val="0"/>
          <w:bCs w:val="0"/>
        </w:rPr>
        <w:t>四、</w:t>
      </w:r>
      <w:r>
        <w:rPr>
          <w:rFonts w:hint="eastAsia" w:ascii="仿宋" w:hAnsi="仿宋" w:eastAsia="仿宋"/>
          <w:b w:val="0"/>
          <w:bCs w:val="0"/>
        </w:rPr>
        <w:t>财</w:t>
      </w:r>
      <w:r>
        <w:rPr>
          <w:rStyle w:val="28"/>
          <w:rFonts w:hint="eastAsia" w:ascii="仿宋" w:hAnsi="仿宋" w:eastAsia="仿宋"/>
          <w:b w:val="0"/>
          <w:bCs w:val="0"/>
        </w:rPr>
        <w:t>政拨款收入支出决算总表</w:t>
      </w:r>
      <w:bookmarkEnd w:id="51"/>
    </w:p>
    <w:p w14:paraId="48424BD4">
      <w:pPr>
        <w:pStyle w:val="4"/>
        <w:rPr>
          <w:rStyle w:val="28"/>
          <w:rFonts w:ascii="仿宋" w:hAnsi="仿宋" w:eastAsia="仿宋"/>
          <w:b w:val="0"/>
          <w:bCs w:val="0"/>
        </w:rPr>
      </w:pPr>
      <w:bookmarkStart w:id="52" w:name="_Toc15396623"/>
      <w:r>
        <w:rPr>
          <w:rStyle w:val="28"/>
          <w:rFonts w:hint="eastAsia" w:ascii="仿宋" w:hAnsi="仿宋" w:eastAsia="仿宋"/>
          <w:b w:val="0"/>
          <w:bCs w:val="0"/>
        </w:rPr>
        <w:t>五、</w:t>
      </w:r>
      <w:r>
        <w:rPr>
          <w:rFonts w:hint="eastAsia" w:ascii="仿宋" w:hAnsi="仿宋" w:eastAsia="仿宋"/>
          <w:b w:val="0"/>
          <w:bCs w:val="0"/>
        </w:rPr>
        <w:t>财</w:t>
      </w:r>
      <w:r>
        <w:rPr>
          <w:rStyle w:val="28"/>
          <w:rFonts w:hint="eastAsia" w:ascii="仿宋" w:hAnsi="仿宋" w:eastAsia="仿宋"/>
          <w:b w:val="0"/>
          <w:bCs w:val="0"/>
        </w:rPr>
        <w:t>政拨款支出决算明细表</w:t>
      </w:r>
      <w:bookmarkEnd w:id="52"/>
      <w:bookmarkStart w:id="53" w:name="_Toc15396624"/>
    </w:p>
    <w:p w14:paraId="2E301B7D">
      <w:pPr>
        <w:pStyle w:val="4"/>
        <w:rPr>
          <w:rFonts w:ascii="仿宋" w:hAnsi="仿宋" w:eastAsia="仿宋"/>
          <w:b w:val="0"/>
          <w:bCs w:val="0"/>
        </w:rPr>
      </w:pPr>
      <w:r>
        <w:rPr>
          <w:rStyle w:val="28"/>
          <w:rFonts w:hint="eastAsia" w:ascii="仿宋" w:hAnsi="仿宋" w:eastAsia="仿宋"/>
          <w:b w:val="0"/>
          <w:bCs w:val="0"/>
        </w:rPr>
        <w:t>六、</w:t>
      </w:r>
      <w:r>
        <w:rPr>
          <w:rFonts w:hint="eastAsia" w:ascii="仿宋" w:hAnsi="仿宋" w:eastAsia="仿宋"/>
          <w:b w:val="0"/>
          <w:bCs w:val="0"/>
        </w:rPr>
        <w:t>一</w:t>
      </w:r>
      <w:r>
        <w:rPr>
          <w:rStyle w:val="28"/>
          <w:rFonts w:hint="eastAsia" w:ascii="仿宋" w:hAnsi="仿宋" w:eastAsia="仿宋"/>
          <w:b w:val="0"/>
          <w:bCs w:val="0"/>
        </w:rPr>
        <w:t>般公共预算财政拨款支出决算表</w:t>
      </w:r>
      <w:bookmarkEnd w:id="53"/>
    </w:p>
    <w:p w14:paraId="56DE2976">
      <w:pPr>
        <w:pStyle w:val="4"/>
        <w:rPr>
          <w:rFonts w:ascii="仿宋" w:hAnsi="仿宋" w:eastAsia="仿宋"/>
          <w:b w:val="0"/>
          <w:bCs w:val="0"/>
        </w:rPr>
      </w:pPr>
      <w:bookmarkStart w:id="54" w:name="_Toc15396625"/>
      <w:r>
        <w:rPr>
          <w:rStyle w:val="28"/>
          <w:rFonts w:hint="eastAsia" w:ascii="仿宋" w:hAnsi="仿宋" w:eastAsia="仿宋"/>
          <w:b w:val="0"/>
          <w:bCs w:val="0"/>
        </w:rPr>
        <w:t>七、</w:t>
      </w:r>
      <w:r>
        <w:rPr>
          <w:rFonts w:hint="eastAsia" w:ascii="仿宋" w:hAnsi="仿宋" w:eastAsia="仿宋"/>
          <w:b w:val="0"/>
          <w:bCs w:val="0"/>
        </w:rPr>
        <w:t>一</w:t>
      </w:r>
      <w:r>
        <w:rPr>
          <w:rStyle w:val="28"/>
          <w:rFonts w:hint="eastAsia" w:ascii="仿宋" w:hAnsi="仿宋" w:eastAsia="仿宋"/>
          <w:b w:val="0"/>
          <w:bCs w:val="0"/>
        </w:rPr>
        <w:t>般公共预算财政拨款支出决算明细表</w:t>
      </w:r>
      <w:bookmarkEnd w:id="54"/>
    </w:p>
    <w:p w14:paraId="3DACB482">
      <w:pPr>
        <w:pStyle w:val="4"/>
        <w:rPr>
          <w:rFonts w:ascii="仿宋" w:hAnsi="仿宋" w:eastAsia="仿宋"/>
          <w:b w:val="0"/>
          <w:bCs w:val="0"/>
        </w:rPr>
      </w:pPr>
      <w:bookmarkStart w:id="55" w:name="_Toc15396626"/>
      <w:r>
        <w:rPr>
          <w:rStyle w:val="28"/>
          <w:rFonts w:hint="eastAsia" w:ascii="仿宋" w:hAnsi="仿宋" w:eastAsia="仿宋"/>
          <w:b w:val="0"/>
          <w:bCs w:val="0"/>
        </w:rPr>
        <w:t>八、</w:t>
      </w:r>
      <w:r>
        <w:rPr>
          <w:rFonts w:hint="eastAsia" w:ascii="仿宋" w:hAnsi="仿宋" w:eastAsia="仿宋"/>
          <w:b w:val="0"/>
          <w:bCs w:val="0"/>
        </w:rPr>
        <w:t>一</w:t>
      </w:r>
      <w:r>
        <w:rPr>
          <w:rStyle w:val="28"/>
          <w:rFonts w:hint="eastAsia" w:ascii="仿宋" w:hAnsi="仿宋" w:eastAsia="仿宋"/>
          <w:b w:val="0"/>
          <w:bCs w:val="0"/>
        </w:rPr>
        <w:t>般公共预算财政拨款基本支出决算表</w:t>
      </w:r>
      <w:bookmarkEnd w:id="55"/>
    </w:p>
    <w:p w14:paraId="1F625E4C">
      <w:pPr>
        <w:pStyle w:val="4"/>
        <w:rPr>
          <w:rFonts w:ascii="仿宋" w:hAnsi="仿宋" w:eastAsia="仿宋"/>
          <w:b w:val="0"/>
          <w:bCs w:val="0"/>
        </w:rPr>
      </w:pPr>
      <w:bookmarkStart w:id="56" w:name="_Toc15396627"/>
      <w:r>
        <w:rPr>
          <w:rStyle w:val="28"/>
          <w:rFonts w:hint="eastAsia" w:ascii="仿宋" w:hAnsi="仿宋" w:eastAsia="仿宋"/>
          <w:b w:val="0"/>
          <w:bCs w:val="0"/>
        </w:rPr>
        <w:t>九、</w:t>
      </w:r>
      <w:r>
        <w:rPr>
          <w:rFonts w:hint="eastAsia" w:ascii="仿宋" w:hAnsi="仿宋" w:eastAsia="仿宋"/>
          <w:b w:val="0"/>
          <w:bCs w:val="0"/>
        </w:rPr>
        <w:t>一</w:t>
      </w:r>
      <w:r>
        <w:rPr>
          <w:rStyle w:val="28"/>
          <w:rFonts w:hint="eastAsia" w:ascii="仿宋" w:hAnsi="仿宋" w:eastAsia="仿宋"/>
          <w:b w:val="0"/>
          <w:bCs w:val="0"/>
        </w:rPr>
        <w:t>般公共预算财政拨款项目支出决算表</w:t>
      </w:r>
      <w:bookmarkEnd w:id="56"/>
    </w:p>
    <w:p w14:paraId="0BE8D5D0">
      <w:pPr>
        <w:pStyle w:val="4"/>
        <w:rPr>
          <w:rFonts w:ascii="仿宋" w:hAnsi="仿宋" w:eastAsia="仿宋"/>
          <w:b w:val="0"/>
          <w:bCs w:val="0"/>
        </w:rPr>
      </w:pPr>
      <w:bookmarkStart w:id="57" w:name="_Toc15396628"/>
      <w:r>
        <w:rPr>
          <w:rStyle w:val="28"/>
          <w:rFonts w:hint="eastAsia" w:ascii="仿宋" w:hAnsi="仿宋" w:eastAsia="仿宋"/>
          <w:b w:val="0"/>
          <w:bCs w:val="0"/>
        </w:rPr>
        <w:t>十、</w:t>
      </w:r>
      <w:bookmarkEnd w:id="57"/>
      <w:r>
        <w:rPr>
          <w:rFonts w:hint="eastAsia" w:ascii="仿宋" w:hAnsi="仿宋" w:eastAsia="仿宋"/>
          <w:b w:val="0"/>
          <w:bCs w:val="0"/>
        </w:rPr>
        <w:t>政</w:t>
      </w:r>
      <w:r>
        <w:rPr>
          <w:rStyle w:val="28"/>
          <w:rFonts w:hint="eastAsia" w:ascii="仿宋" w:hAnsi="仿宋" w:eastAsia="仿宋"/>
          <w:b w:val="0"/>
          <w:bCs w:val="0"/>
        </w:rPr>
        <w:t>府性基金预算财政拨款收入支出决算表</w:t>
      </w:r>
    </w:p>
    <w:p w14:paraId="14A9A082">
      <w:pPr>
        <w:pStyle w:val="4"/>
        <w:rPr>
          <w:rFonts w:ascii="仿宋" w:hAnsi="仿宋" w:eastAsia="仿宋"/>
          <w:b w:val="0"/>
          <w:bCs w:val="0"/>
        </w:rPr>
      </w:pPr>
      <w:bookmarkStart w:id="58" w:name="_Toc15396629"/>
      <w:r>
        <w:rPr>
          <w:rStyle w:val="28"/>
          <w:rFonts w:hint="eastAsia" w:ascii="仿宋" w:hAnsi="仿宋" w:eastAsia="仿宋"/>
          <w:b w:val="0"/>
          <w:bCs w:val="0"/>
        </w:rPr>
        <w:t>十一、</w:t>
      </w:r>
      <w:bookmarkEnd w:id="58"/>
      <w:r>
        <w:rPr>
          <w:rFonts w:hint="eastAsia" w:ascii="仿宋" w:hAnsi="仿宋" w:eastAsia="仿宋"/>
          <w:b w:val="0"/>
          <w:bCs w:val="0"/>
        </w:rPr>
        <w:t>国</w:t>
      </w:r>
      <w:r>
        <w:rPr>
          <w:rStyle w:val="28"/>
          <w:rFonts w:hint="eastAsia" w:ascii="仿宋" w:hAnsi="仿宋" w:eastAsia="仿宋"/>
          <w:b w:val="0"/>
          <w:bCs w:val="0"/>
        </w:rPr>
        <w:t>有资本经营预算财政拨款收入支出决算表</w:t>
      </w:r>
    </w:p>
    <w:p w14:paraId="091C0DB8">
      <w:pPr>
        <w:pStyle w:val="4"/>
        <w:rPr>
          <w:rFonts w:ascii="仿宋" w:hAnsi="仿宋" w:eastAsia="仿宋"/>
          <w:b w:val="0"/>
          <w:bCs w:val="0"/>
        </w:rPr>
      </w:pPr>
      <w:bookmarkStart w:id="59" w:name="_Toc15396630"/>
      <w:r>
        <w:rPr>
          <w:rStyle w:val="28"/>
          <w:rFonts w:hint="eastAsia" w:ascii="仿宋" w:hAnsi="仿宋" w:eastAsia="仿宋"/>
          <w:b w:val="0"/>
          <w:bCs w:val="0"/>
        </w:rPr>
        <w:t>十二、</w:t>
      </w:r>
      <w:bookmarkEnd w:id="59"/>
      <w:r>
        <w:rPr>
          <w:rStyle w:val="28"/>
          <w:rFonts w:hint="eastAsia" w:ascii="仿宋" w:hAnsi="仿宋" w:eastAsia="仿宋"/>
          <w:b w:val="0"/>
          <w:bCs w:val="0"/>
        </w:rPr>
        <w:t>国有资本经营预算财政拨款支出决算表</w:t>
      </w:r>
    </w:p>
    <w:p w14:paraId="3F46E778">
      <w:pPr>
        <w:pStyle w:val="4"/>
        <w:rPr>
          <w:rFonts w:eastAsia="仿宋"/>
          <w:b w:val="0"/>
          <w:bCs w:val="0"/>
        </w:rPr>
      </w:pPr>
      <w:bookmarkStart w:id="60" w:name="_Toc15396631"/>
      <w:r>
        <w:rPr>
          <w:rStyle w:val="28"/>
          <w:rFonts w:hint="eastAsia" w:ascii="仿宋" w:hAnsi="仿宋" w:eastAsia="仿宋"/>
          <w:b w:val="0"/>
          <w:bCs w:val="0"/>
        </w:rPr>
        <w:t>十三、</w:t>
      </w:r>
      <w:bookmarkEnd w:id="60"/>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29E180C">
        <w:pPr>
          <w:pStyle w:val="9"/>
          <w:jc w:val="center"/>
        </w:pPr>
        <w:r>
          <w:fldChar w:fldCharType="begin"/>
        </w:r>
        <w:r>
          <w:instrText xml:space="preserve">PAGE   \* MERGEFORMAT</w:instrText>
        </w:r>
        <w:r>
          <w:fldChar w:fldCharType="separate"/>
        </w:r>
        <w:r>
          <w:rPr>
            <w:lang w:val="zh-CN"/>
          </w:rPr>
          <w:t>15</w:t>
        </w:r>
        <w:r>
          <w:fldChar w:fldCharType="end"/>
        </w:r>
      </w:p>
    </w:sdtContent>
  </w:sdt>
  <w:p w14:paraId="3A23F9B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55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EC227"/>
    <w:multiLevelType w:val="singleLevel"/>
    <w:tmpl w:val="A18EC227"/>
    <w:lvl w:ilvl="0" w:tentative="0">
      <w:start w:val="1"/>
      <w:numFmt w:val="chineseCounting"/>
      <w:suff w:val="space"/>
      <w:lvlText w:val="第%1部分"/>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ODIwMWEwMDIwY2VhZmQ1OTk1MGVjZTQzMDgzYz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B46A35"/>
    <w:rsid w:val="03DC2831"/>
    <w:rsid w:val="04FE0CA9"/>
    <w:rsid w:val="07577392"/>
    <w:rsid w:val="081B5E94"/>
    <w:rsid w:val="08A073BA"/>
    <w:rsid w:val="0A2032A3"/>
    <w:rsid w:val="0B8A37D8"/>
    <w:rsid w:val="0F5FFB2F"/>
    <w:rsid w:val="0FFFCF60"/>
    <w:rsid w:val="10117DFB"/>
    <w:rsid w:val="10C055FF"/>
    <w:rsid w:val="118107EC"/>
    <w:rsid w:val="11CB716D"/>
    <w:rsid w:val="11DD6519"/>
    <w:rsid w:val="16601189"/>
    <w:rsid w:val="16BB723D"/>
    <w:rsid w:val="18015F3F"/>
    <w:rsid w:val="1BE8440E"/>
    <w:rsid w:val="1D155CEE"/>
    <w:rsid w:val="1FDBBF84"/>
    <w:rsid w:val="20F57F95"/>
    <w:rsid w:val="240371BF"/>
    <w:rsid w:val="25711CC6"/>
    <w:rsid w:val="25C741E6"/>
    <w:rsid w:val="276F80C0"/>
    <w:rsid w:val="27842671"/>
    <w:rsid w:val="29FD04D3"/>
    <w:rsid w:val="2AB24F59"/>
    <w:rsid w:val="2ABE7A3E"/>
    <w:rsid w:val="2AFF09B6"/>
    <w:rsid w:val="2CA234A8"/>
    <w:rsid w:val="2E3F51C4"/>
    <w:rsid w:val="2EFA178C"/>
    <w:rsid w:val="2EFDF86C"/>
    <w:rsid w:val="2F9D17E1"/>
    <w:rsid w:val="301D5FFB"/>
    <w:rsid w:val="30B46D73"/>
    <w:rsid w:val="319F7F4E"/>
    <w:rsid w:val="33804633"/>
    <w:rsid w:val="356A28F1"/>
    <w:rsid w:val="357C035A"/>
    <w:rsid w:val="368E000D"/>
    <w:rsid w:val="383D272C"/>
    <w:rsid w:val="392C4597"/>
    <w:rsid w:val="39AE70AB"/>
    <w:rsid w:val="3A4DCE41"/>
    <w:rsid w:val="3BCB56FA"/>
    <w:rsid w:val="3C0C0783"/>
    <w:rsid w:val="3EE7C2F4"/>
    <w:rsid w:val="3F371B56"/>
    <w:rsid w:val="3F792ED8"/>
    <w:rsid w:val="3F9F3A96"/>
    <w:rsid w:val="3FECA4B2"/>
    <w:rsid w:val="3FF58C48"/>
    <w:rsid w:val="403F6F0D"/>
    <w:rsid w:val="42FF6694"/>
    <w:rsid w:val="48BF60AB"/>
    <w:rsid w:val="493C27E9"/>
    <w:rsid w:val="496F39ED"/>
    <w:rsid w:val="49FF41D3"/>
    <w:rsid w:val="4BE068DB"/>
    <w:rsid w:val="4BF6002B"/>
    <w:rsid w:val="4BFFC6BE"/>
    <w:rsid w:val="4E442546"/>
    <w:rsid w:val="4ECE2238"/>
    <w:rsid w:val="518973A8"/>
    <w:rsid w:val="51DB4B86"/>
    <w:rsid w:val="51F64DB0"/>
    <w:rsid w:val="55333C3E"/>
    <w:rsid w:val="588C11ED"/>
    <w:rsid w:val="5E0C02C8"/>
    <w:rsid w:val="5F38396B"/>
    <w:rsid w:val="5F67802D"/>
    <w:rsid w:val="5F7DC4F2"/>
    <w:rsid w:val="5FB36814"/>
    <w:rsid w:val="5FBB8E56"/>
    <w:rsid w:val="5FFB5535"/>
    <w:rsid w:val="613F0F7E"/>
    <w:rsid w:val="61414EC5"/>
    <w:rsid w:val="61606FA1"/>
    <w:rsid w:val="61640399"/>
    <w:rsid w:val="64CA39A1"/>
    <w:rsid w:val="69630ADE"/>
    <w:rsid w:val="69BD5F13"/>
    <w:rsid w:val="69FB0B4B"/>
    <w:rsid w:val="6BFFE1FB"/>
    <w:rsid w:val="6C4A05C8"/>
    <w:rsid w:val="6CC44B0C"/>
    <w:rsid w:val="6D0768D8"/>
    <w:rsid w:val="6D3B1A89"/>
    <w:rsid w:val="6DB7D8A3"/>
    <w:rsid w:val="6EC78701"/>
    <w:rsid w:val="6F7A5481"/>
    <w:rsid w:val="6FFE07A9"/>
    <w:rsid w:val="71BF4EC2"/>
    <w:rsid w:val="72734D90"/>
    <w:rsid w:val="73404336"/>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233CD"/>
    <w:rsid w:val="7F1D517C"/>
    <w:rsid w:val="7F5DA057"/>
    <w:rsid w:val="7F6B1A7F"/>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2691</Words>
  <Characters>3069</Characters>
  <Lines>54</Lines>
  <Paragraphs>15</Paragraphs>
  <TotalTime>8</TotalTime>
  <ScaleCrop>false</ScaleCrop>
  <LinksUpToDate>false</LinksUpToDate>
  <CharactersWithSpaces>3092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s</cp:lastModifiedBy>
  <cp:lastPrinted>2023-08-03T02:35:00Z</cp:lastPrinted>
  <dcterms:modified xsi:type="dcterms:W3CDTF">2024-10-26T10:30:34Z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FF4626FFC31E4DCCA4D6A7ECF4FA0A5D_12</vt:lpwstr>
  </property>
</Properties>
</file>