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6EB8">
      <w:pPr>
        <w:spacing w:line="600" w:lineRule="exact"/>
        <w:jc w:val="center"/>
        <w:outlineLvl w:val="9"/>
        <w:rPr>
          <w:rFonts w:ascii="Times New Roman" w:hAnsi="Times New Roman" w:eastAsia="方正小标宋简体"/>
          <w:sz w:val="72"/>
          <w:szCs w:val="72"/>
        </w:rPr>
      </w:pPr>
      <w:bookmarkStart w:id="0" w:name="_Toc15378441"/>
      <w:bookmarkStart w:id="1" w:name="_Toc15396597"/>
      <w:bookmarkStart w:id="2" w:name="_Toc15396475"/>
      <w:bookmarkStart w:id="3" w:name="_Toc15377193"/>
      <w:bookmarkStart w:id="4" w:name="_Toc15377425"/>
      <w:bookmarkStart w:id="5" w:name="_Toc15306267"/>
    </w:p>
    <w:p w14:paraId="17E1375C">
      <w:pPr>
        <w:pStyle w:val="8"/>
        <w:spacing w:before="93"/>
        <w:rPr>
          <w:rFonts w:ascii="Times New Roman" w:hAnsi="Times New Roman"/>
        </w:rPr>
      </w:pPr>
    </w:p>
    <w:p w14:paraId="3CB064C2">
      <w:pPr>
        <w:spacing w:line="600" w:lineRule="exact"/>
        <w:jc w:val="center"/>
        <w:outlineLvl w:val="9"/>
        <w:rPr>
          <w:rFonts w:ascii="Times New Roman" w:hAnsi="Times New Roman" w:eastAsia="方正小标宋简体"/>
          <w:sz w:val="72"/>
          <w:szCs w:val="72"/>
        </w:rPr>
      </w:pPr>
    </w:p>
    <w:p w14:paraId="15AEF90B">
      <w:pPr>
        <w:spacing w:line="600" w:lineRule="exact"/>
        <w:jc w:val="center"/>
        <w:outlineLvl w:val="9"/>
        <w:rPr>
          <w:rFonts w:ascii="Times New Roman" w:hAnsi="Times New Roman" w:eastAsia="方正小标宋简体"/>
          <w:sz w:val="72"/>
          <w:szCs w:val="72"/>
        </w:rPr>
      </w:pPr>
    </w:p>
    <w:p w14:paraId="359CAE11">
      <w:pPr>
        <w:adjustRightInd w:val="0"/>
        <w:snapToGrid w:val="0"/>
        <w:spacing w:line="360" w:lineRule="auto"/>
        <w:jc w:val="center"/>
        <w:outlineLvl w:val="0"/>
        <w:rPr>
          <w:rFonts w:ascii="Times New Roman" w:hAnsi="Times New Roman" w:eastAsia="方正小标宋简体" w:cs="方正小标宋简体"/>
          <w:sz w:val="72"/>
          <w:szCs w:val="72"/>
        </w:rPr>
      </w:pPr>
      <w:bookmarkStart w:id="6" w:name="_Toc14933"/>
      <w:bookmarkStart w:id="7" w:name="_Toc1789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Times New Roman" w:hAnsi="Times New Roman" w:eastAsia="方正小标宋简体" w:cs="方正小标宋简体"/>
          <w:sz w:val="72"/>
          <w:szCs w:val="72"/>
        </w:rPr>
        <w:t>年度</w:t>
      </w:r>
      <w:bookmarkEnd w:id="0"/>
      <w:bookmarkEnd w:id="1"/>
      <w:bookmarkEnd w:id="2"/>
      <w:bookmarkEnd w:id="3"/>
      <w:bookmarkEnd w:id="4"/>
      <w:bookmarkEnd w:id="6"/>
      <w:bookmarkEnd w:id="7"/>
    </w:p>
    <w:bookmarkEnd w:id="5"/>
    <w:p w14:paraId="653361C5">
      <w:pPr>
        <w:adjustRightInd w:val="0"/>
        <w:snapToGrid w:val="0"/>
        <w:spacing w:line="360" w:lineRule="auto"/>
        <w:jc w:val="center"/>
        <w:outlineLvl w:val="0"/>
        <w:rPr>
          <w:rFonts w:hint="eastAsia" w:ascii="Times New Roman" w:hAnsi="Times New Roman" w:eastAsia="方正小标宋简体" w:cs="方正小标宋简体"/>
          <w:sz w:val="72"/>
          <w:szCs w:val="72"/>
          <w:lang w:eastAsia="zh-CN"/>
        </w:rPr>
      </w:pPr>
      <w:bookmarkStart w:id="8" w:name="_Toc25422"/>
      <w:bookmarkStart w:id="9" w:name="_Toc2476"/>
      <w:bookmarkStart w:id="10" w:name="_Toc15396598"/>
      <w:bookmarkStart w:id="11" w:name="_Toc15306268"/>
      <w:bookmarkStart w:id="12" w:name="_Toc15377426"/>
      <w:bookmarkStart w:id="13" w:name="_Toc15396476"/>
      <w:bookmarkStart w:id="14" w:name="_Toc15377194"/>
      <w:bookmarkStart w:id="15" w:name="_Toc15378442"/>
      <w:r>
        <w:rPr>
          <w:rFonts w:hint="eastAsia" w:ascii="Times New Roman" w:hAnsi="Times New Roman" w:eastAsia="方正小标宋简体" w:cs="方正小标宋简体"/>
          <w:sz w:val="72"/>
          <w:szCs w:val="72"/>
          <w:lang w:eastAsia="zh-CN"/>
        </w:rPr>
        <w:t>大竹县疾病预防控制中心</w:t>
      </w:r>
      <w:bookmarkEnd w:id="8"/>
      <w:bookmarkEnd w:id="9"/>
    </w:p>
    <w:p w14:paraId="02472F3C">
      <w:pPr>
        <w:adjustRightInd w:val="0"/>
        <w:snapToGrid w:val="0"/>
        <w:spacing w:line="360" w:lineRule="auto"/>
        <w:jc w:val="center"/>
        <w:outlineLvl w:val="0"/>
        <w:rPr>
          <w:rFonts w:ascii="Times New Roman" w:hAnsi="Times New Roman" w:eastAsia="方正小标宋简体" w:cs="方正小标宋简体"/>
          <w:sz w:val="72"/>
          <w:szCs w:val="72"/>
        </w:rPr>
      </w:pPr>
      <w:bookmarkStart w:id="16" w:name="_Toc20498"/>
      <w:bookmarkStart w:id="17" w:name="_Toc16628"/>
      <w:r>
        <w:rPr>
          <w:rFonts w:hint="eastAsia" w:ascii="Times New Roman" w:hAnsi="Times New Roman" w:eastAsia="方正小标宋简体" w:cs="方正小标宋简体"/>
          <w:sz w:val="72"/>
          <w:szCs w:val="72"/>
        </w:rPr>
        <w:t>部门决算</w:t>
      </w:r>
      <w:bookmarkEnd w:id="10"/>
      <w:bookmarkEnd w:id="11"/>
      <w:bookmarkEnd w:id="12"/>
      <w:bookmarkEnd w:id="13"/>
      <w:bookmarkEnd w:id="14"/>
      <w:bookmarkEnd w:id="15"/>
      <w:bookmarkEnd w:id="16"/>
      <w:bookmarkEnd w:id="17"/>
    </w:p>
    <w:p w14:paraId="766D6B06">
      <w:pPr>
        <w:widowControl/>
        <w:jc w:val="center"/>
        <w:rPr>
          <w:rFonts w:hint="eastAsia" w:ascii="Times New Roman" w:hAnsi="Times New Roman" w:eastAsia="黑体"/>
          <w:sz w:val="48"/>
          <w:szCs w:val="48"/>
        </w:rPr>
        <w:sectPr>
          <w:headerReference r:id="rId3" w:type="default"/>
          <w:footerReference r:id="rId5" w:type="default"/>
          <w:headerReference r:id="rId4" w:type="even"/>
          <w:footerReference r:id="rId6" w:type="even"/>
          <w:pgSz w:w="11906" w:h="16838"/>
          <w:pgMar w:top="2098" w:right="1474" w:bottom="1984" w:left="1587" w:header="992" w:footer="1559" w:gutter="0"/>
          <w:paperSrc/>
          <w:lnNumType w:countBy="0" w:distance="360"/>
          <w:pgNumType w:fmt="decimal" w:start="1"/>
          <w:cols w:space="0" w:num="1"/>
          <w:titlePg/>
          <w:rtlGutter w:val="0"/>
          <w:docGrid w:type="linesAndChars" w:linePitch="579" w:charSpace="-842"/>
        </w:sectPr>
      </w:pPr>
    </w:p>
    <w:sdt>
      <w:sdtPr>
        <w:rPr>
          <w:rFonts w:ascii="Times New Roman" w:hAnsi="Times New Roman" w:eastAsia="宋体" w:cs="Times New Roman"/>
          <w:kern w:val="2"/>
          <w:sz w:val="21"/>
          <w:szCs w:val="24"/>
          <w:lang w:val="en-US" w:eastAsia="zh-CN" w:bidi="ar-SA"/>
        </w:rPr>
        <w:id w:val="147463533"/>
        <w15:color w:val="DBDBDB"/>
        <w:docPartObj>
          <w:docPartGallery w:val="Table of Contents"/>
          <w:docPartUnique/>
        </w:docPartObj>
      </w:sdtPr>
      <w:sdtEndPr>
        <w:rPr>
          <w:rFonts w:ascii="Times New Roman" w:hAnsi="Times New Roman" w:eastAsia="宋体" w:cs="Times New Roman"/>
          <w:b/>
          <w:kern w:val="2"/>
          <w:sz w:val="21"/>
          <w:szCs w:val="32"/>
          <w:lang w:val="en-US" w:eastAsia="zh-CN" w:bidi="ar-SA"/>
        </w:rPr>
      </w:sdtEndPr>
      <w:sdtContent>
        <w:p w14:paraId="533F7A6C">
          <w:pPr>
            <w:pageBreakBefore w:val="0"/>
            <w:widowControl/>
            <w:kinsoku/>
            <w:wordWrap/>
            <w:overflowPunct/>
            <w:topLinePunct w:val="0"/>
            <w:bidi w:val="0"/>
            <w:ind w:firstLine="420" w:firstLineChars="200"/>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9B1A464">
          <w:pPr>
            <w:pStyle w:val="13"/>
            <w:pageBreakBefore w:val="0"/>
            <w:kinsoku/>
            <w:wordWrap/>
            <w:overflowPunct/>
            <w:topLinePunct w:val="0"/>
            <w:bidi w:val="0"/>
            <w:ind w:firstLine="560" w:firstLineChars="200"/>
            <w:jc w:val="center"/>
            <w:rPr>
              <w:rFonts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auto"/>
              <w:highlight w:val="none"/>
            </w:rPr>
            <w:t>公开时间：</w:t>
          </w:r>
          <w:r>
            <w:rPr>
              <w:rFonts w:hint="eastAsia" w:ascii="Times New Roman" w:hAnsi="Times New Roman"/>
              <w:color w:val="auto"/>
              <w:highlight w:val="none"/>
            </w:rPr>
            <w:t>20</w:t>
          </w:r>
          <w:r>
            <w:rPr>
              <w:rFonts w:hint="eastAsia" w:ascii="Times New Roman" w:hAnsi="Times New Roman"/>
              <w:color w:val="auto"/>
              <w:highlight w:val="none"/>
              <w:lang w:val="en-US" w:eastAsia="zh-CN"/>
            </w:rPr>
            <w:t>24</w:t>
          </w:r>
          <w:r>
            <w:rPr>
              <w:rFonts w:hint="eastAsia" w:ascii="仿宋_GB2312" w:hAnsi="仿宋_GB2312" w:eastAsia="仿宋_GB2312" w:cs="仿宋_GB2312"/>
              <w:color w:val="auto"/>
              <w:highlight w:val="none"/>
            </w:rPr>
            <w:t>年</w:t>
          </w:r>
          <w:r>
            <w:rPr>
              <w:rFonts w:hint="eastAsia" w:ascii="Times New Roman" w:hAnsi="Times New Roman"/>
              <w:color w:val="auto"/>
              <w:highlight w:val="none"/>
              <w:lang w:val="en-US" w:eastAsia="zh-CN"/>
            </w:rPr>
            <w:t>10</w:t>
          </w:r>
          <w:r>
            <w:rPr>
              <w:rFonts w:hint="eastAsia" w:ascii="仿宋_GB2312" w:hAnsi="仿宋_GB2312" w:eastAsia="仿宋_GB2312" w:cs="仿宋_GB2312"/>
              <w:color w:val="auto"/>
              <w:highlight w:val="none"/>
            </w:rPr>
            <w:t>月</w:t>
          </w:r>
          <w:r>
            <w:rPr>
              <w:rFonts w:hint="eastAsia" w:ascii="Times New Roman" w:hAnsi="Times New Roman"/>
              <w:color w:val="auto"/>
              <w:highlight w:val="none"/>
              <w:lang w:val="en-US" w:eastAsia="zh-CN"/>
            </w:rPr>
            <w:t>18</w:t>
          </w:r>
          <w:r>
            <w:rPr>
              <w:rFonts w:hint="eastAsia" w:ascii="仿宋_GB2312" w:hAnsi="仿宋_GB2312" w:eastAsia="仿宋_GB2312" w:cs="仿宋_GB2312"/>
              <w:color w:val="auto"/>
              <w:highlight w:val="none"/>
            </w:rPr>
            <w:t>日</w:t>
          </w:r>
        </w:p>
        <w:p w14:paraId="23A39F4C">
          <w:pPr>
            <w:pStyle w:val="39"/>
            <w:tabs>
              <w:tab w:val="right" w:leader="dot" w:pos="8845"/>
            </w:tabs>
            <w:rPr>
              <w:rFonts w:ascii="Times New Roman" w:hAnsi="Times New Roman"/>
              <w:b/>
            </w:rPr>
          </w:pPr>
          <w:r>
            <w:rPr>
              <w:rFonts w:ascii="Times New Roman" w:hAnsi="Times New Roman"/>
            </w:rPr>
            <w:fldChar w:fldCharType="begin"/>
          </w:r>
          <w:r>
            <w:rPr>
              <w:rFonts w:ascii="Times New Roman" w:hAnsi="Times New Roman"/>
            </w:rPr>
            <w:instrText xml:space="preserve">TOC \o "1-2" \h \u </w:instrText>
          </w:r>
          <w:r>
            <w:rPr>
              <w:rFonts w:ascii="Times New Roman" w:hAnsi="Times New Roman"/>
            </w:rPr>
            <w:fldChar w:fldCharType="separate"/>
          </w:r>
        </w:p>
        <w:p w14:paraId="3F0B5642">
          <w:pPr>
            <w:pStyle w:val="39"/>
            <w:tabs>
              <w:tab w:val="right" w:leader="dot" w:pos="8845"/>
            </w:tabs>
            <w:rPr>
              <w:rFonts w:ascii="Times New Roman" w:hAnsi="Times New Roman"/>
              <w:b/>
            </w:rPr>
          </w:pP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HYPERLINK \l _Toc21853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第一部分 部门概况</w:t>
          </w:r>
          <w:r>
            <w:rPr>
              <w:rFonts w:hint="eastAsia" w:ascii="Times New Roman" w:hAnsi="Times New Roman" w:eastAsiaTheme="majorEastAsia" w:cstheme="majorEastAsia"/>
              <w:b/>
              <w:bCs/>
              <w:kern w:val="2"/>
              <w:sz w:val="28"/>
              <w:szCs w:val="28"/>
              <w:lang w:val="en-US" w:eastAsia="zh-CN" w:bidi="ar-SA"/>
            </w:rPr>
            <w:tab/>
          </w: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PAGEREF _Toc21853 \h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1</w:t>
          </w:r>
          <w:r>
            <w:rPr>
              <w:rFonts w:hint="eastAsia" w:ascii="Times New Roman" w:hAnsi="Times New Roman" w:eastAsiaTheme="majorEastAsia" w:cstheme="majorEastAsia"/>
              <w:b/>
              <w:bCs/>
              <w:kern w:val="2"/>
              <w:sz w:val="28"/>
              <w:szCs w:val="28"/>
              <w:lang w:val="en-US" w:eastAsia="zh-CN" w:bidi="ar-SA"/>
            </w:rPr>
            <w:fldChar w:fldCharType="end"/>
          </w:r>
          <w:r>
            <w:rPr>
              <w:rFonts w:hint="eastAsia" w:ascii="Times New Roman" w:hAnsi="Times New Roman" w:eastAsiaTheme="majorEastAsia" w:cstheme="majorEastAsia"/>
              <w:b/>
              <w:bCs/>
              <w:kern w:val="2"/>
              <w:sz w:val="28"/>
              <w:szCs w:val="28"/>
              <w:lang w:val="en-US" w:eastAsia="zh-CN" w:bidi="ar-SA"/>
            </w:rPr>
            <w:fldChar w:fldCharType="end"/>
          </w:r>
        </w:p>
        <w:p w14:paraId="3D08745D">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_Toc16123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一、</w:t>
          </w:r>
          <w:r>
            <w:rPr>
              <w:rFonts w:hint="eastAsia" w:ascii="Times New Roman" w:hAnsi="Times New Roman" w:eastAsiaTheme="minorEastAsia" w:cstheme="minorEastAsia"/>
              <w:sz w:val="28"/>
              <w:szCs w:val="28"/>
            </w:rPr>
            <w:t>部门职责</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_Toc16123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58FE2E1">
          <w:pPr>
            <w:pStyle w:val="14"/>
            <w:pageBreakBefore w:val="0"/>
            <w:tabs>
              <w:tab w:val="right" w:leader="dot" w:pos="8845"/>
              <w:tab w:val="clear" w:pos="8296"/>
            </w:tabs>
            <w:kinsoku/>
            <w:wordWrap/>
            <w:overflowPunct/>
            <w:topLinePunct w:val="0"/>
            <w:bidi w:val="0"/>
            <w:rPr>
              <w:rFonts w:ascii="Times New Roman" w:hAnsi="Times New Roman"/>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_Toc17072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二、机构设置</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_Toc17072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6F46B33">
          <w:pPr>
            <w:pStyle w:val="39"/>
            <w:tabs>
              <w:tab w:val="right" w:leader="dot" w:pos="8845"/>
            </w:tabs>
            <w:rPr>
              <w:rFonts w:hint="eastAsia" w:ascii="Times New Roman" w:hAnsi="Times New Roman" w:eastAsiaTheme="majorEastAsia" w:cstheme="majorEastAsia"/>
              <w:b/>
              <w:bCs/>
              <w:kern w:val="2"/>
              <w:sz w:val="28"/>
              <w:szCs w:val="28"/>
              <w:lang w:val="en-US" w:eastAsia="zh-CN" w:bidi="ar-SA"/>
            </w:rPr>
          </w:pP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HYPERLINK \l _Toc10451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第二部分 2023年度部门决算情况说明</w:t>
          </w:r>
          <w:r>
            <w:rPr>
              <w:rFonts w:hint="eastAsia" w:ascii="Times New Roman" w:hAnsi="Times New Roman" w:eastAsiaTheme="majorEastAsia" w:cstheme="majorEastAsia"/>
              <w:b/>
              <w:bCs/>
              <w:kern w:val="2"/>
              <w:sz w:val="28"/>
              <w:szCs w:val="28"/>
              <w:lang w:val="en-US" w:eastAsia="zh-CN" w:bidi="ar-SA"/>
            </w:rPr>
            <w:tab/>
          </w: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PAGEREF _Toc10451 \h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2</w:t>
          </w:r>
          <w:r>
            <w:rPr>
              <w:rFonts w:hint="eastAsia" w:ascii="Times New Roman" w:hAnsi="Times New Roman" w:eastAsiaTheme="majorEastAsia" w:cstheme="majorEastAsia"/>
              <w:b/>
              <w:bCs/>
              <w:kern w:val="2"/>
              <w:sz w:val="28"/>
              <w:szCs w:val="28"/>
              <w:lang w:val="en-US" w:eastAsia="zh-CN" w:bidi="ar-SA"/>
            </w:rPr>
            <w:fldChar w:fldCharType="end"/>
          </w:r>
          <w:r>
            <w:rPr>
              <w:rFonts w:hint="eastAsia" w:ascii="Times New Roman" w:hAnsi="Times New Roman" w:eastAsiaTheme="majorEastAsia" w:cstheme="majorEastAsia"/>
              <w:b/>
              <w:bCs/>
              <w:kern w:val="2"/>
              <w:sz w:val="28"/>
              <w:szCs w:val="28"/>
              <w:lang w:val="en-US" w:eastAsia="zh-CN" w:bidi="ar-SA"/>
            </w:rPr>
            <w:fldChar w:fldCharType="end"/>
          </w:r>
        </w:p>
        <w:p w14:paraId="683EAECB">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_Toc18906 </w:instrText>
          </w:r>
          <w:r>
            <w:rPr>
              <w:rFonts w:hint="eastAsia" w:ascii="Times New Roman" w:hAnsi="Times New Roman" w:eastAsiaTheme="minorEastAsia" w:cstheme="minorEastAsia"/>
              <w:sz w:val="28"/>
              <w:szCs w:val="28"/>
            </w:rPr>
            <w:fldChar w:fldCharType="separate"/>
          </w:r>
          <w:r>
            <w:rPr>
              <w:rFonts w:hint="default" w:ascii="Times New Roman" w:hAnsi="Times New Roman" w:eastAsiaTheme="minorEastAsia" w:cstheme="minorEastAsia"/>
              <w:sz w:val="28"/>
              <w:szCs w:val="28"/>
            </w:rPr>
            <w:t>一、</w:t>
          </w:r>
          <w:r>
            <w:rPr>
              <w:rFonts w:hint="eastAsia" w:ascii="Times New Roman" w:hAnsi="Times New Roman" w:eastAsiaTheme="minorEastAsia" w:cstheme="minorEastAsia"/>
              <w:sz w:val="28"/>
              <w:szCs w:val="28"/>
            </w:rPr>
            <w:t>收入支出决算总体情况说明</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_Toc18906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2</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0A7D044B">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_Toc14053 </w:instrText>
          </w:r>
          <w:r>
            <w:rPr>
              <w:rFonts w:hint="eastAsia" w:ascii="Times New Roman" w:hAnsi="Times New Roman" w:eastAsiaTheme="minorEastAsia" w:cstheme="minorEastAsia"/>
              <w:sz w:val="28"/>
              <w:szCs w:val="28"/>
            </w:rPr>
            <w:fldChar w:fldCharType="separate"/>
          </w:r>
          <w:r>
            <w:rPr>
              <w:rFonts w:hint="default" w:ascii="Times New Roman" w:hAnsi="Times New Roman" w:eastAsiaTheme="minorEastAsia" w:cstheme="minorEastAsia"/>
              <w:sz w:val="28"/>
              <w:szCs w:val="28"/>
            </w:rPr>
            <w:t>二、</w:t>
          </w:r>
          <w:r>
            <w:rPr>
              <w:rFonts w:hint="eastAsia" w:ascii="Times New Roman" w:hAnsi="Times New Roman" w:eastAsiaTheme="minorEastAsia" w:cstheme="minorEastAsia"/>
              <w:sz w:val="28"/>
              <w:szCs w:val="28"/>
            </w:rPr>
            <w:t>收入决算情况说明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2</w:t>
          </w:r>
          <w:r>
            <w:rPr>
              <w:rFonts w:hint="eastAsia" w:ascii="Times New Roman" w:hAnsi="Times New Roman" w:eastAsiaTheme="minorEastAsia" w:cstheme="minorEastAsia"/>
              <w:sz w:val="28"/>
              <w:szCs w:val="28"/>
            </w:rPr>
            <w:fldChar w:fldCharType="end"/>
          </w:r>
        </w:p>
        <w:p w14:paraId="5DDB3CAD">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_Toc12691 </w:instrText>
          </w:r>
          <w:r>
            <w:rPr>
              <w:rFonts w:hint="eastAsia" w:ascii="Times New Roman" w:hAnsi="Times New Roman" w:eastAsiaTheme="minorEastAsia" w:cstheme="minorEastAsia"/>
              <w:sz w:val="28"/>
              <w:szCs w:val="28"/>
            </w:rPr>
            <w:fldChar w:fldCharType="separate"/>
          </w:r>
          <w:r>
            <w:rPr>
              <w:rFonts w:hint="default" w:ascii="Times New Roman" w:hAnsi="Times New Roman" w:eastAsiaTheme="minorEastAsia" w:cstheme="minorEastAsia"/>
              <w:sz w:val="28"/>
              <w:szCs w:val="28"/>
            </w:rPr>
            <w:t>三、</w:t>
          </w:r>
          <w:r>
            <w:rPr>
              <w:rFonts w:hint="eastAsia" w:ascii="Times New Roman" w:hAnsi="Times New Roman" w:eastAsiaTheme="minorEastAsia" w:cstheme="minorEastAsia"/>
              <w:sz w:val="28"/>
              <w:szCs w:val="28"/>
            </w:rPr>
            <w:t>支出决算情况说明</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_Toc12691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3</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C7E2955">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_Toc11358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四、财政拨款收入支出决算总体情况说明</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_Toc11358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4</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2EF5F9CE">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_Toc17276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五、一般公共预算财政拨款支出决算情况说明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4</w:t>
          </w:r>
          <w:r>
            <w:rPr>
              <w:rFonts w:hint="eastAsia" w:ascii="Times New Roman" w:hAnsi="Times New Roman" w:eastAsiaTheme="minorEastAsia" w:cstheme="minorEastAsia"/>
              <w:sz w:val="28"/>
              <w:szCs w:val="28"/>
            </w:rPr>
            <w:fldChar w:fldCharType="end"/>
          </w:r>
        </w:p>
        <w:p w14:paraId="4DE402BF">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_Toc22942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六、一般公共预算财政拨款基本支出决算情况说明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7</w:t>
          </w:r>
          <w:r>
            <w:rPr>
              <w:rFonts w:hint="eastAsia" w:ascii="Times New Roman" w:hAnsi="Times New Roman" w:eastAsiaTheme="minorEastAsia" w:cstheme="minorEastAsia"/>
              <w:sz w:val="28"/>
              <w:szCs w:val="28"/>
            </w:rPr>
            <w:fldChar w:fldCharType="end"/>
          </w:r>
        </w:p>
        <w:p w14:paraId="2405B5F4">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_Toc8053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七、财政拨款“三公”经费支出决算情况说明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8</w:t>
          </w:r>
          <w:r>
            <w:rPr>
              <w:rFonts w:hint="eastAsia" w:ascii="Times New Roman" w:hAnsi="Times New Roman" w:eastAsiaTheme="minorEastAsia" w:cstheme="minorEastAsia"/>
              <w:sz w:val="28"/>
              <w:szCs w:val="28"/>
            </w:rPr>
            <w:fldChar w:fldCharType="end"/>
          </w:r>
        </w:p>
        <w:p w14:paraId="17E0E6E2">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_Toc5455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八、政府性基金预算支出决算情况说明</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_Toc5455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1AC1529">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lang w:val="en-US" w:eastAsia="zh-CN"/>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_Toc8593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九、国有资本经营预算支出决算情况说明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1</w:t>
          </w:r>
          <w:r>
            <w:rPr>
              <w:rFonts w:hint="eastAsia" w:ascii="Times New Roman" w:hAnsi="Times New Roman" w:eastAsiaTheme="minorEastAsia" w:cstheme="minorEastAsia"/>
              <w:sz w:val="28"/>
              <w:szCs w:val="28"/>
            </w:rPr>
            <w:fldChar w:fldCharType="end"/>
          </w:r>
          <w:r>
            <w:rPr>
              <w:rFonts w:hint="eastAsia" w:eastAsiaTheme="minorEastAsia" w:cstheme="minorEastAsia"/>
              <w:sz w:val="28"/>
              <w:szCs w:val="28"/>
              <w:lang w:val="en-US" w:eastAsia="zh-CN"/>
            </w:rPr>
            <w:t>0</w:t>
          </w:r>
        </w:p>
        <w:p w14:paraId="53C5567B">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lang w:val="en-US" w:eastAsia="zh-CN"/>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_Toc10124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十、其他重要事项的情况说明</w:t>
          </w:r>
          <w:r>
            <w:rPr>
              <w:rFonts w:hint="eastAsia" w:ascii="Times New Roman" w:hAnsi="Times New Roman" w:eastAsiaTheme="minorEastAsia" w:cstheme="minorEastAsia"/>
              <w:sz w:val="28"/>
              <w:szCs w:val="28"/>
            </w:rPr>
            <w:tab/>
          </w:r>
          <w:r>
            <w:rPr>
              <w:rFonts w:hint="eastAsia" w:eastAsiaTheme="minorEastAsia" w:cstheme="minorEastAsia"/>
              <w:sz w:val="28"/>
              <w:szCs w:val="28"/>
              <w:lang w:val="en-US" w:eastAsia="zh-CN"/>
            </w:rPr>
            <w:t>1</w:t>
          </w:r>
          <w:r>
            <w:rPr>
              <w:rFonts w:hint="eastAsia" w:ascii="Times New Roman" w:hAnsi="Times New Roman" w:eastAsiaTheme="minorEastAsia" w:cstheme="minorEastAsia"/>
              <w:sz w:val="28"/>
              <w:szCs w:val="28"/>
            </w:rPr>
            <w:fldChar w:fldCharType="end"/>
          </w:r>
          <w:r>
            <w:rPr>
              <w:rFonts w:hint="eastAsia" w:eastAsiaTheme="minorEastAsia" w:cstheme="minorEastAsia"/>
              <w:sz w:val="28"/>
              <w:szCs w:val="28"/>
              <w:lang w:val="en-US" w:eastAsia="zh-CN"/>
            </w:rPr>
            <w:t>0</w:t>
          </w:r>
        </w:p>
        <w:p w14:paraId="3EB8E401">
          <w:pPr>
            <w:pStyle w:val="39"/>
            <w:tabs>
              <w:tab w:val="right" w:leader="dot" w:pos="8845"/>
            </w:tabs>
            <w:rPr>
              <w:rFonts w:hint="eastAsia" w:ascii="Times New Roman" w:hAnsi="Times New Roman" w:eastAsiaTheme="majorEastAsia" w:cstheme="majorEastAsia"/>
              <w:b/>
              <w:bCs/>
              <w:kern w:val="2"/>
              <w:sz w:val="28"/>
              <w:szCs w:val="28"/>
              <w:lang w:val="en-US" w:eastAsia="zh-CN" w:bidi="ar-SA"/>
            </w:rPr>
          </w:pP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HYPERLINK \l _Toc30916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第三部分 名词解释</w:t>
          </w:r>
          <w:r>
            <w:rPr>
              <w:rFonts w:hint="eastAsia" w:ascii="Times New Roman" w:hAnsi="Times New Roman" w:eastAsiaTheme="majorEastAsia" w:cstheme="majorEastAsia"/>
              <w:b/>
              <w:bCs/>
              <w:kern w:val="2"/>
              <w:sz w:val="28"/>
              <w:szCs w:val="28"/>
              <w:lang w:val="en-US" w:eastAsia="zh-CN" w:bidi="ar-SA"/>
            </w:rPr>
            <w:tab/>
          </w: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PAGEREF _Toc30916 \h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16</w:t>
          </w:r>
          <w:r>
            <w:rPr>
              <w:rFonts w:hint="eastAsia" w:ascii="Times New Roman" w:hAnsi="Times New Roman" w:eastAsiaTheme="majorEastAsia" w:cstheme="majorEastAsia"/>
              <w:b/>
              <w:bCs/>
              <w:kern w:val="2"/>
              <w:sz w:val="28"/>
              <w:szCs w:val="28"/>
              <w:lang w:val="en-US" w:eastAsia="zh-CN" w:bidi="ar-SA"/>
            </w:rPr>
            <w:fldChar w:fldCharType="end"/>
          </w:r>
          <w:r>
            <w:rPr>
              <w:rFonts w:hint="eastAsia" w:ascii="Times New Roman" w:hAnsi="Times New Roman" w:eastAsiaTheme="majorEastAsia" w:cstheme="majorEastAsia"/>
              <w:b/>
              <w:bCs/>
              <w:kern w:val="2"/>
              <w:sz w:val="28"/>
              <w:szCs w:val="28"/>
              <w:lang w:val="en-US" w:eastAsia="zh-CN" w:bidi="ar-SA"/>
            </w:rPr>
            <w:fldChar w:fldCharType="end"/>
          </w:r>
        </w:p>
        <w:p w14:paraId="252B205D">
          <w:pPr>
            <w:pStyle w:val="39"/>
            <w:tabs>
              <w:tab w:val="right" w:leader="dot" w:pos="8845"/>
            </w:tabs>
            <w:rPr>
              <w:rFonts w:hint="default" w:ascii="Times New Roman" w:hAnsi="Times New Roman" w:eastAsiaTheme="majorEastAsia" w:cstheme="majorEastAsia"/>
              <w:b/>
              <w:bCs/>
              <w:kern w:val="2"/>
              <w:sz w:val="28"/>
              <w:szCs w:val="28"/>
              <w:lang w:val="en-US" w:eastAsia="zh-CN" w:bidi="ar-SA"/>
            </w:rPr>
          </w:pP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HYPERLINK \l _Toc5395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第四部分 附件</w:t>
          </w:r>
          <w:r>
            <w:rPr>
              <w:rFonts w:hint="eastAsia" w:ascii="Times New Roman" w:hAnsi="Times New Roman" w:eastAsiaTheme="majorEastAsia" w:cstheme="majorEastAsia"/>
              <w:b/>
              <w:bCs/>
              <w:kern w:val="2"/>
              <w:sz w:val="28"/>
              <w:szCs w:val="28"/>
              <w:lang w:val="en-US" w:eastAsia="zh-CN" w:bidi="ar-SA"/>
            </w:rPr>
            <w:tab/>
          </w:r>
          <w:r>
            <w:rPr>
              <w:rFonts w:hint="eastAsia" w:eastAsiaTheme="majorEastAsia" w:cstheme="majorEastAsia"/>
              <w:b/>
              <w:bCs/>
              <w:kern w:val="2"/>
              <w:sz w:val="28"/>
              <w:szCs w:val="28"/>
              <w:lang w:val="en-US" w:eastAsia="zh-CN" w:bidi="ar-SA"/>
            </w:rPr>
            <w:t>2</w:t>
          </w:r>
          <w:r>
            <w:rPr>
              <w:rFonts w:hint="eastAsia" w:ascii="Times New Roman" w:hAnsi="Times New Roman" w:eastAsiaTheme="majorEastAsia" w:cstheme="majorEastAsia"/>
              <w:b/>
              <w:bCs/>
              <w:kern w:val="2"/>
              <w:sz w:val="28"/>
              <w:szCs w:val="28"/>
              <w:lang w:val="en-US" w:eastAsia="zh-CN" w:bidi="ar-SA"/>
            </w:rPr>
            <w:fldChar w:fldCharType="end"/>
          </w:r>
          <w:r>
            <w:rPr>
              <w:rFonts w:hint="eastAsia" w:eastAsiaTheme="majorEastAsia" w:cstheme="majorEastAsia"/>
              <w:b/>
              <w:bCs/>
              <w:kern w:val="2"/>
              <w:sz w:val="28"/>
              <w:szCs w:val="28"/>
              <w:lang w:val="en-US" w:eastAsia="zh-CN" w:bidi="ar-SA"/>
            </w:rPr>
            <w:t>0</w:t>
          </w:r>
        </w:p>
        <w:p w14:paraId="6BB822ED">
          <w:pPr>
            <w:pStyle w:val="39"/>
            <w:tabs>
              <w:tab w:val="right" w:leader="dot" w:pos="8845"/>
            </w:tabs>
            <w:rPr>
              <w:rFonts w:ascii="Times New Roman" w:hAnsi="Times New Roman"/>
              <w:b/>
            </w:rPr>
          </w:pP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HYPERLINK \l _Toc11815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第五部分 附表</w:t>
          </w:r>
          <w:r>
            <w:rPr>
              <w:rFonts w:hint="eastAsia" w:ascii="Times New Roman" w:hAnsi="Times New Roman" w:eastAsiaTheme="majorEastAsia" w:cstheme="majorEastAsia"/>
              <w:b/>
              <w:bCs/>
              <w:kern w:val="2"/>
              <w:sz w:val="28"/>
              <w:szCs w:val="28"/>
              <w:lang w:val="en-US" w:eastAsia="zh-CN" w:bidi="ar-SA"/>
            </w:rPr>
            <w:tab/>
          </w:r>
          <w:r>
            <w:rPr>
              <w:rFonts w:hint="eastAsia" w:ascii="Times New Roman" w:hAnsi="Times New Roman" w:eastAsiaTheme="majorEastAsia" w:cstheme="majorEastAsia"/>
              <w:b/>
              <w:bCs/>
              <w:kern w:val="2"/>
              <w:sz w:val="28"/>
              <w:szCs w:val="28"/>
              <w:lang w:val="en-US" w:eastAsia="zh-CN" w:bidi="ar-SA"/>
            </w:rPr>
            <w:fldChar w:fldCharType="begin"/>
          </w:r>
          <w:r>
            <w:rPr>
              <w:rFonts w:hint="eastAsia" w:ascii="Times New Roman" w:hAnsi="Times New Roman" w:eastAsiaTheme="majorEastAsia" w:cstheme="majorEastAsia"/>
              <w:b/>
              <w:bCs/>
              <w:kern w:val="2"/>
              <w:sz w:val="28"/>
              <w:szCs w:val="28"/>
              <w:lang w:val="en-US" w:eastAsia="zh-CN" w:bidi="ar-SA"/>
            </w:rPr>
            <w:instrText xml:space="preserve"> PAGEREF _Toc11815 \h </w:instrText>
          </w:r>
          <w:r>
            <w:rPr>
              <w:rFonts w:hint="eastAsia" w:ascii="Times New Roman" w:hAnsi="Times New Roman" w:eastAsiaTheme="majorEastAsia" w:cstheme="majorEastAsia"/>
              <w:b/>
              <w:bCs/>
              <w:kern w:val="2"/>
              <w:sz w:val="28"/>
              <w:szCs w:val="28"/>
              <w:lang w:val="en-US" w:eastAsia="zh-CN" w:bidi="ar-SA"/>
            </w:rPr>
            <w:fldChar w:fldCharType="separate"/>
          </w:r>
          <w:r>
            <w:rPr>
              <w:rFonts w:hint="eastAsia" w:ascii="Times New Roman" w:hAnsi="Times New Roman" w:eastAsiaTheme="majorEastAsia" w:cstheme="majorEastAsia"/>
              <w:b/>
              <w:bCs/>
              <w:kern w:val="2"/>
              <w:sz w:val="28"/>
              <w:szCs w:val="28"/>
              <w:lang w:val="en-US" w:eastAsia="zh-CN" w:bidi="ar-SA"/>
            </w:rPr>
            <w:t>109</w:t>
          </w:r>
          <w:r>
            <w:rPr>
              <w:rFonts w:hint="eastAsia" w:ascii="Times New Roman" w:hAnsi="Times New Roman" w:eastAsiaTheme="majorEastAsia" w:cstheme="majorEastAsia"/>
              <w:b/>
              <w:bCs/>
              <w:kern w:val="2"/>
              <w:sz w:val="28"/>
              <w:szCs w:val="28"/>
              <w:lang w:val="en-US" w:eastAsia="zh-CN" w:bidi="ar-SA"/>
            </w:rPr>
            <w:fldChar w:fldCharType="end"/>
          </w:r>
          <w:r>
            <w:rPr>
              <w:rFonts w:hint="eastAsia" w:ascii="Times New Roman" w:hAnsi="Times New Roman" w:eastAsiaTheme="majorEastAsia" w:cstheme="majorEastAsia"/>
              <w:b/>
              <w:bCs/>
              <w:kern w:val="2"/>
              <w:sz w:val="28"/>
              <w:szCs w:val="28"/>
              <w:lang w:val="en-US" w:eastAsia="zh-CN" w:bidi="ar-SA"/>
            </w:rPr>
            <w:fldChar w:fldCharType="end"/>
          </w:r>
        </w:p>
        <w:p w14:paraId="3C7CBA35">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_Toc11317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一、收入支出决算总表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_Toc11317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43FBAEC">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_Toc343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二、收入决算表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_Toc343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00F4893C">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_Toc4731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三、支出决算表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_Toc4731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146FA0E1">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_Toc29219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四、财政拨款收入支出决算总表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_Toc29219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DD402AF">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_Toc3040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五、财政拨款支出决算明细表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_Toc3040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1318E0CB">
          <w:pPr>
            <w:pStyle w:val="14"/>
            <w:pageBreakBefore w:val="0"/>
            <w:tabs>
              <w:tab w:val="right" w:leader="dot" w:pos="8845"/>
              <w:tab w:val="clear" w:pos="8296"/>
            </w:tabs>
            <w:kinsoku/>
            <w:wordWrap/>
            <w:overflowPunct/>
            <w:topLinePunct w:val="0"/>
            <w:bidi w:val="0"/>
            <w:rPr>
              <w:rFonts w:ascii="Times New Roman" w:hAnsi="Times New Roman"/>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_Toc32444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六、一般公共预算财政拨款支出决算表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_Toc32444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30F4FD0B">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_Toc26465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七、一般公共预算财政拨款支出决算明细表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_Toc26465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0B528393">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_Toc9586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八、一般公共预算财政拨款基本支出决算表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_Toc9586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15641ACC">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_Toc4148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九、一般公共预算财政拨款项目支出决算表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_Toc4148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25E719A8">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_Toc31295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十、政府性基金预算财政拨款收入支出决算表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_Toc31295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7570FD05">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_Toc12694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十一、国有资本经营预算财政拨款收入支出决算表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_Toc12694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4188E374">
          <w:pPr>
            <w:pStyle w:val="14"/>
            <w:pageBreakBefore w:val="0"/>
            <w:tabs>
              <w:tab w:val="right" w:leader="dot" w:pos="8845"/>
              <w:tab w:val="clear" w:pos="8296"/>
            </w:tabs>
            <w:kinsoku/>
            <w:wordWrap/>
            <w:overflowPunct/>
            <w:topLinePunct w:val="0"/>
            <w:bidi w:val="0"/>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_Toc3543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十二、国有资本经营预算财政拨款支出决算表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_Toc3543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6BB98170">
          <w:pPr>
            <w:pStyle w:val="14"/>
            <w:pageBreakBefore w:val="0"/>
            <w:tabs>
              <w:tab w:val="right" w:leader="dot" w:pos="8845"/>
              <w:tab w:val="clear" w:pos="8296"/>
            </w:tabs>
            <w:kinsoku/>
            <w:wordWrap/>
            <w:overflowPunct/>
            <w:topLinePunct w:val="0"/>
            <w:bidi w:val="0"/>
            <w:rPr>
              <w:rFonts w:ascii="Times New Roman" w:hAnsi="Times New Roman"/>
            </w:rPr>
          </w:pP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HYPERLINK \l _Toc2614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lang w:eastAsia="zh-CN"/>
            </w:rPr>
            <w:t>十三、财政拨款“三公”经费支出决算表</w:t>
          </w:r>
          <w:r>
            <w:rPr>
              <w:rFonts w:hint="eastAsia" w:ascii="Times New Roman" w:hAnsi="Times New Roman" w:eastAsiaTheme="minorEastAsia" w:cstheme="minorEastAsia"/>
              <w:sz w:val="28"/>
              <w:szCs w:val="28"/>
            </w:rPr>
            <w:tab/>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PAGEREF _Toc2614 \h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109</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fldChar w:fldCharType="end"/>
          </w:r>
        </w:p>
        <w:p w14:paraId="0C1DFD63">
          <w:pPr>
            <w:pStyle w:val="2"/>
            <w:rPr>
              <w:rFonts w:ascii="Times New Roman" w:hAnsi="Times New Roman" w:eastAsia="宋体" w:cs="Times New Roman"/>
              <w:b/>
              <w:kern w:val="2"/>
              <w:sz w:val="21"/>
              <w:szCs w:val="32"/>
              <w:lang w:val="en-US" w:eastAsia="zh-CN" w:bidi="ar-SA"/>
            </w:rPr>
          </w:pPr>
          <w:r>
            <w:rPr>
              <w:rFonts w:ascii="Times New Roman" w:hAnsi="Times New Roman"/>
              <w:b/>
            </w:rPr>
            <w:fldChar w:fldCharType="end"/>
          </w:r>
        </w:p>
      </w:sdtContent>
    </w:sdt>
    <w:p w14:paraId="7ACAC31A">
      <w:pPr>
        <w:pStyle w:val="22"/>
        <w:keepNext/>
        <w:keepLines/>
        <w:pageBreakBefore w:val="0"/>
        <w:widowControl w:val="0"/>
        <w:kinsoku/>
        <w:wordWrap/>
        <w:overflowPunct/>
        <w:topLinePunct w:val="0"/>
        <w:autoSpaceDE/>
        <w:autoSpaceDN/>
        <w:bidi w:val="0"/>
        <w:adjustRightInd/>
        <w:snapToGrid/>
        <w:spacing w:line="578" w:lineRule="exact"/>
        <w:ind w:firstLine="883" w:firstLineChars="200"/>
        <w:jc w:val="center"/>
        <w:textAlignment w:val="auto"/>
        <w:outlineLvl w:val="0"/>
        <w:rPr>
          <w:rFonts w:hint="eastAsia" w:ascii="Times New Roman" w:hAnsi="Times New Roman"/>
        </w:rPr>
        <w:sectPr>
          <w:footerReference r:id="rId9" w:type="first"/>
          <w:footerReference r:id="rId7" w:type="default"/>
          <w:footerReference r:id="rId8" w:type="even"/>
          <w:pgSz w:w="11906" w:h="16838"/>
          <w:pgMar w:top="2098" w:right="1474" w:bottom="1984" w:left="1587" w:header="851" w:footer="992" w:gutter="0"/>
          <w:lnNumType w:countBy="0" w:distance="360"/>
          <w:pgNumType w:fmt="decimal" w:start="1"/>
          <w:cols w:space="720" w:num="1"/>
          <w:titlePg/>
          <w:docGrid w:type="lines" w:linePitch="435" w:charSpace="0"/>
        </w:sectPr>
      </w:pPr>
      <w:bookmarkStart w:id="18" w:name="_Toc15396599"/>
      <w:bookmarkStart w:id="19" w:name="_Toc15377196"/>
      <w:bookmarkStart w:id="20" w:name="_Toc21853"/>
    </w:p>
    <w:p w14:paraId="21A00B4D">
      <w:pPr>
        <w:pStyle w:val="22"/>
        <w:keepNext/>
        <w:keepLines/>
        <w:pageBreakBefore w:val="0"/>
        <w:widowControl w:val="0"/>
        <w:kinsoku/>
        <w:wordWrap/>
        <w:overflowPunct/>
        <w:topLinePunct w:val="0"/>
        <w:autoSpaceDE/>
        <w:autoSpaceDN/>
        <w:bidi w:val="0"/>
        <w:adjustRightInd/>
        <w:snapToGrid/>
        <w:spacing w:line="578" w:lineRule="exact"/>
        <w:ind w:firstLine="883" w:firstLineChars="200"/>
        <w:jc w:val="center"/>
        <w:textAlignment w:val="auto"/>
        <w:outlineLvl w:val="0"/>
        <w:rPr>
          <w:rFonts w:ascii="Times New Roman" w:hAnsi="Times New Roman" w:eastAsia="黑体"/>
          <w:sz w:val="32"/>
          <w:szCs w:val="32"/>
        </w:rPr>
      </w:pPr>
      <w:r>
        <w:rPr>
          <w:rFonts w:hint="eastAsia" w:ascii="Times New Roman" w:hAnsi="Times New Roman"/>
        </w:rPr>
        <w:t>第一部分 部门概况</w:t>
      </w:r>
      <w:bookmarkEnd w:id="18"/>
      <w:bookmarkEnd w:id="19"/>
      <w:bookmarkEnd w:id="20"/>
    </w:p>
    <w:p w14:paraId="1CA1BA4F">
      <w:pPr>
        <w:pStyle w:val="5"/>
        <w:numPr>
          <w:ilvl w:val="0"/>
          <w:numId w:val="0"/>
        </w:numPr>
        <w:ind w:firstLine="640" w:firstLineChars="200"/>
        <w:rPr>
          <w:rFonts w:hint="eastAsia" w:ascii="Times New Roman" w:hAnsi="Times New Roman" w:eastAsia="黑体"/>
          <w:b w:val="0"/>
        </w:rPr>
      </w:pPr>
      <w:bookmarkStart w:id="21" w:name="_Toc16123"/>
      <w:r>
        <w:rPr>
          <w:rFonts w:hint="eastAsia" w:ascii="Times New Roman" w:hAnsi="Times New Roman" w:eastAsia="黑体"/>
          <w:b w:val="0"/>
          <w:lang w:eastAsia="zh-CN"/>
        </w:rPr>
        <w:t>一、</w:t>
      </w:r>
      <w:r>
        <w:rPr>
          <w:rFonts w:hint="eastAsia" w:ascii="Times New Roman" w:hAnsi="Times New Roman" w:eastAsia="黑体"/>
          <w:b w:val="0"/>
        </w:rPr>
        <w:t>部门职责</w:t>
      </w:r>
      <w:bookmarkEnd w:id="21"/>
    </w:p>
    <w:p w14:paraId="3570A578">
      <w:pPr>
        <w:pStyle w:val="8"/>
        <w:keepNext w:val="0"/>
        <w:keepLines w:val="0"/>
        <w:pageBreakBefore w:val="0"/>
        <w:widowControl w:val="0"/>
        <w:kinsoku/>
        <w:wordWrap/>
        <w:overflowPunct/>
        <w:topLinePunct w:val="0"/>
        <w:autoSpaceDE/>
        <w:autoSpaceDN/>
        <w:bidi w:val="0"/>
        <w:adjustRightInd/>
        <w:snapToGrid/>
        <w:spacing w:beforeLines="0" w:line="578" w:lineRule="exact"/>
        <w:ind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中心以疾病预防控制工作为主，履行政府赋予的社会公共卫生服务与管理职能，担负全县各类重大传染病、慢性传染病、地方病、寄生虫病等监测、预防、控制工作，承担全县儿童计划免疫规划实施与目标人群的预防接种工作，并负责各类疫情的监测、检验、报告、信息管理和突发公共卫生事件的应急处置。</w:t>
      </w:r>
    </w:p>
    <w:p w14:paraId="294B8855">
      <w:pPr>
        <w:pStyle w:val="5"/>
        <w:ind w:firstLine="640" w:firstLineChars="200"/>
        <w:rPr>
          <w:rStyle w:val="20"/>
          <w:rFonts w:ascii="Times New Roman" w:hAnsi="Times New Roman"/>
          <w:b w:val="0"/>
          <w:bCs w:val="0"/>
        </w:rPr>
      </w:pPr>
      <w:bookmarkStart w:id="22" w:name="_Toc15377200"/>
      <w:bookmarkStart w:id="23" w:name="_Toc15396601"/>
      <w:bookmarkStart w:id="24" w:name="_Toc17072"/>
      <w:r>
        <w:rPr>
          <w:rFonts w:hint="eastAsia" w:ascii="Times New Roman" w:hAnsi="Times New Roman" w:eastAsia="黑体"/>
          <w:b w:val="0"/>
        </w:rPr>
        <w:t>二、机</w:t>
      </w:r>
      <w:r>
        <w:rPr>
          <w:rStyle w:val="20"/>
          <w:rFonts w:hint="eastAsia" w:ascii="Times New Roman" w:hAnsi="Times New Roman" w:eastAsia="黑体"/>
          <w:b w:val="0"/>
          <w:bCs w:val="0"/>
        </w:rPr>
        <w:t>构设置</w:t>
      </w:r>
      <w:bookmarkEnd w:id="22"/>
      <w:bookmarkEnd w:id="23"/>
      <w:bookmarkEnd w:id="24"/>
    </w:p>
    <w:p w14:paraId="4471BF0D">
      <w:pPr>
        <w:pStyle w:val="8"/>
        <w:keepNext w:val="0"/>
        <w:keepLines w:val="0"/>
        <w:pageBreakBefore w:val="0"/>
        <w:widowControl w:val="0"/>
        <w:kinsoku/>
        <w:wordWrap/>
        <w:overflowPunct/>
        <w:topLinePunct w:val="0"/>
        <w:autoSpaceDE/>
        <w:autoSpaceDN/>
        <w:bidi w:val="0"/>
        <w:adjustRightInd/>
        <w:snapToGrid/>
        <w:spacing w:beforeLines="0" w:line="578" w:lineRule="exact"/>
        <w:ind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大竹县疾病预防控制中心下属二级预算单位0个，其中行政单位0个，参照公务员法管理的事业单位0个，其他事业单位0个。</w:t>
      </w:r>
    </w:p>
    <w:p w14:paraId="3256BE06">
      <w:pPr>
        <w:pStyle w:val="4"/>
        <w:ind w:right="440"/>
        <w:jc w:val="center"/>
        <w:outlineLvl w:val="9"/>
        <w:rPr>
          <w:rFonts w:hint="eastAsia" w:ascii="Times New Roman" w:hAnsi="Times New Roman" w:eastAsia="方正小标宋简体" w:cs="方正小标宋简体"/>
          <w:b w:val="0"/>
        </w:rPr>
        <w:sectPr>
          <w:pgSz w:w="11906" w:h="16838"/>
          <w:pgMar w:top="2098" w:right="1474" w:bottom="1984" w:left="1587" w:header="851" w:footer="992" w:gutter="0"/>
          <w:lnNumType w:countBy="0" w:distance="360"/>
          <w:pgNumType w:fmt="decimal" w:start="1"/>
          <w:cols w:space="720" w:num="1"/>
          <w:titlePg/>
          <w:docGrid w:type="lines" w:linePitch="435" w:charSpace="0"/>
        </w:sectPr>
      </w:pPr>
      <w:bookmarkStart w:id="25" w:name="_Toc15377204"/>
      <w:bookmarkStart w:id="26" w:name="_Toc15396602"/>
    </w:p>
    <w:p w14:paraId="3A61B1B4">
      <w:pPr>
        <w:pStyle w:val="4"/>
        <w:ind w:right="440"/>
        <w:jc w:val="center"/>
        <w:rPr>
          <w:rStyle w:val="21"/>
          <w:rFonts w:hint="eastAsia" w:ascii="Times New Roman" w:hAnsi="Times New Roman" w:eastAsia="方正小标宋简体" w:cs="方正小标宋简体"/>
          <w:b w:val="0"/>
          <w:bCs/>
        </w:rPr>
      </w:pPr>
      <w:bookmarkStart w:id="27" w:name="_Toc10451"/>
      <w:r>
        <w:rPr>
          <w:rFonts w:hint="eastAsia" w:ascii="Times New Roman" w:hAnsi="Times New Roman" w:eastAsia="方正小标宋简体" w:cs="方正小标宋简体"/>
          <w:b w:val="0"/>
        </w:rPr>
        <w:t>第二部分 2023年度</w:t>
      </w:r>
      <w:r>
        <w:rPr>
          <w:rStyle w:val="21"/>
          <w:rFonts w:hint="eastAsia" w:ascii="Times New Roman" w:hAnsi="Times New Roman" w:eastAsia="方正小标宋简体" w:cs="方正小标宋简体"/>
          <w:b w:val="0"/>
          <w:bCs/>
        </w:rPr>
        <w:t>部门决算情况说明</w:t>
      </w:r>
      <w:bookmarkEnd w:id="25"/>
      <w:bookmarkEnd w:id="26"/>
      <w:bookmarkEnd w:id="27"/>
    </w:p>
    <w:p w14:paraId="46E7AE41">
      <w:pPr>
        <w:pStyle w:val="31"/>
        <w:numPr>
          <w:ilvl w:val="0"/>
          <w:numId w:val="1"/>
        </w:numPr>
        <w:spacing w:line="600" w:lineRule="exact"/>
        <w:ind w:firstLineChars="0"/>
        <w:outlineLvl w:val="1"/>
        <w:rPr>
          <w:rStyle w:val="20"/>
          <w:rFonts w:ascii="Times New Roman" w:hAnsi="Times New Roman" w:eastAsia="黑体"/>
          <w:b w:val="0"/>
        </w:rPr>
      </w:pPr>
      <w:bookmarkStart w:id="28" w:name="_Toc18906"/>
      <w:bookmarkStart w:id="29" w:name="_Toc15377205"/>
      <w:bookmarkStart w:id="30" w:name="_Toc15396603"/>
      <w:r>
        <w:rPr>
          <w:rFonts w:hint="eastAsia" w:ascii="Times New Roman" w:hAnsi="Times New Roman" w:eastAsia="黑体"/>
          <w:sz w:val="32"/>
          <w:szCs w:val="32"/>
        </w:rPr>
        <w:t>收</w:t>
      </w:r>
      <w:r>
        <w:rPr>
          <w:rStyle w:val="20"/>
          <w:rFonts w:hint="eastAsia" w:ascii="Times New Roman" w:hAnsi="Times New Roman" w:eastAsia="黑体"/>
          <w:b w:val="0"/>
        </w:rPr>
        <w:t>入支出决算总体情况说明</w:t>
      </w:r>
      <w:bookmarkEnd w:id="28"/>
      <w:bookmarkEnd w:id="29"/>
      <w:bookmarkEnd w:id="30"/>
    </w:p>
    <w:p w14:paraId="732CB7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年度收入总计</w:t>
      </w:r>
      <w:r>
        <w:rPr>
          <w:rFonts w:hint="eastAsia" w:ascii="Times New Roman" w:hAnsi="Times New Roman" w:eastAsia="仿宋_GB2312" w:cs="仿宋_GB2312"/>
          <w:sz w:val="32"/>
          <w:szCs w:val="32"/>
          <w:highlight w:val="none"/>
          <w:lang w:val="en-US" w:eastAsia="zh-CN"/>
        </w:rPr>
        <w:t>15,212.91</w:t>
      </w:r>
      <w:r>
        <w:rPr>
          <w:rFonts w:hint="eastAsia" w:ascii="Times New Roman" w:hAnsi="Times New Roman" w:eastAsia="仿宋_GB2312" w:cs="仿宋_GB2312"/>
          <w:sz w:val="32"/>
          <w:szCs w:val="32"/>
          <w:highlight w:val="none"/>
        </w:rPr>
        <w:t>万元（含年初结转和结余</w:t>
      </w:r>
      <w:r>
        <w:rPr>
          <w:rFonts w:hint="eastAsia" w:ascii="Times New Roman" w:hAnsi="Times New Roman" w:eastAsia="仿宋_GB2312" w:cs="仿宋_GB2312"/>
          <w:sz w:val="32"/>
          <w:szCs w:val="32"/>
          <w:highlight w:val="none"/>
          <w:lang w:val="en-US" w:eastAsia="zh-CN"/>
        </w:rPr>
        <w:t>63.27</w:t>
      </w:r>
      <w:r>
        <w:rPr>
          <w:rFonts w:hint="eastAsia" w:ascii="Times New Roman" w:hAnsi="Times New Roman" w:eastAsia="仿宋_GB2312" w:cs="仿宋_GB2312"/>
          <w:sz w:val="32"/>
          <w:szCs w:val="32"/>
          <w:highlight w:val="none"/>
        </w:rPr>
        <w:t>万元），支出总计</w:t>
      </w:r>
      <w:r>
        <w:rPr>
          <w:rFonts w:hint="eastAsia" w:ascii="Times New Roman" w:hAnsi="Times New Roman" w:eastAsia="仿宋_GB2312" w:cs="仿宋_GB2312"/>
          <w:sz w:val="32"/>
          <w:szCs w:val="32"/>
          <w:highlight w:val="none"/>
          <w:lang w:val="en-US" w:eastAsia="zh-CN"/>
        </w:rPr>
        <w:t>12,410.76</w:t>
      </w:r>
      <w:r>
        <w:rPr>
          <w:rFonts w:hint="eastAsia" w:ascii="Times New Roman" w:hAnsi="Times New Roman" w:eastAsia="仿宋_GB2312" w:cs="仿宋_GB2312"/>
          <w:sz w:val="32"/>
          <w:szCs w:val="32"/>
          <w:highlight w:val="none"/>
        </w:rPr>
        <w:t>万元</w:t>
      </w:r>
      <w:r>
        <w:rPr>
          <w:rFonts w:hint="eastAsia" w:ascii="Times New Roman" w:hAnsi="Times New Roman" w:eastAsia="仿宋_GB2312" w:cs="仿宋_GB2312"/>
          <w:sz w:val="32"/>
          <w:szCs w:val="32"/>
          <w:highlight w:val="none"/>
          <w:lang w:eastAsia="zh-CN"/>
        </w:rPr>
        <w:t>，本年度结转结余</w:t>
      </w:r>
      <w:r>
        <w:rPr>
          <w:rFonts w:hint="eastAsia" w:ascii="Times New Roman" w:hAnsi="Times New Roman" w:eastAsia="仿宋_GB2312" w:cs="仿宋_GB2312"/>
          <w:sz w:val="32"/>
          <w:szCs w:val="32"/>
          <w:highlight w:val="none"/>
          <w:lang w:val="en-US" w:eastAsia="zh-CN"/>
        </w:rPr>
        <w:t>2,802.15万元</w:t>
      </w:r>
      <w:r>
        <w:rPr>
          <w:rFonts w:hint="eastAsia" w:ascii="Times New Roman" w:hAnsi="Times New Roman" w:eastAsia="仿宋_GB2312" w:cs="仿宋_GB2312"/>
          <w:sz w:val="32"/>
          <w:szCs w:val="32"/>
          <w:highlight w:val="none"/>
        </w:rPr>
        <w:t>。与202</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年相比，收入总计增加</w:t>
      </w:r>
      <w:r>
        <w:rPr>
          <w:rFonts w:hint="eastAsia" w:ascii="Times New Roman" w:hAnsi="Times New Roman" w:eastAsia="仿宋_GB2312" w:cs="仿宋_GB2312"/>
          <w:sz w:val="32"/>
          <w:szCs w:val="32"/>
          <w:highlight w:val="none"/>
          <w:lang w:val="en-US" w:eastAsia="zh-CN"/>
        </w:rPr>
        <w:t>7,245.47</w:t>
      </w:r>
      <w:r>
        <w:rPr>
          <w:rFonts w:hint="eastAsia" w:ascii="Times New Roman" w:hAnsi="Times New Roman" w:eastAsia="仿宋_GB2312" w:cs="仿宋_GB2312"/>
          <w:sz w:val="32"/>
          <w:szCs w:val="32"/>
          <w:highlight w:val="none"/>
        </w:rPr>
        <w:t>万元，增长</w:t>
      </w:r>
      <w:r>
        <w:rPr>
          <w:rFonts w:hint="eastAsia" w:ascii="Times New Roman" w:hAnsi="Times New Roman" w:eastAsia="仿宋_GB2312" w:cs="仿宋_GB2312"/>
          <w:sz w:val="32"/>
          <w:szCs w:val="32"/>
          <w:highlight w:val="none"/>
          <w:lang w:val="en-US" w:eastAsia="zh-CN"/>
        </w:rPr>
        <w:t>90.93</w:t>
      </w:r>
      <w:r>
        <w:rPr>
          <w:rFonts w:hint="eastAsia" w:ascii="Times New Roman" w:hAnsi="Times New Roman" w:eastAsia="仿宋_GB2312" w:cs="仿宋_GB2312"/>
          <w:sz w:val="32"/>
          <w:szCs w:val="32"/>
          <w:highlight w:val="none"/>
        </w:rPr>
        <w:t>%；支出总计增加</w:t>
      </w:r>
      <w:r>
        <w:rPr>
          <w:rFonts w:hint="eastAsia" w:ascii="Times New Roman" w:hAnsi="Times New Roman" w:eastAsia="仿宋_GB2312" w:cs="仿宋_GB2312"/>
          <w:sz w:val="32"/>
          <w:szCs w:val="32"/>
          <w:highlight w:val="none"/>
          <w:lang w:val="en-US" w:eastAsia="zh-CN"/>
        </w:rPr>
        <w:t>4,443.32</w:t>
      </w:r>
      <w:r>
        <w:rPr>
          <w:rFonts w:hint="eastAsia" w:ascii="Times New Roman" w:hAnsi="Times New Roman" w:eastAsia="仿宋_GB2312" w:cs="仿宋_GB2312"/>
          <w:sz w:val="32"/>
          <w:szCs w:val="32"/>
          <w:highlight w:val="none"/>
        </w:rPr>
        <w:t>万元，增长</w:t>
      </w:r>
      <w:r>
        <w:rPr>
          <w:rFonts w:hint="eastAsia" w:ascii="Times New Roman" w:hAnsi="Times New Roman" w:eastAsia="仿宋_GB2312" w:cs="仿宋_GB2312"/>
          <w:sz w:val="32"/>
          <w:szCs w:val="32"/>
          <w:highlight w:val="none"/>
          <w:lang w:val="en-US" w:eastAsia="zh-CN"/>
        </w:rPr>
        <w:t>55.77</w:t>
      </w:r>
      <w:r>
        <w:rPr>
          <w:rFonts w:hint="eastAsia" w:ascii="Times New Roman" w:hAnsi="Times New Roman" w:eastAsia="仿宋_GB2312" w:cs="仿宋_GB2312"/>
          <w:sz w:val="32"/>
          <w:szCs w:val="32"/>
          <w:highlight w:val="none"/>
        </w:rPr>
        <w:t>%。主要变动原因是202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rPr>
        <w:t>年本级财政返还存量资金用于相关支出</w:t>
      </w:r>
      <w:r>
        <w:rPr>
          <w:rFonts w:hint="eastAsia"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eastAsia="zh-CN"/>
        </w:rPr>
        <w:t>非财政</w:t>
      </w:r>
      <w:r>
        <w:rPr>
          <w:rFonts w:hint="eastAsia" w:ascii="Times New Roman" w:hAnsi="Times New Roman" w:eastAsia="仿宋_GB2312" w:cs="仿宋_GB2312"/>
          <w:sz w:val="32"/>
          <w:szCs w:val="32"/>
          <w:highlight w:val="none"/>
          <w:lang w:val="en-US" w:eastAsia="zh-CN"/>
        </w:rPr>
        <w:t>疫苗临床试验项目经费增加</w:t>
      </w:r>
      <w:r>
        <w:rPr>
          <w:rFonts w:hint="eastAsia" w:eastAsia="仿宋_GB2312" w:cs="仿宋_GB2312"/>
          <w:sz w:val="32"/>
          <w:szCs w:val="32"/>
          <w:highlight w:val="none"/>
          <w:lang w:val="en-US" w:eastAsia="zh-CN"/>
        </w:rPr>
        <w:t>以及中央补助的新冠专项经费增大</w:t>
      </w:r>
      <w:r>
        <w:rPr>
          <w:rFonts w:hint="eastAsia" w:ascii="Times New Roman" w:hAnsi="Times New Roman" w:eastAsia="仿宋_GB2312" w:cs="仿宋_GB2312"/>
          <w:sz w:val="32"/>
          <w:szCs w:val="32"/>
          <w:highlight w:val="none"/>
        </w:rPr>
        <w:t>。</w:t>
      </w:r>
    </w:p>
    <w:p w14:paraId="319E4E0B">
      <w:pPr>
        <w:pStyle w:val="2"/>
        <w:rPr>
          <w:rFonts w:hint="eastAsia" w:ascii="Times New Roman" w:hAnsi="Times New Roman"/>
        </w:rPr>
      </w:pPr>
    </w:p>
    <w:p w14:paraId="73CA9504">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rPr>
      </w:pPr>
      <w:r>
        <w:rPr>
          <w:rFonts w:ascii="Times New Roman" w:hAnsi="Times New Roman"/>
        </w:rPr>
        <w:drawing>
          <wp:inline distT="0" distB="0" distL="114300" distR="114300">
            <wp:extent cx="4826000" cy="2743200"/>
            <wp:effectExtent l="4445" t="4445" r="8255" b="14605"/>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D11F51">
      <w:pPr>
        <w:spacing w:line="600" w:lineRule="exact"/>
        <w:jc w:val="left"/>
        <w:rPr>
          <w:rFonts w:ascii="Times New Roman" w:hAnsi="Times New Roman" w:eastAsia="仿宋_GB2312"/>
          <w:sz w:val="32"/>
          <w:szCs w:val="32"/>
        </w:rPr>
      </w:pPr>
    </w:p>
    <w:p w14:paraId="3CC4D1B9">
      <w:pPr>
        <w:pStyle w:val="31"/>
        <w:numPr>
          <w:ilvl w:val="0"/>
          <w:numId w:val="1"/>
        </w:numPr>
        <w:spacing w:line="600" w:lineRule="exact"/>
        <w:ind w:firstLineChars="0"/>
        <w:outlineLvl w:val="1"/>
        <w:rPr>
          <w:rStyle w:val="20"/>
          <w:rFonts w:ascii="Times New Roman" w:hAnsi="Times New Roman" w:eastAsia="黑体"/>
          <w:b w:val="0"/>
        </w:rPr>
      </w:pPr>
      <w:bookmarkStart w:id="31" w:name="_Toc15377206"/>
      <w:bookmarkStart w:id="32" w:name="_Toc14053"/>
      <w:bookmarkStart w:id="33" w:name="_Toc15396604"/>
      <w:r>
        <w:rPr>
          <w:rFonts w:hint="eastAsia" w:ascii="Times New Roman" w:hAnsi="Times New Roman" w:eastAsia="黑体"/>
          <w:sz w:val="32"/>
          <w:szCs w:val="32"/>
        </w:rPr>
        <w:t>收</w:t>
      </w:r>
      <w:r>
        <w:rPr>
          <w:rStyle w:val="20"/>
          <w:rFonts w:hint="eastAsia" w:ascii="Times New Roman" w:hAnsi="Times New Roman" w:eastAsia="黑体"/>
          <w:b w:val="0"/>
        </w:rPr>
        <w:t>入决算情况说明</w:t>
      </w:r>
      <w:bookmarkEnd w:id="31"/>
      <w:bookmarkEnd w:id="32"/>
      <w:bookmarkEnd w:id="33"/>
    </w:p>
    <w:p w14:paraId="31236218">
      <w:pPr>
        <w:spacing w:line="600" w:lineRule="exact"/>
        <w:ind w:firstLine="640" w:firstLineChars="200"/>
        <w:outlineLvl w:val="1"/>
        <w:rPr>
          <w:rFonts w:hint="eastAsia" w:ascii="Times New Roman" w:hAnsi="Times New Roman" w:eastAsia="仿宋_GB2312" w:cs="仿宋_GB2312"/>
          <w:sz w:val="32"/>
          <w:szCs w:val="32"/>
        </w:rPr>
      </w:pPr>
      <w:bookmarkStart w:id="34" w:name="_Toc15463"/>
      <w:bookmarkStart w:id="35" w:name="_Toc24592"/>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年本年收入合计</w:t>
      </w:r>
      <w:r>
        <w:rPr>
          <w:rFonts w:hint="eastAsia" w:ascii="Times New Roman" w:hAnsi="Times New Roman" w:eastAsia="仿宋_GB2312" w:cs="仿宋_GB2312"/>
          <w:sz w:val="32"/>
          <w:szCs w:val="32"/>
          <w:lang w:val="en-US" w:eastAsia="zh-CN"/>
        </w:rPr>
        <w:t>15,149.64</w:t>
      </w:r>
      <w:r>
        <w:rPr>
          <w:rFonts w:hint="eastAsia" w:ascii="Times New Roman" w:hAnsi="Times New Roman" w:eastAsia="仿宋_GB2312" w:cs="仿宋_GB2312"/>
          <w:sz w:val="32"/>
          <w:szCs w:val="32"/>
        </w:rPr>
        <w:t>万元，其中：一般公共预算财政拨款收入</w:t>
      </w:r>
      <w:r>
        <w:rPr>
          <w:rFonts w:hint="eastAsia" w:ascii="Times New Roman" w:hAnsi="Times New Roman" w:eastAsia="仿宋_GB2312" w:cs="仿宋_GB2312"/>
          <w:sz w:val="32"/>
          <w:szCs w:val="32"/>
          <w:lang w:val="en-US" w:eastAsia="zh-CN"/>
        </w:rPr>
        <w:t>7,043.38</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46.50</w:t>
      </w:r>
      <w:r>
        <w:rPr>
          <w:rFonts w:hint="eastAsia" w:ascii="Times New Roman" w:hAnsi="Times New Roman" w:eastAsia="仿宋_GB2312" w:cs="仿宋_GB2312"/>
          <w:sz w:val="32"/>
          <w:szCs w:val="32"/>
        </w:rPr>
        <w:t>%；事业收入8</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26万元，占</w:t>
      </w:r>
      <w:r>
        <w:rPr>
          <w:rFonts w:hint="eastAsia" w:ascii="Times New Roman" w:hAnsi="Times New Roman" w:eastAsia="仿宋_GB2312" w:cs="仿宋_GB2312"/>
          <w:sz w:val="32"/>
          <w:szCs w:val="32"/>
          <w:lang w:val="en-US" w:eastAsia="zh-CN"/>
        </w:rPr>
        <w:t>53.50</w:t>
      </w:r>
      <w:r>
        <w:rPr>
          <w:rFonts w:hint="eastAsia" w:ascii="Times New Roman" w:hAnsi="Times New Roman" w:eastAsia="仿宋_GB2312" w:cs="仿宋_GB2312"/>
          <w:sz w:val="32"/>
          <w:szCs w:val="32"/>
        </w:rPr>
        <w:t>%。</w:t>
      </w:r>
      <w:bookmarkEnd w:id="34"/>
      <w:bookmarkEnd w:id="35"/>
    </w:p>
    <w:p w14:paraId="60ACCAF0">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rPr>
      </w:pPr>
      <w:r>
        <w:rPr>
          <w:rFonts w:ascii="Times New Roman" w:hAnsi="Times New Roman"/>
        </w:rPr>
        <w:drawing>
          <wp:inline distT="0" distB="0" distL="114300" distR="114300">
            <wp:extent cx="4389120" cy="2541270"/>
            <wp:effectExtent l="4445" t="4445" r="6985"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5AE4FA">
      <w:pPr>
        <w:pStyle w:val="31"/>
        <w:numPr>
          <w:ilvl w:val="0"/>
          <w:numId w:val="1"/>
        </w:numPr>
        <w:spacing w:line="600" w:lineRule="exact"/>
        <w:ind w:firstLineChars="0"/>
        <w:outlineLvl w:val="1"/>
        <w:rPr>
          <w:rStyle w:val="20"/>
          <w:rFonts w:ascii="Times New Roman" w:hAnsi="Times New Roman" w:eastAsia="黑体"/>
          <w:b w:val="0"/>
        </w:rPr>
      </w:pPr>
      <w:bookmarkStart w:id="36" w:name="_Toc15396605"/>
      <w:bookmarkStart w:id="37" w:name="_Toc12691"/>
      <w:bookmarkStart w:id="38" w:name="_Toc15377207"/>
      <w:r>
        <w:rPr>
          <w:rFonts w:hint="eastAsia" w:ascii="Times New Roman" w:hAnsi="Times New Roman" w:eastAsia="黑体"/>
          <w:sz w:val="32"/>
          <w:szCs w:val="32"/>
        </w:rPr>
        <w:t>支</w:t>
      </w:r>
      <w:r>
        <w:rPr>
          <w:rStyle w:val="20"/>
          <w:rFonts w:hint="eastAsia" w:ascii="Times New Roman" w:hAnsi="Times New Roman" w:eastAsia="黑体"/>
          <w:b w:val="0"/>
        </w:rPr>
        <w:t>出决算情况说明</w:t>
      </w:r>
      <w:bookmarkEnd w:id="36"/>
      <w:bookmarkEnd w:id="37"/>
      <w:bookmarkEnd w:id="38"/>
    </w:p>
    <w:p w14:paraId="799BFF91">
      <w:pPr>
        <w:spacing w:line="600" w:lineRule="exact"/>
        <w:ind w:firstLine="640" w:firstLineChars="200"/>
        <w:outlineLvl w:val="1"/>
        <w:rPr>
          <w:rFonts w:hint="eastAsia" w:ascii="Times New Roman" w:hAnsi="Times New Roman" w:eastAsia="仿宋_GB2312" w:cs="仿宋_GB2312"/>
          <w:sz w:val="32"/>
          <w:szCs w:val="32"/>
        </w:rPr>
      </w:pPr>
      <w:bookmarkStart w:id="39" w:name="_Toc15407"/>
      <w:bookmarkStart w:id="40" w:name="_Toc19864"/>
      <w:r>
        <w:rPr>
          <w:rFonts w:hint="eastAsia" w:ascii="Times New Roman" w:hAnsi="Times New Roman" w:eastAsia="仿宋_GB2312" w:cs="仿宋_GB2312"/>
          <w:sz w:val="32"/>
          <w:szCs w:val="32"/>
        </w:rPr>
        <w:t>2023年度本年支出合计</w:t>
      </w:r>
      <w:r>
        <w:rPr>
          <w:rFonts w:hint="eastAsia" w:ascii="Times New Roman" w:hAnsi="Times New Roman" w:eastAsia="仿宋_GB2312" w:cs="仿宋_GB2312"/>
          <w:sz w:val="32"/>
          <w:szCs w:val="32"/>
          <w:lang w:val="en-US" w:eastAsia="zh-CN"/>
        </w:rPr>
        <w:t>12,410.76</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2,257.17</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18.19</w:t>
      </w:r>
      <w:r>
        <w:rPr>
          <w:rFonts w:hint="eastAsia" w:ascii="Times New Roman" w:hAnsi="Times New Roman" w:eastAsia="仿宋_GB2312" w:cs="仿宋_GB2312"/>
          <w:sz w:val="32"/>
          <w:szCs w:val="32"/>
        </w:rPr>
        <w:t>%；项目支出</w:t>
      </w:r>
      <w:r>
        <w:rPr>
          <w:rFonts w:hint="eastAsia" w:ascii="Times New Roman" w:hAnsi="Times New Roman" w:eastAsia="仿宋_GB2312" w:cs="仿宋_GB2312"/>
          <w:sz w:val="32"/>
          <w:szCs w:val="32"/>
          <w:lang w:val="en-US" w:eastAsia="zh-CN"/>
        </w:rPr>
        <w:t>10,153.59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81.81</w:t>
      </w:r>
      <w:r>
        <w:rPr>
          <w:rFonts w:hint="eastAsia" w:ascii="Times New Roman" w:hAnsi="Times New Roman" w:eastAsia="仿宋_GB2312" w:cs="仿宋_GB2312"/>
          <w:sz w:val="32"/>
          <w:szCs w:val="32"/>
        </w:rPr>
        <w:t>%。</w:t>
      </w:r>
      <w:bookmarkEnd w:id="39"/>
      <w:bookmarkEnd w:id="40"/>
    </w:p>
    <w:p w14:paraId="73D60545">
      <w:pPr>
        <w:pStyle w:val="2"/>
        <w:rPr>
          <w:rFonts w:hint="eastAsia" w:ascii="Times New Roman" w:hAnsi="Times New Roman"/>
        </w:rPr>
      </w:pPr>
    </w:p>
    <w:p w14:paraId="1147A75F">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rPr>
      </w:pPr>
      <w:r>
        <w:rPr>
          <w:rFonts w:ascii="Times New Roman" w:hAnsi="Times New Roman"/>
        </w:rPr>
        <w:drawing>
          <wp:inline distT="0" distB="0" distL="114300" distR="114300">
            <wp:extent cx="4371975" cy="2648585"/>
            <wp:effectExtent l="4445" t="5080" r="5080" b="1333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530508">
      <w:pPr>
        <w:spacing w:line="600" w:lineRule="exact"/>
        <w:ind w:firstLine="640" w:firstLineChars="200"/>
        <w:outlineLvl w:val="9"/>
        <w:rPr>
          <w:rFonts w:hint="eastAsia" w:ascii="Times New Roman" w:hAnsi="Times New Roman" w:eastAsia="黑体"/>
          <w:sz w:val="32"/>
          <w:szCs w:val="32"/>
        </w:rPr>
        <w:sectPr>
          <w:pgSz w:w="11906" w:h="16838"/>
          <w:pgMar w:top="2098" w:right="1474" w:bottom="1984" w:left="1587" w:header="851" w:footer="992" w:gutter="0"/>
          <w:lnNumType w:countBy="0" w:distance="360"/>
          <w:pgNumType w:fmt="decimal"/>
          <w:cols w:space="720" w:num="1"/>
          <w:titlePg/>
          <w:docGrid w:type="lines" w:linePitch="435" w:charSpace="0"/>
        </w:sectPr>
      </w:pPr>
      <w:bookmarkStart w:id="41" w:name="_Toc15377208"/>
      <w:bookmarkStart w:id="42" w:name="_Toc15396606"/>
    </w:p>
    <w:p w14:paraId="1A418875">
      <w:pPr>
        <w:spacing w:line="600" w:lineRule="exact"/>
        <w:ind w:firstLine="640" w:firstLineChars="200"/>
        <w:outlineLvl w:val="1"/>
        <w:rPr>
          <w:rStyle w:val="20"/>
          <w:rFonts w:ascii="Times New Roman" w:hAnsi="Times New Roman" w:eastAsia="黑体"/>
          <w:b w:val="0"/>
        </w:rPr>
      </w:pPr>
      <w:bookmarkStart w:id="43" w:name="_Toc11358"/>
      <w:r>
        <w:rPr>
          <w:rFonts w:hint="eastAsia" w:ascii="Times New Roman" w:hAnsi="Times New Roman" w:eastAsia="黑体"/>
          <w:sz w:val="32"/>
          <w:szCs w:val="32"/>
        </w:rPr>
        <w:t>四、财</w:t>
      </w:r>
      <w:r>
        <w:rPr>
          <w:rStyle w:val="20"/>
          <w:rFonts w:hint="eastAsia" w:ascii="Times New Roman" w:hAnsi="Times New Roman" w:eastAsia="黑体"/>
          <w:b w:val="0"/>
        </w:rPr>
        <w:t>政拨款收入支出决算总体情况说明</w:t>
      </w:r>
      <w:bookmarkEnd w:id="41"/>
      <w:bookmarkEnd w:id="42"/>
      <w:bookmarkEnd w:id="43"/>
    </w:p>
    <w:p w14:paraId="4F4B3F9E">
      <w:pPr>
        <w:spacing w:line="600" w:lineRule="exact"/>
        <w:ind w:firstLine="64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2023年度财政拨款收、支总计均为</w:t>
      </w:r>
      <w:r>
        <w:rPr>
          <w:rFonts w:hint="eastAsia" w:ascii="Times New Roman" w:hAnsi="Times New Roman" w:eastAsia="仿宋_GB2312" w:cs="仿宋_GB2312"/>
          <w:sz w:val="32"/>
          <w:szCs w:val="32"/>
          <w:lang w:val="en-US" w:eastAsia="zh-CN"/>
        </w:rPr>
        <w:t>7,106.65</w:t>
      </w:r>
      <w:r>
        <w:rPr>
          <w:rFonts w:hint="eastAsia" w:ascii="Times New Roman" w:hAnsi="Times New Roman" w:eastAsia="仿宋_GB2312" w:cs="仿宋_GB2312"/>
          <w:sz w:val="32"/>
          <w:szCs w:val="32"/>
        </w:rPr>
        <w:t>万元。与202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年相比，财政拨款收</w:t>
      </w:r>
      <w:r>
        <w:rPr>
          <w:rFonts w:hint="eastAsia" w:ascii="Times New Roman" w:hAnsi="Times New Roman" w:eastAsia="仿宋_GB2312" w:cs="仿宋_GB2312"/>
          <w:sz w:val="32"/>
          <w:szCs w:val="32"/>
          <w:lang w:eastAsia="zh-CN"/>
        </w:rPr>
        <w:t>、支各增加</w:t>
      </w:r>
      <w:r>
        <w:rPr>
          <w:rFonts w:hint="eastAsia" w:ascii="Times New Roman" w:hAnsi="Times New Roman" w:eastAsia="仿宋_GB2312" w:cs="仿宋_GB2312"/>
          <w:sz w:val="32"/>
          <w:szCs w:val="32"/>
          <w:lang w:val="en-US" w:eastAsia="zh-CN"/>
        </w:rPr>
        <w:t>3,291.69</w:t>
      </w:r>
      <w:r>
        <w:rPr>
          <w:rFonts w:hint="eastAsia" w:ascii="Times New Roman" w:hAnsi="Times New Roman" w:eastAsia="仿宋_GB2312" w:cs="仿宋_GB2312"/>
          <w:sz w:val="32"/>
          <w:szCs w:val="32"/>
        </w:rPr>
        <w:t>万元，增长</w:t>
      </w:r>
      <w:r>
        <w:rPr>
          <w:rFonts w:hint="eastAsia" w:ascii="Times New Roman" w:hAnsi="Times New Roman" w:eastAsia="仿宋_GB2312" w:cs="仿宋_GB2312"/>
          <w:sz w:val="32"/>
          <w:szCs w:val="32"/>
          <w:lang w:val="en-US" w:eastAsia="zh-CN"/>
        </w:rPr>
        <w:t>86.28</w:t>
      </w:r>
      <w:r>
        <w:rPr>
          <w:rFonts w:hint="eastAsia" w:ascii="Times New Roman" w:hAnsi="Times New Roman" w:eastAsia="仿宋_GB2312" w:cs="仿宋_GB2312"/>
          <w:sz w:val="32"/>
          <w:szCs w:val="32"/>
        </w:rPr>
        <w:t>%。主要变动原因是中央</w:t>
      </w:r>
      <w:r>
        <w:rPr>
          <w:rFonts w:hint="eastAsia" w:eastAsia="仿宋_GB2312" w:cs="仿宋_GB2312"/>
          <w:sz w:val="32"/>
          <w:szCs w:val="32"/>
          <w:lang w:eastAsia="zh-CN"/>
        </w:rPr>
        <w:t>补助新冠专项经费</w:t>
      </w:r>
      <w:r>
        <w:rPr>
          <w:rFonts w:hint="eastAsia" w:ascii="Times New Roman" w:hAnsi="Times New Roman" w:eastAsia="仿宋_GB2312" w:cs="仿宋_GB2312"/>
          <w:sz w:val="32"/>
          <w:szCs w:val="32"/>
          <w:lang w:eastAsia="zh-CN"/>
        </w:rPr>
        <w:t>增加，导致相应的支出增大。</w:t>
      </w:r>
    </w:p>
    <w:p w14:paraId="4578A2BA">
      <w:pPr>
        <w:pStyle w:val="2"/>
        <w:rPr>
          <w:rFonts w:hint="eastAsia" w:ascii="Times New Roman" w:hAnsi="Times New Roman"/>
        </w:rPr>
      </w:pPr>
    </w:p>
    <w:p w14:paraId="63AE52B1">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rPr>
      </w:pPr>
      <w:r>
        <w:rPr>
          <w:rFonts w:ascii="Times New Roman" w:hAnsi="Times New Roman"/>
        </w:rPr>
        <w:drawing>
          <wp:inline distT="0" distB="0" distL="114300" distR="114300">
            <wp:extent cx="4930775" cy="2743200"/>
            <wp:effectExtent l="4445" t="4445" r="17780"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5959FC9">
      <w:pPr>
        <w:pStyle w:val="2"/>
        <w:rPr>
          <w:rFonts w:ascii="Times New Roman" w:hAnsi="Times New Roman"/>
        </w:rPr>
      </w:pPr>
    </w:p>
    <w:p w14:paraId="402A6C5D">
      <w:pPr>
        <w:spacing w:line="600" w:lineRule="exact"/>
        <w:ind w:firstLine="640" w:firstLineChars="200"/>
        <w:outlineLvl w:val="1"/>
        <w:rPr>
          <w:rStyle w:val="20"/>
          <w:rFonts w:ascii="Times New Roman" w:hAnsi="Times New Roman" w:eastAsia="黑体"/>
          <w:b w:val="0"/>
        </w:rPr>
      </w:pPr>
      <w:bookmarkStart w:id="44" w:name="_Toc15377209"/>
      <w:bookmarkStart w:id="45" w:name="_Toc15396607"/>
      <w:bookmarkStart w:id="46" w:name="_Toc17276"/>
      <w:r>
        <w:rPr>
          <w:rFonts w:hint="eastAsia" w:ascii="Times New Roman" w:hAnsi="Times New Roman" w:eastAsia="黑体"/>
          <w:sz w:val="32"/>
          <w:szCs w:val="32"/>
        </w:rPr>
        <w:t>五、</w:t>
      </w:r>
      <w:r>
        <w:rPr>
          <w:rFonts w:hint="eastAsia" w:ascii="Times New Roman" w:hAnsi="Times New Roman" w:eastAsia="黑体"/>
          <w:b/>
          <w:sz w:val="32"/>
          <w:szCs w:val="32"/>
        </w:rPr>
        <w:t>一</w:t>
      </w:r>
      <w:r>
        <w:rPr>
          <w:rStyle w:val="20"/>
          <w:rFonts w:hint="eastAsia" w:ascii="Times New Roman" w:hAnsi="Times New Roman" w:eastAsia="黑体"/>
          <w:b w:val="0"/>
        </w:rPr>
        <w:t>般公共预算财政拨款支出决算情况说明</w:t>
      </w:r>
      <w:bookmarkEnd w:id="44"/>
      <w:bookmarkEnd w:id="45"/>
      <w:bookmarkEnd w:id="46"/>
    </w:p>
    <w:p w14:paraId="41F4BEDA">
      <w:pPr>
        <w:spacing w:line="600" w:lineRule="exact"/>
        <w:ind w:firstLine="640" w:firstLineChars="200"/>
        <w:outlineLvl w:val="2"/>
        <w:rPr>
          <w:rFonts w:hint="eastAsia" w:ascii="楷体_GB2312" w:hAnsi="楷体_GB2312" w:eastAsia="楷体_GB2312" w:cs="楷体_GB2312"/>
          <w:b w:val="0"/>
          <w:bCs/>
          <w:sz w:val="32"/>
          <w:szCs w:val="32"/>
        </w:rPr>
      </w:pPr>
      <w:bookmarkStart w:id="47" w:name="_Toc15377210"/>
      <w:r>
        <w:rPr>
          <w:rFonts w:hint="eastAsia" w:ascii="楷体_GB2312" w:hAnsi="楷体_GB2312" w:eastAsia="楷体_GB2312" w:cs="楷体_GB2312"/>
          <w:b w:val="0"/>
          <w:bCs/>
          <w:sz w:val="32"/>
          <w:szCs w:val="32"/>
        </w:rPr>
        <w:t>（一）一般公共预算财政拨款支出决算总体情况</w:t>
      </w:r>
      <w:bookmarkEnd w:id="47"/>
    </w:p>
    <w:p w14:paraId="5360B1D3">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年一般公共预算财政拨款支出</w:t>
      </w:r>
      <w:r>
        <w:rPr>
          <w:rFonts w:hint="eastAsia" w:ascii="Times New Roman" w:hAnsi="Times New Roman" w:eastAsia="仿宋_GB2312" w:cs="仿宋_GB2312"/>
          <w:sz w:val="32"/>
          <w:szCs w:val="32"/>
          <w:lang w:val="en-US" w:eastAsia="zh-CN"/>
        </w:rPr>
        <w:t>7,106.65</w:t>
      </w:r>
      <w:r>
        <w:rPr>
          <w:rFonts w:hint="eastAsia" w:ascii="Times New Roman" w:hAnsi="Times New Roman" w:eastAsia="仿宋_GB2312" w:cs="仿宋_GB2312"/>
          <w:sz w:val="32"/>
          <w:szCs w:val="32"/>
        </w:rPr>
        <w:t>万元，占本年支出合计的100%。与202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年相比，一般公共预算财政拨款支出</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3,291.69</w:t>
      </w:r>
      <w:r>
        <w:rPr>
          <w:rFonts w:hint="eastAsia" w:ascii="Times New Roman" w:hAnsi="Times New Roman" w:eastAsia="仿宋_GB2312" w:cs="仿宋_GB2312"/>
          <w:sz w:val="32"/>
          <w:szCs w:val="32"/>
        </w:rPr>
        <w:t>万元，增长</w:t>
      </w:r>
      <w:r>
        <w:rPr>
          <w:rFonts w:hint="eastAsia" w:ascii="Times New Roman" w:hAnsi="Times New Roman" w:eastAsia="仿宋_GB2312" w:cs="仿宋_GB2312"/>
          <w:sz w:val="32"/>
          <w:szCs w:val="32"/>
          <w:lang w:val="en-US" w:eastAsia="zh-CN"/>
        </w:rPr>
        <w:t>86.28</w:t>
      </w:r>
      <w:r>
        <w:rPr>
          <w:rFonts w:hint="eastAsia" w:ascii="Times New Roman" w:hAnsi="Times New Roman" w:eastAsia="仿宋_GB2312" w:cs="仿宋_GB2312"/>
          <w:sz w:val="32"/>
          <w:szCs w:val="32"/>
        </w:rPr>
        <w:t>%。主要变动原因是</w:t>
      </w:r>
      <w:r>
        <w:rPr>
          <w:rFonts w:hint="eastAsia" w:eastAsia="仿宋_GB2312" w:cs="仿宋_GB2312"/>
          <w:sz w:val="32"/>
          <w:szCs w:val="32"/>
          <w:lang w:eastAsia="zh-CN"/>
        </w:rPr>
        <w:t>新冠专项经费</w:t>
      </w:r>
      <w:r>
        <w:rPr>
          <w:rFonts w:hint="eastAsia" w:ascii="Times New Roman" w:hAnsi="Times New Roman" w:eastAsia="仿宋_GB2312" w:cs="仿宋_GB2312"/>
          <w:sz w:val="32"/>
          <w:szCs w:val="32"/>
        </w:rPr>
        <w:t>支出</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w:t>
      </w:r>
    </w:p>
    <w:p w14:paraId="5B0348B4">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rPr>
      </w:pPr>
      <w:r>
        <w:rPr>
          <w:rFonts w:ascii="Times New Roman" w:hAnsi="Times New Roman"/>
        </w:rPr>
        <w:drawing>
          <wp:inline distT="0" distB="0" distL="114300" distR="114300">
            <wp:extent cx="5269865" cy="2485390"/>
            <wp:effectExtent l="4445" t="4445" r="13970" b="952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7A478F8">
      <w:pPr>
        <w:spacing w:line="600" w:lineRule="exact"/>
        <w:ind w:firstLine="640" w:firstLineChars="200"/>
        <w:outlineLvl w:val="2"/>
        <w:rPr>
          <w:rFonts w:hint="eastAsia" w:ascii="Times New Roman" w:hAnsi="Times New Roman" w:eastAsia="楷体" w:cs="楷体"/>
          <w:b/>
          <w:bCs w:val="0"/>
          <w:sz w:val="32"/>
          <w:szCs w:val="32"/>
        </w:rPr>
      </w:pPr>
      <w:bookmarkStart w:id="48" w:name="_Toc15377211"/>
      <w:r>
        <w:rPr>
          <w:rFonts w:hint="eastAsia" w:ascii="楷体_GB2312" w:hAnsi="楷体_GB2312" w:eastAsia="楷体_GB2312" w:cs="楷体_GB2312"/>
          <w:b w:val="0"/>
          <w:bCs/>
          <w:sz w:val="32"/>
          <w:szCs w:val="32"/>
        </w:rPr>
        <w:t>（二）一般公共预算财政拨款支出决算结构情况</w:t>
      </w:r>
      <w:bookmarkEnd w:id="48"/>
    </w:p>
    <w:p w14:paraId="7027EC2B">
      <w:pPr>
        <w:spacing w:line="600" w:lineRule="exact"/>
        <w:ind w:firstLine="64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年一般公共预算财政拨款支出</w:t>
      </w:r>
      <w:r>
        <w:rPr>
          <w:rFonts w:hint="eastAsia" w:ascii="Times New Roman" w:hAnsi="Times New Roman" w:eastAsia="仿宋_GB2312" w:cs="仿宋_GB2312"/>
          <w:sz w:val="32"/>
          <w:szCs w:val="32"/>
          <w:lang w:val="en-US" w:eastAsia="zh-CN"/>
        </w:rPr>
        <w:t>7,106.65</w:t>
      </w:r>
      <w:r>
        <w:rPr>
          <w:rFonts w:hint="eastAsia" w:ascii="Times New Roman" w:hAnsi="Times New Roman" w:eastAsia="仿宋_GB2312" w:cs="仿宋_GB2312"/>
          <w:sz w:val="32"/>
          <w:szCs w:val="32"/>
        </w:rPr>
        <w:t>万元，主要用于以下方面:社会保障和就业（类）支出</w:t>
      </w:r>
      <w:r>
        <w:rPr>
          <w:rFonts w:hint="eastAsia" w:ascii="Times New Roman" w:hAnsi="Times New Roman" w:eastAsia="仿宋_GB2312" w:cs="仿宋_GB2312"/>
          <w:sz w:val="32"/>
          <w:szCs w:val="32"/>
          <w:lang w:val="en-US" w:eastAsia="zh-CN"/>
        </w:rPr>
        <w:t>263.26</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3.70</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6,702.25</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94.31</w:t>
      </w:r>
      <w:r>
        <w:rPr>
          <w:rFonts w:hint="eastAsia" w:ascii="Times New Roman" w:hAnsi="Times New Roman" w:eastAsia="仿宋_GB2312" w:cs="仿宋_GB2312"/>
          <w:sz w:val="32"/>
          <w:szCs w:val="32"/>
        </w:rPr>
        <w:t>%；住房保障支出</w:t>
      </w:r>
      <w:r>
        <w:rPr>
          <w:rFonts w:hint="eastAsia" w:ascii="Times New Roman" w:hAnsi="Times New Roman" w:eastAsia="仿宋_GB2312" w:cs="仿宋_GB2312"/>
          <w:sz w:val="32"/>
          <w:szCs w:val="32"/>
          <w:lang w:val="en-US" w:eastAsia="zh-CN"/>
        </w:rPr>
        <w:t>141.14</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1.99</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p>
    <w:p w14:paraId="6C8467F9">
      <w:pPr>
        <w:pStyle w:val="2"/>
        <w:rPr>
          <w:rFonts w:hint="eastAsia" w:ascii="Times New Roman" w:hAnsi="Times New Roman"/>
          <w:lang w:eastAsia="zh-CN"/>
        </w:rPr>
      </w:pPr>
    </w:p>
    <w:p w14:paraId="7A4E66D2">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
          <w:sz w:val="32"/>
          <w:szCs w:val="32"/>
          <w:lang w:eastAsia="zh-CN"/>
        </w:rPr>
      </w:pPr>
      <w:r>
        <w:rPr>
          <w:rFonts w:ascii="Times New Roman" w:hAnsi="Times New Roman"/>
        </w:rPr>
        <w:drawing>
          <wp:inline distT="0" distB="0" distL="114300" distR="114300">
            <wp:extent cx="4719955" cy="2713990"/>
            <wp:effectExtent l="4445" t="5080" r="1905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08CE59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2"/>
        <w:rPr>
          <w:rFonts w:hint="eastAsia" w:ascii="楷体_GB2312" w:hAnsi="楷体_GB2312" w:eastAsia="楷体_GB2312" w:cs="楷体_GB2312"/>
          <w:b w:val="0"/>
          <w:bCs/>
          <w:sz w:val="32"/>
          <w:szCs w:val="32"/>
        </w:rPr>
      </w:pPr>
      <w:bookmarkStart w:id="49" w:name="_Toc15377212"/>
      <w:r>
        <w:rPr>
          <w:rFonts w:hint="eastAsia" w:ascii="楷体_GB2312" w:hAnsi="楷体_GB2312" w:eastAsia="楷体_GB2312" w:cs="楷体_GB2312"/>
          <w:b w:val="0"/>
          <w:bCs/>
          <w:sz w:val="32"/>
          <w:szCs w:val="32"/>
        </w:rPr>
        <w:t>（三）一般公共预算财政拨款支出决算具体情况</w:t>
      </w:r>
      <w:bookmarkEnd w:id="49"/>
    </w:p>
    <w:p w14:paraId="29F84F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1"/>
        <w:rPr>
          <w:rFonts w:ascii="Times New Roman" w:hAnsi="Times New Roman"/>
          <w:b w:val="0"/>
          <w:bCs/>
        </w:rPr>
      </w:pPr>
      <w:bookmarkStart w:id="50" w:name="_Toc15378460"/>
      <w:bookmarkStart w:id="51" w:name="_Toc15377213"/>
      <w:bookmarkStart w:id="52" w:name="_Toc7920"/>
      <w:bookmarkStart w:id="53" w:name="_Toc15377444"/>
      <w:bookmarkStart w:id="54" w:name="_Toc16405"/>
      <w:r>
        <w:rPr>
          <w:rFonts w:hint="eastAsia" w:ascii="Times New Roman" w:hAnsi="Times New Roman" w:eastAsia="仿宋_GB2312" w:cs="仿宋_GB2312"/>
          <w:b w:val="0"/>
          <w:bCs/>
          <w:sz w:val="32"/>
          <w:szCs w:val="32"/>
        </w:rPr>
        <w:t>2023年度一般公共预算支出决算数为</w:t>
      </w:r>
      <w:r>
        <w:rPr>
          <w:rFonts w:hint="eastAsia" w:ascii="Times New Roman" w:hAnsi="Times New Roman" w:eastAsia="仿宋_GB2312" w:cs="仿宋_GB2312"/>
          <w:b w:val="0"/>
          <w:bCs/>
          <w:sz w:val="32"/>
          <w:szCs w:val="32"/>
          <w:lang w:val="en-US" w:eastAsia="zh-CN"/>
        </w:rPr>
        <w:t>7,106.65万元</w:t>
      </w:r>
      <w:r>
        <w:rPr>
          <w:rFonts w:hint="eastAsia" w:ascii="Times New Roman" w:hAnsi="Times New Roman" w:eastAsia="仿宋_GB2312" w:cs="仿宋_GB2312"/>
          <w:b w:val="0"/>
          <w:bCs/>
          <w:sz w:val="32"/>
          <w:szCs w:val="32"/>
        </w:rPr>
        <w:t>，</w:t>
      </w:r>
      <w:r>
        <w:rPr>
          <w:rStyle w:val="17"/>
          <w:rFonts w:hint="eastAsia" w:ascii="Times New Roman" w:hAnsi="Times New Roman" w:eastAsia="仿宋_GB2312" w:cs="仿宋_GB2312"/>
          <w:b w:val="0"/>
          <w:bCs/>
          <w:sz w:val="32"/>
          <w:szCs w:val="32"/>
        </w:rPr>
        <w:t>完成预算</w:t>
      </w:r>
      <w:r>
        <w:rPr>
          <w:rStyle w:val="17"/>
          <w:rFonts w:hint="eastAsia" w:ascii="Times New Roman" w:hAnsi="Times New Roman" w:eastAsia="仿宋_GB2312" w:cs="仿宋_GB2312"/>
          <w:b w:val="0"/>
          <w:bCs/>
          <w:sz w:val="32"/>
          <w:szCs w:val="32"/>
          <w:lang w:val="en-US" w:eastAsia="zh-CN"/>
        </w:rPr>
        <w:t>100</w:t>
      </w:r>
      <w:r>
        <w:rPr>
          <w:rStyle w:val="17"/>
          <w:rFonts w:hint="eastAsia" w:ascii="Times New Roman" w:hAnsi="Times New Roman" w:eastAsia="仿宋_GB2312" w:cs="仿宋_GB2312"/>
          <w:b w:val="0"/>
          <w:bCs/>
          <w:sz w:val="32"/>
          <w:szCs w:val="32"/>
        </w:rPr>
        <w:t>%。其中：</w:t>
      </w:r>
      <w:bookmarkEnd w:id="50"/>
      <w:bookmarkEnd w:id="51"/>
      <w:bookmarkEnd w:id="52"/>
      <w:bookmarkEnd w:id="53"/>
      <w:bookmarkEnd w:id="54"/>
    </w:p>
    <w:p w14:paraId="7E4C63DB">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rPr>
      </w:pPr>
      <w:bookmarkStart w:id="55" w:name="_Toc15396608"/>
      <w:bookmarkStart w:id="56" w:name="_Toc15377214"/>
      <w:r>
        <w:rPr>
          <w:rStyle w:val="17"/>
          <w:rFonts w:hint="eastAsia" w:ascii="Times New Roman" w:hAnsi="Times New Roman" w:eastAsia="仿宋_GB2312" w:cs="仿宋_GB2312"/>
          <w:bCs/>
          <w:sz w:val="32"/>
          <w:szCs w:val="32"/>
          <w:highlight w:val="none"/>
          <w:lang w:val="en-US" w:eastAsia="zh-CN"/>
        </w:rPr>
        <w:t>1.</w:t>
      </w:r>
      <w:r>
        <w:rPr>
          <w:rStyle w:val="17"/>
          <w:rFonts w:hint="eastAsia" w:ascii="Times New Roman" w:hAnsi="Times New Roman" w:eastAsia="仿宋_GB2312" w:cs="仿宋_GB2312"/>
          <w:bCs/>
          <w:sz w:val="32"/>
          <w:szCs w:val="32"/>
          <w:highlight w:val="none"/>
        </w:rPr>
        <w:t>社会保障和就业（类）行政事业单位养老支出（款） 其事业单位离退休（项）</w:t>
      </w:r>
      <w:r>
        <w:rPr>
          <w:rStyle w:val="17"/>
          <w:rFonts w:hint="eastAsia" w:ascii="Times New Roman" w:hAnsi="Times New Roman" w:eastAsia="仿宋_GB2312" w:cs="仿宋_GB2312"/>
          <w:bCs/>
          <w:sz w:val="32"/>
          <w:szCs w:val="32"/>
          <w:highlight w:val="none"/>
          <w:lang w:eastAsia="zh-CN"/>
        </w:rPr>
        <w:t>：</w:t>
      </w:r>
      <w:r>
        <w:rPr>
          <w:rStyle w:val="17"/>
          <w:rFonts w:hint="eastAsia" w:ascii="Times New Roman" w:hAnsi="Times New Roman" w:eastAsia="仿宋_GB2312" w:cs="仿宋_GB2312"/>
          <w:b w:val="0"/>
          <w:bCs w:val="0"/>
          <w:sz w:val="32"/>
          <w:szCs w:val="32"/>
          <w:highlight w:val="none"/>
        </w:rPr>
        <w:t>2023年支出决算为</w:t>
      </w:r>
      <w:r>
        <w:rPr>
          <w:rStyle w:val="17"/>
          <w:rFonts w:hint="eastAsia" w:ascii="Times New Roman" w:hAnsi="Times New Roman" w:eastAsia="仿宋_GB2312" w:cs="仿宋_GB2312"/>
          <w:b w:val="0"/>
          <w:bCs w:val="0"/>
          <w:sz w:val="32"/>
          <w:szCs w:val="32"/>
          <w:highlight w:val="none"/>
          <w:lang w:val="en-US" w:eastAsia="zh-CN"/>
        </w:rPr>
        <w:t>5.06</w:t>
      </w:r>
      <w:r>
        <w:rPr>
          <w:rStyle w:val="17"/>
          <w:rFonts w:hint="eastAsia" w:ascii="Times New Roman" w:hAnsi="Times New Roman" w:eastAsia="仿宋_GB2312" w:cs="仿宋_GB2312"/>
          <w:b w:val="0"/>
          <w:bCs w:val="0"/>
          <w:sz w:val="32"/>
          <w:szCs w:val="32"/>
          <w:highlight w:val="none"/>
        </w:rPr>
        <w:t>万元，完成预算100%，主要用于退休人员</w:t>
      </w:r>
      <w:r>
        <w:rPr>
          <w:rStyle w:val="17"/>
          <w:rFonts w:hint="eastAsia" w:ascii="Times New Roman" w:hAnsi="Times New Roman" w:eastAsia="仿宋_GB2312" w:cs="仿宋_GB2312"/>
          <w:b w:val="0"/>
          <w:bCs w:val="0"/>
          <w:sz w:val="32"/>
          <w:szCs w:val="32"/>
          <w:highlight w:val="none"/>
          <w:lang w:eastAsia="zh-CN"/>
        </w:rPr>
        <w:t>发放退休费和生活补助</w:t>
      </w:r>
      <w:r>
        <w:rPr>
          <w:rStyle w:val="17"/>
          <w:rFonts w:hint="eastAsia" w:ascii="Times New Roman" w:hAnsi="Times New Roman" w:eastAsia="仿宋_GB2312" w:cs="仿宋_GB2312"/>
          <w:b w:val="0"/>
          <w:bCs w:val="0"/>
          <w:sz w:val="32"/>
          <w:szCs w:val="32"/>
          <w:highlight w:val="none"/>
        </w:rPr>
        <w:t>。</w:t>
      </w:r>
    </w:p>
    <w:p w14:paraId="186A8D28">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 w:cstheme="minorBidi"/>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2.社会保障和就业（类）行政事业单位养老支出（款）机关事业单位基本养老保险缴费支出（项）：</w:t>
      </w:r>
      <w:r>
        <w:rPr>
          <w:rStyle w:val="17"/>
          <w:rFonts w:hint="eastAsia" w:ascii="Times New Roman" w:hAnsi="Times New Roman" w:eastAsia="仿宋_GB2312" w:cs="仿宋_GB2312"/>
          <w:b w:val="0"/>
          <w:bCs w:val="0"/>
          <w:sz w:val="32"/>
          <w:szCs w:val="32"/>
          <w:highlight w:val="none"/>
          <w:lang w:val="en-US" w:eastAsia="zh-CN"/>
        </w:rPr>
        <w:t>2023年支出决算为109.35万元，完成预算100%，主要用于实施养老保险制度后，部门按规定由单位缴纳的基本养老保险费支出。</w:t>
      </w:r>
    </w:p>
    <w:p w14:paraId="3B5552F1">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3.社会保障和就业（类）行政事业单位养老支出（款） 机关事业单位职业年金缴费支出（项）：</w:t>
      </w:r>
      <w:r>
        <w:rPr>
          <w:rStyle w:val="17"/>
          <w:rFonts w:hint="eastAsia" w:ascii="Times New Roman" w:hAnsi="Times New Roman" w:eastAsia="仿宋_GB2312" w:cs="仿宋_GB2312"/>
          <w:b w:val="0"/>
          <w:bCs w:val="0"/>
          <w:sz w:val="32"/>
          <w:szCs w:val="32"/>
          <w:highlight w:val="none"/>
          <w:lang w:val="en-US" w:eastAsia="zh-CN"/>
        </w:rPr>
        <w:t>2023年支出决算为16.44万元，完成预算100%，主要用于退休人员职业年金做实补缴费用。</w:t>
      </w:r>
    </w:p>
    <w:p w14:paraId="3DCA2BAE">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 w:cstheme="minorBidi"/>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4.社会保障和就业（类）行政事业单位养老支出（款） 其他行政事业单位养老支出（项）：</w:t>
      </w:r>
      <w:r>
        <w:rPr>
          <w:rStyle w:val="17"/>
          <w:rFonts w:hint="eastAsia" w:ascii="Times New Roman" w:hAnsi="Times New Roman" w:eastAsia="仿宋_GB2312" w:cs="仿宋_GB2312"/>
          <w:b w:val="0"/>
          <w:bCs w:val="0"/>
          <w:sz w:val="32"/>
          <w:szCs w:val="32"/>
          <w:highlight w:val="none"/>
          <w:lang w:val="en-US" w:eastAsia="zh-CN"/>
        </w:rPr>
        <w:t>2023年支出决算为110.66万元，完成预算100%，主要用于退休人员生活补助支出。</w:t>
      </w:r>
    </w:p>
    <w:p w14:paraId="0123DBA1">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5.社会保障和就业支出（类）抚恤（款） 死亡抚恤（项）：</w:t>
      </w:r>
      <w:r>
        <w:rPr>
          <w:rStyle w:val="17"/>
          <w:rFonts w:hint="eastAsia" w:ascii="Times New Roman" w:hAnsi="Times New Roman" w:eastAsia="仿宋_GB2312" w:cs="仿宋_GB2312"/>
          <w:b w:val="0"/>
          <w:bCs w:val="0"/>
          <w:sz w:val="32"/>
          <w:szCs w:val="32"/>
          <w:highlight w:val="none"/>
          <w:lang w:val="en-US" w:eastAsia="zh-CN"/>
        </w:rPr>
        <w:t>2023年支出决算为14.88万元，完成预算100%，主要用于抚恤金发放。</w:t>
      </w:r>
    </w:p>
    <w:p w14:paraId="37A2133A">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 w:cstheme="minorBidi"/>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6.社会保障和就业支出（类）其他社会保障和就业支出（款） 其他社会保障和就业支出（项）：</w:t>
      </w:r>
      <w:r>
        <w:rPr>
          <w:rStyle w:val="17"/>
          <w:rFonts w:hint="eastAsia" w:ascii="Times New Roman" w:hAnsi="Times New Roman" w:eastAsia="仿宋_GB2312" w:cs="仿宋_GB2312"/>
          <w:b w:val="0"/>
          <w:bCs w:val="0"/>
          <w:sz w:val="32"/>
          <w:szCs w:val="32"/>
          <w:highlight w:val="none"/>
          <w:lang w:val="en-US" w:eastAsia="zh-CN"/>
        </w:rPr>
        <w:t>2023年支出决算为6.87万元，完成预算100%，主要用于其他社会保障缴费。</w:t>
      </w:r>
    </w:p>
    <w:p w14:paraId="68EFFC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7.卫生健康支出（类）公共卫生（款）疾病预防控制机构（项）：</w:t>
      </w:r>
      <w:r>
        <w:rPr>
          <w:rStyle w:val="17"/>
          <w:rFonts w:hint="eastAsia" w:ascii="Times New Roman" w:hAnsi="Times New Roman" w:eastAsia="仿宋_GB2312" w:cs="仿宋_GB2312"/>
          <w:b w:val="0"/>
          <w:bCs w:val="0"/>
          <w:sz w:val="32"/>
          <w:szCs w:val="32"/>
          <w:highlight w:val="none"/>
          <w:lang w:val="en-US" w:eastAsia="zh-CN"/>
        </w:rPr>
        <w:t>2023年支出决算为1,789.78万元，完成预算100%。主要用于保障中心正常运转的基本支出，包括基本工资、津贴补贴等人员经费以及办公费、印刷费、水电费等日常公用经费。</w:t>
      </w:r>
    </w:p>
    <w:p w14:paraId="1F78B6C7">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8.卫生健康支出（类）公共卫生（款）基本公共卫生服务（项）：</w:t>
      </w:r>
      <w:r>
        <w:rPr>
          <w:rStyle w:val="17"/>
          <w:rFonts w:hint="eastAsia" w:ascii="Times New Roman" w:hAnsi="Times New Roman" w:eastAsia="仿宋_GB2312" w:cs="仿宋_GB2312"/>
          <w:b w:val="0"/>
          <w:bCs w:val="0"/>
          <w:sz w:val="32"/>
          <w:szCs w:val="32"/>
          <w:highlight w:val="none"/>
          <w:lang w:val="en-US" w:eastAsia="zh-CN"/>
        </w:rPr>
        <w:t>2023年支出决算为34.00万元，完成预算100%，主要用于基本公共卫生项目专项支出。</w:t>
      </w:r>
    </w:p>
    <w:p w14:paraId="27A00074">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9.卫生健康支出（类）公共卫生（款）重大公共卫生服务（项）：</w:t>
      </w:r>
      <w:r>
        <w:rPr>
          <w:rStyle w:val="17"/>
          <w:rFonts w:hint="eastAsia" w:ascii="Times New Roman" w:hAnsi="Times New Roman" w:eastAsia="仿宋_GB2312" w:cs="仿宋_GB2312"/>
          <w:b w:val="0"/>
          <w:bCs w:val="0"/>
          <w:sz w:val="32"/>
          <w:szCs w:val="32"/>
          <w:highlight w:val="none"/>
          <w:lang w:val="en-US" w:eastAsia="zh-CN"/>
        </w:rPr>
        <w:t>2023年支出决算为4,280.54万元，完成预算100%，主要用于保障中心艾滋病、结核病防治、免疫规划、疫情防控等重大公共卫生服务项目支出。</w:t>
      </w:r>
    </w:p>
    <w:p w14:paraId="2E764AED">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10.卫生健康支出（类）公共卫生（款）其他公共卫生支出（项）：</w:t>
      </w:r>
      <w:r>
        <w:rPr>
          <w:rStyle w:val="17"/>
          <w:rFonts w:hint="eastAsia" w:ascii="Times New Roman" w:hAnsi="Times New Roman" w:eastAsia="仿宋_GB2312" w:cs="仿宋_GB2312"/>
          <w:b w:val="0"/>
          <w:bCs w:val="0"/>
          <w:sz w:val="32"/>
          <w:szCs w:val="32"/>
          <w:highlight w:val="none"/>
          <w:lang w:val="en-US" w:eastAsia="zh-CN"/>
        </w:rPr>
        <w:t>2023年支出决算为533.94万元，完成预算100%，主要用于除重大和基本公共卫生专项外的其他公共卫生支出。</w:t>
      </w:r>
    </w:p>
    <w:p w14:paraId="12E7BA7C">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Style w:val="17"/>
          <w:rFonts w:hint="eastAsia" w:ascii="Times New Roman" w:hAnsi="Times New Roman" w:eastAsia="仿宋_GB2312" w:cs="仿宋_GB2312"/>
          <w:b w:val="0"/>
          <w:bCs w:val="0"/>
          <w:sz w:val="32"/>
          <w:szCs w:val="32"/>
          <w:highlight w:val="none"/>
          <w:lang w:val="en-US" w:eastAsia="zh-CN"/>
        </w:rPr>
      </w:pPr>
      <w:r>
        <w:rPr>
          <w:rStyle w:val="17"/>
          <w:rFonts w:hint="eastAsia" w:ascii="Times New Roman" w:hAnsi="Times New Roman" w:eastAsia="仿宋_GB2312" w:cs="仿宋_GB2312"/>
          <w:bCs/>
          <w:sz w:val="32"/>
          <w:szCs w:val="32"/>
          <w:highlight w:val="none"/>
          <w:lang w:val="en-US" w:eastAsia="zh-CN"/>
        </w:rPr>
        <w:t>11.卫生健康支出（类）行政事业单位医疗（款）事业单位医疗支出（项）：</w:t>
      </w:r>
      <w:r>
        <w:rPr>
          <w:rStyle w:val="17"/>
          <w:rFonts w:hint="eastAsia" w:ascii="Times New Roman" w:hAnsi="Times New Roman" w:eastAsia="仿宋_GB2312" w:cs="仿宋_GB2312"/>
          <w:b w:val="0"/>
          <w:bCs w:val="0"/>
          <w:sz w:val="32"/>
          <w:szCs w:val="32"/>
          <w:highlight w:val="none"/>
          <w:lang w:val="en-US" w:eastAsia="zh-CN"/>
        </w:rPr>
        <w:t>2023年支出决算为63.99万元，完成预算100%，主要用于中心在职人员基本医疗保险支出。</w:t>
      </w:r>
    </w:p>
    <w:p w14:paraId="7CE3EB87">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643" w:firstLineChars="200"/>
        <w:textAlignment w:val="auto"/>
        <w:rPr>
          <w:rFonts w:hint="eastAsia" w:ascii="Times New Roman" w:hAnsi="Times New Roman" w:eastAsia="仿宋_GB2312" w:cs="仿宋_GB2312"/>
          <w:kern w:val="2"/>
          <w:sz w:val="32"/>
          <w:szCs w:val="32"/>
          <w:lang w:val="en-US" w:eastAsia="zh-CN" w:bidi="ar-SA"/>
        </w:rPr>
      </w:pPr>
      <w:r>
        <w:rPr>
          <w:rStyle w:val="17"/>
          <w:rFonts w:hint="eastAsia" w:ascii="Times New Roman" w:hAnsi="Times New Roman" w:eastAsia="仿宋_GB2312" w:cs="仿宋_GB2312"/>
          <w:bCs/>
          <w:sz w:val="32"/>
          <w:szCs w:val="32"/>
          <w:highlight w:val="none"/>
          <w:lang w:val="en-US" w:eastAsia="zh-CN"/>
        </w:rPr>
        <w:t>12.住房保障支出（类）住房改革支出（款）住房公积金（项）：</w:t>
      </w:r>
      <w:r>
        <w:rPr>
          <w:rStyle w:val="17"/>
          <w:rFonts w:hint="eastAsia" w:ascii="Times New Roman" w:hAnsi="Times New Roman" w:eastAsia="仿宋_GB2312" w:cs="仿宋_GB2312"/>
          <w:b w:val="0"/>
          <w:bCs w:val="0"/>
          <w:sz w:val="32"/>
          <w:szCs w:val="32"/>
          <w:highlight w:val="none"/>
          <w:lang w:val="en-US" w:eastAsia="zh-CN"/>
        </w:rPr>
        <w:t>2023年支出决算为141.14万元，完成预算100%，主</w:t>
      </w:r>
      <w:r>
        <w:rPr>
          <w:rFonts w:hint="eastAsia" w:ascii="Times New Roman" w:hAnsi="Times New Roman" w:eastAsia="仿宋_GB2312" w:cs="仿宋_GB2312"/>
          <w:kern w:val="2"/>
          <w:sz w:val="32"/>
          <w:szCs w:val="32"/>
          <w:lang w:val="en-US" w:eastAsia="zh-CN" w:bidi="ar-SA"/>
        </w:rPr>
        <w:t>要用于部门按人力资源和社会保障部、财政部规定的基本工资和津贴补贴以及规定比例为职工缴纳的住房公积金支出。</w:t>
      </w:r>
    </w:p>
    <w:p w14:paraId="25F31DEC">
      <w:pPr>
        <w:tabs>
          <w:tab w:val="right" w:pos="8306"/>
        </w:tabs>
        <w:spacing w:line="600" w:lineRule="exact"/>
        <w:ind w:firstLine="640"/>
        <w:outlineLvl w:val="1"/>
        <w:rPr>
          <w:rStyle w:val="20"/>
          <w:rFonts w:ascii="Times New Roman" w:hAnsi="Times New Roman"/>
        </w:rPr>
      </w:pPr>
      <w:bookmarkStart w:id="57" w:name="_Toc22942"/>
      <w:r>
        <w:rPr>
          <w:rFonts w:hint="eastAsia" w:ascii="Times New Roman" w:hAnsi="Times New Roman" w:eastAsia="黑体"/>
          <w:sz w:val="32"/>
          <w:szCs w:val="32"/>
        </w:rPr>
        <w:t>六</w:t>
      </w:r>
      <w:r>
        <w:rPr>
          <w:rFonts w:hint="eastAsia" w:ascii="Times New Roman" w:hAnsi="Times New Roman" w:eastAsia="黑体"/>
          <w:b/>
          <w:sz w:val="32"/>
          <w:szCs w:val="32"/>
        </w:rPr>
        <w:t>、一</w:t>
      </w:r>
      <w:r>
        <w:rPr>
          <w:rStyle w:val="20"/>
          <w:rFonts w:hint="eastAsia" w:ascii="Times New Roman" w:hAnsi="Times New Roman" w:eastAsia="黑体"/>
          <w:b w:val="0"/>
        </w:rPr>
        <w:t>般公共预算财政拨款基本支出决算情况说明</w:t>
      </w:r>
      <w:bookmarkEnd w:id="55"/>
      <w:bookmarkEnd w:id="56"/>
      <w:bookmarkEnd w:id="57"/>
    </w:p>
    <w:p w14:paraId="3D02423C">
      <w:pPr>
        <w:spacing w:line="60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2023年度一般公共预算财政拨款基本支出</w:t>
      </w:r>
      <w:r>
        <w:rPr>
          <w:rFonts w:hint="eastAsia" w:ascii="Times New Roman" w:hAnsi="Times New Roman" w:eastAsia="仿宋_GB2312" w:cs="仿宋_GB2312"/>
          <w:sz w:val="32"/>
          <w:szCs w:val="32"/>
          <w:lang w:val="en-US" w:eastAsia="zh-CN"/>
        </w:rPr>
        <w:t>2,257.17</w:t>
      </w:r>
      <w:r>
        <w:rPr>
          <w:rFonts w:hint="eastAsia" w:ascii="Times New Roman" w:hAnsi="Times New Roman" w:eastAsia="仿宋_GB2312" w:cs="仿宋_GB2312"/>
          <w:sz w:val="32"/>
          <w:szCs w:val="32"/>
        </w:rPr>
        <w:t>万元，其中：</w:t>
      </w:r>
    </w:p>
    <w:p w14:paraId="680224BF">
      <w:pPr>
        <w:spacing w:line="600" w:lineRule="exact"/>
        <w:ind w:firstLine="645"/>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人员经费</w:t>
      </w:r>
      <w:r>
        <w:rPr>
          <w:rFonts w:hint="eastAsia" w:ascii="Times New Roman" w:hAnsi="Times New Roman" w:eastAsia="仿宋_GB2312" w:cs="仿宋_GB2312"/>
          <w:sz w:val="32"/>
          <w:szCs w:val="32"/>
          <w:lang w:val="en-US" w:eastAsia="zh-CN"/>
        </w:rPr>
        <w:t>2,022.57</w:t>
      </w:r>
      <w:r>
        <w:rPr>
          <w:rFonts w:hint="eastAsia" w:ascii="Times New Roman" w:hAnsi="Times New Roman" w:eastAsia="仿宋_GB2312" w:cs="仿宋_GB2312"/>
          <w:sz w:val="32"/>
          <w:szCs w:val="32"/>
        </w:rPr>
        <w:t>万元，主要包括：基本工资、津贴补贴、绩效工资、机关事业单位基本养老保险缴费、职业年金缴费、职工基本医疗保险缴费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其他社会保障缴费、住房公积金</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其他工资福利支出、退休费、抚恤金、生活补助、奖励金。</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公用经费</w:t>
      </w:r>
      <w:r>
        <w:rPr>
          <w:rFonts w:hint="eastAsia" w:ascii="Times New Roman" w:hAnsi="Times New Roman" w:eastAsia="仿宋_GB2312" w:cs="仿宋_GB2312"/>
          <w:sz w:val="32"/>
          <w:szCs w:val="32"/>
          <w:lang w:val="en-US" w:eastAsia="zh-CN"/>
        </w:rPr>
        <w:t>234.60</w:t>
      </w:r>
      <w:r>
        <w:rPr>
          <w:rFonts w:hint="eastAsia" w:ascii="Times New Roman" w:hAnsi="Times New Roman" w:eastAsia="仿宋_GB2312" w:cs="仿宋_GB2312"/>
          <w:sz w:val="32"/>
          <w:szCs w:val="32"/>
        </w:rPr>
        <w:t>万元，主要包括：办公费、印刷费、咨询费、水费、电费、邮电费、物业管理费、差旅费、维修（护）费、租赁费、会议费、培训费、公务接待费、劳务费、委托业务费、工会经费、福利费、公务用车运行维护费、其他交通费、其他商品和服务支出、办公设备购置。</w:t>
      </w:r>
    </w:p>
    <w:p w14:paraId="5FA620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0"/>
          <w:rFonts w:ascii="Times New Roman" w:hAnsi="Times New Roman" w:eastAsia="黑体"/>
          <w:b w:val="0"/>
        </w:rPr>
      </w:pPr>
      <w:bookmarkStart w:id="58" w:name="_Toc8053"/>
      <w:bookmarkStart w:id="59" w:name="_Toc15396609"/>
      <w:bookmarkStart w:id="60" w:name="_Toc15377215"/>
      <w:r>
        <w:rPr>
          <w:rFonts w:hint="eastAsia" w:ascii="Times New Roman" w:hAnsi="Times New Roman" w:eastAsia="黑体"/>
          <w:sz w:val="32"/>
          <w:szCs w:val="32"/>
        </w:rPr>
        <w:t>七、</w:t>
      </w:r>
      <w:r>
        <w:rPr>
          <w:rStyle w:val="20"/>
          <w:rFonts w:hint="eastAsia" w:ascii="Times New Roman" w:hAnsi="Times New Roman" w:eastAsia="黑体"/>
          <w:b w:val="0"/>
        </w:rPr>
        <w:t>财政拨款</w:t>
      </w:r>
      <w:r>
        <w:rPr>
          <w:rStyle w:val="20"/>
          <w:rFonts w:hint="eastAsia" w:ascii="Times New Roman" w:hAnsi="Times New Roman" w:eastAsia="黑体"/>
        </w:rPr>
        <w:t>“</w:t>
      </w:r>
      <w:r>
        <w:rPr>
          <w:rStyle w:val="20"/>
          <w:rFonts w:hint="eastAsia" w:ascii="Times New Roman" w:hAnsi="Times New Roman" w:eastAsia="黑体"/>
          <w:b w:val="0"/>
        </w:rPr>
        <w:t>三公”经费支出决算情况说明</w:t>
      </w:r>
      <w:bookmarkEnd w:id="58"/>
      <w:bookmarkEnd w:id="59"/>
      <w:bookmarkEnd w:id="60"/>
    </w:p>
    <w:p w14:paraId="68D410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 w:cs="楷体"/>
          <w:b/>
          <w:bCs w:val="0"/>
          <w:sz w:val="32"/>
          <w:szCs w:val="32"/>
        </w:rPr>
      </w:pPr>
      <w:bookmarkStart w:id="61" w:name="_Toc15377216"/>
      <w:r>
        <w:rPr>
          <w:rFonts w:hint="eastAsia" w:ascii="楷体_GB2312" w:hAnsi="楷体_GB2312" w:eastAsia="楷体_GB2312" w:cs="楷体_GB2312"/>
          <w:b w:val="0"/>
          <w:bCs/>
          <w:sz w:val="32"/>
          <w:szCs w:val="32"/>
        </w:rPr>
        <w:t>（一）“三公”经费财政拨款支出决算总体情况说明</w:t>
      </w:r>
      <w:bookmarkEnd w:id="61"/>
    </w:p>
    <w:p w14:paraId="28AD82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b/>
          <w:sz w:val="32"/>
          <w:szCs w:val="32"/>
        </w:rPr>
      </w:pPr>
      <w:r>
        <w:rPr>
          <w:rFonts w:hint="eastAsia" w:ascii="Times New Roman" w:hAnsi="Times New Roman" w:eastAsia="仿宋_GB2312" w:cs="仿宋_GB2312"/>
          <w:sz w:val="32"/>
          <w:szCs w:val="32"/>
        </w:rPr>
        <w:t>2023</w:t>
      </w:r>
      <w:r>
        <w:rPr>
          <w:rFonts w:hint="eastAsia" w:ascii="Times New Roman" w:hAnsi="Times New Roman" w:eastAsia="仿宋_GB2312" w:cs="仿宋_GB2312"/>
          <w:sz w:val="32"/>
          <w:szCs w:val="32"/>
          <w:highlight w:val="none"/>
        </w:rPr>
        <w:t>年度“三公”经费财政拨款支出决算为</w:t>
      </w:r>
      <w:r>
        <w:rPr>
          <w:rFonts w:hint="eastAsia" w:ascii="Times New Roman" w:hAnsi="Times New Roman" w:eastAsia="仿宋_GB2312" w:cs="仿宋_GB2312"/>
          <w:sz w:val="32"/>
          <w:szCs w:val="32"/>
          <w:highlight w:val="none"/>
          <w:lang w:val="en-US" w:eastAsia="zh-CN"/>
        </w:rPr>
        <w:t>19.6</w:t>
      </w:r>
      <w:r>
        <w:rPr>
          <w:rFonts w:hint="eastAsia"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万元，完成预算</w:t>
      </w:r>
      <w:r>
        <w:rPr>
          <w:rFonts w:hint="eastAsia" w:ascii="Times New Roman" w:hAnsi="Times New Roman" w:eastAsia="仿宋_GB2312" w:cs="仿宋_GB2312"/>
          <w:sz w:val="32"/>
          <w:szCs w:val="32"/>
          <w:highlight w:val="none"/>
          <w:lang w:val="en-US" w:eastAsia="zh-CN"/>
        </w:rPr>
        <w:t>98.</w:t>
      </w:r>
      <w:r>
        <w:rPr>
          <w:rFonts w:hint="eastAsia" w:eastAsia="仿宋_GB2312" w:cs="仿宋_GB2312"/>
          <w:sz w:val="32"/>
          <w:szCs w:val="32"/>
          <w:highlight w:val="none"/>
          <w:lang w:val="en-US" w:eastAsia="zh-CN"/>
        </w:rPr>
        <w:t>40</w:t>
      </w:r>
      <w:r>
        <w:rPr>
          <w:rFonts w:hint="eastAsia" w:ascii="Times New Roman" w:hAnsi="Times New Roman" w:eastAsia="仿宋_GB2312" w:cs="仿宋_GB2312"/>
          <w:sz w:val="32"/>
          <w:szCs w:val="32"/>
          <w:highlight w:val="none"/>
        </w:rPr>
        <w:t>%，较上年度减少</w:t>
      </w:r>
      <w:r>
        <w:rPr>
          <w:rFonts w:hint="eastAsia" w:ascii="Times New Roman" w:hAnsi="Times New Roman" w:eastAsia="仿宋_GB2312" w:cs="仿宋_GB2312"/>
          <w:sz w:val="32"/>
          <w:szCs w:val="32"/>
          <w:highlight w:val="none"/>
          <w:lang w:val="en-US" w:eastAsia="zh-CN"/>
        </w:rPr>
        <w:t>0.3</w:t>
      </w:r>
      <w:r>
        <w:rPr>
          <w:rFonts w:hint="eastAsia"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万元，下降</w:t>
      </w:r>
      <w:r>
        <w:rPr>
          <w:rFonts w:hint="eastAsia" w:ascii="Times New Roman" w:hAnsi="Times New Roman" w:eastAsia="仿宋_GB2312" w:cs="仿宋_GB2312"/>
          <w:sz w:val="32"/>
          <w:szCs w:val="32"/>
          <w:highlight w:val="none"/>
          <w:lang w:val="en-US" w:eastAsia="zh-CN"/>
        </w:rPr>
        <w:t>1.60</w:t>
      </w:r>
      <w:r>
        <w:rPr>
          <w:rFonts w:hint="eastAsia" w:ascii="Times New Roman" w:hAnsi="Times New Roman" w:eastAsia="仿宋_GB2312" w:cs="仿宋_GB2312"/>
          <w:sz w:val="32"/>
          <w:szCs w:val="32"/>
          <w:highlight w:val="none"/>
        </w:rPr>
        <w:t>%。决算数小于预算数的主要原因是</w:t>
      </w:r>
      <w:r>
        <w:rPr>
          <w:rFonts w:hint="eastAsia" w:ascii="Times New Roman" w:hAnsi="Times New Roman" w:eastAsia="仿宋_GB2312" w:cs="仿宋_GB2312"/>
          <w:sz w:val="32"/>
          <w:szCs w:val="32"/>
          <w:highlight w:val="none"/>
          <w:lang w:eastAsia="zh-CN"/>
        </w:rPr>
        <w:t>我中心严格压制三公经费开支，减少公务接待和公务用车次数。</w:t>
      </w:r>
    </w:p>
    <w:p w14:paraId="2588E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楷体" w:cs="楷体"/>
          <w:b/>
          <w:sz w:val="32"/>
          <w:szCs w:val="32"/>
        </w:rPr>
      </w:pPr>
      <w:bookmarkStart w:id="62" w:name="_Toc15377217"/>
      <w:r>
        <w:rPr>
          <w:rFonts w:hint="eastAsia" w:ascii="楷体_GB2312" w:hAnsi="楷体_GB2312" w:eastAsia="楷体_GB2312" w:cs="楷体_GB2312"/>
          <w:b w:val="0"/>
          <w:bCs/>
          <w:sz w:val="32"/>
          <w:szCs w:val="32"/>
        </w:rPr>
        <w:t>（二）“三公”经费财政拨款支出决算具体情况说明</w:t>
      </w:r>
      <w:bookmarkEnd w:id="62"/>
    </w:p>
    <w:p w14:paraId="029FD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2023年度“三公”经费财政拨款支出决算中，因公出国（境）费支出决算0万元，占0%；公务用车购置及运行维护费支出决算</w:t>
      </w:r>
      <w:r>
        <w:rPr>
          <w:rFonts w:hint="eastAsia" w:ascii="Times New Roman" w:hAnsi="Times New Roman" w:eastAsia="仿宋_GB2312" w:cs="仿宋_GB2312"/>
          <w:sz w:val="32"/>
          <w:szCs w:val="32"/>
          <w:lang w:val="en-US" w:eastAsia="zh-CN"/>
        </w:rPr>
        <w:t>17.69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89.</w:t>
      </w:r>
      <w:r>
        <w:rPr>
          <w:rFonts w:hint="eastAsia" w:eastAsia="仿宋_GB2312" w:cs="仿宋_GB2312"/>
          <w:sz w:val="32"/>
          <w:szCs w:val="32"/>
          <w:lang w:val="en-US" w:eastAsia="zh-CN"/>
        </w:rPr>
        <w:t>89</w:t>
      </w:r>
      <w:r>
        <w:rPr>
          <w:rFonts w:hint="eastAsia" w:ascii="Times New Roman" w:hAnsi="Times New Roman" w:eastAsia="仿宋_GB2312" w:cs="仿宋_GB2312"/>
          <w:sz w:val="32"/>
          <w:szCs w:val="32"/>
        </w:rPr>
        <w:t>%；公务接待费支出决算</w:t>
      </w:r>
      <w:r>
        <w:rPr>
          <w:rFonts w:hint="eastAsia" w:ascii="Times New Roman" w:hAnsi="Times New Roman" w:eastAsia="仿宋_GB2312" w:cs="仿宋_GB2312"/>
          <w:sz w:val="32"/>
          <w:szCs w:val="32"/>
          <w:lang w:val="en-US" w:eastAsia="zh-CN"/>
        </w:rPr>
        <w:t>1.9</w:t>
      </w:r>
      <w:r>
        <w:rPr>
          <w:rFonts w:hint="eastAsia" w:eastAsia="仿宋_GB2312" w:cs="仿宋_GB2312"/>
          <w:sz w:val="32"/>
          <w:szCs w:val="32"/>
          <w:lang w:val="en-US" w:eastAsia="zh-CN"/>
        </w:rPr>
        <w:t>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10.</w:t>
      </w:r>
      <w:r>
        <w:rPr>
          <w:rFonts w:hint="eastAsia" w:eastAsia="仿宋_GB2312" w:cs="仿宋_GB2312"/>
          <w:sz w:val="32"/>
          <w:szCs w:val="32"/>
          <w:lang w:val="en-US" w:eastAsia="zh-CN"/>
        </w:rPr>
        <w:t>11</w:t>
      </w:r>
      <w:r>
        <w:rPr>
          <w:rFonts w:hint="eastAsia" w:ascii="Times New Roman" w:hAnsi="Times New Roman" w:eastAsia="仿宋_GB2312" w:cs="仿宋_GB2312"/>
          <w:sz w:val="32"/>
          <w:szCs w:val="32"/>
        </w:rPr>
        <w:t>%。具体情况如下：</w:t>
      </w:r>
    </w:p>
    <w:p w14:paraId="29983E95">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highlight w:val="none"/>
        </w:rPr>
      </w:pPr>
      <w:r>
        <w:rPr>
          <w:rFonts w:ascii="Times New Roman" w:hAnsi="Times New Roman"/>
        </w:rPr>
        <w:drawing>
          <wp:inline distT="0" distB="0" distL="114300" distR="114300">
            <wp:extent cx="4666615" cy="2667635"/>
            <wp:effectExtent l="4445" t="5080" r="15240" b="1333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2CDCAF">
      <w:pPr>
        <w:spacing w:line="600" w:lineRule="exact"/>
        <w:ind w:firstLine="640"/>
        <w:rPr>
          <w:rFonts w:hint="eastAsia" w:ascii="Times New Roman" w:hAnsi="Times New Roman" w:eastAsia="仿宋_GB2312" w:cs="仿宋_GB2312"/>
          <w:sz w:val="32"/>
          <w:szCs w:val="32"/>
          <w:highlight w:val="none"/>
        </w:rPr>
      </w:pPr>
      <w:r>
        <w:rPr>
          <w:rFonts w:ascii="Times New Roman" w:hAnsi="Times New Roman" w:eastAsia="仿宋_GB2312"/>
          <w:b/>
          <w:sz w:val="32"/>
          <w:szCs w:val="32"/>
          <w:highlight w:val="none"/>
        </w:rPr>
        <w:t>1.</w:t>
      </w:r>
      <w:r>
        <w:rPr>
          <w:rFonts w:hint="eastAsia" w:ascii="Times New Roman" w:hAnsi="Times New Roman" w:eastAsia="仿宋_GB2312"/>
          <w:b/>
          <w:sz w:val="32"/>
          <w:szCs w:val="32"/>
          <w:highlight w:val="none"/>
        </w:rPr>
        <w:t>因公出国（境）经费支出</w:t>
      </w:r>
      <w:r>
        <w:rPr>
          <w:rFonts w:hint="eastAsia" w:ascii="Times New Roman" w:hAnsi="Times New Roman" w:eastAsia="仿宋_GB2312" w:cs="仿宋_GB2312"/>
          <w:sz w:val="32"/>
          <w:szCs w:val="32"/>
          <w:highlight w:val="none"/>
        </w:rPr>
        <w:t>0万元，</w:t>
      </w:r>
      <w:r>
        <w:rPr>
          <w:rStyle w:val="17"/>
          <w:rFonts w:hint="eastAsia" w:ascii="Times New Roman" w:hAnsi="Times New Roman" w:eastAsia="仿宋_GB2312" w:cs="仿宋_GB2312"/>
          <w:b w:val="0"/>
          <w:bCs/>
          <w:sz w:val="32"/>
          <w:szCs w:val="32"/>
          <w:highlight w:val="none"/>
        </w:rPr>
        <w:t>完成预算</w:t>
      </w:r>
      <w:r>
        <w:rPr>
          <w:rFonts w:hint="eastAsia" w:ascii="Times New Roman" w:hAnsi="Times New Roman" w:eastAsia="仿宋_GB2312" w:cs="仿宋_GB2312"/>
          <w:sz w:val="32"/>
          <w:szCs w:val="32"/>
          <w:highlight w:val="none"/>
        </w:rPr>
        <w:t>0</w:t>
      </w:r>
      <w:r>
        <w:rPr>
          <w:rStyle w:val="17"/>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sz w:val="32"/>
          <w:szCs w:val="32"/>
          <w:highlight w:val="none"/>
        </w:rPr>
        <w:t>全年安排因公出国（境）团组0次，出国（境）0人。因公出国（境）支出决算</w:t>
      </w:r>
      <w:r>
        <w:rPr>
          <w:rFonts w:hint="eastAsia" w:ascii="Times New Roman" w:hAnsi="Times New Roman" w:eastAsia="仿宋_GB2312" w:cs="仿宋_GB2312"/>
          <w:sz w:val="32"/>
          <w:szCs w:val="32"/>
          <w:highlight w:val="none"/>
          <w:lang w:eastAsia="zh-CN"/>
        </w:rPr>
        <w:t>与</w:t>
      </w:r>
      <w:r>
        <w:rPr>
          <w:rFonts w:hint="eastAsia" w:ascii="Times New Roman" w:hAnsi="Times New Roman" w:eastAsia="仿宋_GB2312" w:cs="仿宋_GB2312"/>
          <w:sz w:val="32"/>
          <w:szCs w:val="32"/>
          <w:highlight w:val="none"/>
        </w:rPr>
        <w:t>2022年</w:t>
      </w:r>
      <w:r>
        <w:rPr>
          <w:rFonts w:hint="eastAsia" w:ascii="Times New Roman" w:hAnsi="Times New Roman" w:eastAsia="仿宋_GB2312" w:cs="仿宋_GB2312"/>
          <w:sz w:val="32"/>
          <w:szCs w:val="32"/>
          <w:highlight w:val="none"/>
          <w:lang w:eastAsia="zh-CN"/>
        </w:rPr>
        <w:t>决算持平</w:t>
      </w:r>
      <w:r>
        <w:rPr>
          <w:rFonts w:hint="eastAsia" w:ascii="Times New Roman" w:hAnsi="Times New Roman" w:eastAsia="仿宋_GB2312" w:cs="仿宋_GB2312"/>
          <w:sz w:val="32"/>
          <w:szCs w:val="32"/>
          <w:highlight w:val="none"/>
        </w:rPr>
        <w:t>。主要原因是</w:t>
      </w:r>
      <w:r>
        <w:rPr>
          <w:rFonts w:hint="eastAsia" w:ascii="Times New Roman" w:hAnsi="Times New Roman" w:eastAsia="仿宋_GB2312" w:cs="仿宋_GB2312"/>
          <w:sz w:val="32"/>
          <w:szCs w:val="32"/>
          <w:highlight w:val="none"/>
          <w:lang w:eastAsia="zh-CN"/>
        </w:rPr>
        <w:t>无中心不存在因公出国（境）经费</w:t>
      </w:r>
      <w:r>
        <w:rPr>
          <w:rFonts w:hint="eastAsia" w:ascii="Times New Roman" w:hAnsi="Times New Roman" w:eastAsia="仿宋_GB2312" w:cs="仿宋_GB2312"/>
          <w:sz w:val="32"/>
          <w:szCs w:val="32"/>
          <w:highlight w:val="none"/>
        </w:rPr>
        <w:t>。</w:t>
      </w:r>
    </w:p>
    <w:p w14:paraId="1C4823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b/>
          <w:color w:val="auto"/>
          <w:sz w:val="32"/>
          <w:szCs w:val="32"/>
          <w:highlight w:val="none"/>
        </w:rPr>
      </w:pPr>
      <w:r>
        <w:rPr>
          <w:rFonts w:ascii="Times New Roman" w:hAnsi="Times New Roman" w:eastAsia="仿宋_GB2312"/>
          <w:b/>
          <w:sz w:val="32"/>
          <w:szCs w:val="32"/>
          <w:highlight w:val="none"/>
        </w:rPr>
        <w:t>2.</w:t>
      </w:r>
      <w:r>
        <w:rPr>
          <w:rFonts w:hint="eastAsia" w:ascii="Times New Roman" w:hAnsi="Times New Roman" w:eastAsia="仿宋_GB2312"/>
          <w:b/>
          <w:sz w:val="32"/>
          <w:szCs w:val="32"/>
          <w:highlight w:val="none"/>
        </w:rPr>
        <w:t>公务用车购置及运行维护费支出</w:t>
      </w:r>
      <w:r>
        <w:rPr>
          <w:rFonts w:hint="eastAsia" w:ascii="Times New Roman" w:hAnsi="Times New Roman" w:eastAsia="仿宋_GB2312" w:cs="仿宋_GB2312"/>
          <w:b w:val="0"/>
          <w:bCs/>
          <w:sz w:val="32"/>
          <w:szCs w:val="32"/>
          <w:highlight w:val="none"/>
          <w:lang w:val="en-US" w:eastAsia="zh-CN"/>
        </w:rPr>
        <w:t>17.69万元，</w:t>
      </w:r>
      <w:r>
        <w:rPr>
          <w:rFonts w:hint="eastAsia" w:ascii="Times New Roman" w:hAnsi="Times New Roman" w:eastAsia="仿宋_GB2312"/>
          <w:color w:val="auto"/>
          <w:sz w:val="32"/>
          <w:szCs w:val="32"/>
          <w:highlight w:val="none"/>
          <w:lang w:val="en-US" w:eastAsia="zh-CN"/>
        </w:rPr>
        <w:t>完成预算98.28%。公务用车购置及运行维护费支出决算比2022年度减少0.3</w:t>
      </w:r>
      <w:r>
        <w:rPr>
          <w:rFonts w:hint="eastAsia"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lang w:val="en-US" w:eastAsia="zh-CN"/>
        </w:rPr>
        <w:t>万元，下降1.</w:t>
      </w:r>
      <w:r>
        <w:rPr>
          <w:rFonts w:hint="eastAsia" w:eastAsia="仿宋_GB2312"/>
          <w:color w:val="auto"/>
          <w:sz w:val="32"/>
          <w:szCs w:val="32"/>
          <w:highlight w:val="none"/>
          <w:lang w:val="en-US" w:eastAsia="zh-CN"/>
        </w:rPr>
        <w:t>67</w:t>
      </w:r>
      <w:r>
        <w:rPr>
          <w:rFonts w:hint="eastAsia" w:ascii="Times New Roman" w:hAnsi="Times New Roman" w:eastAsia="仿宋_GB2312"/>
          <w:color w:val="auto"/>
          <w:sz w:val="32"/>
          <w:szCs w:val="32"/>
          <w:highlight w:val="none"/>
          <w:lang w:val="en-US" w:eastAsia="zh-CN"/>
        </w:rPr>
        <w:t>%。主要原因是新冠疫情稳定，用于所需的公务用车燃料费、维修费、过路过桥费、保险费等支出相应减少。</w:t>
      </w:r>
    </w:p>
    <w:p w14:paraId="32DDFE9E">
      <w:pPr>
        <w:spacing w:line="600" w:lineRule="exact"/>
        <w:ind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其中：</w:t>
      </w:r>
      <w:r>
        <w:rPr>
          <w:rFonts w:hint="eastAsia" w:ascii="Times New Roman" w:hAnsi="Times New Roman" w:eastAsia="仿宋_GB2312"/>
          <w:b/>
          <w:sz w:val="32"/>
          <w:szCs w:val="32"/>
          <w:highlight w:val="none"/>
        </w:rPr>
        <w:t>公务用车购置支出</w:t>
      </w:r>
      <w:r>
        <w:rPr>
          <w:rFonts w:hint="eastAsia" w:ascii="Times New Roman" w:hAnsi="Times New Roman" w:eastAsia="仿宋_GB2312" w:cs="仿宋_GB2312"/>
          <w:sz w:val="32"/>
          <w:szCs w:val="32"/>
          <w:highlight w:val="none"/>
          <w:lang w:val="en-US" w:eastAsia="zh-CN"/>
        </w:rPr>
        <w:t>0万元。全年按规定更新购置公务用车0辆，其中：轿车0辆、金额0万元，越野车0辆、金额0万元，载客汽车0辆、金额0万元。截至2023年12月31日，单位共有公务用车9辆，其中：特种专业技术用车5辆，应急保障用车4辆。</w:t>
      </w:r>
    </w:p>
    <w:p w14:paraId="3DEC9187">
      <w:pPr>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sz w:val="32"/>
          <w:szCs w:val="32"/>
          <w:highlight w:val="none"/>
        </w:rPr>
        <w:t>公务用车运行维护费支出</w:t>
      </w:r>
      <w:r>
        <w:rPr>
          <w:rFonts w:hint="eastAsia" w:ascii="Times New Roman" w:hAnsi="Times New Roman" w:eastAsia="仿宋_GB2312" w:cs="仿宋_GB2312"/>
          <w:sz w:val="32"/>
          <w:szCs w:val="32"/>
          <w:highlight w:val="none"/>
          <w:lang w:val="en-US" w:eastAsia="zh-CN"/>
        </w:rPr>
        <w:t>17.69</w:t>
      </w:r>
      <w:r>
        <w:rPr>
          <w:rFonts w:hint="eastAsia" w:ascii="Times New Roman" w:hAnsi="Times New Roman" w:eastAsia="仿宋_GB2312" w:cs="仿宋_GB2312"/>
          <w:sz w:val="32"/>
          <w:szCs w:val="32"/>
          <w:highlight w:val="none"/>
        </w:rPr>
        <w:t>万元。主要用于</w:t>
      </w:r>
      <w:r>
        <w:rPr>
          <w:rFonts w:hint="eastAsia" w:ascii="Times New Roman" w:hAnsi="Times New Roman" w:eastAsia="仿宋_GB2312" w:cs="仿宋_GB2312"/>
          <w:sz w:val="32"/>
          <w:szCs w:val="32"/>
          <w:highlight w:val="none"/>
          <w:lang w:eastAsia="zh-CN"/>
        </w:rPr>
        <w:t>各业务科室下乡督导出差培训</w:t>
      </w:r>
      <w:r>
        <w:rPr>
          <w:rFonts w:hint="eastAsia" w:ascii="Times New Roman" w:hAnsi="Times New Roman" w:eastAsia="仿宋_GB2312" w:cs="仿宋_GB2312"/>
          <w:sz w:val="32"/>
          <w:szCs w:val="32"/>
          <w:highlight w:val="none"/>
        </w:rPr>
        <w:t>等所需的公务用车燃料费、维修费、过路过桥费、保险费等支出。</w:t>
      </w:r>
    </w:p>
    <w:p w14:paraId="49DB352E">
      <w:pPr>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sz w:val="32"/>
          <w:szCs w:val="32"/>
          <w:highlight w:val="none"/>
        </w:rPr>
        <w:t>3.公务接待费支出</w:t>
      </w:r>
      <w:r>
        <w:rPr>
          <w:rFonts w:hint="eastAsia" w:ascii="Times New Roman" w:hAnsi="Times New Roman" w:eastAsia="仿宋_GB2312" w:cs="仿宋_GB2312"/>
          <w:b w:val="0"/>
          <w:bCs/>
          <w:sz w:val="32"/>
          <w:szCs w:val="32"/>
          <w:highlight w:val="none"/>
          <w:lang w:val="en-US" w:eastAsia="zh-CN"/>
        </w:rPr>
        <w:t>1.9</w:t>
      </w:r>
      <w:r>
        <w:rPr>
          <w:rFonts w:hint="eastAsia" w:eastAsia="仿宋_GB2312" w:cs="仿宋_GB2312"/>
          <w:b w:val="0"/>
          <w:bCs/>
          <w:sz w:val="32"/>
          <w:szCs w:val="32"/>
          <w:highlight w:val="none"/>
          <w:lang w:val="en-US" w:eastAsia="zh-CN"/>
        </w:rPr>
        <w:t>9</w:t>
      </w:r>
      <w:r>
        <w:rPr>
          <w:rFonts w:hint="eastAsia" w:ascii="Times New Roman" w:hAnsi="Times New Roman" w:eastAsia="仿宋_GB2312" w:cs="仿宋_GB2312"/>
          <w:b w:val="0"/>
          <w:bCs/>
          <w:sz w:val="32"/>
          <w:szCs w:val="32"/>
          <w:highlight w:val="none"/>
        </w:rPr>
        <w:t>万元，</w:t>
      </w:r>
      <w:r>
        <w:rPr>
          <w:rStyle w:val="17"/>
          <w:rFonts w:hint="eastAsia" w:ascii="Times New Roman" w:hAnsi="Times New Roman" w:eastAsia="仿宋_GB2312" w:cs="仿宋_GB2312"/>
          <w:b w:val="0"/>
          <w:bCs/>
          <w:sz w:val="32"/>
          <w:szCs w:val="32"/>
          <w:highlight w:val="none"/>
        </w:rPr>
        <w:t>完成预算</w:t>
      </w:r>
      <w:r>
        <w:rPr>
          <w:rStyle w:val="17"/>
          <w:rFonts w:hint="eastAsia" w:eastAsia="仿宋_GB2312" w:cs="仿宋_GB2312"/>
          <w:b w:val="0"/>
          <w:bCs/>
          <w:sz w:val="32"/>
          <w:szCs w:val="32"/>
          <w:highlight w:val="none"/>
          <w:lang w:val="en-US" w:eastAsia="zh-CN"/>
        </w:rPr>
        <w:t>99.50</w:t>
      </w:r>
      <w:r>
        <w:rPr>
          <w:rFonts w:hint="eastAsia" w:ascii="Times New Roman" w:hAnsi="Times New Roman" w:eastAsia="仿宋_GB2312" w:cs="仿宋_GB2312"/>
          <w:b w:val="0"/>
          <w:bCs/>
          <w:sz w:val="32"/>
          <w:szCs w:val="32"/>
          <w:highlight w:val="none"/>
        </w:rPr>
        <w:t>%</w:t>
      </w:r>
      <w:r>
        <w:rPr>
          <w:rStyle w:val="17"/>
          <w:rFonts w:hint="eastAsia" w:ascii="Times New Roman" w:hAnsi="Times New Roman" w:eastAsia="仿宋_GB2312" w:cs="仿宋_GB2312"/>
          <w:b w:val="0"/>
          <w:bCs/>
          <w:sz w:val="32"/>
          <w:szCs w:val="32"/>
          <w:highlight w:val="none"/>
        </w:rPr>
        <w:t>。</w:t>
      </w:r>
      <w:r>
        <w:rPr>
          <w:rFonts w:hint="eastAsia" w:ascii="Times New Roman" w:hAnsi="Times New Roman" w:eastAsia="仿宋_GB2312" w:cs="仿宋_GB2312"/>
          <w:b w:val="0"/>
          <w:bCs/>
          <w:sz w:val="32"/>
          <w:szCs w:val="32"/>
          <w:highlight w:val="none"/>
        </w:rPr>
        <w:t>公务接待费支出决算</w:t>
      </w:r>
      <w:r>
        <w:rPr>
          <w:rFonts w:hint="eastAsia" w:eastAsia="仿宋_GB2312" w:cs="仿宋_GB2312"/>
          <w:b w:val="0"/>
          <w:bCs/>
          <w:sz w:val="32"/>
          <w:szCs w:val="32"/>
          <w:highlight w:val="none"/>
          <w:lang w:eastAsia="zh-CN"/>
        </w:rPr>
        <w:t>与</w:t>
      </w:r>
      <w:r>
        <w:rPr>
          <w:rFonts w:hint="eastAsia" w:ascii="Times New Roman" w:hAnsi="Times New Roman" w:eastAsia="仿宋_GB2312" w:cs="仿宋_GB2312"/>
          <w:b w:val="0"/>
          <w:bCs/>
          <w:sz w:val="32"/>
          <w:szCs w:val="32"/>
          <w:highlight w:val="none"/>
        </w:rPr>
        <w:t>2022年度</w:t>
      </w:r>
      <w:r>
        <w:rPr>
          <w:rFonts w:hint="eastAsia" w:eastAsia="仿宋_GB2312" w:cs="仿宋_GB2312"/>
          <w:b w:val="0"/>
          <w:bCs/>
          <w:sz w:val="32"/>
          <w:szCs w:val="32"/>
          <w:highlight w:val="none"/>
          <w:lang w:eastAsia="zh-CN"/>
        </w:rPr>
        <w:t>持平</w:t>
      </w:r>
      <w:r>
        <w:rPr>
          <w:rFonts w:hint="eastAsia" w:ascii="Times New Roman" w:hAnsi="Times New Roman" w:eastAsia="仿宋_GB2312" w:cs="仿宋_GB2312"/>
          <w:b w:val="0"/>
          <w:bCs/>
          <w:sz w:val="32"/>
          <w:szCs w:val="32"/>
          <w:highlight w:val="none"/>
        </w:rPr>
        <w:t>。主要原因是</w:t>
      </w:r>
      <w:r>
        <w:rPr>
          <w:rFonts w:hint="eastAsia" w:ascii="Times New Roman" w:hAnsi="Times New Roman" w:eastAsia="仿宋_GB2312" w:cs="仿宋_GB2312"/>
          <w:b w:val="0"/>
          <w:bCs/>
          <w:sz w:val="32"/>
          <w:szCs w:val="32"/>
          <w:highlight w:val="none"/>
          <w:lang w:eastAsia="zh-CN"/>
        </w:rPr>
        <w:t>我中心</w:t>
      </w:r>
      <w:r>
        <w:rPr>
          <w:rFonts w:hint="eastAsia" w:eastAsia="仿宋_GB2312" w:cs="仿宋_GB2312"/>
          <w:b w:val="0"/>
          <w:bCs/>
          <w:sz w:val="32"/>
          <w:szCs w:val="32"/>
          <w:highlight w:val="none"/>
          <w:lang w:eastAsia="zh-CN"/>
        </w:rPr>
        <w:t>一直</w:t>
      </w:r>
      <w:r>
        <w:rPr>
          <w:rFonts w:hint="eastAsia" w:ascii="Times New Roman" w:hAnsi="Times New Roman" w:eastAsia="仿宋_GB2312" w:cs="仿宋_GB2312"/>
          <w:b w:val="0"/>
          <w:bCs/>
          <w:sz w:val="32"/>
          <w:szCs w:val="32"/>
          <w:highlight w:val="none"/>
          <w:lang w:eastAsia="zh-CN"/>
        </w:rPr>
        <w:t>严格压制三公经费开支，减少公务接待次数</w:t>
      </w:r>
      <w:r>
        <w:rPr>
          <w:rFonts w:hint="eastAsia" w:ascii="Times New Roman" w:hAnsi="Times New Roman" w:eastAsia="仿宋_GB2312" w:cs="仿宋_GB2312"/>
          <w:b w:val="0"/>
          <w:bCs/>
          <w:sz w:val="32"/>
          <w:szCs w:val="32"/>
          <w:highlight w:val="none"/>
        </w:rPr>
        <w:t>。其中：</w:t>
      </w:r>
    </w:p>
    <w:p w14:paraId="16968FF5">
      <w:pPr>
        <w:spacing w:line="600" w:lineRule="exact"/>
        <w:ind w:firstLine="640"/>
        <w:rPr>
          <w:rFonts w:hint="eastAsia" w:ascii="Times New Roman" w:hAnsi="Times New Roman" w:eastAsia="仿宋_GB2312" w:cs="仿宋_GB2312"/>
          <w:b w:val="0"/>
          <w:bCs/>
          <w:sz w:val="32"/>
          <w:szCs w:val="32"/>
          <w:highlight w:val="none"/>
        </w:rPr>
      </w:pPr>
      <w:r>
        <w:rPr>
          <w:rFonts w:hint="eastAsia" w:ascii="Times New Roman" w:hAnsi="Times New Roman" w:eastAsia="仿宋_GB2312" w:cs="仿宋_GB2312"/>
          <w:b/>
          <w:sz w:val="32"/>
          <w:szCs w:val="32"/>
          <w:highlight w:val="none"/>
        </w:rPr>
        <w:t>国内公务接待支出</w:t>
      </w:r>
      <w:r>
        <w:rPr>
          <w:rFonts w:hint="eastAsia" w:ascii="Times New Roman" w:hAnsi="Times New Roman" w:eastAsia="仿宋_GB2312" w:cs="仿宋_GB2312"/>
          <w:b w:val="0"/>
          <w:bCs/>
          <w:sz w:val="32"/>
          <w:szCs w:val="32"/>
          <w:highlight w:val="none"/>
          <w:lang w:val="en-US" w:eastAsia="zh-CN"/>
        </w:rPr>
        <w:t>1.9</w:t>
      </w:r>
      <w:r>
        <w:rPr>
          <w:rFonts w:hint="eastAsia" w:eastAsia="仿宋_GB2312" w:cs="仿宋_GB2312"/>
          <w:b w:val="0"/>
          <w:bCs/>
          <w:sz w:val="32"/>
          <w:szCs w:val="32"/>
          <w:highlight w:val="none"/>
          <w:lang w:val="en-US" w:eastAsia="zh-CN"/>
        </w:rPr>
        <w:t>9</w:t>
      </w:r>
      <w:r>
        <w:rPr>
          <w:rFonts w:hint="eastAsia" w:ascii="Times New Roman" w:hAnsi="Times New Roman" w:eastAsia="仿宋_GB2312" w:cs="仿宋_GB2312"/>
          <w:b w:val="0"/>
          <w:bCs/>
          <w:sz w:val="32"/>
          <w:szCs w:val="32"/>
          <w:highlight w:val="none"/>
        </w:rPr>
        <w:t>万元，主要用于执行公务、开展业务活动开支的交通费、住宿费、用餐费等。</w:t>
      </w:r>
      <w:r>
        <w:rPr>
          <w:rFonts w:hint="eastAsia" w:ascii="Times New Roman" w:hAnsi="Times New Roman" w:eastAsia="仿宋_GB2312" w:cs="仿宋_GB2312"/>
          <w:b w:val="0"/>
          <w:bCs/>
          <w:color w:val="auto"/>
          <w:sz w:val="32"/>
          <w:szCs w:val="32"/>
          <w:highlight w:val="none"/>
        </w:rPr>
        <w:t>国内公务接待</w:t>
      </w:r>
      <w:r>
        <w:rPr>
          <w:rFonts w:hint="eastAsia" w:ascii="Times New Roman" w:hAnsi="Times New Roman" w:eastAsia="仿宋_GB2312" w:cs="仿宋_GB2312"/>
          <w:b w:val="0"/>
          <w:bCs/>
          <w:color w:val="auto"/>
          <w:sz w:val="32"/>
          <w:szCs w:val="32"/>
          <w:highlight w:val="none"/>
          <w:lang w:val="en-US" w:eastAsia="zh-CN"/>
        </w:rPr>
        <w:t>64</w:t>
      </w:r>
      <w:r>
        <w:rPr>
          <w:rFonts w:hint="eastAsia" w:ascii="Times New Roman" w:hAnsi="Times New Roman" w:eastAsia="仿宋_GB2312" w:cs="仿宋_GB2312"/>
          <w:b w:val="0"/>
          <w:bCs/>
          <w:color w:val="auto"/>
          <w:sz w:val="32"/>
          <w:szCs w:val="32"/>
          <w:highlight w:val="none"/>
        </w:rPr>
        <w:t>批次，</w:t>
      </w:r>
      <w:r>
        <w:rPr>
          <w:rFonts w:hint="eastAsia" w:ascii="Times New Roman" w:hAnsi="Times New Roman" w:eastAsia="仿宋_GB2312" w:cs="仿宋_GB2312"/>
          <w:b w:val="0"/>
          <w:bCs/>
          <w:color w:val="auto"/>
          <w:sz w:val="32"/>
          <w:szCs w:val="32"/>
          <w:highlight w:val="none"/>
          <w:lang w:val="en-US" w:eastAsia="zh-CN"/>
        </w:rPr>
        <w:t>445</w:t>
      </w:r>
      <w:r>
        <w:rPr>
          <w:rFonts w:hint="eastAsia" w:ascii="Times New Roman" w:hAnsi="Times New Roman" w:eastAsia="仿宋_GB2312" w:cs="仿宋_GB2312"/>
          <w:b w:val="0"/>
          <w:bCs/>
          <w:color w:val="auto"/>
          <w:sz w:val="32"/>
          <w:szCs w:val="32"/>
          <w:highlight w:val="none"/>
        </w:rPr>
        <w:t>人次（不包括陪同人员），共计支出</w:t>
      </w:r>
      <w:r>
        <w:rPr>
          <w:rFonts w:hint="eastAsia" w:ascii="Times New Roman" w:hAnsi="Times New Roman" w:eastAsia="仿宋_GB2312" w:cs="仿宋_GB2312"/>
          <w:b w:val="0"/>
          <w:bCs/>
          <w:color w:val="auto"/>
          <w:sz w:val="32"/>
          <w:szCs w:val="32"/>
          <w:highlight w:val="none"/>
          <w:lang w:val="en-US" w:eastAsia="zh-CN"/>
        </w:rPr>
        <w:t>1.9</w:t>
      </w:r>
      <w:r>
        <w:rPr>
          <w:rFonts w:hint="eastAsia" w:eastAsia="仿宋_GB2312" w:cs="仿宋_GB2312"/>
          <w:b w:val="0"/>
          <w:bCs/>
          <w:color w:val="auto"/>
          <w:sz w:val="32"/>
          <w:szCs w:val="32"/>
          <w:highlight w:val="none"/>
          <w:lang w:val="en-US" w:eastAsia="zh-CN"/>
        </w:rPr>
        <w:t>9</w:t>
      </w:r>
      <w:r>
        <w:rPr>
          <w:rFonts w:hint="eastAsia" w:ascii="Times New Roman" w:hAnsi="Times New Roman" w:eastAsia="仿宋_GB2312" w:cs="仿宋_GB2312"/>
          <w:b w:val="0"/>
          <w:bCs/>
          <w:color w:val="auto"/>
          <w:sz w:val="32"/>
          <w:szCs w:val="32"/>
          <w:highlight w:val="none"/>
        </w:rPr>
        <w:t>万元，具体内容包括：</w:t>
      </w:r>
      <w:r>
        <w:rPr>
          <w:rFonts w:hint="eastAsia" w:ascii="Times New Roman" w:hAnsi="Times New Roman" w:eastAsia="仿宋_GB2312" w:cs="仿宋_GB2312"/>
          <w:b w:val="0"/>
          <w:bCs/>
          <w:sz w:val="32"/>
          <w:szCs w:val="32"/>
          <w:highlight w:val="none"/>
        </w:rPr>
        <w:t>上级部门的各项专项工作督导接待</w:t>
      </w:r>
      <w:r>
        <w:rPr>
          <w:rFonts w:hint="eastAsia" w:ascii="Times New Roman" w:hAnsi="Times New Roman" w:eastAsia="仿宋_GB2312" w:cs="仿宋_GB2312"/>
          <w:b w:val="0"/>
          <w:bCs/>
          <w:sz w:val="32"/>
          <w:szCs w:val="32"/>
          <w:highlight w:val="none"/>
          <w:lang w:val="en-US" w:eastAsia="zh-CN"/>
        </w:rPr>
        <w:t>0.9</w:t>
      </w:r>
      <w:r>
        <w:rPr>
          <w:rFonts w:hint="eastAsia" w:eastAsia="仿宋_GB2312" w:cs="仿宋_GB2312"/>
          <w:b w:val="0"/>
          <w:bCs/>
          <w:sz w:val="32"/>
          <w:szCs w:val="32"/>
          <w:highlight w:val="none"/>
          <w:lang w:val="en-US" w:eastAsia="zh-CN"/>
        </w:rPr>
        <w:t>2</w:t>
      </w:r>
      <w:r>
        <w:rPr>
          <w:rFonts w:hint="eastAsia" w:ascii="Times New Roman" w:hAnsi="Times New Roman" w:eastAsia="仿宋_GB2312" w:cs="仿宋_GB2312"/>
          <w:b w:val="0"/>
          <w:bCs/>
          <w:sz w:val="32"/>
          <w:szCs w:val="32"/>
          <w:highlight w:val="none"/>
        </w:rPr>
        <w:t>万元，检查验收接待</w:t>
      </w:r>
      <w:r>
        <w:rPr>
          <w:rFonts w:hint="eastAsia" w:ascii="Times New Roman" w:hAnsi="Times New Roman" w:eastAsia="仿宋_GB2312" w:cs="仿宋_GB2312"/>
          <w:b w:val="0"/>
          <w:bCs/>
          <w:sz w:val="32"/>
          <w:szCs w:val="32"/>
          <w:highlight w:val="none"/>
          <w:lang w:val="en-US" w:eastAsia="zh-CN"/>
        </w:rPr>
        <w:t>0.45</w:t>
      </w:r>
      <w:r>
        <w:rPr>
          <w:rFonts w:hint="eastAsia" w:ascii="Times New Roman" w:hAnsi="Times New Roman" w:eastAsia="仿宋_GB2312" w:cs="仿宋_GB2312"/>
          <w:b w:val="0"/>
          <w:bCs/>
          <w:sz w:val="32"/>
          <w:szCs w:val="32"/>
          <w:highlight w:val="none"/>
        </w:rPr>
        <w:t>万元，以及疾控中心之间的业务交流接待</w:t>
      </w:r>
      <w:r>
        <w:rPr>
          <w:rFonts w:hint="eastAsia" w:ascii="Times New Roman" w:hAnsi="Times New Roman" w:eastAsia="仿宋_GB2312" w:cs="仿宋_GB2312"/>
          <w:b w:val="0"/>
          <w:bCs/>
          <w:sz w:val="32"/>
          <w:szCs w:val="32"/>
          <w:highlight w:val="none"/>
          <w:lang w:val="en-US" w:eastAsia="zh-CN"/>
        </w:rPr>
        <w:t>0.62</w:t>
      </w:r>
      <w:r>
        <w:rPr>
          <w:rFonts w:hint="eastAsia" w:ascii="Times New Roman" w:hAnsi="Times New Roman" w:eastAsia="仿宋_GB2312" w:cs="仿宋_GB2312"/>
          <w:b w:val="0"/>
          <w:bCs/>
          <w:sz w:val="32"/>
          <w:szCs w:val="32"/>
          <w:highlight w:val="none"/>
        </w:rPr>
        <w:t>万元。</w:t>
      </w:r>
    </w:p>
    <w:p w14:paraId="7AABE7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sz w:val="32"/>
          <w:szCs w:val="32"/>
          <w:highlight w:val="none"/>
        </w:rPr>
      </w:pPr>
      <w:bookmarkStart w:id="63" w:name="_Toc15377218"/>
      <w:bookmarkStart w:id="64" w:name="_Toc15396610"/>
      <w:r>
        <w:rPr>
          <w:rFonts w:hint="eastAsia" w:ascii="Times New Roman" w:hAnsi="Times New Roman" w:eastAsia="仿宋_GB2312"/>
          <w:b/>
          <w:color w:val="auto"/>
          <w:sz w:val="32"/>
          <w:szCs w:val="32"/>
          <w:highlight w:val="none"/>
        </w:rPr>
        <w:t>外事接待支出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万元，外事接待</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批次，</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人，共计支出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w:t>
      </w:r>
    </w:p>
    <w:p w14:paraId="4788B0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0"/>
          <w:rFonts w:ascii="Times New Roman" w:hAnsi="Times New Roman" w:eastAsia="黑体"/>
        </w:rPr>
      </w:pPr>
      <w:bookmarkStart w:id="65" w:name="_Toc5455"/>
      <w:r>
        <w:rPr>
          <w:rFonts w:hint="eastAsia" w:ascii="Times New Roman" w:hAnsi="Times New Roman" w:eastAsia="黑体"/>
          <w:sz w:val="32"/>
          <w:szCs w:val="32"/>
        </w:rPr>
        <w:t>八、</w:t>
      </w:r>
      <w:r>
        <w:rPr>
          <w:rStyle w:val="20"/>
          <w:rFonts w:hint="eastAsia" w:ascii="Times New Roman" w:hAnsi="Times New Roman" w:eastAsia="黑体"/>
          <w:b w:val="0"/>
        </w:rPr>
        <w:t>政府性基金预算支出决算情况说明</w:t>
      </w:r>
      <w:bookmarkEnd w:id="63"/>
      <w:bookmarkEnd w:id="64"/>
      <w:bookmarkEnd w:id="65"/>
    </w:p>
    <w:p w14:paraId="0BE846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2023年度政府性基金预算财政拨款支出</w:t>
      </w:r>
      <w:r>
        <w:rPr>
          <w:rFonts w:ascii="Times New Roman" w:hAnsi="Times New Roman"/>
          <w:sz w:val="32"/>
          <w:szCs w:val="32"/>
        </w:rPr>
        <w:t>0</w:t>
      </w:r>
      <w:r>
        <w:rPr>
          <w:rFonts w:hint="eastAsia" w:ascii="Times New Roman" w:hAnsi="Times New Roman" w:eastAsia="仿宋_GB2312"/>
          <w:sz w:val="32"/>
          <w:szCs w:val="32"/>
        </w:rPr>
        <w:t>万元。</w:t>
      </w:r>
    </w:p>
    <w:p w14:paraId="7FF5497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1"/>
        <w:rPr>
          <w:rStyle w:val="20"/>
          <w:rFonts w:ascii="Times New Roman" w:hAnsi="Times New Roman" w:eastAsia="黑体"/>
          <w:b w:val="0"/>
        </w:rPr>
      </w:pPr>
      <w:bookmarkStart w:id="66" w:name="_Toc15377219"/>
      <w:bookmarkStart w:id="67" w:name="_Toc15396611"/>
      <w:bookmarkStart w:id="68" w:name="_Toc8593"/>
      <w:r>
        <w:rPr>
          <w:rStyle w:val="20"/>
          <w:rFonts w:hint="eastAsia" w:ascii="Times New Roman" w:hAnsi="Times New Roman" w:eastAsia="黑体"/>
          <w:b w:val="0"/>
        </w:rPr>
        <w:t>国有资本经营预算支出决算情况说明</w:t>
      </w:r>
      <w:bookmarkEnd w:id="66"/>
      <w:bookmarkEnd w:id="67"/>
      <w:bookmarkEnd w:id="68"/>
    </w:p>
    <w:p w14:paraId="38FC4B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2023年度国有资本经营预算财政拨款支出</w:t>
      </w:r>
      <w:r>
        <w:rPr>
          <w:rFonts w:ascii="Times New Roman" w:hAnsi="Times New Roman"/>
          <w:sz w:val="32"/>
          <w:szCs w:val="32"/>
        </w:rPr>
        <w:t>0</w:t>
      </w:r>
      <w:r>
        <w:rPr>
          <w:rFonts w:hint="eastAsia" w:ascii="Times New Roman" w:hAnsi="Times New Roman" w:eastAsia="仿宋_GB2312"/>
          <w:sz w:val="32"/>
          <w:szCs w:val="32"/>
        </w:rPr>
        <w:t>万元。</w:t>
      </w:r>
    </w:p>
    <w:p w14:paraId="62FE59C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1"/>
        <w:rPr>
          <w:rStyle w:val="20"/>
          <w:rFonts w:ascii="Times New Roman" w:hAnsi="Times New Roman" w:eastAsia="黑体"/>
          <w:b w:val="0"/>
        </w:rPr>
      </w:pPr>
      <w:bookmarkStart w:id="69" w:name="_Toc15396612"/>
      <w:bookmarkStart w:id="70" w:name="_Toc15377221"/>
      <w:bookmarkStart w:id="71" w:name="_Toc10124"/>
      <w:r>
        <w:rPr>
          <w:rStyle w:val="20"/>
          <w:rFonts w:hint="eastAsia" w:ascii="Times New Roman" w:hAnsi="Times New Roman" w:eastAsia="黑体"/>
          <w:b w:val="0"/>
        </w:rPr>
        <w:t>其他重要事项的情况说明</w:t>
      </w:r>
      <w:bookmarkEnd w:id="69"/>
      <w:bookmarkEnd w:id="70"/>
      <w:bookmarkEnd w:id="71"/>
    </w:p>
    <w:p w14:paraId="789A7B09">
      <w:pPr>
        <w:spacing w:line="600" w:lineRule="exact"/>
        <w:ind w:firstLine="640" w:firstLineChars="200"/>
        <w:outlineLvl w:val="2"/>
        <w:rPr>
          <w:rFonts w:hint="eastAsia" w:ascii="Times New Roman" w:hAnsi="Times New Roman" w:eastAsia="楷体" w:cs="楷体"/>
          <w:b w:val="0"/>
          <w:bCs/>
          <w:sz w:val="32"/>
          <w:szCs w:val="32"/>
        </w:rPr>
      </w:pPr>
      <w:bookmarkStart w:id="72" w:name="_Toc15377222"/>
      <w:r>
        <w:rPr>
          <w:rFonts w:hint="eastAsia" w:ascii="楷体_GB2312" w:hAnsi="楷体_GB2312" w:eastAsia="楷体_GB2312" w:cs="楷体_GB2312"/>
          <w:b w:val="0"/>
          <w:bCs/>
          <w:sz w:val="32"/>
          <w:szCs w:val="32"/>
        </w:rPr>
        <w:t>（一）机关运行经费支出情况</w:t>
      </w:r>
      <w:bookmarkEnd w:id="72"/>
    </w:p>
    <w:p w14:paraId="0975B02A">
      <w:pPr>
        <w:keepNext w:val="0"/>
        <w:keepLines w:val="0"/>
        <w:pageBreakBefore w:val="0"/>
        <w:widowControl w:val="0"/>
        <w:kinsoku/>
        <w:wordWrap/>
        <w:overflowPunct/>
        <w:topLinePunct w:val="0"/>
        <w:bidi w:val="0"/>
        <w:spacing w:line="578"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2023年度，机关运行经费支出</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rPr>
        <w:t>万元，</w:t>
      </w:r>
      <w:r>
        <w:rPr>
          <w:rFonts w:hint="eastAsia" w:ascii="Times New Roman" w:hAnsi="Times New Roman" w:eastAsia="仿宋_GB2312" w:cs="仿宋_GB2312"/>
          <w:sz w:val="32"/>
          <w:szCs w:val="32"/>
          <w:highlight w:val="none"/>
          <w:lang w:eastAsia="zh-CN"/>
        </w:rPr>
        <w:t>与</w:t>
      </w:r>
      <w:r>
        <w:rPr>
          <w:rFonts w:hint="eastAsia" w:ascii="Times New Roman" w:hAnsi="Times New Roman" w:eastAsia="仿宋_GB2312" w:cs="仿宋_GB2312"/>
          <w:sz w:val="32"/>
          <w:szCs w:val="32"/>
          <w:highlight w:val="none"/>
        </w:rPr>
        <w:t>2022年度决算数持平）。主要原因是</w:t>
      </w:r>
      <w:r>
        <w:rPr>
          <w:rFonts w:hint="eastAsia" w:ascii="Times New Roman" w:hAnsi="Times New Roman" w:eastAsia="仿宋_GB2312" w:cs="仿宋_GB2312"/>
          <w:sz w:val="32"/>
          <w:szCs w:val="32"/>
          <w:highlight w:val="none"/>
          <w:lang w:eastAsia="zh-CN"/>
        </w:rPr>
        <w:t>我中心属于全额拨款事业单位，不开支机关运行经费</w:t>
      </w:r>
      <w:r>
        <w:rPr>
          <w:rFonts w:hint="eastAsia" w:ascii="Times New Roman" w:hAnsi="Times New Roman" w:eastAsia="仿宋_GB2312" w:cs="仿宋_GB2312"/>
          <w:sz w:val="32"/>
          <w:szCs w:val="32"/>
          <w:highlight w:val="none"/>
        </w:rPr>
        <w:t>。</w:t>
      </w:r>
    </w:p>
    <w:p w14:paraId="0403ED3E">
      <w:pPr>
        <w:keepNext w:val="0"/>
        <w:keepLines w:val="0"/>
        <w:pageBreakBefore w:val="0"/>
        <w:widowControl w:val="0"/>
        <w:kinsoku/>
        <w:wordWrap/>
        <w:overflowPunct/>
        <w:topLinePunct w:val="0"/>
        <w:autoSpaceDE w:val="0"/>
        <w:autoSpaceDN w:val="0"/>
        <w:bidi w:val="0"/>
        <w:adjustRightInd w:val="0"/>
        <w:spacing w:line="578" w:lineRule="exact"/>
        <w:ind w:firstLine="640" w:firstLineChars="200"/>
        <w:jc w:val="left"/>
        <w:textAlignment w:val="auto"/>
        <w:outlineLvl w:val="2"/>
        <w:rPr>
          <w:rFonts w:hint="eastAsia" w:ascii="Times New Roman" w:hAnsi="Times New Roman" w:eastAsia="楷体" w:cs="楷体"/>
          <w:b w:val="0"/>
          <w:bCs/>
          <w:sz w:val="32"/>
          <w:szCs w:val="32"/>
          <w:highlight w:val="none"/>
        </w:rPr>
      </w:pPr>
      <w:bookmarkStart w:id="73" w:name="_Toc15377223"/>
      <w:r>
        <w:rPr>
          <w:rFonts w:hint="eastAsia" w:ascii="楷体_GB2312" w:hAnsi="楷体_GB2312" w:eastAsia="楷体_GB2312" w:cs="楷体_GB2312"/>
          <w:b w:val="0"/>
          <w:bCs/>
          <w:sz w:val="32"/>
          <w:szCs w:val="32"/>
        </w:rPr>
        <w:t>（二）政府采购支出情况</w:t>
      </w:r>
      <w:bookmarkEnd w:id="73"/>
    </w:p>
    <w:p w14:paraId="1FF96B3B">
      <w:pPr>
        <w:keepNext w:val="0"/>
        <w:keepLines w:val="0"/>
        <w:pageBreakBefore w:val="0"/>
        <w:widowControl w:val="0"/>
        <w:kinsoku/>
        <w:wordWrap/>
        <w:overflowPunct/>
        <w:topLinePunct w:val="0"/>
        <w:bidi w:val="0"/>
        <w:spacing w:line="578"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2023年度，</w:t>
      </w:r>
      <w:r>
        <w:rPr>
          <w:rFonts w:hint="eastAsia" w:ascii="Times New Roman" w:hAnsi="Times New Roman" w:eastAsia="仿宋_GB2312" w:cs="仿宋_GB2312"/>
          <w:sz w:val="32"/>
          <w:szCs w:val="32"/>
          <w:highlight w:val="none"/>
          <w:lang w:eastAsia="zh-CN"/>
        </w:rPr>
        <w:t>我中心</w:t>
      </w:r>
      <w:r>
        <w:rPr>
          <w:rFonts w:hint="eastAsia" w:ascii="Times New Roman" w:hAnsi="Times New Roman" w:eastAsia="仿宋_GB2312" w:cs="仿宋_GB2312"/>
          <w:sz w:val="32"/>
          <w:szCs w:val="32"/>
          <w:highlight w:val="none"/>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1FE9810">
      <w:pPr>
        <w:keepNext w:val="0"/>
        <w:keepLines w:val="0"/>
        <w:pageBreakBefore w:val="0"/>
        <w:widowControl w:val="0"/>
        <w:kinsoku/>
        <w:wordWrap/>
        <w:overflowPunct/>
        <w:topLinePunct w:val="0"/>
        <w:autoSpaceDE w:val="0"/>
        <w:autoSpaceDN w:val="0"/>
        <w:bidi w:val="0"/>
        <w:adjustRightInd w:val="0"/>
        <w:spacing w:line="578" w:lineRule="exact"/>
        <w:ind w:firstLine="640" w:firstLineChars="200"/>
        <w:jc w:val="left"/>
        <w:textAlignment w:val="auto"/>
        <w:outlineLvl w:val="2"/>
        <w:rPr>
          <w:rFonts w:hint="eastAsia" w:ascii="Times New Roman" w:hAnsi="Times New Roman" w:eastAsia="楷体" w:cs="楷体"/>
          <w:b w:val="0"/>
          <w:bCs/>
          <w:sz w:val="32"/>
          <w:szCs w:val="32"/>
        </w:rPr>
      </w:pPr>
      <w:bookmarkStart w:id="74" w:name="_Toc15377224"/>
      <w:r>
        <w:rPr>
          <w:rFonts w:hint="eastAsia" w:ascii="楷体_GB2312" w:hAnsi="楷体_GB2312" w:eastAsia="楷体_GB2312" w:cs="楷体_GB2312"/>
          <w:b w:val="0"/>
          <w:bCs/>
          <w:sz w:val="32"/>
          <w:szCs w:val="32"/>
        </w:rPr>
        <w:t>（三）国有资产占有使用情况</w:t>
      </w:r>
      <w:bookmarkEnd w:id="74"/>
    </w:p>
    <w:p w14:paraId="3565B017">
      <w:pPr>
        <w:keepNext w:val="0"/>
        <w:keepLines w:val="0"/>
        <w:pageBreakBefore w:val="0"/>
        <w:widowControl w:val="0"/>
        <w:kinsoku/>
        <w:wordWrap/>
        <w:overflowPunct/>
        <w:topLinePunct w:val="0"/>
        <w:autoSpaceDE w:val="0"/>
        <w:autoSpaceDN w:val="0"/>
        <w:bidi w:val="0"/>
        <w:adjustRightInd w:val="0"/>
        <w:spacing w:line="578"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截至2023年12月31日，</w:t>
      </w:r>
      <w:r>
        <w:rPr>
          <w:rFonts w:hint="default" w:ascii="Times New Roman" w:hAnsi="Times New Roman" w:eastAsia="仿宋_GB2312" w:cs="Times New Roman"/>
          <w:sz w:val="32"/>
          <w:szCs w:val="32"/>
          <w:highlight w:val="none"/>
          <w:lang w:eastAsia="zh-CN"/>
        </w:rPr>
        <w:t>我中心</w:t>
      </w:r>
      <w:r>
        <w:rPr>
          <w:rFonts w:hint="default" w:ascii="Times New Roman" w:hAnsi="Times New Roman" w:eastAsia="仿宋_GB2312" w:cs="Times New Roman"/>
          <w:sz w:val="32"/>
          <w:szCs w:val="32"/>
          <w:highlight w:val="none"/>
        </w:rPr>
        <w:t>共有车辆</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辆，其中：应急保障用车</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辆、特种专业技术用车</w:t>
      </w:r>
      <w:r>
        <w:rPr>
          <w:rFonts w:hint="default" w:ascii="Times New Roman" w:hAnsi="Times New Roman" w:eastAsia="仿宋_GB2312" w:cs="Times New Roman"/>
          <w:sz w:val="32"/>
          <w:szCs w:val="32"/>
          <w:highlight w:val="none"/>
          <w:lang w:val="en-US" w:eastAsia="zh-CN"/>
        </w:rPr>
        <w:t>5辆</w:t>
      </w:r>
      <w:r>
        <w:rPr>
          <w:rFonts w:hint="default" w:ascii="Times New Roman" w:hAnsi="Times New Roman" w:eastAsia="仿宋_GB2312" w:cs="Times New Roman"/>
          <w:sz w:val="32"/>
          <w:szCs w:val="32"/>
          <w:highlight w:val="none"/>
        </w:rPr>
        <w:t>，单价100万元以上设备（不含车辆）</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台（套）。</w:t>
      </w:r>
    </w:p>
    <w:p w14:paraId="1D7A01AF">
      <w:pPr>
        <w:keepNext w:val="0"/>
        <w:keepLines w:val="0"/>
        <w:pageBreakBefore w:val="0"/>
        <w:widowControl w:val="0"/>
        <w:kinsoku/>
        <w:wordWrap/>
        <w:overflowPunct/>
        <w:topLinePunct w:val="0"/>
        <w:autoSpaceDE w:val="0"/>
        <w:autoSpaceDN w:val="0"/>
        <w:bidi w:val="0"/>
        <w:adjustRightInd w:val="0"/>
        <w:spacing w:line="578" w:lineRule="exact"/>
        <w:ind w:firstLine="640" w:firstLineChars="200"/>
        <w:jc w:val="left"/>
        <w:textAlignment w:val="auto"/>
        <w:outlineLvl w:val="2"/>
        <w:rPr>
          <w:rFonts w:hint="eastAsia" w:ascii="Times New Roman" w:hAnsi="Times New Roman" w:eastAsia="楷体" w:cs="楷体"/>
          <w:b w:val="0"/>
          <w:bCs/>
          <w:sz w:val="32"/>
          <w:szCs w:val="32"/>
        </w:rPr>
      </w:pPr>
      <w:r>
        <w:rPr>
          <w:rFonts w:hint="eastAsia" w:ascii="楷体_GB2312" w:hAnsi="楷体_GB2312" w:eastAsia="楷体_GB2312" w:cs="楷体_GB2312"/>
          <w:b w:val="0"/>
          <w:bCs/>
          <w:sz w:val="32"/>
          <w:szCs w:val="32"/>
        </w:rPr>
        <w:t>（四）预算绩效管理情况</w:t>
      </w:r>
    </w:p>
    <w:p w14:paraId="7277B1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根据预算绩效管理要求，本部门（单位）在年初预算编制阶段，组织对</w:t>
      </w:r>
      <w:r>
        <w:rPr>
          <w:rFonts w:hint="eastAsia" w:ascii="Times New Roman" w:hAnsi="Times New Roman" w:eastAsia="仿宋_GB2312" w:cs="仿宋_GB2312"/>
          <w:color w:val="auto"/>
          <w:sz w:val="32"/>
          <w:szCs w:val="32"/>
          <w:highlight w:val="none"/>
          <w:lang w:val="en-US" w:eastAsia="zh-CN"/>
        </w:rPr>
        <w:t>0个</w:t>
      </w:r>
      <w:r>
        <w:rPr>
          <w:rFonts w:hint="eastAsia" w:ascii="Times New Roman" w:hAnsi="Times New Roman" w:eastAsia="仿宋_GB2312" w:cs="仿宋_GB2312"/>
          <w:color w:val="auto"/>
          <w:sz w:val="32"/>
          <w:szCs w:val="32"/>
          <w:highlight w:val="none"/>
        </w:rPr>
        <w:t>项目开展了预算事前绩效评估，对</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个项目编制了绩效目标，预算执行过程中，选取</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个项目开展绩效监控，年终执行完毕后，对</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个项目开展了绩效目标完成情况自评。</w:t>
      </w:r>
    </w:p>
    <w:p w14:paraId="3DEEA2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本部门按要求对20</w:t>
      </w:r>
      <w:r>
        <w:rPr>
          <w:rFonts w:hint="eastAsia" w:ascii="Times New Roman" w:hAnsi="Times New Roman" w:eastAsia="仿宋_GB2312" w:cs="仿宋_GB2312"/>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rPr>
        <w:t>年部门整体支出开展绩效自评，从评价情况来看</w:t>
      </w:r>
      <w:r>
        <w:rPr>
          <w:rFonts w:hint="eastAsia" w:ascii="Times New Roman" w:hAnsi="Times New Roman" w:eastAsia="仿宋_GB2312" w:cs="仿宋_GB2312"/>
          <w:color w:val="auto"/>
          <w:sz w:val="32"/>
          <w:szCs w:val="32"/>
          <w:highlight w:val="none"/>
          <w:lang w:eastAsia="zh-CN"/>
        </w:rPr>
        <w:t>中</w:t>
      </w:r>
      <w:r>
        <w:rPr>
          <w:rFonts w:hint="eastAsia" w:ascii="Times New Roman" w:hAnsi="Times New Roman" w:eastAsia="仿宋_GB2312" w:cs="仿宋_GB2312"/>
          <w:color w:val="auto"/>
          <w:sz w:val="32"/>
          <w:szCs w:val="32"/>
          <w:highlight w:val="none"/>
          <w:lang w:val="en-US" w:eastAsia="zh-CN"/>
        </w:rPr>
        <w:t>心2023年部门整体支出绩效自评得分为98.12分</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绩效管理情况比较理想，均达到了年初设定的各项绩效目标。所有资金使用严格按审批程序办理、操作规范，会计核算结果真实、准确，各项支出严格按照各项制度执行。2023年中心资金到位率100%，在使用中，我中心严格执行财务管理相关制度和中心经费管理办法规定，财务制度健全，管理规范，做到了专款专用，无贪污、截留、挪用现象。中心工作的开展，为人民身体健康提供防疫保障。提升了人民群众幸福感，财政支出合理、规范。</w:t>
      </w:r>
      <w:r>
        <w:rPr>
          <w:rFonts w:hint="eastAsia" w:ascii="Times New Roman" w:hAnsi="Times New Roman" w:eastAsia="仿宋_GB2312" w:cs="仿宋_GB2312"/>
          <w:color w:val="auto"/>
          <w:sz w:val="32"/>
          <w:szCs w:val="32"/>
          <w:highlight w:val="none"/>
        </w:rPr>
        <w:t>本部门还自行组织了</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个项目支出绩效评价，从评价情况来看</w:t>
      </w:r>
      <w:r>
        <w:rPr>
          <w:rFonts w:hint="eastAsia" w:ascii="Times New Roman" w:hAnsi="Times New Roman" w:eastAsia="仿宋_GB2312" w:cs="仿宋_GB2312"/>
          <w:color w:val="auto"/>
          <w:sz w:val="32"/>
          <w:szCs w:val="32"/>
          <w:highlight w:val="none"/>
          <w:lang w:eastAsia="zh-CN"/>
        </w:rPr>
        <w:t>项目均按年初设定目标执行完成，</w:t>
      </w:r>
      <w:r>
        <w:rPr>
          <w:rFonts w:hint="eastAsia" w:ascii="Times New Roman" w:hAnsi="Times New Roman" w:eastAsia="仿宋_GB2312" w:cs="仿宋_GB2312"/>
          <w:color w:val="auto"/>
          <w:sz w:val="32"/>
          <w:szCs w:val="32"/>
          <w:highlight w:val="none"/>
          <w:lang w:val="en-US" w:eastAsia="zh-CN"/>
        </w:rPr>
        <w:t>通过预防性体检及卫生检测成本项目支出的各项工作开展，有效降低了各类公共场所从业人员传染病传播风险，减少了水质卫生、医疗机构消毒质量等卫生安全隐患，及时发现了劳动者人群职业病损害，减少社会负担促进了企业和社会经济良性发展，通过指导全县重点疾控工作，提升了整体疾病防控能力和水平；</w:t>
      </w:r>
      <w:r>
        <w:rPr>
          <w:rFonts w:hint="eastAsia" w:ascii="Times New Roman" w:hAnsi="Times New Roman" w:eastAsia="仿宋_GB2312" w:cs="仿宋_GB2312"/>
          <w:color w:val="auto"/>
          <w:sz w:val="32"/>
          <w:szCs w:val="32"/>
          <w:highlight w:val="none"/>
        </w:rPr>
        <w:t>减少人与人之间的传播，减少医疗资源的浪费；推动复工复产复业、带动健康产业发展、拉动经济快速回升；保障竹城人民的生命安全，使居民安居乐业。</w:t>
      </w:r>
    </w:p>
    <w:p w14:paraId="433C17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3"/>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仿宋_GB2312"/>
          <w:sz w:val="32"/>
          <w:szCs w:val="32"/>
        </w:rPr>
        <w:t>项目绩效目标完成情况。</w:t>
      </w:r>
    </w:p>
    <w:p w14:paraId="4444214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本部门在20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年度部门决算中反映“</w:t>
      </w:r>
      <w:r>
        <w:rPr>
          <w:rFonts w:hint="eastAsia" w:ascii="Times New Roman" w:hAnsi="Times New Roman" w:eastAsia="仿宋_GB2312" w:cs="仿宋_GB2312"/>
          <w:sz w:val="32"/>
          <w:szCs w:val="32"/>
          <w:lang w:eastAsia="zh-CN"/>
        </w:rPr>
        <w:t>艾滋病</w:t>
      </w:r>
      <w:r>
        <w:rPr>
          <w:rFonts w:hint="eastAsia" w:ascii="Times New Roman" w:hAnsi="Times New Roman" w:eastAsia="仿宋_GB2312" w:cs="仿宋_GB2312"/>
          <w:sz w:val="32"/>
          <w:szCs w:val="32"/>
        </w:rPr>
        <w:t>””</w:t>
      </w:r>
      <w:r>
        <w:rPr>
          <w:rFonts w:hint="eastAsia" w:eastAsia="仿宋_GB2312" w:cs="仿宋_GB2312"/>
          <w:sz w:val="32"/>
          <w:szCs w:val="32"/>
          <w:lang w:eastAsia="zh-CN"/>
        </w:rPr>
        <w:t>传染病</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环境监测和消杀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“麻风病”“美沙酮”</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个项目绩效目标实际完成情况。</w:t>
      </w:r>
    </w:p>
    <w:p w14:paraId="2285FFD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Times New Roman" w:hAnsi="Times New Roman" w:eastAsia="仿宋_GB2312" w:cs="仿宋_GB2312"/>
          <w:sz w:val="32"/>
          <w:szCs w:val="32"/>
          <w:lang w:eastAsia="zh-CN"/>
        </w:rPr>
        <w:t>艾滋病</w:t>
      </w:r>
      <w:r>
        <w:rPr>
          <w:rFonts w:hint="eastAsia" w:ascii="Times New Roman" w:hAnsi="Times New Roman" w:eastAsia="仿宋_GB2312" w:cs="仿宋_GB2312"/>
          <w:sz w:val="32"/>
          <w:szCs w:val="32"/>
        </w:rPr>
        <w:t>项目绩效目标完成情况综述。项目全年预算数</w:t>
      </w:r>
      <w:r>
        <w:rPr>
          <w:rFonts w:hint="eastAsia" w:ascii="Times New Roman" w:hAnsi="Times New Roman" w:eastAsia="仿宋_GB2312" w:cs="仿宋_GB2312"/>
          <w:sz w:val="32"/>
          <w:szCs w:val="32"/>
          <w:lang w:val="en-US" w:eastAsia="zh-CN"/>
        </w:rPr>
        <w:t>420.38</w:t>
      </w:r>
      <w:r>
        <w:rPr>
          <w:rFonts w:hint="eastAsia" w:ascii="Times New Roman" w:hAnsi="Times New Roman" w:eastAsia="仿宋_GB2312" w:cs="仿宋_GB2312"/>
          <w:sz w:val="32"/>
          <w:szCs w:val="32"/>
        </w:rPr>
        <w:t>万元，执行数为</w:t>
      </w:r>
      <w:r>
        <w:rPr>
          <w:rFonts w:hint="eastAsia" w:ascii="Times New Roman" w:hAnsi="Times New Roman" w:eastAsia="仿宋_GB2312" w:cs="仿宋_GB2312"/>
          <w:sz w:val="32"/>
          <w:szCs w:val="32"/>
          <w:lang w:val="en-US" w:eastAsia="zh-CN"/>
        </w:rPr>
        <w:t>420.38</w:t>
      </w:r>
      <w:r>
        <w:rPr>
          <w:rFonts w:hint="eastAsia" w:ascii="Times New Roman" w:hAnsi="Times New Roman" w:eastAsia="仿宋_GB2312" w:cs="仿宋_GB2312"/>
          <w:sz w:val="32"/>
          <w:szCs w:val="32"/>
        </w:rPr>
        <w:t>万元，完成预算的</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%。通过项目实施，</w:t>
      </w:r>
      <w:r>
        <w:rPr>
          <w:rFonts w:hint="eastAsia" w:ascii="Times New Roman" w:hAnsi="Times New Roman" w:eastAsia="仿宋_GB2312" w:cs="仿宋_GB2312"/>
          <w:color w:val="auto"/>
          <w:sz w:val="32"/>
          <w:szCs w:val="32"/>
        </w:rPr>
        <w:t>最大限度减少艾滋病新发感染</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lang w:val="en-US" w:eastAsia="zh-CN"/>
        </w:rPr>
        <w:t>全县无</w:t>
      </w:r>
      <w:r>
        <w:rPr>
          <w:rFonts w:hint="eastAsia" w:ascii="Times New Roman" w:hAnsi="Times New Roman" w:eastAsia="仿宋_GB2312" w:cs="仿宋_GB2312"/>
          <w:color w:val="auto"/>
          <w:sz w:val="32"/>
          <w:szCs w:val="32"/>
        </w:rPr>
        <w:t>注射吸毒传播和母婴传播</w:t>
      </w:r>
      <w:r>
        <w:rPr>
          <w:rFonts w:hint="eastAsia" w:cs="仿宋_GB2312"/>
          <w:color w:val="auto"/>
          <w:sz w:val="32"/>
          <w:szCs w:val="32"/>
          <w:lang w:eastAsia="zh-CN"/>
        </w:rPr>
        <w:t>，</w:t>
      </w:r>
      <w:r>
        <w:rPr>
          <w:rFonts w:hint="eastAsia" w:ascii="Times New Roman" w:hAnsi="Times New Roman" w:eastAsia="仿宋_GB2312" w:cs="仿宋_GB2312"/>
          <w:color w:val="auto"/>
          <w:sz w:val="32"/>
          <w:szCs w:val="32"/>
        </w:rPr>
        <w:t>有效控制性传播，最大限度发现和治疗感染者及病人，进一步降低病死率，逐步提高感染者和病人生存</w:t>
      </w:r>
      <w:r>
        <w:rPr>
          <w:rFonts w:hint="eastAsia" w:ascii="Times New Roman" w:hAnsi="Times New Roman" w:eastAsia="仿宋_GB2312" w:cs="仿宋_GB2312"/>
          <w:color w:val="auto"/>
          <w:sz w:val="32"/>
          <w:szCs w:val="32"/>
          <w:lang w:eastAsia="zh-CN"/>
        </w:rPr>
        <w:t>生活</w:t>
      </w:r>
      <w:r>
        <w:rPr>
          <w:rFonts w:hint="eastAsia" w:ascii="Times New Roman" w:hAnsi="Times New Roman" w:eastAsia="仿宋_GB2312" w:cs="仿宋_GB2312"/>
          <w:color w:val="auto"/>
          <w:sz w:val="32"/>
          <w:szCs w:val="32"/>
        </w:rPr>
        <w:t>质量，不断减少社会歧视，将我县艾滋病疫情继续控制在低流行水平。</w:t>
      </w:r>
      <w:r>
        <w:rPr>
          <w:rFonts w:hint="eastAsia" w:ascii="Times New Roman" w:hAnsi="Times New Roman" w:eastAsia="仿宋_GB2312" w:cs="仿宋_GB2312"/>
          <w:color w:val="auto"/>
          <w:sz w:val="32"/>
          <w:szCs w:val="32"/>
          <w:lang w:eastAsia="zh-CN"/>
        </w:rPr>
        <w:t>具体为完成全县督导考核</w:t>
      </w:r>
      <w:r>
        <w:rPr>
          <w:rFonts w:hint="eastAsia" w:ascii="Times New Roman" w:hAnsi="Times New Roman" w:eastAsia="仿宋_GB2312" w:cs="仿宋_GB2312"/>
          <w:color w:val="auto"/>
          <w:sz w:val="32"/>
          <w:szCs w:val="32"/>
        </w:rPr>
        <w:t>和目标考核</w:t>
      </w:r>
      <w:r>
        <w:rPr>
          <w:rFonts w:hint="eastAsia" w:ascii="Times New Roman" w:hAnsi="Times New Roman" w:eastAsia="仿宋_GB2312" w:cs="仿宋_GB2312"/>
          <w:color w:val="auto"/>
          <w:sz w:val="32"/>
          <w:szCs w:val="32"/>
          <w:lang w:val="en-US" w:eastAsia="zh-CN"/>
        </w:rPr>
        <w:t>全覆盖；推动落实</w:t>
      </w:r>
      <w:r>
        <w:rPr>
          <w:rFonts w:hint="eastAsia" w:ascii="Times New Roman" w:hAnsi="Times New Roman" w:eastAsia="仿宋_GB2312" w:cs="仿宋_GB2312"/>
          <w:color w:val="auto"/>
          <w:sz w:val="32"/>
          <w:szCs w:val="32"/>
        </w:rPr>
        <w:t>在落实艾滋病防治“双下</w:t>
      </w:r>
      <w:r>
        <w:rPr>
          <w:rFonts w:hint="eastAsia" w:ascii="Times New Roman" w:hAnsi="Times New Roman" w:eastAsia="仿宋_GB2312" w:cs="仿宋_GB2312"/>
          <w:color w:val="auto"/>
          <w:sz w:val="32"/>
          <w:szCs w:val="32"/>
          <w:lang w:eastAsia="zh-CN"/>
        </w:rPr>
        <w:t>沉”工作中做到精准筛查、精准转介工作。发现的主要问题：</w:t>
      </w:r>
      <w:r>
        <w:rPr>
          <w:rFonts w:hint="eastAsia" w:ascii="Times New Roman" w:hAnsi="Times New Roman" w:eastAsia="仿宋_GB2312" w:cs="仿宋_GB2312"/>
          <w:color w:val="auto"/>
          <w:sz w:val="32"/>
          <w:szCs w:val="32"/>
          <w:lang w:val="zh-CN" w:eastAsia="zh-CN"/>
        </w:rPr>
        <w:t>由于财政资金困难，项目资金到位不及时，导致项目无法按时开展，对艾滋病防治造成极大影响，甚至造成疫情反弹</w:t>
      </w:r>
      <w:r>
        <w:rPr>
          <w:rFonts w:hint="eastAsia" w:ascii="Times New Roman" w:hAnsi="Times New Roman" w:eastAsia="仿宋_GB2312" w:cs="仿宋_GB2312"/>
          <w:color w:val="auto"/>
          <w:sz w:val="32"/>
          <w:szCs w:val="32"/>
          <w:lang w:eastAsia="zh-CN"/>
        </w:rPr>
        <w:t>。下一步改进措施：下年根据国家政策和环境因素及时调整年初预</w:t>
      </w:r>
      <w:r>
        <w:rPr>
          <w:rFonts w:hint="eastAsia" w:ascii="Times New Roman" w:hAnsi="Times New Roman" w:eastAsia="仿宋_GB2312" w:cs="仿宋_GB2312"/>
          <w:sz w:val="32"/>
          <w:szCs w:val="32"/>
          <w:lang w:eastAsia="zh-CN"/>
        </w:rPr>
        <w:t>算相关目标，</w:t>
      </w:r>
      <w:r>
        <w:rPr>
          <w:rFonts w:hint="eastAsia" w:ascii="Times New Roman" w:hAnsi="Times New Roman" w:eastAsia="仿宋_GB2312" w:cs="仿宋_GB2312"/>
          <w:color w:val="auto"/>
          <w:sz w:val="32"/>
          <w:szCs w:val="32"/>
          <w:lang w:val="zh-CN" w:eastAsia="zh-CN"/>
        </w:rPr>
        <w:t>财政局等及时安排拨付性病艾滋病防治项目资金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 xml:space="preserve">  </w:t>
      </w:r>
    </w:p>
    <w:p w14:paraId="5155B3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仿宋_GB2312"/>
          <w:highlight w:val="none"/>
        </w:rPr>
      </w:pPr>
      <w:r>
        <w:rPr>
          <w:rFonts w:hint="eastAsia" w:ascii="仿宋_GB2312" w:hAnsi="仿宋_GB2312" w:eastAsia="仿宋_GB2312" w:cs="仿宋_GB2312"/>
          <w:sz w:val="32"/>
          <w:szCs w:val="32"/>
          <w:lang w:val="en-US" w:eastAsia="zh-CN"/>
        </w:rPr>
        <w:t>（2）</w:t>
      </w:r>
      <w:r>
        <w:rPr>
          <w:rFonts w:hint="eastAsia" w:eastAsia="仿宋_GB2312" w:cs="仿宋_GB2312"/>
          <w:sz w:val="32"/>
          <w:szCs w:val="32"/>
          <w:lang w:eastAsia="zh-CN"/>
        </w:rPr>
        <w:t>传染病</w:t>
      </w:r>
      <w:r>
        <w:rPr>
          <w:rFonts w:hint="eastAsia" w:ascii="Times New Roman" w:hAnsi="Times New Roman" w:eastAsia="仿宋_GB2312" w:cs="仿宋_GB2312"/>
          <w:sz w:val="32"/>
          <w:szCs w:val="32"/>
        </w:rPr>
        <w:t>项目绩效目标完成情况综述。项目全年预算数</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万元，执行数为</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万元，完成预算的</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%。通过项目实施，完成霍乱监测、报告</w:t>
      </w:r>
      <w:r>
        <w:rPr>
          <w:rFonts w:hint="eastAsia" w:ascii="Times New Roman" w:hAnsi="Times New Roman" w:eastAsia="仿宋_GB2312" w:cs="仿宋_GB2312"/>
          <w:sz w:val="32"/>
          <w:szCs w:val="32"/>
          <w:lang w:eastAsia="zh-CN"/>
        </w:rPr>
        <w:t>，且未</w:t>
      </w:r>
      <w:r>
        <w:rPr>
          <w:rFonts w:hint="eastAsia" w:ascii="Times New Roman" w:hAnsi="Times New Roman" w:eastAsia="仿宋_GB2312" w:cs="仿宋_GB2312"/>
          <w:sz w:val="32"/>
          <w:szCs w:val="32"/>
        </w:rPr>
        <w:t>发现</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主要问</w:t>
      </w:r>
      <w:r>
        <w:rPr>
          <w:rFonts w:hint="eastAsia" w:ascii="Times New Roman" w:hAnsi="Times New Roman" w:eastAsia="仿宋_GB2312" w:cs="仿宋_GB2312"/>
          <w:sz w:val="32"/>
          <w:szCs w:val="32"/>
          <w:highlight w:val="none"/>
        </w:rPr>
        <w:t>题。</w:t>
      </w:r>
    </w:p>
    <w:p w14:paraId="53A4A585">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Times New Roman" w:hAnsi="Times New Roman" w:eastAsia="仿宋_GB2312" w:cs="仿宋_GB2312"/>
          <w:kern w:val="2"/>
          <w:sz w:val="32"/>
          <w:szCs w:val="32"/>
          <w:lang w:val="en-US" w:eastAsia="zh-CN" w:bidi="ar-SA"/>
        </w:rPr>
        <w:t>环境监测和消杀项目绩效目标完成情况综述。项目全年预算数50万元，执行数为50万元，完成预算的100%。通过项目实施，进一步完善了“政府组织领导、部门各负其责、全社会共同参与”的重大疾病防治机制，基本掌握大竹县城区病媒生物种群构成、密度、季节消长规律，按省市《病媒生物监测方案》及县爱卫会病媒生物防制工作要求，全面落实了“四害”密度监测、病媒生物控制工作，且未发现相关主要问题。</w:t>
      </w:r>
    </w:p>
    <w:p w14:paraId="4C6F3316">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eastAsia" w:ascii="Times New Roman" w:hAnsi="Times New Roman" w:eastAsia="仿宋_GB2312" w:cs="仿宋_GB2312"/>
          <w:sz w:val="32"/>
          <w:szCs w:val="32"/>
        </w:rPr>
        <w:t>结核</w:t>
      </w:r>
      <w:r>
        <w:rPr>
          <w:rFonts w:hint="eastAsia" w:ascii="Times New Roman" w:hAnsi="Times New Roman" w:eastAsia="仿宋_GB2312" w:cs="仿宋_GB2312"/>
          <w:sz w:val="32"/>
          <w:szCs w:val="32"/>
          <w:lang w:eastAsia="zh-CN"/>
        </w:rPr>
        <w:t>病</w:t>
      </w:r>
      <w:r>
        <w:rPr>
          <w:rFonts w:hint="eastAsia" w:ascii="Times New Roman" w:hAnsi="Times New Roman" w:eastAsia="仿宋_GB2312" w:cs="仿宋_GB2312"/>
          <w:sz w:val="32"/>
          <w:szCs w:val="32"/>
        </w:rPr>
        <w:t>项目绩效目标完成情况综述。</w:t>
      </w:r>
      <w:r>
        <w:rPr>
          <w:rFonts w:hint="eastAsia" w:ascii="Times New Roman" w:hAnsi="Times New Roman" w:eastAsia="仿宋_GB2312" w:cs="仿宋_GB2312"/>
          <w:kern w:val="2"/>
          <w:sz w:val="32"/>
          <w:szCs w:val="32"/>
          <w:lang w:val="en-US" w:eastAsia="zh-CN" w:bidi="ar-SA"/>
        </w:rPr>
        <w:t>项目全年预算数13万元，执行数为13万元，完成预算的100%。通过项目实施，加大结核病患者发现力度，对门诊结核病患者开展规范抗结核治疗，提高患者规范服药率从而达到降低结核病的传播和流行，指导各医疗卫生单位做好辖区病人的管理以及追踪督导工作，定期开展结核病防治知识宣传提高大众对结核病核心知识知晓率。收集整理结核病疫情资料，提出防治规划，培训基层防痨人员，指导考核基层结核病归口管理和完成结核病防治项目任务，且未发现相关主要问题。</w:t>
      </w:r>
    </w:p>
    <w:p w14:paraId="2DE5A2E5">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Times New Roman" w:hAnsi="Times New Roman" w:eastAsia="仿宋_GB2312" w:cs="仿宋_GB2312"/>
          <w:sz w:val="32"/>
          <w:szCs w:val="32"/>
          <w:lang w:val="en-US" w:eastAsia="zh-CN"/>
        </w:rPr>
        <w:t>结核筛查工作经费项目绩效目标完成情况综述。</w:t>
      </w:r>
      <w:r>
        <w:rPr>
          <w:rFonts w:hint="eastAsia" w:ascii="Times New Roman" w:hAnsi="Times New Roman" w:eastAsia="仿宋_GB2312" w:cs="仿宋_GB2312"/>
          <w:kern w:val="2"/>
          <w:sz w:val="32"/>
          <w:szCs w:val="32"/>
          <w:lang w:val="en-US" w:eastAsia="zh-CN" w:bidi="ar-SA"/>
        </w:rPr>
        <w:t>项目全年预算数130万元，执行数为130万元，完成预算的100%。通过项目实施，每年开展重点人群结核病筛查，确保初一、高一和高三学生及幼托机构入园和小学入学学生等重点学生群体结核病筛查率达100%，早发现、早治疗结核病，保障学生顺利升学、学习和学校正常教学秩序，杜绝学校结核病聚集性疫情的发生发展，且未发现相关主要问题。</w:t>
      </w:r>
    </w:p>
    <w:p w14:paraId="7E0CF979">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w:t>
      </w:r>
      <w:r>
        <w:rPr>
          <w:rFonts w:hint="eastAsia" w:ascii="Times New Roman" w:hAnsi="Times New Roman" w:eastAsia="仿宋_GB2312" w:cs="仿宋_GB2312"/>
          <w:sz w:val="32"/>
          <w:szCs w:val="32"/>
          <w:lang w:eastAsia="zh-CN"/>
        </w:rPr>
        <w:t>麻风病项目绩效目标完成情况综述。</w:t>
      </w:r>
      <w:r>
        <w:rPr>
          <w:rFonts w:hint="eastAsia" w:ascii="Times New Roman" w:hAnsi="Times New Roman" w:eastAsia="仿宋_GB2312" w:cs="仿宋_GB2312"/>
          <w:kern w:val="2"/>
          <w:sz w:val="32"/>
          <w:szCs w:val="32"/>
          <w:lang w:val="en-US" w:eastAsia="zh-CN" w:bidi="ar-SA"/>
        </w:rPr>
        <w:t>项目全年预算数3万元，执行数为3万元，完成预算的100%。通过项目实施，麻风病线索调查报告率100%；麻风病按规定随访到位率100%；麻风病治愈存活者监测率100%,麻风病密切接触者监测率100%，且未发现相关主要问题。</w:t>
      </w:r>
    </w:p>
    <w:p w14:paraId="484B0D96">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Times New Roman" w:hAnsi="Times New Roman" w:eastAsia="仿宋_GB2312" w:cs="仿宋_GB2312"/>
          <w:sz w:val="32"/>
          <w:szCs w:val="32"/>
          <w:lang w:val="en-US" w:eastAsia="zh-CN"/>
        </w:rPr>
        <w:t>美沙酮项目绩效目标完成情况综述。</w:t>
      </w:r>
      <w:r>
        <w:rPr>
          <w:rFonts w:hint="eastAsia" w:ascii="Times New Roman" w:hAnsi="Times New Roman" w:eastAsia="仿宋_GB2312" w:cs="仿宋_GB2312"/>
          <w:kern w:val="2"/>
          <w:sz w:val="32"/>
          <w:szCs w:val="32"/>
          <w:lang w:val="en-US" w:eastAsia="zh-CN" w:bidi="ar-SA"/>
        </w:rPr>
        <w:t>项目全年预算数20万元，执行数为20万元，完成预算的100%。通过项目实施，满足服药人员需求。降低了毒品危害，有效遏制了艾滋病蔓延，减少了吸毒引发的治安刑事案件，且未发现相关主要问题。</w:t>
      </w:r>
    </w:p>
    <w:p w14:paraId="4DADAA34">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（8）</w:t>
      </w:r>
      <w:r>
        <w:rPr>
          <w:rFonts w:hint="eastAsia" w:ascii="Times New Roman" w:hAnsi="Times New Roman" w:eastAsia="仿宋_GB2312" w:cs="仿宋_GB2312"/>
          <w:sz w:val="32"/>
          <w:szCs w:val="32"/>
          <w:lang w:val="en-US" w:eastAsia="zh-CN"/>
        </w:rPr>
        <w:t>免疫规划项目绩效目标完成情况综述。</w:t>
      </w:r>
      <w:r>
        <w:rPr>
          <w:rFonts w:hint="eastAsia" w:ascii="Times New Roman" w:hAnsi="Times New Roman" w:eastAsia="仿宋_GB2312" w:cs="仿宋_GB2312"/>
          <w:kern w:val="2"/>
          <w:sz w:val="32"/>
          <w:szCs w:val="32"/>
          <w:lang w:val="en-US" w:eastAsia="zh-CN" w:bidi="ar-SA"/>
        </w:rPr>
        <w:t>项目全年预算数144万元，执行数为144万元，完成预算的100%。通过项目实施，国家扩大免疫，为0</w:t>
      </w:r>
      <w:r>
        <w:rPr>
          <w:rFonts w:hint="eastAsia" w:ascii="Times New Roman"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6岁适龄儿童开展常规接种，保证新生儿童乙肝首剂接种率和及时率达国家标准，且未发现相关主要问题。</w:t>
      </w:r>
    </w:p>
    <w:p w14:paraId="3F5D1557">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w:t>
      </w:r>
      <w:r>
        <w:rPr>
          <w:rFonts w:hint="eastAsia" w:ascii="Times New Roman" w:hAnsi="Times New Roman" w:eastAsia="仿宋_GB2312" w:cs="仿宋_GB2312"/>
          <w:sz w:val="32"/>
          <w:szCs w:val="32"/>
          <w:lang w:val="en-US" w:eastAsia="zh-CN"/>
        </w:rPr>
        <w:t>新冠防控经费项目绩效目标完成情况综述。</w:t>
      </w:r>
      <w:r>
        <w:rPr>
          <w:rFonts w:hint="eastAsia" w:ascii="Times New Roman" w:hAnsi="Times New Roman" w:eastAsia="仿宋_GB2312" w:cs="仿宋_GB2312"/>
          <w:kern w:val="2"/>
          <w:sz w:val="32"/>
          <w:szCs w:val="32"/>
          <w:lang w:val="en-US" w:eastAsia="zh-CN" w:bidi="ar-SA"/>
        </w:rPr>
        <w:t>项目全年预算数</w:t>
      </w:r>
      <w:r>
        <w:rPr>
          <w:rFonts w:hint="eastAsia" w:ascii="Times New Roman" w:eastAsia="仿宋_GB2312" w:cs="仿宋_GB2312"/>
          <w:kern w:val="2"/>
          <w:sz w:val="32"/>
          <w:szCs w:val="32"/>
          <w:lang w:val="en-US" w:eastAsia="zh-CN" w:bidi="ar-SA"/>
        </w:rPr>
        <w:t>3263.07</w:t>
      </w:r>
      <w:r>
        <w:rPr>
          <w:rFonts w:hint="eastAsia" w:ascii="Times New Roman" w:hAnsi="Times New Roman" w:eastAsia="仿宋_GB2312" w:cs="仿宋_GB2312"/>
          <w:kern w:val="2"/>
          <w:sz w:val="32"/>
          <w:szCs w:val="32"/>
          <w:lang w:val="en-US" w:eastAsia="zh-CN" w:bidi="ar-SA"/>
        </w:rPr>
        <w:t>万元，执行数为</w:t>
      </w:r>
      <w:r>
        <w:rPr>
          <w:rFonts w:hint="eastAsia" w:ascii="Times New Roman" w:eastAsia="仿宋_GB2312" w:cs="仿宋_GB2312"/>
          <w:kern w:val="2"/>
          <w:sz w:val="32"/>
          <w:szCs w:val="32"/>
          <w:lang w:val="en-US" w:eastAsia="zh-CN" w:bidi="ar-SA"/>
        </w:rPr>
        <w:t>3263.07</w:t>
      </w:r>
      <w:r>
        <w:rPr>
          <w:rFonts w:hint="eastAsia" w:ascii="Times New Roman" w:hAnsi="Times New Roman" w:eastAsia="仿宋_GB2312" w:cs="仿宋_GB2312"/>
          <w:kern w:val="2"/>
          <w:sz w:val="32"/>
          <w:szCs w:val="32"/>
          <w:lang w:val="en-US" w:eastAsia="zh-CN" w:bidi="ar-SA"/>
        </w:rPr>
        <w:t>万元，完成预算的100%。通过项目实施，进行新冠肺炎疫情监测、疫情处置及协查处置，未发现相关主要问题。</w:t>
      </w:r>
    </w:p>
    <w:p w14:paraId="1365F8CF">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w:t>
      </w:r>
      <w:r>
        <w:rPr>
          <w:rFonts w:hint="eastAsia" w:ascii="Times New Roman" w:hAnsi="Times New Roman" w:eastAsia="仿宋_GB2312" w:cs="仿宋_GB2312"/>
          <w:sz w:val="32"/>
          <w:szCs w:val="32"/>
          <w:lang w:val="en-US" w:eastAsia="zh-CN"/>
        </w:rPr>
        <w:t>预防性体检及卫生检测成本支出项目绩效目标完成情况综述。</w:t>
      </w:r>
      <w:r>
        <w:rPr>
          <w:rFonts w:hint="eastAsia" w:ascii="Times New Roman" w:hAnsi="Times New Roman" w:eastAsia="仿宋_GB2312" w:cs="仿宋_GB2312"/>
          <w:kern w:val="2"/>
          <w:sz w:val="32"/>
          <w:szCs w:val="32"/>
          <w:lang w:val="en-US" w:eastAsia="zh-CN" w:bidi="ar-SA"/>
        </w:rPr>
        <w:t>项目全年预算数300万元，执行数为300万元，完成预算的100%。通过项目实施，贯彻落实《传染病防治法》等法律法规，对全县从业人员和劳动者开展预防性健康体检，对各类场所开展卫生监测，为预防和控制传染病疫情，防治职业病的产生发展等提供支撑，促进各企业、县内经济和社会良性发展，且未发现相关主要问题。</w:t>
      </w:r>
    </w:p>
    <w:p w14:paraId="72474934">
      <w:pPr>
        <w:pStyle w:val="2"/>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640" w:firstLineChars="200"/>
        <w:textAlignment w:val="auto"/>
        <w:rPr>
          <w:rFonts w:hint="eastAsia" w:ascii="Times New Roman" w:hAnsi="Times New Roman"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（11）</w:t>
      </w:r>
      <w:r>
        <w:rPr>
          <w:rFonts w:hint="eastAsia" w:ascii="Times New Roman" w:hAnsi="Times New Roman" w:eastAsia="仿宋_GB2312" w:cs="仿宋_GB2312"/>
          <w:kern w:val="2"/>
          <w:sz w:val="32"/>
          <w:szCs w:val="32"/>
          <w:lang w:val="en-US" w:eastAsia="zh-CN" w:bidi="ar-SA"/>
        </w:rPr>
        <w:t>根据预算绩效管理要求，本单位在2023年度预算编制阶段，组织对0个项目开展了预算事前绩效评估，对10个项目编制了绩效目标，预算执行过程中，10个项目均开展绩效监控，年终执行完毕后，对10个项目开展了绩效自评，2023年特定目标类部门预算项目绩效目标自评表及报告见第四部分附件。</w:t>
      </w:r>
      <w:r>
        <w:rPr>
          <w:rFonts w:hint="eastAsia" w:ascii="Times New Roman" w:hAnsi="Times New Roman" w:eastAsia="仿宋_GB2312" w:cs="仿宋_GB2312"/>
          <w:sz w:val="32"/>
          <w:szCs w:val="32"/>
          <w:highlight w:val="none"/>
        </w:rPr>
        <w:br w:type="page"/>
      </w:r>
    </w:p>
    <w:p w14:paraId="5E829F02">
      <w:pPr>
        <w:pStyle w:val="4"/>
        <w:jc w:val="center"/>
        <w:rPr>
          <w:rFonts w:hint="eastAsia" w:ascii="Times New Roman" w:hAnsi="Times New Roman" w:eastAsia="方正小标宋简体" w:cs="方正小标宋简体"/>
        </w:rPr>
      </w:pPr>
      <w:bookmarkStart w:id="75" w:name="_Toc30916"/>
      <w:r>
        <w:rPr>
          <w:rFonts w:hint="eastAsia" w:ascii="Times New Roman" w:hAnsi="Times New Roman" w:eastAsia="方正小标宋简体" w:cs="方正小标宋简体"/>
        </w:rPr>
        <w:t>第三部分 名词解释</w:t>
      </w:r>
      <w:bookmarkEnd w:id="75"/>
    </w:p>
    <w:p w14:paraId="48B0A6C9">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76" w:name="_Toc29009"/>
      <w:bookmarkStart w:id="77" w:name="_Toc17927"/>
      <w:bookmarkStart w:id="78" w:name="_Toc4458"/>
      <w:bookmarkStart w:id="79" w:name="_Toc31412"/>
      <w:bookmarkStart w:id="80" w:name="_Toc28199"/>
      <w:bookmarkStart w:id="81" w:name="_Toc15333"/>
      <w:bookmarkStart w:id="82" w:name="_Toc8701"/>
      <w:r>
        <w:rPr>
          <w:rFonts w:hint="eastAsia" w:ascii="仿宋_GB2312" w:hAnsi="仿宋_GB2312" w:eastAsia="仿宋_GB2312" w:cs="仿宋_GB2312"/>
          <w:color w:val="auto"/>
          <w:kern w:val="2"/>
          <w:sz w:val="32"/>
          <w:szCs w:val="32"/>
          <w:lang w:val="en-US" w:eastAsia="zh-CN" w:bidi="ar-SA"/>
        </w:rPr>
        <w:t>1.财政拨款收入：指单位从同级财政部门取得的财政预算资金。</w:t>
      </w:r>
      <w:bookmarkEnd w:id="76"/>
      <w:bookmarkEnd w:id="77"/>
      <w:bookmarkEnd w:id="78"/>
      <w:bookmarkEnd w:id="79"/>
      <w:bookmarkEnd w:id="80"/>
      <w:bookmarkEnd w:id="81"/>
    </w:p>
    <w:p w14:paraId="3782E999">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83" w:name="_Toc16895"/>
      <w:bookmarkStart w:id="84" w:name="_Toc4687"/>
      <w:bookmarkStart w:id="85" w:name="_Toc36"/>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事业收入：指事业单位开展专业业务活动及辅助活动取得的收入。</w:t>
      </w:r>
      <w:bookmarkEnd w:id="83"/>
      <w:bookmarkEnd w:id="84"/>
      <w:bookmarkEnd w:id="85"/>
    </w:p>
    <w:p w14:paraId="29955A2A">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86" w:name="_Toc26529"/>
      <w:bookmarkStart w:id="87" w:name="_Toc6069"/>
      <w:bookmarkStart w:id="88" w:name="_Toc25632"/>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经营收入：指事业单位在专业业务活动及其辅助活动之外开展非独立核算经营活动取得的收入。</w:t>
      </w:r>
      <w:bookmarkEnd w:id="86"/>
      <w:bookmarkEnd w:id="87"/>
      <w:bookmarkEnd w:id="88"/>
    </w:p>
    <w:p w14:paraId="13A76A52">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89" w:name="_Toc27823"/>
      <w:bookmarkStart w:id="90" w:name="_Toc19570"/>
      <w:bookmarkStart w:id="91" w:name="_Toc14253"/>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rPr>
        <w:t>其他收入：指单位取得的除上述收入以外的各项收入。</w:t>
      </w:r>
      <w:bookmarkEnd w:id="89"/>
      <w:bookmarkEnd w:id="90"/>
      <w:bookmarkEnd w:id="91"/>
    </w:p>
    <w:p w14:paraId="3C5A7543">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92" w:name="_Toc25183"/>
      <w:bookmarkStart w:id="93" w:name="_Toc2015"/>
      <w:bookmarkStart w:id="94" w:name="_Toc27625"/>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使用非财政拨款结余</w:t>
      </w:r>
      <w:r>
        <w:rPr>
          <w:rFonts w:hint="eastAsia" w:ascii="仿宋_GB2312" w:hAnsi="仿宋_GB2312" w:eastAsia="仿宋_GB2312" w:cs="仿宋_GB2312"/>
          <w:color w:val="auto"/>
          <w:sz w:val="32"/>
          <w:szCs w:val="32"/>
          <w:highlight w:val="none"/>
        </w:rPr>
        <w:t>：指事业单位</w:t>
      </w:r>
      <w:r>
        <w:rPr>
          <w:rFonts w:hint="eastAsia" w:ascii="仿宋_GB2312" w:hAnsi="仿宋_GB2312" w:eastAsia="仿宋_GB2312" w:cs="仿宋_GB2312"/>
          <w:color w:val="auto"/>
          <w:sz w:val="32"/>
          <w:szCs w:val="32"/>
          <w:highlight w:val="none"/>
          <w:lang w:eastAsia="zh-CN"/>
        </w:rPr>
        <w:t>使用以前年度积累的非财政拨款结余弥补当年收支差额的金额。</w:t>
      </w:r>
      <w:bookmarkEnd w:id="92"/>
      <w:bookmarkEnd w:id="93"/>
      <w:bookmarkEnd w:id="94"/>
      <w:r>
        <w:rPr>
          <w:rFonts w:hint="eastAsia" w:ascii="仿宋_GB2312" w:hAnsi="仿宋_GB2312" w:eastAsia="仿宋_GB2312" w:cs="仿宋_GB2312"/>
          <w:color w:val="auto"/>
          <w:sz w:val="32"/>
          <w:szCs w:val="32"/>
          <w:highlight w:val="none"/>
        </w:rPr>
        <w:t xml:space="preserve"> </w:t>
      </w:r>
    </w:p>
    <w:p w14:paraId="73859540">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95" w:name="_Toc3184"/>
      <w:bookmarkStart w:id="96" w:name="_Toc3938"/>
      <w:bookmarkStart w:id="97" w:name="_Toc27775"/>
      <w:r>
        <w:rPr>
          <w:rFonts w:hint="eastAsia" w:ascii="仿宋_GB2312" w:hAnsi="仿宋_GB2312" w:eastAsia="仿宋_GB2312" w:cs="仿宋_GB2312"/>
          <w:color w:val="auto"/>
          <w:sz w:val="32"/>
          <w:szCs w:val="32"/>
          <w:highlight w:val="none"/>
        </w:rPr>
        <w:t>6.年初结转和结余：指以前年度尚未完成、结转到本年按有关规定继续使用的资金。</w:t>
      </w:r>
      <w:bookmarkEnd w:id="95"/>
      <w:bookmarkEnd w:id="96"/>
      <w:bookmarkEnd w:id="97"/>
      <w:r>
        <w:rPr>
          <w:rFonts w:hint="eastAsia" w:ascii="仿宋_GB2312" w:hAnsi="仿宋_GB2312" w:eastAsia="仿宋_GB2312" w:cs="仿宋_GB2312"/>
          <w:color w:val="auto"/>
          <w:sz w:val="32"/>
          <w:szCs w:val="32"/>
          <w:highlight w:val="none"/>
        </w:rPr>
        <w:t xml:space="preserve"> </w:t>
      </w:r>
    </w:p>
    <w:p w14:paraId="62BD0A3E">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98" w:name="_Toc24527"/>
      <w:bookmarkStart w:id="99" w:name="_Toc14186"/>
      <w:bookmarkStart w:id="100" w:name="_Toc21773"/>
      <w:r>
        <w:rPr>
          <w:rFonts w:hint="eastAsia" w:ascii="仿宋_GB2312" w:hAnsi="仿宋_GB2312" w:eastAsia="仿宋_GB2312" w:cs="仿宋_GB2312"/>
          <w:color w:val="auto"/>
          <w:sz w:val="32"/>
          <w:szCs w:val="32"/>
          <w:highlight w:val="none"/>
        </w:rPr>
        <w:t>7.结余分配：指事业单位按照会计制度规定</w:t>
      </w:r>
      <w:r>
        <w:rPr>
          <w:rFonts w:hint="eastAsia" w:ascii="仿宋_GB2312" w:hAnsi="仿宋_GB2312" w:eastAsia="仿宋_GB2312" w:cs="仿宋_GB2312"/>
          <w:color w:val="auto"/>
          <w:sz w:val="32"/>
          <w:szCs w:val="32"/>
          <w:highlight w:val="none"/>
          <w:lang w:eastAsia="zh-CN"/>
        </w:rPr>
        <w:t>缴纳的所得税、提取的专用结余以及转入非财政拨款结余的金额</w:t>
      </w:r>
      <w:r>
        <w:rPr>
          <w:rFonts w:hint="eastAsia" w:ascii="仿宋_GB2312" w:hAnsi="仿宋_GB2312" w:eastAsia="仿宋_GB2312" w:cs="仿宋_GB2312"/>
          <w:color w:val="auto"/>
          <w:sz w:val="32"/>
          <w:szCs w:val="32"/>
          <w:highlight w:val="none"/>
        </w:rPr>
        <w:t>等。</w:t>
      </w:r>
      <w:bookmarkEnd w:id="98"/>
      <w:bookmarkEnd w:id="99"/>
      <w:bookmarkEnd w:id="100"/>
    </w:p>
    <w:p w14:paraId="419D6690">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101" w:name="_Toc22576"/>
      <w:bookmarkStart w:id="102" w:name="_Toc32717"/>
      <w:bookmarkStart w:id="103" w:name="_Toc21987"/>
      <w:r>
        <w:rPr>
          <w:rFonts w:hint="eastAsia" w:ascii="仿宋_GB2312" w:hAnsi="仿宋_GB2312" w:eastAsia="仿宋_GB2312" w:cs="仿宋_GB2312"/>
          <w:color w:val="auto"/>
          <w:sz w:val="32"/>
          <w:szCs w:val="32"/>
          <w:highlight w:val="none"/>
        </w:rPr>
        <w:t>8、年末结转和结余：指单位按有关规定结转到下年或以后年度继续使用的资金。</w:t>
      </w:r>
      <w:bookmarkEnd w:id="101"/>
      <w:bookmarkEnd w:id="102"/>
      <w:bookmarkEnd w:id="103"/>
    </w:p>
    <w:p w14:paraId="634295A7">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04" w:name="_Toc12447"/>
      <w:bookmarkStart w:id="105" w:name="_Toc30606"/>
      <w:r>
        <w:rPr>
          <w:rFonts w:hint="eastAsia" w:ascii="仿宋_GB2312" w:hAnsi="仿宋_GB2312" w:eastAsia="仿宋_GB2312" w:cs="仿宋_GB2312"/>
          <w:color w:val="auto"/>
          <w:sz w:val="32"/>
          <w:szCs w:val="32"/>
          <w:highlight w:val="none"/>
          <w:lang w:val="en-US" w:eastAsia="zh-CN"/>
        </w:rPr>
        <w:t>9.社会保障和就业（类）行政事业单位离退休（款）事业单位离退休（项）:指本单位退休人员经费、生活补助及抚恤金等。</w:t>
      </w:r>
      <w:bookmarkEnd w:id="82"/>
      <w:bookmarkEnd w:id="104"/>
      <w:bookmarkEnd w:id="105"/>
    </w:p>
    <w:p w14:paraId="70499B3F">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06" w:name="_Toc24037"/>
      <w:bookmarkStart w:id="107" w:name="_Toc27383"/>
      <w:r>
        <w:rPr>
          <w:rFonts w:hint="eastAsia" w:ascii="仿宋_GB2312" w:hAnsi="仿宋_GB2312" w:eastAsia="仿宋_GB2312" w:cs="仿宋_GB2312"/>
          <w:color w:val="auto"/>
          <w:sz w:val="32"/>
          <w:szCs w:val="32"/>
          <w:highlight w:val="none"/>
          <w:lang w:val="en-US" w:eastAsia="zh-CN"/>
        </w:rPr>
        <w:t>10．社会保障和就业（类）行政事业单位养老支出（款）</w:t>
      </w:r>
      <w:bookmarkEnd w:id="106"/>
      <w:bookmarkEnd w:id="107"/>
      <w:r>
        <w:rPr>
          <w:rFonts w:hint="eastAsia" w:ascii="仿宋_GB2312" w:hAnsi="仿宋_GB2312" w:eastAsia="仿宋_GB2312" w:cs="仿宋_GB2312"/>
          <w:color w:val="auto"/>
          <w:sz w:val="32"/>
          <w:szCs w:val="32"/>
          <w:highlight w:val="none"/>
          <w:lang w:val="en-US" w:eastAsia="zh-CN"/>
        </w:rPr>
        <w:t xml:space="preserve"> </w:t>
      </w:r>
    </w:p>
    <w:p w14:paraId="74EE9D07">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08" w:name="_Toc15821"/>
      <w:bookmarkStart w:id="109" w:name="_Toc30892"/>
      <w:r>
        <w:rPr>
          <w:rFonts w:hint="eastAsia" w:ascii="仿宋_GB2312" w:hAnsi="仿宋_GB2312" w:eastAsia="仿宋_GB2312" w:cs="仿宋_GB2312"/>
          <w:color w:val="auto"/>
          <w:sz w:val="32"/>
          <w:szCs w:val="32"/>
          <w:highlight w:val="none"/>
          <w:lang w:val="en-US" w:eastAsia="zh-CN"/>
        </w:rPr>
        <w:t>机关事业单位基本养老保险缴费支出（项）：指用于机关事业单位实施养老保险制度由单位缴纳的基本保险费支出。</w:t>
      </w:r>
      <w:bookmarkEnd w:id="108"/>
      <w:bookmarkEnd w:id="109"/>
    </w:p>
    <w:p w14:paraId="04400054">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10" w:name="_Toc12826"/>
      <w:bookmarkStart w:id="111" w:name="_Toc1068"/>
      <w:r>
        <w:rPr>
          <w:rFonts w:hint="eastAsia" w:ascii="仿宋_GB2312" w:hAnsi="仿宋_GB2312" w:eastAsia="仿宋_GB2312" w:cs="仿宋_GB2312"/>
          <w:color w:val="auto"/>
          <w:sz w:val="32"/>
          <w:szCs w:val="32"/>
          <w:highlight w:val="none"/>
          <w:lang w:val="en-US" w:eastAsia="zh-CN"/>
        </w:rPr>
        <w:t>11．社会保障和就业（类）行政事业单位养老支出（款）</w:t>
      </w:r>
      <w:bookmarkEnd w:id="110"/>
      <w:bookmarkEnd w:id="111"/>
      <w:r>
        <w:rPr>
          <w:rFonts w:hint="eastAsia" w:ascii="仿宋_GB2312" w:hAnsi="仿宋_GB2312" w:eastAsia="仿宋_GB2312" w:cs="仿宋_GB2312"/>
          <w:color w:val="auto"/>
          <w:sz w:val="32"/>
          <w:szCs w:val="32"/>
          <w:highlight w:val="none"/>
          <w:lang w:val="en-US" w:eastAsia="zh-CN"/>
        </w:rPr>
        <w:t xml:space="preserve"> </w:t>
      </w:r>
    </w:p>
    <w:p w14:paraId="0CDD2AAE">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12" w:name="_Toc30614"/>
      <w:bookmarkStart w:id="113" w:name="_Toc15999"/>
      <w:r>
        <w:rPr>
          <w:rFonts w:hint="eastAsia" w:ascii="仿宋_GB2312" w:hAnsi="仿宋_GB2312" w:eastAsia="仿宋_GB2312" w:cs="仿宋_GB2312"/>
          <w:color w:val="auto"/>
          <w:sz w:val="32"/>
          <w:szCs w:val="32"/>
          <w:highlight w:val="none"/>
          <w:lang w:val="en-US" w:eastAsia="zh-CN"/>
        </w:rPr>
        <w:t>机关事业单位职业年金缴费支出（项）：反应机关事业单位实施养老保险制度由单位实际缴纳的职业年金支出（含职业年金补记支出）。</w:t>
      </w:r>
      <w:bookmarkEnd w:id="112"/>
      <w:bookmarkEnd w:id="113"/>
      <w:r>
        <w:rPr>
          <w:rFonts w:hint="eastAsia" w:ascii="仿宋_GB2312" w:hAnsi="仿宋_GB2312" w:eastAsia="仿宋_GB2312" w:cs="仿宋_GB2312"/>
          <w:color w:val="auto"/>
          <w:sz w:val="32"/>
          <w:szCs w:val="32"/>
          <w:highlight w:val="none"/>
          <w:lang w:val="en-US" w:eastAsia="zh-CN"/>
        </w:rPr>
        <w:t xml:space="preserve"> </w:t>
      </w:r>
    </w:p>
    <w:p w14:paraId="1FB71E74">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14" w:name="_Toc25773"/>
      <w:bookmarkStart w:id="115" w:name="_Toc18686"/>
      <w:r>
        <w:rPr>
          <w:rFonts w:hint="eastAsia" w:ascii="仿宋_GB2312" w:hAnsi="仿宋_GB2312" w:eastAsia="仿宋_GB2312" w:cs="仿宋_GB2312"/>
          <w:color w:val="auto"/>
          <w:sz w:val="32"/>
          <w:szCs w:val="32"/>
          <w:highlight w:val="none"/>
          <w:lang w:val="en-US" w:eastAsia="zh-CN"/>
        </w:rPr>
        <w:t>12．社会保障和就业（类）行政事业单位养老支出（款）</w:t>
      </w:r>
      <w:bookmarkEnd w:id="114"/>
      <w:bookmarkEnd w:id="115"/>
      <w:r>
        <w:rPr>
          <w:rFonts w:hint="eastAsia" w:ascii="仿宋_GB2312" w:hAnsi="仿宋_GB2312" w:eastAsia="仿宋_GB2312" w:cs="仿宋_GB2312"/>
          <w:color w:val="auto"/>
          <w:sz w:val="32"/>
          <w:szCs w:val="32"/>
          <w:highlight w:val="none"/>
          <w:lang w:val="en-US" w:eastAsia="zh-CN"/>
        </w:rPr>
        <w:t xml:space="preserve"> </w:t>
      </w:r>
    </w:p>
    <w:p w14:paraId="1309D08F">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2"/>
        <w:rPr>
          <w:rFonts w:hint="eastAsia"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其他行政事业单位养老支出（项）：指其他用于行政事业单位</w:t>
      </w:r>
      <w:bookmarkStart w:id="116" w:name="_Toc14004"/>
      <w:bookmarkStart w:id="117" w:name="_Toc19790"/>
      <w:r>
        <w:rPr>
          <w:rFonts w:hint="eastAsia" w:ascii="仿宋_GB2312" w:hAnsi="仿宋_GB2312" w:eastAsia="仿宋_GB2312" w:cs="仿宋_GB2312"/>
          <w:color w:val="auto"/>
          <w:sz w:val="32"/>
          <w:szCs w:val="32"/>
          <w:highlight w:val="none"/>
          <w:lang w:val="en-US" w:eastAsia="zh-CN"/>
        </w:rPr>
        <w:t>养老方面的支出。</w:t>
      </w:r>
      <w:bookmarkEnd w:id="116"/>
      <w:bookmarkEnd w:id="117"/>
      <w:r>
        <w:rPr>
          <w:rFonts w:hint="eastAsia" w:ascii="Times New Roman" w:hAnsi="Times New Roman" w:eastAsia="仿宋_GB2312" w:cs="仿宋_GB2312"/>
          <w:color w:val="auto"/>
          <w:sz w:val="32"/>
          <w:szCs w:val="32"/>
          <w:highlight w:val="none"/>
          <w:lang w:val="en-US" w:eastAsia="zh-CN"/>
        </w:rPr>
        <w:t xml:space="preserve"> </w:t>
      </w:r>
    </w:p>
    <w:p w14:paraId="42D52EE8">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18" w:name="_Toc16106"/>
      <w:bookmarkStart w:id="119" w:name="_Toc9318"/>
      <w:r>
        <w:rPr>
          <w:rFonts w:hint="eastAsia" w:ascii="仿宋_GB2312" w:hAnsi="仿宋_GB2312" w:eastAsia="仿宋_GB2312" w:cs="仿宋_GB2312"/>
          <w:color w:val="auto"/>
          <w:sz w:val="32"/>
          <w:szCs w:val="32"/>
          <w:highlight w:val="none"/>
          <w:lang w:val="en-US" w:eastAsia="zh-CN"/>
        </w:rPr>
        <w:t>13.社会保障和就业支出（类）抚恤（款）死亡抚恤（项）:指反映按规定用于烈士和牺牲、病故人员家属的一次性和定期抚恤金、丧葬补助费以及烈士褒扬金。</w:t>
      </w:r>
      <w:bookmarkEnd w:id="118"/>
      <w:bookmarkEnd w:id="119"/>
    </w:p>
    <w:p w14:paraId="1EAD7F55">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20" w:name="_Toc3290"/>
      <w:bookmarkStart w:id="121" w:name="_Toc17588"/>
      <w:r>
        <w:rPr>
          <w:rFonts w:hint="eastAsia" w:ascii="仿宋_GB2312" w:hAnsi="仿宋_GB2312" w:eastAsia="仿宋_GB2312" w:cs="仿宋_GB2312"/>
          <w:color w:val="auto"/>
          <w:sz w:val="32"/>
          <w:szCs w:val="32"/>
          <w:highlight w:val="none"/>
          <w:lang w:val="en-US" w:eastAsia="zh-CN"/>
        </w:rPr>
        <w:t>14.社会保障和就业（类）其他社会保障和就业支出（款）</w:t>
      </w:r>
      <w:bookmarkEnd w:id="120"/>
      <w:bookmarkEnd w:id="121"/>
      <w:r>
        <w:rPr>
          <w:rFonts w:hint="eastAsia" w:ascii="仿宋_GB2312" w:hAnsi="仿宋_GB2312" w:eastAsia="仿宋_GB2312" w:cs="仿宋_GB2312"/>
          <w:color w:val="auto"/>
          <w:sz w:val="32"/>
          <w:szCs w:val="32"/>
          <w:highlight w:val="none"/>
          <w:lang w:val="en-US" w:eastAsia="zh-CN"/>
        </w:rPr>
        <w:t xml:space="preserve"> </w:t>
      </w:r>
    </w:p>
    <w:p w14:paraId="3BF23CFF">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其他社会保障和就业支出（项）：指其他用于社会保障和就业方面的支出。</w:t>
      </w:r>
    </w:p>
    <w:p w14:paraId="5A822428">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22" w:name="_Toc19574"/>
      <w:bookmarkStart w:id="123" w:name="_Toc2816"/>
      <w:bookmarkStart w:id="124" w:name="_Toc15865"/>
      <w:r>
        <w:rPr>
          <w:rFonts w:hint="eastAsia" w:ascii="仿宋_GB2312" w:hAnsi="仿宋_GB2312" w:eastAsia="仿宋_GB2312" w:cs="仿宋_GB2312"/>
          <w:color w:val="auto"/>
          <w:sz w:val="32"/>
          <w:szCs w:val="32"/>
          <w:highlight w:val="none"/>
          <w:lang w:val="en-US" w:eastAsia="zh-CN"/>
        </w:rPr>
        <w:t>15.卫生健康支出（类）公共卫生（款）疾病预防控制机构/基本公共卫生服务/重大公共卫生服务/其他公共卫生支出（项）：指反映重大疾病预防控制等重大公共卫生服务项目支出及其他用于公共卫生方面的支出。</w:t>
      </w:r>
      <w:bookmarkEnd w:id="122"/>
      <w:bookmarkEnd w:id="123"/>
      <w:bookmarkEnd w:id="124"/>
    </w:p>
    <w:p w14:paraId="5C599CBD">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25" w:name="_Toc17819"/>
      <w:bookmarkStart w:id="126" w:name="_Toc8912"/>
      <w:r>
        <w:rPr>
          <w:rFonts w:hint="eastAsia" w:ascii="仿宋_GB2312" w:hAnsi="仿宋_GB2312" w:eastAsia="仿宋_GB2312" w:cs="仿宋_GB2312"/>
          <w:color w:val="auto"/>
          <w:sz w:val="32"/>
          <w:szCs w:val="32"/>
          <w:highlight w:val="none"/>
          <w:lang w:val="en-US" w:eastAsia="zh-CN"/>
        </w:rPr>
        <w:t>16.卫生健康支出（类）行政事业单位医疗（款）事业单位医疗支出（项）:指反映财政部门安排的事业单位基本医疗保险缴费经费，未参加医疗保险的事业单位的公费医疗经费，按国家规定享受离休人员待遇的医疗经费。</w:t>
      </w:r>
      <w:bookmarkEnd w:id="125"/>
      <w:bookmarkEnd w:id="126"/>
    </w:p>
    <w:p w14:paraId="597E97A8">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bookmarkStart w:id="127" w:name="_Toc4569"/>
      <w:bookmarkStart w:id="128" w:name="_Toc28629"/>
      <w:bookmarkStart w:id="129" w:name="_Toc9416"/>
      <w:r>
        <w:rPr>
          <w:rFonts w:hint="eastAsia" w:ascii="仿宋_GB2312" w:hAnsi="仿宋_GB2312" w:eastAsia="仿宋_GB2312" w:cs="仿宋_GB2312"/>
          <w:color w:val="auto"/>
          <w:sz w:val="32"/>
          <w:szCs w:val="32"/>
          <w:highlight w:val="none"/>
          <w:lang w:val="en-US" w:eastAsia="zh-CN"/>
        </w:rPr>
        <w:t>17.住房保障支出（类）住房改革支出（款）住房公积金（项）：指反映行政事业单位按人力资源和社会保障部门、财政部规定的基本工资和津贴补贴以及规定比例为职工缴纳的住房公积金。</w:t>
      </w:r>
      <w:bookmarkEnd w:id="127"/>
      <w:bookmarkEnd w:id="128"/>
      <w:bookmarkEnd w:id="129"/>
    </w:p>
    <w:p w14:paraId="51D149BA">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130" w:name="_Toc14201"/>
      <w:bookmarkStart w:id="131" w:name="_Toc26132"/>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bookmarkEnd w:id="130"/>
      <w:bookmarkEnd w:id="131"/>
    </w:p>
    <w:p w14:paraId="45E1C818">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132" w:name="_Toc20554"/>
      <w:bookmarkStart w:id="133" w:name="_Toc643"/>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.项目支出：指在基本支出之外为完成特定行政任务和事业发展目标所发生的支出。</w:t>
      </w:r>
      <w:bookmarkEnd w:id="132"/>
      <w:bookmarkEnd w:id="133"/>
      <w:r>
        <w:rPr>
          <w:rFonts w:hint="eastAsia" w:ascii="仿宋_GB2312" w:hAnsi="仿宋_GB2312" w:eastAsia="仿宋_GB2312" w:cs="仿宋_GB2312"/>
          <w:color w:val="auto"/>
          <w:sz w:val="32"/>
          <w:szCs w:val="32"/>
          <w:highlight w:val="none"/>
        </w:rPr>
        <w:t xml:space="preserve"> </w:t>
      </w:r>
    </w:p>
    <w:p w14:paraId="66DE7634">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134" w:name="_Toc11918"/>
      <w:bookmarkStart w:id="135" w:name="_Toc10864"/>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.经营支出：指事业单位在专业业务活动及其辅助活动之外开展非独立核算经营活动发生的支出。</w:t>
      </w:r>
      <w:bookmarkEnd w:id="134"/>
      <w:bookmarkEnd w:id="135"/>
    </w:p>
    <w:p w14:paraId="10943617">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136" w:name="_Toc29129"/>
      <w:bookmarkStart w:id="137" w:name="_Toc8299"/>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36"/>
      <w:bookmarkEnd w:id="137"/>
    </w:p>
    <w:p w14:paraId="0B52875F">
      <w:pPr>
        <w:pStyle w:val="30"/>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ascii="Times New Roman" w:hAnsi="Times New Roman" w:eastAsia="仿宋"/>
          <w:b/>
          <w:sz w:val="32"/>
          <w:szCs w:val="32"/>
        </w:rPr>
      </w:pPr>
      <w:bookmarkStart w:id="138" w:name="_Toc17780"/>
      <w:bookmarkStart w:id="139" w:name="_Toc1256"/>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Times New Roman" w:hAnsi="Times New Roman" w:eastAsia="仿宋_GB2312"/>
          <w:color w:val="auto"/>
          <w:sz w:val="32"/>
          <w:szCs w:val="32"/>
          <w:highlight w:val="none"/>
        </w:rPr>
        <w:br w:type="page"/>
      </w:r>
      <w:bookmarkEnd w:id="138"/>
      <w:bookmarkEnd w:id="139"/>
    </w:p>
    <w:p w14:paraId="0B173916">
      <w:pPr>
        <w:pStyle w:val="4"/>
        <w:spacing w:before="0" w:beforeLines="0" w:after="0" w:afterLines="0"/>
        <w:jc w:val="center"/>
        <w:rPr>
          <w:rFonts w:hint="eastAsia" w:ascii="Times New Roman" w:hAnsi="Times New Roman" w:eastAsia="方正小标宋简体" w:cs="方正小标宋简体"/>
          <w:sz w:val="44"/>
          <w:szCs w:val="44"/>
        </w:rPr>
      </w:pPr>
      <w:bookmarkStart w:id="140" w:name="_Toc5395"/>
      <w:r>
        <w:rPr>
          <w:rFonts w:hint="eastAsia" w:ascii="Times New Roman" w:hAnsi="Times New Roman" w:eastAsia="方正小标宋简体" w:cs="方正小标宋简体"/>
          <w:b w:val="0"/>
          <w:sz w:val="44"/>
          <w:szCs w:val="44"/>
        </w:rPr>
        <w:t>第四部分 附件</w:t>
      </w:r>
      <w:bookmarkEnd w:id="140"/>
    </w:p>
    <w:p w14:paraId="205B8685">
      <w:pPr>
        <w:spacing w:beforeLines="0" w:afterLines="0"/>
        <w:outlineLvl w:val="1"/>
        <w:rPr>
          <w:rFonts w:hint="default" w:ascii="Times New Roman" w:hAnsi="Times New Roman" w:eastAsia="宋体"/>
          <w:b/>
          <w:sz w:val="44"/>
          <w:szCs w:val="44"/>
          <w:shd w:val="clear" w:color="auto" w:fill="FFFFFF"/>
        </w:rPr>
      </w:pPr>
      <w:bookmarkStart w:id="141" w:name="_Toc26186"/>
      <w:bookmarkStart w:id="142" w:name="_Toc14558"/>
      <w:r>
        <w:rPr>
          <w:rFonts w:hint="eastAsia" w:ascii="Times New Roman" w:hAnsi="Times New Roman" w:eastAsia="黑体"/>
          <w:sz w:val="32"/>
          <w:szCs w:val="32"/>
        </w:rPr>
        <w:t>附件1</w:t>
      </w:r>
      <w:bookmarkEnd w:id="141"/>
      <w:bookmarkEnd w:id="142"/>
    </w:p>
    <w:p w14:paraId="39F3F5FF">
      <w:pPr>
        <w:widowControl/>
        <w:spacing w:beforeLines="0" w:afterLines="0" w:line="578" w:lineRule="exact"/>
        <w:jc w:val="center"/>
        <w:rPr>
          <w:rFonts w:hint="default"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部门预算绩效评价报告</w:t>
      </w:r>
    </w:p>
    <w:p w14:paraId="78045DDF">
      <w:pPr>
        <w:widowControl/>
        <w:spacing w:beforeLines="0" w:afterLines="0" w:line="578" w:lineRule="exact"/>
        <w:jc w:val="center"/>
        <w:rPr>
          <w:rFonts w:hint="default" w:ascii="Times New Roman" w:hAnsi="Times New Roman"/>
          <w:sz w:val="32"/>
          <w:szCs w:val="32"/>
          <w:shd w:val="clear" w:color="auto" w:fill="FFFFFF"/>
        </w:rPr>
      </w:pPr>
      <w:r>
        <w:rPr>
          <w:rFonts w:hint="eastAsia" w:ascii="Times New Roman" w:hAnsi="Times New Roman"/>
          <w:sz w:val="32"/>
          <w:szCs w:val="32"/>
          <w:shd w:val="clear" w:color="auto" w:fill="FFFFFF"/>
        </w:rPr>
        <w:t>（</w:t>
      </w:r>
      <w:r>
        <w:rPr>
          <w:rFonts w:hint="eastAsia" w:ascii="Times New Roman" w:hAnsi="Times New Roman" w:eastAsia="方正小标宋简体" w:cs="方正小标宋简体"/>
          <w:sz w:val="32"/>
          <w:szCs w:val="32"/>
          <w:shd w:val="clear" w:color="auto" w:fill="FFFFFF"/>
        </w:rPr>
        <w:t>大竹县疾病预防控制中心</w:t>
      </w:r>
      <w:r>
        <w:rPr>
          <w:rFonts w:hint="eastAsia" w:ascii="Times New Roman" w:hAnsi="Times New Roman"/>
          <w:sz w:val="32"/>
          <w:szCs w:val="32"/>
          <w:shd w:val="clear" w:color="auto" w:fill="FFFFFF"/>
        </w:rPr>
        <w:t>）</w:t>
      </w:r>
    </w:p>
    <w:p w14:paraId="45871BC1">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480" w:firstLineChars="200"/>
        <w:jc w:val="left"/>
        <w:textAlignment w:val="auto"/>
        <w:rPr>
          <w:rFonts w:hint="default" w:ascii="Times New Roman" w:hAnsi="Times New Roman" w:eastAsia="黑体"/>
          <w:color w:val="000000"/>
          <w:kern w:val="0"/>
          <w:sz w:val="24"/>
          <w:szCs w:val="32"/>
          <w:shd w:val="clear" w:color="auto" w:fill="FFFFFF"/>
        </w:rPr>
      </w:pPr>
    </w:p>
    <w:p w14:paraId="6B12DBD4">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1"/>
        <w:rPr>
          <w:rFonts w:hint="default" w:ascii="Times New Roman" w:hAnsi="Times New Roman"/>
          <w:sz w:val="32"/>
          <w:szCs w:val="32"/>
        </w:rPr>
      </w:pPr>
      <w:bookmarkStart w:id="143" w:name="_Toc13473"/>
      <w:bookmarkStart w:id="144" w:name="_Toc26889"/>
      <w:r>
        <w:rPr>
          <w:rFonts w:hint="eastAsia" w:ascii="Times New Roman" w:hAnsi="Times New Roman" w:eastAsia="黑体"/>
          <w:color w:val="000000"/>
          <w:kern w:val="0"/>
          <w:sz w:val="32"/>
          <w:szCs w:val="32"/>
          <w:shd w:val="clear" w:color="auto" w:fill="FFFFFF"/>
          <w:lang w:val="zh-CN"/>
        </w:rPr>
        <w:t>一、部门（单位）基本情况</w:t>
      </w:r>
      <w:bookmarkEnd w:id="143"/>
      <w:bookmarkEnd w:id="144"/>
    </w:p>
    <w:p w14:paraId="6EA626E3">
      <w:pPr>
        <w:keepNext w:val="0"/>
        <w:keepLines w:val="0"/>
        <w:pageBreakBefore w:val="0"/>
        <w:widowControl/>
        <w:kinsoku/>
        <w:wordWrap/>
        <w:overflowPunct/>
        <w:topLinePunct w:val="0"/>
        <w:autoSpaceDE/>
        <w:autoSpaceDN/>
        <w:bidi w:val="0"/>
        <w:snapToGrid w:val="0"/>
        <w:spacing w:beforeLines="0" w:afterLines="0" w:line="578" w:lineRule="exact"/>
        <w:ind w:firstLine="640" w:firstLineChars="200"/>
        <w:jc w:val="left"/>
        <w:textAlignment w:val="auto"/>
        <w:outlineLvl w:val="2"/>
        <w:rPr>
          <w:rFonts w:hint="eastAsia" w:ascii="楷体_GB2312" w:hAnsi="楷体_GB2312" w:eastAsia="楷体_GB2312" w:cs="楷体_GB2312"/>
          <w:b w:val="0"/>
          <w:bCs/>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（一）机构组成</w:t>
      </w:r>
    </w:p>
    <w:p w14:paraId="43464038">
      <w:pPr>
        <w:keepNext w:val="0"/>
        <w:keepLines w:val="0"/>
        <w:pageBreakBefore w:val="0"/>
        <w:widowControl/>
        <w:kinsoku/>
        <w:wordWrap/>
        <w:overflowPunct/>
        <w:topLinePunct w:val="0"/>
        <w:autoSpaceDE/>
        <w:autoSpaceDN/>
        <w:bidi w:val="0"/>
        <w:snapToGrid w:val="0"/>
        <w:spacing w:beforeLines="0" w:afterLines="0" w:line="578" w:lineRule="exact"/>
        <w:ind w:firstLine="640" w:firstLineChars="200"/>
        <w:jc w:val="left"/>
        <w:textAlignment w:val="auto"/>
        <w:rPr>
          <w:rFonts w:hint="eastAsia" w:ascii="Times New Roman" w:hAnsi="Times New Roman" w:eastAsia="仿宋_GB2312" w:cs="仿宋_GB2312"/>
          <w:sz w:val="32"/>
          <w:szCs w:val="24"/>
          <w:lang w:val="zh-CN"/>
        </w:rPr>
      </w:pPr>
      <w:r>
        <w:rPr>
          <w:rFonts w:hint="eastAsia" w:ascii="Times New Roman" w:hAnsi="Times New Roman" w:eastAsia="仿宋_GB2312" w:cs="仿宋_GB2312"/>
          <w:sz w:val="32"/>
          <w:szCs w:val="32"/>
        </w:rPr>
        <w:t>大竹县疾病预防控制中心是一级预算财政全额拨款的事业单位。中心下设行政办公室、党建办、业务质量管理科、财务后勤科、健康教育与健康促进科、传染病预防与控制科、免疫规划科、地方病寄生虫病预防与控制科、公共卫生健康危害因素控制科、性病艾滋病防治科、综合门诊部（结防所）、检验科、美沙酮药物维持治疗门诊、慢病非传染性疾病预防控制科14个业务科室。</w:t>
      </w:r>
    </w:p>
    <w:p w14:paraId="009C187B">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 w:cs="楷体"/>
          <w:sz w:val="32"/>
          <w:szCs w:val="32"/>
        </w:rPr>
      </w:pPr>
      <w:r>
        <w:rPr>
          <w:rFonts w:hint="eastAsia" w:ascii="楷体_GB2312" w:hAnsi="楷体_GB2312" w:eastAsia="楷体_GB2312" w:cs="楷体_GB2312"/>
          <w:b w:val="0"/>
          <w:bCs/>
          <w:color w:val="000000"/>
          <w:kern w:val="0"/>
          <w:sz w:val="32"/>
          <w:szCs w:val="32"/>
          <w:shd w:val="clear" w:color="auto" w:fill="FFFFFF"/>
          <w:lang w:val="zh-CN"/>
        </w:rPr>
        <w:t>（二）机构职能</w:t>
      </w:r>
    </w:p>
    <w:p w14:paraId="45E20C46">
      <w:pPr>
        <w:keepNext w:val="0"/>
        <w:keepLines w:val="0"/>
        <w:pageBreakBefore w:val="0"/>
        <w:widowControl/>
        <w:kinsoku/>
        <w:wordWrap/>
        <w:overflowPunct/>
        <w:topLinePunct w:val="0"/>
        <w:autoSpaceDE/>
        <w:autoSpaceDN/>
        <w:bidi w:val="0"/>
        <w:snapToGrid w:val="0"/>
        <w:spacing w:beforeLines="0" w:afterLines="0" w:line="578"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心以疾病预防控制工作为主，履行政府赋予的社会公共卫生服务与管理职能，担负全县各类重大传染病、慢性传染病、地方病、寄生虫病等监测、预防、控制工作，承担全县儿童计划免疫规划实施与目标人群的预防接种工作，并负责各类疫情的监测、检验、报告、信息管理和突发公共卫生事件的应急处置。</w:t>
      </w:r>
    </w:p>
    <w:p w14:paraId="36EB7F99">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 w:cs="楷体"/>
          <w:sz w:val="32"/>
          <w:szCs w:val="32"/>
        </w:rPr>
      </w:pPr>
      <w:r>
        <w:rPr>
          <w:rFonts w:hint="eastAsia" w:ascii="楷体_GB2312" w:hAnsi="楷体_GB2312" w:eastAsia="楷体_GB2312" w:cs="楷体_GB2312"/>
          <w:b w:val="0"/>
          <w:bCs/>
          <w:color w:val="000000"/>
          <w:kern w:val="0"/>
          <w:sz w:val="32"/>
          <w:szCs w:val="32"/>
          <w:shd w:val="clear" w:color="auto" w:fill="FFFFFF"/>
          <w:lang w:val="zh-CN"/>
        </w:rPr>
        <w:t>（三）人员概况</w:t>
      </w:r>
    </w:p>
    <w:p w14:paraId="6801278C">
      <w:pPr>
        <w:keepNext w:val="0"/>
        <w:keepLines w:val="0"/>
        <w:pageBreakBefore w:val="0"/>
        <w:widowControl/>
        <w:kinsoku/>
        <w:wordWrap/>
        <w:overflowPunct/>
        <w:topLinePunct w:val="0"/>
        <w:autoSpaceDE/>
        <w:autoSpaceDN/>
        <w:bidi w:val="0"/>
        <w:snapToGrid w:val="0"/>
        <w:spacing w:beforeLines="0" w:afterLines="0" w:line="578"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截止2023年末我中心事业编制数为124人。财政供养人数为173人，其中：在职在编117人，退休56人。由于近年工作量的增加和人员流动性较大，为保证各项业务工作的正常运转，我中心编外聘用人员3人，劳务派遣15人。</w:t>
      </w:r>
    </w:p>
    <w:p w14:paraId="5A745230">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1"/>
        <w:rPr>
          <w:rFonts w:hint="default" w:ascii="Times New Roman" w:hAnsi="Times New Roman" w:eastAsia="黑体"/>
          <w:color w:val="000000"/>
          <w:kern w:val="0"/>
          <w:sz w:val="32"/>
          <w:szCs w:val="32"/>
          <w:shd w:val="clear" w:color="auto" w:fill="FFFFFF"/>
        </w:rPr>
      </w:pPr>
      <w:bookmarkStart w:id="145" w:name="_Toc15627"/>
      <w:bookmarkStart w:id="146" w:name="_Toc31888"/>
      <w:r>
        <w:rPr>
          <w:rFonts w:hint="eastAsia" w:ascii="Times New Roman" w:hAnsi="Times New Roman" w:eastAsia="黑体"/>
          <w:color w:val="000000"/>
          <w:kern w:val="0"/>
          <w:sz w:val="32"/>
          <w:szCs w:val="32"/>
          <w:shd w:val="clear" w:color="auto" w:fill="FFFFFF"/>
        </w:rPr>
        <w:t>二、部门资金收支情况</w:t>
      </w:r>
      <w:bookmarkEnd w:id="145"/>
      <w:bookmarkEnd w:id="146"/>
    </w:p>
    <w:p w14:paraId="525AD6AC">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 w:cs="楷体"/>
          <w:sz w:val="32"/>
          <w:szCs w:val="32"/>
        </w:rPr>
      </w:pPr>
      <w:r>
        <w:rPr>
          <w:rFonts w:hint="eastAsia" w:ascii="楷体_GB2312" w:hAnsi="楷体_GB2312" w:eastAsia="楷体_GB2312" w:cs="楷体_GB2312"/>
          <w:b w:val="0"/>
          <w:bCs/>
          <w:color w:val="000000"/>
          <w:kern w:val="0"/>
          <w:sz w:val="32"/>
          <w:szCs w:val="32"/>
          <w:shd w:val="clear" w:color="auto" w:fill="FFFFFF"/>
          <w:lang w:val="zh-CN"/>
        </w:rPr>
        <w:t>（一）收入情况</w:t>
      </w:r>
    </w:p>
    <w:p w14:paraId="0935037A">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2023年度我中心收入总计15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212.91万元，其中财政拨款收入决算数据为7</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043.38万元，事业收入决算数据为8</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106.26万元，财政拨款年初结转和结余决算数据为63.27万元。</w:t>
      </w:r>
      <w:r>
        <w:rPr>
          <w:rFonts w:hint="eastAsia" w:eastAsia="仿宋_GB2312" w:cs="仿宋_GB2312"/>
          <w:sz w:val="32"/>
          <w:szCs w:val="32"/>
          <w:lang w:eastAsia="zh-CN"/>
        </w:rPr>
        <w:t>一是</w:t>
      </w:r>
      <w:r>
        <w:rPr>
          <w:rFonts w:hint="eastAsia" w:ascii="Times New Roman" w:hAnsi="Times New Roman" w:eastAsia="仿宋_GB2312" w:cs="仿宋_GB2312"/>
          <w:sz w:val="32"/>
          <w:szCs w:val="32"/>
        </w:rPr>
        <w:t>财政拨款收入7</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043.38万元中</w:t>
      </w:r>
      <w:r>
        <w:rPr>
          <w:rFonts w:hint="eastAsia" w:eastAsia="仿宋_GB2312" w:cs="仿宋_GB2312"/>
          <w:sz w:val="32"/>
          <w:szCs w:val="32"/>
          <w:lang w:eastAsia="zh-CN"/>
        </w:rPr>
        <w:t>，</w:t>
      </w:r>
      <w:r>
        <w:rPr>
          <w:rFonts w:hint="eastAsia" w:ascii="Times New Roman" w:hAnsi="Times New Roman" w:eastAsia="仿宋_GB2312" w:cs="仿宋_GB2312"/>
          <w:sz w:val="32"/>
          <w:szCs w:val="32"/>
        </w:rPr>
        <w:t>基本支出为2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193.90万元，项目支出为4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849.48万元</w:t>
      </w:r>
      <w:r>
        <w:rPr>
          <w:rFonts w:hint="eastAsia" w:eastAsia="仿宋_GB2312" w:cs="仿宋_GB2312"/>
          <w:sz w:val="32"/>
          <w:szCs w:val="32"/>
          <w:lang w:eastAsia="zh-CN"/>
        </w:rPr>
        <w:t>。其</w:t>
      </w:r>
      <w:r>
        <w:rPr>
          <w:rFonts w:hint="eastAsia" w:ascii="Times New Roman" w:hAnsi="Times New Roman" w:eastAsia="仿宋_GB2312" w:cs="仿宋_GB2312"/>
          <w:sz w:val="32"/>
          <w:szCs w:val="32"/>
        </w:rPr>
        <w:t>主要用于社会保障和就业支出258.40万元，卫生健康支出6</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643.84万元，住房保障支出141.14万元</w:t>
      </w:r>
      <w:r>
        <w:rPr>
          <w:rFonts w:hint="eastAsia" w:eastAsia="仿宋_GB2312" w:cs="仿宋_GB2312"/>
          <w:sz w:val="32"/>
          <w:szCs w:val="32"/>
          <w:lang w:eastAsia="zh-CN"/>
        </w:rPr>
        <w:t>。二是</w:t>
      </w:r>
      <w:r>
        <w:rPr>
          <w:rFonts w:hint="eastAsia" w:ascii="Times New Roman" w:hAnsi="Times New Roman" w:eastAsia="仿宋_GB2312" w:cs="仿宋_GB2312"/>
          <w:sz w:val="32"/>
          <w:szCs w:val="32"/>
        </w:rPr>
        <w:t>事业收入8</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106.26万元中</w:t>
      </w:r>
      <w:r>
        <w:rPr>
          <w:rFonts w:hint="eastAsia" w:eastAsia="仿宋_GB2312" w:cs="仿宋_GB2312"/>
          <w:sz w:val="32"/>
          <w:szCs w:val="32"/>
          <w:lang w:eastAsia="zh-CN"/>
        </w:rPr>
        <w:t>，</w:t>
      </w:r>
      <w:r>
        <w:rPr>
          <w:rFonts w:hint="eastAsia" w:ascii="Times New Roman" w:hAnsi="Times New Roman" w:eastAsia="仿宋_GB2312" w:cs="仿宋_GB2312"/>
          <w:sz w:val="32"/>
          <w:szCs w:val="32"/>
        </w:rPr>
        <w:t>疫苗药品支出专项收入为3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366.78万元，疫苗临床试验项目收入为4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739.48万元，主要用于保障我中心疫苗药品款的支付以及临床试验项目的工作开展。</w:t>
      </w:r>
    </w:p>
    <w:p w14:paraId="4F1E1ECD">
      <w:pPr>
        <w:pStyle w:val="2"/>
        <w:keepNext w:val="0"/>
        <w:keepLines w:val="0"/>
        <w:pageBreakBefore w:val="0"/>
        <w:numPr>
          <w:ilvl w:val="0"/>
          <w:numId w:val="0"/>
        </w:numPr>
        <w:kinsoku/>
        <w:wordWrap/>
        <w:overflowPunct/>
        <w:topLinePunct w:val="0"/>
        <w:autoSpaceDE/>
        <w:autoSpaceDN/>
        <w:bidi w:val="0"/>
        <w:spacing w:beforeLines="0" w:after="0" w:afterLines="0" w:line="578" w:lineRule="exact"/>
        <w:ind w:firstLine="640" w:firstLineChars="200"/>
        <w:textAlignment w:val="auto"/>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eastAsia="zh-CN" w:bidi="ar-SA"/>
        </w:rPr>
        <w:t>（二）支出情况</w:t>
      </w:r>
    </w:p>
    <w:p w14:paraId="62738DA2">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中心在县委、县政府的领导下，在县财政、审计的监督和指导下，坚持以财经法律、法规为准绳，认真贯彻落实各项财经制度，紧扣全年工作目标和要求，圆满完成了当年目标任务。2023年度我中心支出总计12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410.76万元，其中财政拨款支出年决算数据为7</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106.65万元（含年初财政结转结余63.27万元），事业支出决算数据为5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304.11万元。财政拨款支出中：人员经费开支2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022.57万元，日常公用经费开支234.60万元，项目经费开支4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849.48万元。主要用于社会保障和就业支出263.26万元，卫生健康支出6</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702.25万元，住房保障支出141.14万元；事业支出中：疫苗药品支出专项支出为3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366.78万元，疫苗临床试验项目支出为1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937.33万元，主要用于支付我中心疫苗药品款以及临床试验项目中的相关开支。</w:t>
      </w:r>
    </w:p>
    <w:p w14:paraId="4296709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（三）结余分配和结转结余情况</w:t>
      </w:r>
    </w:p>
    <w:p w14:paraId="4D5A3C66">
      <w:pPr>
        <w:pStyle w:val="2"/>
        <w:keepNext w:val="0"/>
        <w:keepLines w:val="0"/>
        <w:pageBreakBefore w:val="0"/>
        <w:numPr>
          <w:ilvl w:val="0"/>
          <w:numId w:val="0"/>
        </w:numPr>
        <w:kinsoku/>
        <w:wordWrap/>
        <w:overflowPunct/>
        <w:topLinePunct w:val="0"/>
        <w:autoSpaceDE/>
        <w:autoSpaceDN/>
        <w:bidi w:val="0"/>
        <w:spacing w:beforeLines="0" w:after="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2023年度我中心财政拨款收入决算数据为7</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043.38万元，财政拨款年初结转结余决算数据为63.27万元，财政拨款支出决算数据为7</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106.65万元（含财政拨款年初结转结余63.27万元），当年财政拨款无资金结转结余；事业收入决算数据为8</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106.26万元，事业支出决算数据为5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304.11万元，非财政资金结转2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802.15万元，主要用于后期疫苗药品款的支付以及疫苗临床试验项目工作开展。</w:t>
      </w:r>
    </w:p>
    <w:p w14:paraId="233A6E8D">
      <w:pPr>
        <w:keepNext w:val="0"/>
        <w:keepLines w:val="0"/>
        <w:pageBreakBefore w:val="0"/>
        <w:widowControl/>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1"/>
        <w:rPr>
          <w:rFonts w:hint="default" w:ascii="Times New Roman" w:hAnsi="Times New Roman" w:eastAsia="黑体"/>
          <w:color w:val="000000"/>
          <w:kern w:val="0"/>
          <w:sz w:val="32"/>
          <w:szCs w:val="32"/>
          <w:shd w:val="clear" w:color="auto" w:fill="FFFFFF"/>
        </w:rPr>
      </w:pPr>
      <w:bookmarkStart w:id="147" w:name="_Toc27179"/>
      <w:bookmarkStart w:id="148" w:name="_Toc12760"/>
      <w:r>
        <w:rPr>
          <w:rFonts w:hint="eastAsia" w:ascii="Times New Roman" w:hAnsi="Times New Roman" w:eastAsia="黑体"/>
          <w:color w:val="000000"/>
          <w:kern w:val="0"/>
          <w:sz w:val="32"/>
          <w:szCs w:val="32"/>
          <w:shd w:val="clear" w:color="auto" w:fill="FFFFFF"/>
        </w:rPr>
        <w:t>三、部门预算绩效分析</w:t>
      </w:r>
      <w:bookmarkEnd w:id="147"/>
      <w:bookmarkEnd w:id="148"/>
    </w:p>
    <w:p w14:paraId="52A05F79">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（一）部门预算总体绩效分析（53.31分）</w:t>
      </w:r>
    </w:p>
    <w:p w14:paraId="4A551C07">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根据预算绩效管理工作要求，中心以“部门职责+项目工作”为依据，完成了部门预算绩效目标的编制。中心按照人员基本保障、业务运转正常、经办工作有创新的原则，同时结合各项具体业务工作和年初工作计划，对部门预算进行支出控制，并实施相应的预算执行管理，做到了把预算落实到工作的具体环节上</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zh-CN"/>
        </w:rPr>
        <w:t>保证了绩效目标的实现。在履职效能、预算管理、财务管理、资金管理、采购管理方面具体分析如下：</w:t>
      </w:r>
    </w:p>
    <w:p w14:paraId="71B7085E">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3"/>
        <w:rPr>
          <w:rFonts w:hint="eastAsia" w:ascii="Times New Roman" w:hAnsi="Times New Roman"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rPr>
        <w:t>1.</w:t>
      </w:r>
      <w:r>
        <w:rPr>
          <w:rFonts w:hint="eastAsia" w:ascii="仿宋_GB2312" w:hAnsi="仿宋_GB2312" w:eastAsia="仿宋_GB2312" w:cs="仿宋_GB2312"/>
          <w:b w:val="0"/>
          <w:bCs w:val="0"/>
          <w:color w:val="000000"/>
          <w:kern w:val="0"/>
          <w:sz w:val="32"/>
          <w:szCs w:val="32"/>
          <w:shd w:val="clear" w:color="auto" w:fill="FFFFFF"/>
          <w:lang w:val="zh-CN"/>
        </w:rPr>
        <w:t>履职效能</w:t>
      </w:r>
      <w:r>
        <w:rPr>
          <w:rFonts w:hint="eastAsia" w:ascii="仿宋_GB2312" w:hAnsi="仿宋_GB2312" w:eastAsia="仿宋_GB2312" w:cs="仿宋_GB2312"/>
          <w:b w:val="0"/>
          <w:bCs w:val="0"/>
          <w:color w:val="000000"/>
          <w:kern w:val="0"/>
          <w:sz w:val="32"/>
          <w:szCs w:val="32"/>
          <w:shd w:val="clear" w:color="auto" w:fill="FFFFFF"/>
        </w:rPr>
        <w:t>15分，自评15分</w:t>
      </w:r>
      <w:r>
        <w:rPr>
          <w:rFonts w:hint="eastAsia" w:ascii="仿宋_GB2312" w:hAnsi="仿宋_GB2312" w:cs="仿宋_GB2312"/>
          <w:b w:val="0"/>
          <w:bCs w:val="0"/>
          <w:color w:val="000000"/>
          <w:kern w:val="0"/>
          <w:sz w:val="32"/>
          <w:szCs w:val="32"/>
          <w:shd w:val="clear" w:color="auto" w:fill="FFFFFF"/>
          <w:lang w:eastAsia="zh-CN"/>
        </w:rPr>
        <w:t>。</w:t>
      </w:r>
    </w:p>
    <w:p w14:paraId="6AA38AF0">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我中心</w:t>
      </w:r>
      <w:r>
        <w:rPr>
          <w:rFonts w:hint="eastAsia" w:ascii="Times New Roman" w:hAnsi="Times New Roman" w:eastAsia="仿宋_GB2312" w:cs="仿宋_GB2312"/>
          <w:color w:val="000000"/>
          <w:kern w:val="0"/>
          <w:sz w:val="32"/>
          <w:szCs w:val="32"/>
          <w:shd w:val="clear" w:color="auto" w:fill="FFFFFF"/>
        </w:rPr>
        <w:t>在</w:t>
      </w:r>
      <w:r>
        <w:rPr>
          <w:rFonts w:hint="eastAsia" w:ascii="Times New Roman" w:hAnsi="Times New Roman" w:eastAsia="仿宋_GB2312" w:cs="仿宋_GB2312"/>
          <w:color w:val="000000"/>
          <w:kern w:val="0"/>
          <w:sz w:val="32"/>
          <w:szCs w:val="32"/>
          <w:shd w:val="clear" w:color="auto" w:fill="FFFFFF"/>
          <w:lang w:val="zh-CN"/>
        </w:rPr>
        <w:t>部门整体绩效目标</w:t>
      </w:r>
      <w:r>
        <w:rPr>
          <w:rFonts w:hint="eastAsia" w:ascii="Times New Roman" w:hAnsi="Times New Roman" w:eastAsia="仿宋_GB2312" w:cs="仿宋_GB2312"/>
          <w:color w:val="000000"/>
          <w:kern w:val="0"/>
          <w:sz w:val="32"/>
          <w:szCs w:val="32"/>
          <w:shd w:val="clear" w:color="auto" w:fill="FFFFFF"/>
        </w:rPr>
        <w:t>中选定了3个年初</w:t>
      </w:r>
      <w:r>
        <w:rPr>
          <w:rFonts w:hint="eastAsia" w:ascii="Times New Roman" w:hAnsi="Times New Roman" w:eastAsia="仿宋_GB2312" w:cs="仿宋_GB2312"/>
          <w:color w:val="000000"/>
          <w:kern w:val="0"/>
          <w:sz w:val="32"/>
          <w:szCs w:val="32"/>
          <w:shd w:val="clear" w:color="auto" w:fill="FFFFFF"/>
          <w:lang w:val="zh-CN"/>
        </w:rPr>
        <w:t>核心职能目标，目标</w:t>
      </w:r>
      <w:r>
        <w:rPr>
          <w:rFonts w:hint="eastAsia" w:ascii="Times New Roman" w:hAnsi="Times New Roman" w:eastAsia="仿宋_GB2312" w:cs="仿宋_GB2312"/>
          <w:color w:val="000000"/>
          <w:kern w:val="0"/>
          <w:sz w:val="32"/>
          <w:szCs w:val="32"/>
          <w:shd w:val="clear" w:color="auto" w:fill="FFFFFF"/>
        </w:rPr>
        <w:t>1</w:t>
      </w:r>
      <w:r>
        <w:rPr>
          <w:rFonts w:hint="eastAsia" w:ascii="Times New Roman" w:hAnsi="Times New Roman" w:eastAsia="仿宋_GB2312" w:cs="仿宋_GB2312"/>
          <w:color w:val="000000"/>
          <w:kern w:val="0"/>
          <w:sz w:val="32"/>
          <w:szCs w:val="32"/>
          <w:shd w:val="clear" w:color="auto" w:fill="FFFFFF"/>
          <w:lang w:val="zh-CN"/>
        </w:rPr>
        <w:t>结核筛查覆盖率达到100%；目标</w:t>
      </w:r>
      <w:r>
        <w:rPr>
          <w:rFonts w:hint="eastAsia" w:ascii="Times New Roman" w:hAnsi="Times New Roman" w:eastAsia="仿宋_GB2312" w:cs="仿宋_GB2312"/>
          <w:color w:val="000000"/>
          <w:kern w:val="0"/>
          <w:sz w:val="32"/>
          <w:szCs w:val="32"/>
          <w:shd w:val="clear" w:color="auto" w:fill="FFFFFF"/>
        </w:rPr>
        <w:t>2</w:t>
      </w:r>
      <w:r>
        <w:rPr>
          <w:rFonts w:hint="eastAsia" w:ascii="Times New Roman" w:hAnsi="Times New Roman" w:eastAsia="仿宋_GB2312" w:cs="仿宋_GB2312"/>
          <w:color w:val="000000"/>
          <w:kern w:val="0"/>
          <w:sz w:val="32"/>
          <w:szCs w:val="32"/>
          <w:shd w:val="clear" w:color="auto" w:fill="FFFFFF"/>
          <w:lang w:val="zh-CN"/>
        </w:rPr>
        <w:t>免疫规划类疫苗接种率≥90%；目标</w:t>
      </w:r>
      <w:r>
        <w:rPr>
          <w:rFonts w:hint="eastAsia" w:ascii="Times New Roman" w:hAnsi="Times New Roman" w:eastAsia="仿宋_GB2312" w:cs="仿宋_GB2312"/>
          <w:color w:val="000000"/>
          <w:kern w:val="0"/>
          <w:sz w:val="32"/>
          <w:szCs w:val="32"/>
          <w:shd w:val="clear" w:color="auto" w:fill="FFFFFF"/>
        </w:rPr>
        <w:t>3</w:t>
      </w:r>
      <w:r>
        <w:rPr>
          <w:rFonts w:hint="eastAsia" w:ascii="Times New Roman" w:hAnsi="Times New Roman" w:eastAsia="仿宋_GB2312" w:cs="仿宋_GB2312"/>
          <w:color w:val="000000"/>
          <w:kern w:val="0"/>
          <w:sz w:val="32"/>
          <w:szCs w:val="32"/>
          <w:shd w:val="clear" w:color="auto" w:fill="FFFFFF"/>
          <w:lang w:val="zh-CN"/>
        </w:rPr>
        <w:t>抗病毒治疗成功率≥93%。</w:t>
      </w:r>
      <w:r>
        <w:rPr>
          <w:rFonts w:hint="eastAsia" w:ascii="Times New Roman" w:hAnsi="Times New Roman" w:eastAsia="仿宋_GB2312" w:cs="仿宋_GB2312"/>
          <w:color w:val="000000"/>
          <w:kern w:val="0"/>
          <w:sz w:val="32"/>
          <w:szCs w:val="32"/>
          <w:shd w:val="clear" w:color="auto" w:fill="FFFFFF"/>
        </w:rPr>
        <w:t>目前三项核心指标均已完成</w:t>
      </w:r>
      <w:r>
        <w:rPr>
          <w:rFonts w:hint="eastAsia" w:ascii="Times New Roman" w:hAnsi="Times New Roman" w:eastAsia="仿宋_GB2312" w:cs="仿宋_GB2312"/>
          <w:color w:val="000000"/>
          <w:kern w:val="0"/>
          <w:sz w:val="32"/>
          <w:szCs w:val="32"/>
          <w:shd w:val="clear" w:color="auto" w:fill="FFFFFF"/>
          <w:lang w:val="zh-CN"/>
        </w:rPr>
        <w:t>，每项</w:t>
      </w:r>
      <w:r>
        <w:rPr>
          <w:rFonts w:hint="eastAsia" w:ascii="Times New Roman" w:hAnsi="Times New Roman" w:eastAsia="仿宋_GB2312" w:cs="仿宋_GB2312"/>
          <w:color w:val="000000"/>
          <w:kern w:val="0"/>
          <w:sz w:val="32"/>
          <w:szCs w:val="32"/>
          <w:shd w:val="clear" w:color="auto" w:fill="FFFFFF"/>
        </w:rPr>
        <w:t>指标设定5</w:t>
      </w:r>
      <w:r>
        <w:rPr>
          <w:rFonts w:hint="eastAsia" w:ascii="Times New Roman" w:hAnsi="Times New Roman" w:eastAsia="仿宋_GB2312" w:cs="仿宋_GB2312"/>
          <w:color w:val="000000"/>
          <w:kern w:val="0"/>
          <w:sz w:val="32"/>
          <w:szCs w:val="32"/>
          <w:shd w:val="clear" w:color="auto" w:fill="FFFFFF"/>
          <w:lang w:val="zh-CN"/>
        </w:rPr>
        <w:t>分，故得3*5=15分。</w:t>
      </w:r>
    </w:p>
    <w:p w14:paraId="4DE29631">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3"/>
        <w:rPr>
          <w:rFonts w:hint="eastAsia" w:ascii="Times New Roman" w:hAnsi="Times New Roman"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rPr>
        <w:t>2.</w:t>
      </w:r>
      <w:r>
        <w:rPr>
          <w:rFonts w:hint="eastAsia" w:ascii="仿宋_GB2312" w:hAnsi="仿宋_GB2312" w:eastAsia="仿宋_GB2312" w:cs="仿宋_GB2312"/>
          <w:b w:val="0"/>
          <w:bCs w:val="0"/>
          <w:color w:val="000000"/>
          <w:kern w:val="0"/>
          <w:sz w:val="32"/>
          <w:szCs w:val="32"/>
          <w:shd w:val="clear" w:color="auto" w:fill="FFFFFF"/>
          <w:lang w:val="zh-CN"/>
        </w:rPr>
        <w:t>预算管理</w:t>
      </w:r>
      <w:r>
        <w:rPr>
          <w:rFonts w:hint="eastAsia" w:ascii="仿宋_GB2312" w:hAnsi="仿宋_GB2312" w:eastAsia="仿宋_GB2312" w:cs="仿宋_GB2312"/>
          <w:b w:val="0"/>
          <w:bCs w:val="0"/>
          <w:color w:val="000000"/>
          <w:kern w:val="0"/>
          <w:sz w:val="32"/>
          <w:szCs w:val="32"/>
          <w:shd w:val="clear" w:color="auto" w:fill="FFFFFF"/>
        </w:rPr>
        <w:t>21分，自评19.31分</w:t>
      </w:r>
      <w:r>
        <w:rPr>
          <w:rFonts w:hint="eastAsia" w:ascii="仿宋_GB2312" w:hAnsi="仿宋_GB2312" w:cs="仿宋_GB2312"/>
          <w:b w:val="0"/>
          <w:bCs w:val="0"/>
          <w:color w:val="000000"/>
          <w:kern w:val="0"/>
          <w:sz w:val="32"/>
          <w:szCs w:val="32"/>
          <w:shd w:val="clear" w:color="auto" w:fill="FFFFFF"/>
          <w:lang w:eastAsia="zh-CN"/>
        </w:rPr>
        <w:t>。</w:t>
      </w:r>
    </w:p>
    <w:p w14:paraId="1DAA262E">
      <w:pPr>
        <w:keepNext w:val="0"/>
        <w:keepLines w:val="0"/>
        <w:pageBreakBefore w:val="0"/>
        <w:numPr>
          <w:ilvl w:val="0"/>
          <w:numId w:val="3"/>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lang w:val="zh-CN"/>
        </w:rPr>
        <w:t>预算编制质量：我中心预算编制质量严格按要求编制年初部门预算，年初预算编制科学和准确，无预算偏离度，该项自评</w:t>
      </w:r>
      <w:r>
        <w:rPr>
          <w:rFonts w:hint="eastAsia" w:ascii="Times New Roman" w:hAnsi="Times New Roman" w:eastAsia="仿宋_GB2312" w:cs="仿宋_GB2312"/>
          <w:color w:val="000000"/>
          <w:kern w:val="0"/>
          <w:sz w:val="32"/>
          <w:szCs w:val="32"/>
          <w:shd w:val="clear" w:color="auto" w:fill="FFFFFF"/>
        </w:rPr>
        <w:t>8分。</w:t>
      </w:r>
    </w:p>
    <w:p w14:paraId="7C3BE865">
      <w:pPr>
        <w:keepNext w:val="0"/>
        <w:keepLines w:val="0"/>
        <w:pageBreakBefore w:val="0"/>
        <w:numPr>
          <w:ilvl w:val="0"/>
          <w:numId w:val="3"/>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单位收入统筹：我中心无自有收入年初预算数，故不适用此项指标。</w:t>
      </w:r>
    </w:p>
    <w:p w14:paraId="6926AD73">
      <w:pPr>
        <w:keepNext w:val="0"/>
        <w:keepLines w:val="0"/>
        <w:pageBreakBefore w:val="0"/>
        <w:numPr>
          <w:ilvl w:val="0"/>
          <w:numId w:val="3"/>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支出执行进度：我中心1至6月预算执行数为4</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zh-CN"/>
        </w:rPr>
        <w:t>471.90万元，占全年预算执行进度的</w:t>
      </w:r>
      <w:r>
        <w:rPr>
          <w:rFonts w:hint="eastAsia" w:ascii="Times New Roman" w:hAnsi="Times New Roman" w:eastAsia="仿宋_GB2312" w:cs="仿宋_GB2312"/>
          <w:color w:val="000000"/>
          <w:kern w:val="0"/>
          <w:sz w:val="32"/>
          <w:szCs w:val="32"/>
          <w:shd w:val="clear" w:color="auto" w:fill="FFFFFF"/>
        </w:rPr>
        <w:t>63.49%</w:t>
      </w:r>
      <w:r>
        <w:rPr>
          <w:rFonts w:hint="eastAsia" w:ascii="Times New Roman" w:hAnsi="Times New Roman" w:eastAsia="仿宋_GB2312" w:cs="仿宋_GB2312"/>
          <w:color w:val="000000"/>
          <w:kern w:val="0"/>
          <w:sz w:val="32"/>
          <w:szCs w:val="32"/>
          <w:shd w:val="clear" w:color="auto" w:fill="FFFFFF"/>
          <w:lang w:val="zh-CN"/>
        </w:rPr>
        <w:t>，1至</w:t>
      </w:r>
      <w:r>
        <w:rPr>
          <w:rFonts w:hint="eastAsia" w:ascii="Times New Roman" w:hAnsi="Times New Roman" w:eastAsia="仿宋_GB2312" w:cs="仿宋_GB2312"/>
          <w:color w:val="000000"/>
          <w:kern w:val="0"/>
          <w:sz w:val="32"/>
          <w:szCs w:val="32"/>
          <w:shd w:val="clear" w:color="auto" w:fill="FFFFFF"/>
        </w:rPr>
        <w:t>10</w:t>
      </w:r>
      <w:r>
        <w:rPr>
          <w:rFonts w:hint="eastAsia" w:ascii="Times New Roman" w:hAnsi="Times New Roman" w:eastAsia="仿宋_GB2312" w:cs="仿宋_GB2312"/>
          <w:color w:val="000000"/>
          <w:kern w:val="0"/>
          <w:sz w:val="32"/>
          <w:szCs w:val="32"/>
          <w:shd w:val="clear" w:color="auto" w:fill="FFFFFF"/>
          <w:lang w:val="zh-CN"/>
        </w:rPr>
        <w:t>月预算执行数为5</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lang w:val="zh-CN"/>
        </w:rPr>
        <w:t>181.25万元，占全年预算执行进度的</w:t>
      </w:r>
      <w:r>
        <w:rPr>
          <w:rFonts w:hint="eastAsia" w:ascii="Times New Roman" w:hAnsi="Times New Roman" w:eastAsia="仿宋_GB2312" w:cs="仿宋_GB2312"/>
          <w:color w:val="000000"/>
          <w:kern w:val="0"/>
          <w:sz w:val="32"/>
          <w:szCs w:val="32"/>
          <w:shd w:val="clear" w:color="auto" w:fill="FFFFFF"/>
        </w:rPr>
        <w:t>73.56%，</w:t>
      </w:r>
      <w:r>
        <w:rPr>
          <w:rFonts w:hint="eastAsia" w:ascii="Times New Roman" w:hAnsi="Times New Roman" w:eastAsia="仿宋_GB2312" w:cs="仿宋_GB2312"/>
          <w:color w:val="000000"/>
          <w:kern w:val="0"/>
          <w:sz w:val="32"/>
          <w:szCs w:val="32"/>
          <w:shd w:val="clear" w:color="auto" w:fill="FFFFFF"/>
          <w:lang w:val="zh-CN"/>
        </w:rPr>
        <w:t>不存在支出预警金额和支出违规金额，</w:t>
      </w:r>
      <w:r>
        <w:rPr>
          <w:rFonts w:hint="eastAsia" w:ascii="Times New Roman" w:hAnsi="Times New Roman" w:eastAsia="仿宋_GB2312" w:cs="仿宋_GB2312"/>
          <w:color w:val="000000"/>
          <w:kern w:val="0"/>
          <w:sz w:val="32"/>
          <w:szCs w:val="32"/>
          <w:shd w:val="clear" w:color="auto" w:fill="FFFFFF"/>
        </w:rPr>
        <w:t>根据公式（1至6月预算执行数4</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471.90÷（部门预算数7</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043.38×50%）×2）+（1至10月预算执行数5</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181.25÷（部门预算数7</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043.38×83.33%）×2）=4.31分，故</w:t>
      </w:r>
      <w:r>
        <w:rPr>
          <w:rFonts w:hint="eastAsia" w:ascii="Times New Roman" w:hAnsi="Times New Roman" w:eastAsia="仿宋_GB2312" w:cs="仿宋_GB2312"/>
          <w:color w:val="000000"/>
          <w:kern w:val="0"/>
          <w:sz w:val="32"/>
          <w:szCs w:val="32"/>
          <w:shd w:val="clear" w:color="auto" w:fill="FFFFFF"/>
          <w:lang w:val="zh-CN"/>
        </w:rPr>
        <w:t>该项自评</w:t>
      </w:r>
      <w:r>
        <w:rPr>
          <w:rFonts w:hint="eastAsia" w:ascii="Times New Roman" w:hAnsi="Times New Roman" w:eastAsia="仿宋_GB2312" w:cs="仿宋_GB2312"/>
          <w:color w:val="000000"/>
          <w:kern w:val="0"/>
          <w:sz w:val="32"/>
          <w:szCs w:val="32"/>
          <w:shd w:val="clear" w:color="auto" w:fill="FFFFFF"/>
        </w:rPr>
        <w:t>4.31分。</w:t>
      </w:r>
    </w:p>
    <w:p w14:paraId="73C0BBCA">
      <w:pPr>
        <w:keepNext w:val="0"/>
        <w:keepLines w:val="0"/>
        <w:pageBreakBefore w:val="0"/>
        <w:numPr>
          <w:ilvl w:val="0"/>
          <w:numId w:val="3"/>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预算年终结余：我中心部门整体财政拨款年终预算无结余，该项自评</w:t>
      </w:r>
      <w:r>
        <w:rPr>
          <w:rFonts w:hint="eastAsia" w:ascii="Times New Roman" w:hAnsi="Times New Roman" w:eastAsia="仿宋_GB2312" w:cs="仿宋_GB2312"/>
          <w:color w:val="000000"/>
          <w:kern w:val="0"/>
          <w:sz w:val="32"/>
          <w:szCs w:val="32"/>
          <w:shd w:val="clear" w:color="auto" w:fill="FFFFFF"/>
        </w:rPr>
        <w:t>2分。</w:t>
      </w:r>
    </w:p>
    <w:p w14:paraId="6A26A915">
      <w:pPr>
        <w:keepNext w:val="0"/>
        <w:keepLines w:val="0"/>
        <w:pageBreakBefore w:val="0"/>
        <w:numPr>
          <w:ilvl w:val="0"/>
          <w:numId w:val="3"/>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t>严控一般性支出：我中心一般性支出财政拨款年初预算和执行均较上年压减，一般性支出财政拨款年初预算较上年约压减7%，一般性支出财政拨款预算执行较上年约压减6%，基础分值得</w:t>
      </w:r>
      <w:r>
        <w:rPr>
          <w:rFonts w:hint="eastAsia" w:ascii="Times New Roman" w:hAnsi="Times New Roman" w:eastAsia="仿宋_GB2312" w:cs="仿宋_GB2312"/>
          <w:color w:val="000000"/>
          <w:kern w:val="0"/>
          <w:sz w:val="32"/>
          <w:szCs w:val="32"/>
          <w:shd w:val="clear" w:color="auto" w:fill="FFFFFF"/>
        </w:rPr>
        <w:t>2分，加分项得3分，故</w:t>
      </w:r>
      <w:r>
        <w:rPr>
          <w:rFonts w:hint="eastAsia" w:ascii="Times New Roman" w:hAnsi="Times New Roman" w:eastAsia="仿宋_GB2312" w:cs="仿宋_GB2312"/>
          <w:color w:val="000000"/>
          <w:kern w:val="0"/>
          <w:sz w:val="32"/>
          <w:szCs w:val="32"/>
          <w:shd w:val="clear" w:color="auto" w:fill="FFFFFF"/>
          <w:lang w:val="zh-CN"/>
        </w:rPr>
        <w:t>该项自评</w:t>
      </w:r>
      <w:r>
        <w:rPr>
          <w:rFonts w:hint="eastAsia" w:ascii="Times New Roman" w:hAnsi="Times New Roman" w:eastAsia="仿宋_GB2312" w:cs="仿宋_GB2312"/>
          <w:color w:val="000000"/>
          <w:kern w:val="0"/>
          <w:sz w:val="32"/>
          <w:szCs w:val="32"/>
          <w:shd w:val="clear" w:color="auto" w:fill="FFFFFF"/>
        </w:rPr>
        <w:t>5分。</w:t>
      </w:r>
    </w:p>
    <w:p w14:paraId="7D803E4A">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3"/>
        <w:rPr>
          <w:rFonts w:hint="eastAsia" w:ascii="Times New Roman" w:hAnsi="Times New Roman"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rPr>
        <w:t>3.</w:t>
      </w:r>
      <w:r>
        <w:rPr>
          <w:rFonts w:hint="eastAsia" w:ascii="仿宋_GB2312" w:hAnsi="仿宋_GB2312" w:eastAsia="仿宋_GB2312" w:cs="仿宋_GB2312"/>
          <w:b w:val="0"/>
          <w:bCs w:val="0"/>
          <w:color w:val="000000"/>
          <w:kern w:val="0"/>
          <w:sz w:val="32"/>
          <w:szCs w:val="32"/>
          <w:shd w:val="clear" w:color="auto" w:fill="FFFFFF"/>
          <w:lang w:val="zh-CN"/>
        </w:rPr>
        <w:t>财务管理</w:t>
      </w:r>
      <w:r>
        <w:rPr>
          <w:rFonts w:hint="eastAsia" w:ascii="仿宋_GB2312" w:hAnsi="仿宋_GB2312" w:eastAsia="仿宋_GB2312" w:cs="仿宋_GB2312"/>
          <w:b w:val="0"/>
          <w:bCs w:val="0"/>
          <w:color w:val="000000"/>
          <w:kern w:val="0"/>
          <w:sz w:val="32"/>
          <w:szCs w:val="32"/>
          <w:shd w:val="clear" w:color="auto" w:fill="FFFFFF"/>
        </w:rPr>
        <w:t>10分，自评10分</w:t>
      </w:r>
      <w:r>
        <w:rPr>
          <w:rFonts w:hint="eastAsia" w:ascii="仿宋_GB2312" w:hAnsi="仿宋_GB2312" w:cs="仿宋_GB2312"/>
          <w:b w:val="0"/>
          <w:bCs w:val="0"/>
          <w:color w:val="000000"/>
          <w:kern w:val="0"/>
          <w:sz w:val="32"/>
          <w:szCs w:val="32"/>
          <w:shd w:val="clear" w:color="auto" w:fill="FFFFFF"/>
          <w:lang w:eastAsia="zh-CN"/>
        </w:rPr>
        <w:t>。</w:t>
      </w:r>
    </w:p>
    <w:p w14:paraId="7C0E90F8">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w:t>
      </w:r>
      <w:r>
        <w:rPr>
          <w:rFonts w:hint="eastAsia" w:ascii="Times New Roman" w:hAnsi="Times New Roman" w:eastAsia="仿宋_GB2312" w:cs="仿宋_GB2312"/>
          <w:color w:val="000000"/>
          <w:kern w:val="0"/>
          <w:sz w:val="32"/>
          <w:szCs w:val="32"/>
          <w:shd w:val="clear" w:color="auto" w:fill="FFFFFF"/>
          <w:lang w:val="zh-CN"/>
        </w:rPr>
        <w:t>财务管理制度：我中心部门已制定内部财务管理制度并落实在各项工作中，该项自评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1D494155">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（2）</w:t>
      </w:r>
      <w:r>
        <w:rPr>
          <w:rFonts w:hint="eastAsia" w:ascii="Times New Roman" w:hAnsi="Times New Roman" w:eastAsia="仿宋_GB2312" w:cs="仿宋_GB2312"/>
          <w:color w:val="000000"/>
          <w:kern w:val="0"/>
          <w:sz w:val="32"/>
          <w:szCs w:val="32"/>
          <w:shd w:val="clear" w:color="auto" w:fill="FFFFFF"/>
          <w:lang w:val="zh-CN"/>
        </w:rPr>
        <w:t>财务岗位设置：我中心根据财务管理制度，合理设置财务工作岗位，明确职责权限并严格实行不相容岗位分离制度，该项自评</w:t>
      </w:r>
      <w:r>
        <w:rPr>
          <w:rFonts w:hint="eastAsia" w:ascii="Times New Roman" w:hAnsi="Times New Roman" w:eastAsia="仿宋_GB2312" w:cs="仿宋_GB2312"/>
          <w:color w:val="000000"/>
          <w:kern w:val="0"/>
          <w:sz w:val="32"/>
          <w:szCs w:val="32"/>
          <w:shd w:val="clear" w:color="auto" w:fill="FFFFFF"/>
        </w:rPr>
        <w:t>2分。</w:t>
      </w:r>
    </w:p>
    <w:p w14:paraId="3A3AA6B2">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3）</w:t>
      </w:r>
      <w:r>
        <w:rPr>
          <w:rFonts w:hint="eastAsia" w:ascii="Times New Roman" w:hAnsi="Times New Roman" w:eastAsia="仿宋_GB2312" w:cs="仿宋_GB2312"/>
          <w:color w:val="000000"/>
          <w:kern w:val="0"/>
          <w:sz w:val="32"/>
          <w:szCs w:val="32"/>
          <w:shd w:val="clear" w:color="auto" w:fill="FFFFFF"/>
          <w:lang w:val="zh-CN"/>
        </w:rPr>
        <w:t>资金使用规范：</w:t>
      </w:r>
      <w:r>
        <w:rPr>
          <w:rFonts w:hint="eastAsia" w:ascii="Times New Roman" w:hAnsi="Times New Roman" w:eastAsia="仿宋_GB2312" w:cs="仿宋_GB2312"/>
          <w:color w:val="auto"/>
          <w:sz w:val="32"/>
          <w:szCs w:val="24"/>
          <w:shd w:val="clear" w:color="auto" w:fill="FFFFFF"/>
        </w:rPr>
        <w:t>项目资金按照政府会计制度设专账进行核算，并做到账务处理及时，会计核算规范。专项资金的分配、使用、由专项资金管理科室对照项目资金管理办法</w:t>
      </w:r>
      <w:r>
        <w:rPr>
          <w:rFonts w:hint="eastAsia" w:eastAsia="仿宋_GB2312" w:cs="仿宋_GB2312"/>
          <w:color w:val="auto"/>
          <w:sz w:val="32"/>
          <w:szCs w:val="24"/>
          <w:shd w:val="clear" w:color="auto" w:fill="FFFFFF"/>
          <w:lang w:eastAsia="zh-CN"/>
        </w:rPr>
        <w:t>及项目实施方案</w:t>
      </w:r>
      <w:r>
        <w:rPr>
          <w:rFonts w:hint="eastAsia" w:ascii="Times New Roman" w:hAnsi="Times New Roman" w:eastAsia="仿宋_GB2312" w:cs="仿宋_GB2312"/>
          <w:color w:val="auto"/>
          <w:sz w:val="32"/>
          <w:szCs w:val="24"/>
          <w:shd w:val="clear" w:color="auto" w:fill="FFFFFF"/>
        </w:rPr>
        <w:t>负责实施，资金使用和支付，需按中心支付程序进行会签。项目财务管理严格依法依规，做到公开公平公正，按规定使用资金</w:t>
      </w:r>
      <w:r>
        <w:rPr>
          <w:rFonts w:hint="eastAsia" w:ascii="Times New Roman" w:hAnsi="Times New Roman" w:eastAsia="仿宋_GB2312" w:cs="仿宋_GB2312"/>
          <w:color w:val="000000"/>
          <w:kern w:val="0"/>
          <w:sz w:val="32"/>
          <w:szCs w:val="32"/>
          <w:shd w:val="clear" w:color="auto" w:fill="FFFFFF"/>
          <w:lang w:val="zh-CN"/>
        </w:rPr>
        <w:t>资金使用符合相关财务管理制度规定，围绕财务管理制度、财务岗位设置、资金使用规范进行绩效分析，该项自评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42645EFD">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3"/>
        <w:rPr>
          <w:rFonts w:hint="eastAsia" w:ascii="Times New Roman" w:hAnsi="Times New Roman"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rPr>
        <w:t>4.</w:t>
      </w:r>
      <w:r>
        <w:rPr>
          <w:rFonts w:hint="eastAsia" w:ascii="仿宋_GB2312" w:hAnsi="仿宋_GB2312" w:eastAsia="仿宋_GB2312" w:cs="仿宋_GB2312"/>
          <w:b w:val="0"/>
          <w:bCs w:val="0"/>
          <w:color w:val="000000"/>
          <w:kern w:val="0"/>
          <w:sz w:val="32"/>
          <w:szCs w:val="32"/>
          <w:shd w:val="clear" w:color="auto" w:fill="FFFFFF"/>
          <w:lang w:val="zh-CN"/>
        </w:rPr>
        <w:t>资产管理</w:t>
      </w:r>
      <w:r>
        <w:rPr>
          <w:rFonts w:hint="eastAsia" w:ascii="仿宋_GB2312" w:hAnsi="仿宋_GB2312" w:eastAsia="仿宋_GB2312" w:cs="仿宋_GB2312"/>
          <w:b w:val="0"/>
          <w:bCs w:val="0"/>
          <w:color w:val="000000"/>
          <w:kern w:val="0"/>
          <w:sz w:val="32"/>
          <w:szCs w:val="32"/>
          <w:shd w:val="clear" w:color="auto" w:fill="FFFFFF"/>
        </w:rPr>
        <w:t>3分，自评3分</w:t>
      </w:r>
      <w:r>
        <w:rPr>
          <w:rFonts w:hint="eastAsia" w:ascii="仿宋_GB2312" w:hAnsi="仿宋_GB2312" w:cs="仿宋_GB2312"/>
          <w:b w:val="0"/>
          <w:bCs w:val="0"/>
          <w:color w:val="000000"/>
          <w:kern w:val="0"/>
          <w:sz w:val="32"/>
          <w:szCs w:val="32"/>
          <w:shd w:val="clear" w:color="auto" w:fill="FFFFFF"/>
          <w:lang w:eastAsia="zh-CN"/>
        </w:rPr>
        <w:t>。</w:t>
      </w:r>
    </w:p>
    <w:p w14:paraId="062443AD">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auto"/>
          <w:sz w:val="32"/>
          <w:szCs w:val="24"/>
          <w:shd w:val="clear" w:color="auto" w:fill="FFFFFF"/>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color w:val="auto"/>
          <w:sz w:val="32"/>
          <w:szCs w:val="24"/>
          <w:shd w:val="clear" w:color="auto" w:fill="FFFFFF"/>
        </w:rPr>
        <w:t>人均资产变化率：因无法与省行政事业单位人均资产变化率和增长率进行比较，故不适用此项指标。</w:t>
      </w:r>
    </w:p>
    <w:p w14:paraId="18662FB9">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auto"/>
          <w:sz w:val="32"/>
          <w:szCs w:val="24"/>
          <w:shd w:val="clear" w:color="auto" w:fill="FFFFFF"/>
        </w:rPr>
      </w:pPr>
      <w:r>
        <w:rPr>
          <w:rFonts w:hint="eastAsia" w:ascii="仿宋_GB2312" w:hAnsi="仿宋_GB2312" w:eastAsia="仿宋_GB2312" w:cs="仿宋_GB2312"/>
          <w:color w:val="000000"/>
          <w:kern w:val="0"/>
          <w:sz w:val="32"/>
          <w:szCs w:val="32"/>
          <w:shd w:val="clear" w:color="auto" w:fill="FFFFFF"/>
          <w:lang w:val="zh-CN"/>
        </w:rPr>
        <w:t>（2）</w:t>
      </w:r>
      <w:r>
        <w:rPr>
          <w:rFonts w:hint="eastAsia" w:ascii="Times New Roman" w:hAnsi="Times New Roman" w:eastAsia="仿宋_GB2312" w:cs="仿宋_GB2312"/>
          <w:color w:val="auto"/>
          <w:sz w:val="32"/>
          <w:szCs w:val="24"/>
          <w:shd w:val="clear" w:color="auto" w:fill="FFFFFF"/>
        </w:rPr>
        <w:t>资产利用率：因无法与省直行政事业单位平均值进行比较，故不适用此项指标。</w:t>
      </w:r>
    </w:p>
    <w:p w14:paraId="16F0C957">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4"/>
        <w:rPr>
          <w:rFonts w:hint="eastAsia" w:ascii="Times New Roman" w:hAnsi="Times New Roman"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（3）</w:t>
      </w:r>
      <w:r>
        <w:rPr>
          <w:rFonts w:hint="eastAsia" w:ascii="Times New Roman" w:hAnsi="Times New Roman" w:eastAsia="仿宋_GB2312" w:cs="仿宋_GB2312"/>
          <w:color w:val="auto"/>
          <w:sz w:val="32"/>
          <w:szCs w:val="24"/>
          <w:shd w:val="clear" w:color="auto" w:fill="FFFFFF"/>
        </w:rPr>
        <w:t>资产盘活率：我中心两年均无闲置资产，</w:t>
      </w:r>
      <w:r>
        <w:rPr>
          <w:rFonts w:hint="eastAsia" w:ascii="Times New Roman" w:hAnsi="Times New Roman" w:eastAsia="仿宋_GB2312" w:cs="仿宋_GB2312"/>
          <w:color w:val="000000"/>
          <w:kern w:val="0"/>
          <w:sz w:val="32"/>
          <w:szCs w:val="32"/>
          <w:shd w:val="clear" w:color="auto" w:fill="FFFFFF"/>
          <w:lang w:val="zh-CN"/>
        </w:rPr>
        <w:t>该项自评</w:t>
      </w:r>
      <w:r>
        <w:rPr>
          <w:rFonts w:hint="eastAsia" w:ascii="Times New Roman" w:hAnsi="Times New Roman" w:eastAsia="仿宋_GB2312" w:cs="仿宋_GB2312"/>
          <w:color w:val="000000"/>
          <w:kern w:val="0"/>
          <w:sz w:val="32"/>
          <w:szCs w:val="32"/>
          <w:shd w:val="clear" w:color="auto" w:fill="FFFFFF"/>
        </w:rPr>
        <w:t>3分。</w:t>
      </w:r>
    </w:p>
    <w:p w14:paraId="7BBFB06D">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3"/>
        <w:rPr>
          <w:rFonts w:hint="eastAsia" w:ascii="Times New Roman" w:hAnsi="Times New Roman" w:eastAsia="仿宋_GB2312" w:cs="仿宋_GB2312"/>
          <w:b/>
          <w:bCs/>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rPr>
        <w:t>5.</w:t>
      </w:r>
      <w:r>
        <w:rPr>
          <w:rFonts w:hint="eastAsia" w:ascii="仿宋_GB2312" w:hAnsi="仿宋_GB2312" w:eastAsia="仿宋_GB2312" w:cs="仿宋_GB2312"/>
          <w:b w:val="0"/>
          <w:bCs w:val="0"/>
          <w:color w:val="000000"/>
          <w:kern w:val="0"/>
          <w:sz w:val="32"/>
          <w:szCs w:val="32"/>
          <w:shd w:val="clear" w:color="auto" w:fill="FFFFFF"/>
          <w:lang w:val="zh-CN"/>
        </w:rPr>
        <w:t>采购管理</w:t>
      </w:r>
      <w:r>
        <w:rPr>
          <w:rFonts w:hint="eastAsia" w:ascii="仿宋_GB2312" w:hAnsi="仿宋_GB2312" w:eastAsia="仿宋_GB2312" w:cs="仿宋_GB2312"/>
          <w:b w:val="0"/>
          <w:bCs w:val="0"/>
          <w:color w:val="000000"/>
          <w:kern w:val="0"/>
          <w:sz w:val="32"/>
          <w:szCs w:val="32"/>
          <w:shd w:val="clear" w:color="auto" w:fill="FFFFFF"/>
        </w:rPr>
        <w:t>6分，自评6分</w:t>
      </w:r>
      <w:r>
        <w:rPr>
          <w:rFonts w:hint="eastAsia" w:ascii="仿宋_GB2312" w:hAnsi="仿宋_GB2312" w:cs="仿宋_GB2312"/>
          <w:b w:val="0"/>
          <w:bCs w:val="0"/>
          <w:color w:val="000000"/>
          <w:kern w:val="0"/>
          <w:sz w:val="32"/>
          <w:szCs w:val="32"/>
          <w:shd w:val="clear" w:color="auto" w:fill="FFFFFF"/>
          <w:lang w:eastAsia="zh-CN"/>
        </w:rPr>
        <w:t>。</w:t>
      </w:r>
    </w:p>
    <w:p w14:paraId="6E311FD3">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color w:val="auto"/>
          <w:sz w:val="32"/>
          <w:szCs w:val="24"/>
          <w:shd w:val="clear" w:color="auto" w:fill="FFFFFF"/>
          <w:lang w:val="zh-CN"/>
        </w:rPr>
        <w:t>支持中小企业发展：我中心部门严格执行政府采购促进中小企业发展相关管理办法，对适宜由中小企业提供的采购项目和采购包，预留采购份额专门面向中小企业采购，并在采购预算中单独列示，该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3分</w:t>
      </w:r>
      <w:r>
        <w:rPr>
          <w:rFonts w:hint="eastAsia" w:ascii="Times New Roman" w:hAnsi="Times New Roman" w:eastAsia="仿宋_GB2312" w:cs="仿宋_GB2312"/>
          <w:color w:val="000000"/>
          <w:kern w:val="0"/>
          <w:sz w:val="32"/>
          <w:szCs w:val="32"/>
          <w:shd w:val="clear" w:color="auto" w:fill="FFFFFF"/>
          <w:lang w:val="zh-CN"/>
        </w:rPr>
        <w:t>。</w:t>
      </w:r>
    </w:p>
    <w:p w14:paraId="27FD6FAB">
      <w:pPr>
        <w:pStyle w:val="2"/>
        <w:keepNext w:val="0"/>
        <w:keepLines w:val="0"/>
        <w:pageBreakBefore w:val="0"/>
        <w:kinsoku/>
        <w:wordWrap/>
        <w:overflowPunct/>
        <w:topLinePunct w:val="0"/>
        <w:autoSpaceDE/>
        <w:autoSpaceDN/>
        <w:bidi w:val="0"/>
        <w:spacing w:beforeLines="0" w:after="0" w:afterLines="0" w:line="578" w:lineRule="exact"/>
        <w:ind w:left="0" w:leftChars="0" w:firstLine="640"/>
        <w:textAlignment w:val="auto"/>
        <w:rPr>
          <w:rFonts w:hint="eastAsia" w:ascii="Times New Roman" w:hAnsi="Times New Roman" w:eastAsia="仿宋_GB2312" w:cs="仿宋_GB2312"/>
          <w:b/>
          <w:color w:val="auto"/>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eastAsia="zh-CN" w:bidi="ar-SA"/>
        </w:rPr>
        <w:t>（2）</w:t>
      </w:r>
      <w:r>
        <w:rPr>
          <w:rFonts w:hint="eastAsia" w:ascii="Times New Roman" w:hAnsi="Times New Roman" w:eastAsia="仿宋_GB2312" w:cs="仿宋_GB2312"/>
          <w:color w:val="auto"/>
          <w:sz w:val="32"/>
          <w:szCs w:val="32"/>
          <w:shd w:val="clear" w:color="auto" w:fill="FFFFFF"/>
          <w:lang w:val="zh-CN"/>
        </w:rPr>
        <w:t>采购执行率：我中心2023年无政府采购预算，该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3分。</w:t>
      </w:r>
    </w:p>
    <w:p w14:paraId="03FC2048">
      <w:pPr>
        <w:widowControl/>
        <w:adjustRightInd w:val="0"/>
        <w:snapToGrid w:val="0"/>
        <w:spacing w:beforeLines="0" w:afterLines="0" w:line="578" w:lineRule="exact"/>
        <w:ind w:firstLine="640" w:firstLineChars="200"/>
        <w:jc w:val="left"/>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（二）部门预算项目绩效分析（</w:t>
      </w:r>
      <w:r>
        <w:rPr>
          <w:rFonts w:hint="eastAsia" w:ascii="楷体_GB2312" w:hAnsi="楷体_GB2312" w:eastAsia="楷体_GB2312" w:cs="楷体_GB2312"/>
          <w:b w:val="0"/>
          <w:bCs/>
          <w:color w:val="000000"/>
          <w:kern w:val="0"/>
          <w:sz w:val="32"/>
          <w:szCs w:val="32"/>
          <w:shd w:val="clear" w:color="auto" w:fill="FFFFFF"/>
        </w:rPr>
        <w:t>35分</w:t>
      </w:r>
      <w:r>
        <w:rPr>
          <w:rFonts w:hint="eastAsia" w:ascii="楷体_GB2312" w:hAnsi="楷体_GB2312" w:eastAsia="楷体_GB2312" w:cs="楷体_GB2312"/>
          <w:b w:val="0"/>
          <w:bCs/>
          <w:color w:val="000000"/>
          <w:kern w:val="0"/>
          <w:sz w:val="32"/>
          <w:szCs w:val="32"/>
          <w:shd w:val="clear" w:color="auto" w:fill="FFFFFF"/>
          <w:lang w:val="zh-CN"/>
        </w:rPr>
        <w:t>）</w:t>
      </w:r>
    </w:p>
    <w:p w14:paraId="7C4072A0">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rPr>
        <w:t>常年项目绩效分析。</w:t>
      </w:r>
      <w:r>
        <w:rPr>
          <w:rFonts w:hint="eastAsia" w:ascii="Times New Roman" w:hAnsi="Times New Roman" w:eastAsia="仿宋_GB2312" w:cs="仿宋_GB2312"/>
          <w:color w:val="000000"/>
          <w:kern w:val="0"/>
          <w:sz w:val="32"/>
          <w:szCs w:val="32"/>
          <w:shd w:val="clear" w:color="auto" w:fill="FFFFFF"/>
          <w:lang w:val="zh-CN"/>
        </w:rPr>
        <w:t>该类项目总数</w:t>
      </w:r>
      <w:r>
        <w:rPr>
          <w:rFonts w:hint="eastAsia" w:ascii="Times New Roman" w:hAnsi="Times New Roman" w:eastAsia="仿宋_GB2312" w:cs="仿宋_GB2312"/>
          <w:color w:val="000000"/>
          <w:kern w:val="0"/>
          <w:sz w:val="32"/>
          <w:szCs w:val="32"/>
          <w:shd w:val="clear" w:color="auto" w:fill="FFFFFF"/>
        </w:rPr>
        <w:t>10</w:t>
      </w:r>
      <w:r>
        <w:rPr>
          <w:rFonts w:hint="eastAsia" w:ascii="Times New Roman" w:hAnsi="Times New Roman" w:eastAsia="仿宋_GB2312" w:cs="仿宋_GB2312"/>
          <w:color w:val="000000"/>
          <w:kern w:val="0"/>
          <w:sz w:val="32"/>
          <w:szCs w:val="32"/>
          <w:shd w:val="clear" w:color="auto" w:fill="FFFFFF"/>
          <w:lang w:val="zh-CN"/>
        </w:rPr>
        <w:t>个，涉及预算总金额</w:t>
      </w:r>
      <w:r>
        <w:rPr>
          <w:rFonts w:hint="eastAsia" w:ascii="Times New Roman" w:hAnsi="Times New Roman" w:eastAsia="仿宋_GB2312" w:cs="仿宋_GB2312"/>
          <w:color w:val="000000"/>
          <w:kern w:val="0"/>
          <w:sz w:val="32"/>
          <w:szCs w:val="32"/>
          <w:shd w:val="clear" w:color="auto" w:fill="FFFFFF"/>
        </w:rPr>
        <w:t xml:space="preserve">   4</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353.45</w:t>
      </w:r>
      <w:r>
        <w:rPr>
          <w:rFonts w:hint="eastAsia" w:ascii="Times New Roman" w:hAnsi="Times New Roman" w:eastAsia="仿宋_GB2312" w:cs="仿宋_GB2312"/>
          <w:color w:val="000000"/>
          <w:kern w:val="0"/>
          <w:sz w:val="32"/>
          <w:szCs w:val="32"/>
          <w:shd w:val="clear" w:color="auto" w:fill="FFFFFF"/>
          <w:lang w:val="zh-CN"/>
        </w:rPr>
        <w:t>万元，1—1</w:t>
      </w:r>
      <w:r>
        <w:rPr>
          <w:rFonts w:hint="eastAsia" w:ascii="Times New Roman" w:hAnsi="Times New Roman" w:eastAsia="仿宋_GB2312" w:cs="仿宋_GB2312"/>
          <w:color w:val="000000"/>
          <w:kern w:val="0"/>
          <w:sz w:val="32"/>
          <w:szCs w:val="32"/>
          <w:shd w:val="clear" w:color="auto" w:fill="FFFFFF"/>
        </w:rPr>
        <w:t>2</w:t>
      </w:r>
      <w:r>
        <w:rPr>
          <w:rFonts w:hint="eastAsia" w:ascii="Times New Roman" w:hAnsi="Times New Roman" w:eastAsia="仿宋_GB2312" w:cs="仿宋_GB2312"/>
          <w:color w:val="000000"/>
          <w:kern w:val="0"/>
          <w:sz w:val="32"/>
          <w:szCs w:val="32"/>
          <w:shd w:val="clear" w:color="auto" w:fill="FFFFFF"/>
          <w:lang w:val="zh-CN"/>
        </w:rPr>
        <w:t>月预算执行</w:t>
      </w:r>
      <w:r>
        <w:rPr>
          <w:rFonts w:hint="eastAsia" w:ascii="Times New Roman" w:hAnsi="Times New Roman" w:eastAsia="仿宋_GB2312" w:cs="仿宋_GB2312"/>
          <w:color w:val="000000"/>
          <w:kern w:val="0"/>
          <w:sz w:val="32"/>
          <w:szCs w:val="32"/>
          <w:shd w:val="clear" w:color="auto" w:fill="FFFFFF"/>
        </w:rPr>
        <w:t>4</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353.45万元，</w:t>
      </w:r>
      <w:r>
        <w:rPr>
          <w:rFonts w:hint="eastAsia" w:ascii="Times New Roman" w:hAnsi="Times New Roman" w:eastAsia="仿宋_GB2312" w:cs="仿宋_GB2312"/>
          <w:color w:val="000000"/>
          <w:kern w:val="0"/>
          <w:sz w:val="32"/>
          <w:szCs w:val="32"/>
          <w:shd w:val="clear" w:color="auto" w:fill="FFFFFF"/>
          <w:lang w:val="zh-CN"/>
        </w:rPr>
        <w:t>总体进度为</w:t>
      </w:r>
      <w:r>
        <w:rPr>
          <w:rFonts w:hint="eastAsia" w:ascii="Times New Roman" w:hAnsi="Times New Roman" w:eastAsia="仿宋_GB2312" w:cs="仿宋_GB2312"/>
          <w:color w:val="000000"/>
          <w:kern w:val="0"/>
          <w:sz w:val="32"/>
          <w:szCs w:val="32"/>
          <w:shd w:val="clear" w:color="auto" w:fill="FFFFFF"/>
        </w:rPr>
        <w:t xml:space="preserve"> 100 </w:t>
      </w:r>
      <w:r>
        <w:rPr>
          <w:rFonts w:hint="eastAsia" w:ascii="Times New Roman" w:hAnsi="Times New Roman" w:eastAsia="仿宋_GB2312" w:cs="仿宋_GB2312"/>
          <w:color w:val="000000"/>
          <w:kern w:val="0"/>
          <w:sz w:val="32"/>
          <w:szCs w:val="32"/>
          <w:shd w:val="clear" w:color="auto" w:fill="FFFFFF"/>
          <w:lang w:val="zh-CN"/>
        </w:rPr>
        <w:t>%，无预算结余。</w:t>
      </w:r>
    </w:p>
    <w:p w14:paraId="1C6320A1">
      <w:pPr>
        <w:numPr>
          <w:ilvl w:val="0"/>
          <w:numId w:val="0"/>
        </w:numPr>
        <w:adjustRightInd w:val="0"/>
        <w:snapToGrid w:val="0"/>
        <w:spacing w:beforeLines="0" w:afterLines="0" w:line="578" w:lineRule="exact"/>
        <w:ind w:firstLine="640" w:firstLineChars="200"/>
        <w:jc w:val="left"/>
        <w:outlineLvl w:val="3"/>
        <w:rPr>
          <w:rFonts w:hint="eastAsia" w:ascii="Times New Roman" w:hAnsi="Times New Roman"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rPr>
        <w:t>1.</w:t>
      </w:r>
      <w:r>
        <w:rPr>
          <w:rFonts w:hint="eastAsia" w:ascii="仿宋_GB2312" w:hAnsi="仿宋_GB2312" w:eastAsia="仿宋_GB2312" w:cs="仿宋_GB2312"/>
          <w:b w:val="0"/>
          <w:bCs w:val="0"/>
          <w:color w:val="000000"/>
          <w:kern w:val="0"/>
          <w:sz w:val="32"/>
          <w:szCs w:val="32"/>
          <w:shd w:val="clear" w:color="auto" w:fill="FFFFFF"/>
          <w:lang w:val="zh-CN"/>
        </w:rPr>
        <w:t>项目决策</w:t>
      </w:r>
      <w:r>
        <w:rPr>
          <w:rFonts w:hint="eastAsia" w:ascii="仿宋_GB2312" w:hAnsi="仿宋_GB2312" w:eastAsia="仿宋_GB2312" w:cs="仿宋_GB2312"/>
          <w:b w:val="0"/>
          <w:bCs w:val="0"/>
          <w:color w:val="000000"/>
          <w:kern w:val="0"/>
          <w:sz w:val="32"/>
          <w:szCs w:val="32"/>
          <w:shd w:val="clear" w:color="auto" w:fill="FFFFFF"/>
        </w:rPr>
        <w:t>12分，自评12分</w:t>
      </w:r>
      <w:r>
        <w:rPr>
          <w:rFonts w:hint="eastAsia" w:ascii="仿宋_GB2312" w:hAnsi="仿宋_GB2312" w:eastAsia="仿宋_GB2312" w:cs="仿宋_GB2312"/>
          <w:b w:val="0"/>
          <w:bCs w:val="0"/>
          <w:color w:val="000000"/>
          <w:kern w:val="0"/>
          <w:sz w:val="32"/>
          <w:szCs w:val="32"/>
          <w:shd w:val="clear" w:color="auto" w:fill="FFFFFF"/>
          <w:lang w:val="zh-CN"/>
        </w:rPr>
        <w:t>。</w:t>
      </w:r>
    </w:p>
    <w:p w14:paraId="10C066E4">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auto"/>
          <w:sz w:val="32"/>
          <w:szCs w:val="24"/>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color w:val="auto"/>
          <w:sz w:val="32"/>
          <w:szCs w:val="24"/>
          <w:shd w:val="clear" w:color="auto" w:fill="FFFFFF"/>
          <w:lang w:val="zh-CN"/>
        </w:rPr>
        <w:t>决策程序：我中心部门预算项目设立严格按规定履行评估论证、申报程序，项目金额超过100万均都进行了事前评估程序，该项自评</w:t>
      </w:r>
      <w:r>
        <w:rPr>
          <w:rFonts w:hint="eastAsia" w:ascii="Times New Roman" w:hAnsi="Times New Roman" w:eastAsia="仿宋_GB2312" w:cs="仿宋_GB2312"/>
          <w:color w:val="auto"/>
          <w:sz w:val="32"/>
          <w:szCs w:val="24"/>
          <w:shd w:val="clear" w:color="auto" w:fill="FFFFFF"/>
        </w:rPr>
        <w:t>4分。</w:t>
      </w:r>
    </w:p>
    <w:p w14:paraId="2EE895CF">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auto"/>
          <w:sz w:val="32"/>
          <w:szCs w:val="24"/>
          <w:shd w:val="clear" w:color="auto" w:fill="FFFFFF"/>
        </w:rPr>
      </w:pP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仿宋_GB2312" w:eastAsia="仿宋_GB2312" w:cs="仿宋_GB2312"/>
          <w:color w:val="000000"/>
          <w:kern w:val="0"/>
          <w:sz w:val="32"/>
          <w:szCs w:val="32"/>
          <w:shd w:val="clear" w:color="auto" w:fill="FFFFFF"/>
          <w:lang w:val="zh-CN"/>
        </w:rPr>
        <w:t>2）目标设置：我中心部门预算项目绩效目标与计划期内的任</w:t>
      </w:r>
      <w:r>
        <w:rPr>
          <w:rFonts w:hint="eastAsia" w:ascii="Times New Roman" w:hAnsi="Times New Roman" w:eastAsia="仿宋_GB2312" w:cs="仿宋_GB2312"/>
          <w:color w:val="auto"/>
          <w:sz w:val="32"/>
          <w:szCs w:val="24"/>
          <w:shd w:val="clear" w:color="auto" w:fill="FFFFFF"/>
          <w:lang w:val="zh-CN"/>
        </w:rPr>
        <w:t>务量、预算安排的资金量相匹配，绩效目标设置科学合理、规范完整、量化细化与预算相匹配，该项自评</w:t>
      </w:r>
      <w:r>
        <w:rPr>
          <w:rFonts w:hint="eastAsia" w:ascii="Times New Roman" w:hAnsi="Times New Roman" w:eastAsia="仿宋_GB2312" w:cs="仿宋_GB2312"/>
          <w:color w:val="auto"/>
          <w:sz w:val="32"/>
          <w:szCs w:val="24"/>
          <w:shd w:val="clear" w:color="auto" w:fill="FFFFFF"/>
        </w:rPr>
        <w:t>4分。</w:t>
      </w:r>
    </w:p>
    <w:p w14:paraId="10AAA283">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w:t>
      </w:r>
      <w:r>
        <w:rPr>
          <w:rFonts w:hint="eastAsia" w:ascii="Times New Roman" w:hAnsi="Times New Roman" w:eastAsia="仿宋_GB2312" w:cs="仿宋_GB2312"/>
          <w:color w:val="000000"/>
          <w:kern w:val="0"/>
          <w:sz w:val="32"/>
          <w:szCs w:val="32"/>
          <w:shd w:val="clear" w:color="auto" w:fill="FFFFFF"/>
          <w:lang w:val="zh-CN"/>
        </w:rPr>
        <w:t>项目入库：我中心积极配合财政要求完成部门预算并在规定时间内完成项目入库，</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310F900B">
      <w:pPr>
        <w:numPr>
          <w:ilvl w:val="0"/>
          <w:numId w:val="0"/>
        </w:numPr>
        <w:adjustRightInd w:val="0"/>
        <w:snapToGrid w:val="0"/>
        <w:spacing w:beforeLines="0" w:afterLines="0" w:line="578" w:lineRule="exact"/>
        <w:ind w:firstLine="640" w:firstLineChars="200"/>
        <w:jc w:val="left"/>
        <w:outlineLvl w:val="3"/>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rPr>
        <w:t>2.项目执行12分，自评12分</w:t>
      </w:r>
      <w:r>
        <w:rPr>
          <w:rFonts w:hint="eastAsia" w:ascii="仿宋_GB2312" w:hAnsi="仿宋_GB2312" w:eastAsia="仿宋_GB2312" w:cs="仿宋_GB2312"/>
          <w:b w:val="0"/>
          <w:bCs w:val="0"/>
          <w:color w:val="000000"/>
          <w:kern w:val="0"/>
          <w:sz w:val="32"/>
          <w:szCs w:val="32"/>
          <w:shd w:val="clear" w:color="auto" w:fill="FFFFFF"/>
          <w:lang w:val="zh-CN"/>
        </w:rPr>
        <w:t>。</w:t>
      </w:r>
    </w:p>
    <w:p w14:paraId="422ABE4B">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color w:val="000000"/>
          <w:kern w:val="0"/>
          <w:sz w:val="32"/>
          <w:szCs w:val="32"/>
          <w:shd w:val="clear" w:color="auto" w:fill="FFFFFF"/>
          <w:lang w:val="zh-CN"/>
        </w:rPr>
        <w:t>资金执行同向：部门预算项目实际列支内容与绩效目标设置方向相符，不存在夸大或偏离绩效目标，</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60FBB62C">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w:t>
      </w:r>
      <w:r>
        <w:rPr>
          <w:rFonts w:hint="eastAsia" w:ascii="Times New Roman" w:hAnsi="Times New Roman" w:eastAsia="仿宋_GB2312" w:cs="仿宋_GB2312"/>
          <w:color w:val="000000"/>
          <w:kern w:val="0"/>
          <w:sz w:val="32"/>
          <w:szCs w:val="32"/>
          <w:shd w:val="clear" w:color="auto" w:fill="FFFFFF"/>
          <w:lang w:val="zh-CN"/>
        </w:rPr>
        <w:t>项目调整：部门预算项目与执行基本一致，不存在目标调整，</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7A7461A8">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w:t>
      </w:r>
      <w:r>
        <w:rPr>
          <w:rFonts w:hint="eastAsia" w:ascii="Times New Roman" w:hAnsi="Times New Roman" w:eastAsia="仿宋_GB2312" w:cs="仿宋_GB2312"/>
          <w:color w:val="000000"/>
          <w:kern w:val="0"/>
          <w:sz w:val="32"/>
          <w:szCs w:val="32"/>
          <w:shd w:val="clear" w:color="auto" w:fill="FFFFFF"/>
          <w:lang w:val="zh-CN"/>
        </w:rPr>
        <w:t>执行结果：我中心在年底全部完成项目的预算执行，无预算结余，</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5334EA9B">
      <w:pPr>
        <w:numPr>
          <w:ilvl w:val="0"/>
          <w:numId w:val="0"/>
        </w:numPr>
        <w:adjustRightInd w:val="0"/>
        <w:snapToGrid w:val="0"/>
        <w:spacing w:beforeLines="0" w:afterLines="0" w:line="578" w:lineRule="exact"/>
        <w:ind w:firstLine="640" w:firstLineChars="200"/>
        <w:jc w:val="left"/>
        <w:outlineLvl w:val="3"/>
        <w:rPr>
          <w:rFonts w:hint="eastAsia" w:ascii="仿宋_GB2312" w:hAnsi="仿宋_GB2312" w:eastAsia="仿宋_GB2312" w:cs="仿宋_GB2312"/>
          <w:b w:val="0"/>
          <w:bCs w:val="0"/>
          <w:color w:val="000000"/>
          <w:kern w:val="0"/>
          <w:sz w:val="32"/>
          <w:szCs w:val="32"/>
          <w:shd w:val="clear" w:color="auto" w:fill="FFFFFF"/>
          <w:lang w:eastAsia="zh-CN"/>
        </w:rPr>
      </w:pPr>
      <w:r>
        <w:rPr>
          <w:rFonts w:hint="eastAsia" w:ascii="仿宋_GB2312" w:hAnsi="仿宋_GB2312" w:eastAsia="仿宋_GB2312" w:cs="仿宋_GB2312"/>
          <w:b w:val="0"/>
          <w:bCs w:val="0"/>
          <w:color w:val="000000"/>
          <w:kern w:val="0"/>
          <w:sz w:val="32"/>
          <w:szCs w:val="32"/>
          <w:shd w:val="clear" w:color="auto" w:fill="FFFFFF"/>
        </w:rPr>
        <w:t>3.</w:t>
      </w:r>
      <w:r>
        <w:rPr>
          <w:rFonts w:hint="eastAsia" w:ascii="仿宋_GB2312" w:hAnsi="仿宋_GB2312" w:eastAsia="仿宋_GB2312" w:cs="仿宋_GB2312"/>
          <w:b w:val="0"/>
          <w:bCs w:val="0"/>
          <w:color w:val="000000"/>
          <w:kern w:val="0"/>
          <w:sz w:val="32"/>
          <w:szCs w:val="32"/>
          <w:shd w:val="clear" w:color="auto" w:fill="FFFFFF"/>
          <w:lang w:val="zh-CN"/>
        </w:rPr>
        <w:t>目标实现</w:t>
      </w:r>
      <w:r>
        <w:rPr>
          <w:rFonts w:hint="eastAsia" w:ascii="仿宋_GB2312" w:hAnsi="仿宋_GB2312" w:eastAsia="仿宋_GB2312" w:cs="仿宋_GB2312"/>
          <w:b w:val="0"/>
          <w:bCs w:val="0"/>
          <w:color w:val="000000"/>
          <w:kern w:val="0"/>
          <w:sz w:val="32"/>
          <w:szCs w:val="32"/>
          <w:shd w:val="clear" w:color="auto" w:fill="FFFFFF"/>
        </w:rPr>
        <w:t>11分，自评11分</w:t>
      </w:r>
      <w:r>
        <w:rPr>
          <w:rFonts w:hint="eastAsia" w:ascii="仿宋_GB2312" w:hAnsi="仿宋_GB2312" w:eastAsia="仿宋_GB2312" w:cs="仿宋_GB2312"/>
          <w:b w:val="0"/>
          <w:bCs w:val="0"/>
          <w:color w:val="000000"/>
          <w:kern w:val="0"/>
          <w:sz w:val="32"/>
          <w:szCs w:val="32"/>
          <w:shd w:val="clear" w:color="auto" w:fill="FFFFFF"/>
          <w:lang w:eastAsia="zh-CN"/>
        </w:rPr>
        <w:t>。</w:t>
      </w:r>
    </w:p>
    <w:p w14:paraId="12078AE6">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color w:val="000000"/>
          <w:kern w:val="0"/>
          <w:sz w:val="32"/>
          <w:szCs w:val="32"/>
          <w:shd w:val="clear" w:color="auto" w:fill="FFFFFF"/>
          <w:lang w:val="zh-CN"/>
        </w:rPr>
        <w:t>目标完成：我中心部门预算项目绩效目标数量指标均完成，其中</w:t>
      </w:r>
      <w:r>
        <w:rPr>
          <w:rFonts w:hint="eastAsia" w:ascii="Times New Roman" w:hAnsi="Times New Roman" w:eastAsia="仿宋_GB2312" w:cs="仿宋_GB2312"/>
          <w:color w:val="000000"/>
          <w:kern w:val="0"/>
          <w:sz w:val="32"/>
          <w:szCs w:val="32"/>
          <w:shd w:val="clear" w:color="auto" w:fill="FFFFFF"/>
        </w:rPr>
        <w:t>艾滋病咨询检测达314人/年，对县内接害用人单位的接害劳动者进行职业健康检查达5</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000人次，完成公共场所、食品从业者等各类从业人员预防性健康体检达20</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000人次，辖区内所有初一、高一和高三学生结核病筛查达30</w:t>
      </w:r>
      <w:r>
        <w:rPr>
          <w:rFonts w:hint="eastAsia" w:ascii="Times New Roman" w:hAnsi="Times New Roman" w:eastAsia="仿宋_GB2312" w:cs="仿宋_GB2312"/>
          <w:color w:val="000000"/>
          <w:kern w:val="0"/>
          <w:sz w:val="32"/>
          <w:szCs w:val="32"/>
          <w:shd w:val="clear" w:color="auto" w:fill="FFFFFF"/>
          <w:lang w:val="en-US" w:eastAsia="zh-CN"/>
        </w:rPr>
        <w:t>,</w:t>
      </w:r>
      <w:r>
        <w:rPr>
          <w:rFonts w:hint="eastAsia" w:ascii="Times New Roman" w:hAnsi="Times New Roman" w:eastAsia="仿宋_GB2312" w:cs="仿宋_GB2312"/>
          <w:color w:val="000000"/>
          <w:kern w:val="0"/>
          <w:sz w:val="32"/>
          <w:szCs w:val="32"/>
          <w:shd w:val="clear" w:color="auto" w:fill="FFFFFF"/>
        </w:rPr>
        <w:t>000人次，性病门诊干预达179人/年，</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17714198">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w:t>
      </w:r>
      <w:r>
        <w:rPr>
          <w:rFonts w:hint="eastAsia" w:ascii="Times New Roman" w:hAnsi="Times New Roman" w:eastAsia="仿宋_GB2312" w:cs="仿宋_GB2312"/>
          <w:color w:val="000000"/>
          <w:kern w:val="0"/>
          <w:sz w:val="32"/>
          <w:szCs w:val="32"/>
          <w:shd w:val="clear" w:color="auto" w:fill="FFFFFF"/>
          <w:lang w:val="zh-CN"/>
        </w:rPr>
        <w:t>目标偏离：部门预算项目绩效目标数量指标实现程度与预期目标一致，不存在偏离度，</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4分</w:t>
      </w:r>
      <w:r>
        <w:rPr>
          <w:rFonts w:hint="eastAsia" w:ascii="Times New Roman" w:hAnsi="Times New Roman" w:eastAsia="仿宋_GB2312" w:cs="仿宋_GB2312"/>
          <w:color w:val="000000"/>
          <w:kern w:val="0"/>
          <w:sz w:val="32"/>
          <w:szCs w:val="32"/>
          <w:shd w:val="clear" w:color="auto" w:fill="FFFFFF"/>
          <w:lang w:val="zh-CN"/>
        </w:rPr>
        <w:t>。</w:t>
      </w:r>
    </w:p>
    <w:p w14:paraId="5ADA368F">
      <w:pPr>
        <w:numPr>
          <w:ilvl w:val="0"/>
          <w:numId w:val="0"/>
        </w:numPr>
        <w:adjustRightInd w:val="0"/>
        <w:snapToGrid w:val="0"/>
        <w:spacing w:beforeLines="0" w:afterLines="0" w:line="578" w:lineRule="exact"/>
        <w:ind w:firstLine="640" w:firstLineChars="200"/>
        <w:jc w:val="left"/>
        <w:rPr>
          <w:rFonts w:hint="eastAsia" w:ascii="Times New Roman" w:hAnsi="Times New Roman"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zh-CN"/>
        </w:rPr>
        <w:t>（3）</w:t>
      </w:r>
      <w:r>
        <w:rPr>
          <w:rFonts w:hint="eastAsia" w:ascii="Times New Roman" w:hAnsi="Times New Roman" w:eastAsia="仿宋_GB2312" w:cs="仿宋_GB2312"/>
          <w:color w:val="000000"/>
          <w:kern w:val="0"/>
          <w:sz w:val="32"/>
          <w:szCs w:val="32"/>
          <w:shd w:val="clear" w:color="auto" w:fill="FFFFFF"/>
          <w:lang w:val="zh-CN"/>
        </w:rPr>
        <w:t>实现效果：部门预算项目均完成了绩效目标效益指标，其中社会效益指标中公众对结核病防治核心知识知晓率达到</w:t>
      </w:r>
      <w:r>
        <w:rPr>
          <w:rFonts w:hint="eastAsia" w:ascii="Times New Roman" w:hAnsi="Times New Roman" w:eastAsia="仿宋_GB2312" w:cs="仿宋_GB2312"/>
          <w:color w:val="000000"/>
          <w:kern w:val="0"/>
          <w:sz w:val="32"/>
          <w:szCs w:val="32"/>
          <w:shd w:val="clear" w:color="auto" w:fill="FFFFFF"/>
        </w:rPr>
        <w:t>85%，可持续影响指标中有效控制重大传染病、慢性疾病、疫情的发展达到100%，</w:t>
      </w:r>
      <w:r>
        <w:rPr>
          <w:rFonts w:hint="eastAsia" w:ascii="Times New Roman" w:hAnsi="Times New Roman" w:eastAsia="仿宋_GB2312" w:cs="仿宋_GB2312"/>
          <w:color w:val="auto"/>
          <w:sz w:val="32"/>
          <w:szCs w:val="24"/>
          <w:shd w:val="clear" w:color="auto" w:fill="FFFFFF"/>
          <w:lang w:val="zh-CN"/>
        </w:rPr>
        <w:t>该</w:t>
      </w:r>
      <w:r>
        <w:rPr>
          <w:rFonts w:hint="eastAsia" w:ascii="Times New Roman" w:hAnsi="Times New Roman" w:eastAsia="仿宋_GB2312" w:cs="仿宋_GB2312"/>
          <w:color w:val="000000"/>
          <w:kern w:val="0"/>
          <w:sz w:val="32"/>
          <w:szCs w:val="32"/>
          <w:shd w:val="clear" w:color="auto" w:fill="FFFFFF"/>
          <w:lang w:val="zh-CN"/>
        </w:rPr>
        <w:t>项自评</w:t>
      </w:r>
      <w:r>
        <w:rPr>
          <w:rFonts w:hint="eastAsia" w:ascii="Times New Roman" w:hAnsi="Times New Roman" w:eastAsia="仿宋_GB2312" w:cs="仿宋_GB2312"/>
          <w:color w:val="000000"/>
          <w:kern w:val="0"/>
          <w:sz w:val="32"/>
          <w:szCs w:val="32"/>
          <w:shd w:val="clear" w:color="auto" w:fill="FFFFFF"/>
        </w:rPr>
        <w:t>3分。</w:t>
      </w:r>
    </w:p>
    <w:p w14:paraId="54D2F358">
      <w:pPr>
        <w:keepNext w:val="0"/>
        <w:keepLines w:val="0"/>
        <w:pageBreakBefore w:val="0"/>
        <w:widowControl/>
        <w:kinsoku/>
        <w:wordWrap/>
        <w:overflowPunct/>
        <w:topLinePunct w:val="0"/>
        <w:autoSpaceDE/>
        <w:autoSpaceDN/>
        <w:bidi w:val="0"/>
        <w:adjustRightInd w:val="0"/>
        <w:snapToGrid w:val="0"/>
        <w:spacing w:beforeLines="0" w:afterLines="0" w:line="578" w:lineRule="exact"/>
        <w:ind w:left="0" w:firstLine="640" w:firstLineChars="200"/>
        <w:jc w:val="left"/>
        <w:textAlignment w:val="auto"/>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（三）重点领域绩效分析</w:t>
      </w:r>
    </w:p>
    <w:p w14:paraId="65707B33">
      <w:pPr>
        <w:keepNext w:val="0"/>
        <w:keepLines w:val="0"/>
        <w:pageBreakBefore w:val="0"/>
        <w:widowControl/>
        <w:kinsoku/>
        <w:wordWrap/>
        <w:overflowPunct/>
        <w:topLinePunct w:val="0"/>
        <w:autoSpaceDE/>
        <w:autoSpaceDN/>
        <w:bidi w:val="0"/>
        <w:adjustRightInd w:val="0"/>
        <w:snapToGrid w:val="0"/>
        <w:spacing w:beforeLines="0" w:afterLines="0" w:line="578" w:lineRule="exact"/>
        <w:ind w:left="0" w:firstLine="640" w:firstLineChars="200"/>
        <w:jc w:val="left"/>
        <w:textAlignment w:val="auto"/>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sz w:val="32"/>
          <w:szCs w:val="32"/>
        </w:rPr>
        <w:t>我中心部门2023年度不涉及国有资本、行政事业性国有资产、债券资金、政府采购和政府购买服务等重点领域的，</w:t>
      </w:r>
      <w:r>
        <w:rPr>
          <w:rFonts w:hint="eastAsia" w:ascii="Times New Roman" w:hAnsi="Times New Roman" w:eastAsia="仿宋_GB2312" w:cs="仿宋_GB2312"/>
          <w:sz w:val="32"/>
          <w:szCs w:val="32"/>
          <w:lang w:bidi="ar"/>
        </w:rPr>
        <w:t>故不展开分析。</w:t>
      </w:r>
    </w:p>
    <w:p w14:paraId="4B6015F5">
      <w:pPr>
        <w:keepNext w:val="0"/>
        <w:keepLines w:val="0"/>
        <w:pageBreakBefore w:val="0"/>
        <w:kinsoku/>
        <w:wordWrap/>
        <w:overflowPunct/>
        <w:topLinePunct w:val="0"/>
        <w:autoSpaceDE/>
        <w:autoSpaceDN/>
        <w:bidi w:val="0"/>
        <w:snapToGrid w:val="0"/>
        <w:spacing w:beforeLines="0" w:afterLines="0" w:line="578" w:lineRule="exact"/>
        <w:ind w:left="0" w:firstLine="640" w:firstLineChars="200"/>
        <w:textAlignment w:val="auto"/>
        <w:outlineLvl w:val="2"/>
        <w:rPr>
          <w:rFonts w:hint="eastAsia" w:ascii="Times New Roman" w:hAnsi="Times New Roman" w:eastAsia="楷体" w:cs="楷体"/>
          <w:b/>
          <w:sz w:val="32"/>
          <w:szCs w:val="32"/>
          <w:lang w:val="zh-CN"/>
        </w:rPr>
      </w:pPr>
      <w:r>
        <w:rPr>
          <w:rFonts w:hint="eastAsia" w:ascii="楷体_GB2312" w:hAnsi="楷体_GB2312" w:eastAsia="楷体_GB2312" w:cs="楷体_GB2312"/>
          <w:b w:val="0"/>
          <w:bCs/>
          <w:color w:val="000000"/>
          <w:kern w:val="0"/>
          <w:sz w:val="32"/>
          <w:szCs w:val="32"/>
          <w:shd w:val="clear" w:color="auto" w:fill="FFFFFF"/>
          <w:lang w:val="zh-CN"/>
        </w:rPr>
        <w:t>（四）绩效结果应用情况</w:t>
      </w:r>
    </w:p>
    <w:p w14:paraId="1019BD73">
      <w:pPr>
        <w:keepNext w:val="0"/>
        <w:keepLines w:val="0"/>
        <w:pageBreakBefore w:val="0"/>
        <w:widowControl/>
        <w:kinsoku/>
        <w:wordWrap/>
        <w:overflowPunct/>
        <w:topLinePunct w:val="0"/>
        <w:autoSpaceDE/>
        <w:autoSpaceDN/>
        <w:bidi w:val="0"/>
        <w:snapToGrid w:val="0"/>
        <w:spacing w:beforeLines="0" w:afterLines="0" w:line="578" w:lineRule="exact"/>
        <w:ind w:left="0" w:firstLine="640" w:firstLineChars="200"/>
        <w:jc w:val="left"/>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（1）</w:t>
      </w:r>
      <w:r>
        <w:rPr>
          <w:rFonts w:hint="eastAsia" w:ascii="Times New Roman" w:hAnsi="Times New Roman" w:eastAsia="仿宋_GB2312" w:cs="仿宋_GB2312"/>
          <w:sz w:val="32"/>
          <w:szCs w:val="32"/>
          <w:lang w:val="zh-CN"/>
        </w:rPr>
        <w:t>预算挂钩：中心建立了内设机构与绩效挂钩制度，将年初预算执行情况反馈给中心各内设机构，对各部门的业务工作进行年终考核。</w:t>
      </w:r>
    </w:p>
    <w:p w14:paraId="32331816">
      <w:pPr>
        <w:keepNext w:val="0"/>
        <w:keepLines w:val="0"/>
        <w:pageBreakBefore w:val="0"/>
        <w:widowControl/>
        <w:kinsoku/>
        <w:wordWrap/>
        <w:overflowPunct/>
        <w:topLinePunct w:val="0"/>
        <w:autoSpaceDE/>
        <w:autoSpaceDN/>
        <w:bidi w:val="0"/>
        <w:snapToGrid w:val="0"/>
        <w:spacing w:beforeLines="0" w:afterLines="0" w:line="578" w:lineRule="exact"/>
        <w:ind w:left="0" w:firstLine="640" w:firstLineChars="200"/>
        <w:jc w:val="left"/>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（2）</w:t>
      </w:r>
      <w:r>
        <w:rPr>
          <w:rFonts w:hint="eastAsia" w:ascii="Times New Roman" w:hAnsi="Times New Roman" w:eastAsia="仿宋_GB2312" w:cs="仿宋_GB2312"/>
          <w:color w:val="000000"/>
          <w:kern w:val="0"/>
          <w:sz w:val="32"/>
          <w:szCs w:val="32"/>
          <w:shd w:val="clear" w:color="auto" w:fill="FFFFFF"/>
          <w:lang w:val="zh-CN"/>
        </w:rPr>
        <w:t>自评公开：</w:t>
      </w:r>
      <w:r>
        <w:rPr>
          <w:rFonts w:hint="eastAsia" w:ascii="Times New Roman" w:hAnsi="Times New Roman" w:eastAsia="仿宋_GB2312" w:cs="仿宋_GB2312"/>
          <w:sz w:val="32"/>
          <w:szCs w:val="32"/>
        </w:rPr>
        <w:t>我中心严格遵守信息公开相关法律法规，202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年部门决算和202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年预算编制情况在县财政部门批复后，及时在大竹县政务信息公开网站上对外公开，接受社会监管。部门整体支出绩效自评报告及其他按要求应公开的绩效信息均按要求对外公开，接受社会监督。</w:t>
      </w:r>
    </w:p>
    <w:p w14:paraId="70802AB3">
      <w:pPr>
        <w:pStyle w:val="2"/>
        <w:keepNext w:val="0"/>
        <w:keepLines w:val="0"/>
        <w:pageBreakBefore w:val="0"/>
        <w:kinsoku/>
        <w:wordWrap/>
        <w:overflowPunct/>
        <w:topLinePunct w:val="0"/>
        <w:autoSpaceDE/>
        <w:autoSpaceDN/>
        <w:bidi w:val="0"/>
        <w:spacing w:beforeLines="0" w:after="0" w:afterLines="0" w:line="578" w:lineRule="exact"/>
        <w:ind w:left="0" w:leftChars="0" w:firstLine="64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eastAsia="zh-CN" w:bidi="ar-SA"/>
        </w:rPr>
        <w:t>（3）</w:t>
      </w:r>
      <w:r>
        <w:rPr>
          <w:rFonts w:hint="eastAsia" w:ascii="Times New Roman" w:hAnsi="Times New Roman" w:eastAsia="仿宋_GB2312" w:cs="仿宋_GB2312"/>
          <w:sz w:val="32"/>
          <w:szCs w:val="32"/>
        </w:rPr>
        <w:t>问题整改：中心针对部门绩效管理过程中（包括绩效目标核查、绩效监控核查和重点绩效评价）提出的问题及时进行调整解决，且将绩效管理结果应用于完善政策、改进管理、预算挂钩。</w:t>
      </w:r>
    </w:p>
    <w:p w14:paraId="13CE4DF5">
      <w:pPr>
        <w:keepNext w:val="0"/>
        <w:keepLines w:val="0"/>
        <w:pageBreakBefore w:val="0"/>
        <w:kinsoku/>
        <w:wordWrap/>
        <w:overflowPunct/>
        <w:topLinePunct w:val="0"/>
        <w:autoSpaceDE/>
        <w:autoSpaceDN/>
        <w:bidi w:val="0"/>
        <w:snapToGrid w:val="0"/>
        <w:spacing w:beforeLines="0" w:afterLines="0" w:line="578" w:lineRule="exact"/>
        <w:ind w:left="0" w:firstLine="640" w:firstLineChars="200"/>
        <w:textAlignment w:val="auto"/>
        <w:rPr>
          <w:rFonts w:hint="eastAsia" w:ascii="Times New Roman" w:hAnsi="Times New Roman" w:eastAsia="仿宋_GB2312" w:cs="仿宋_GB2312"/>
          <w:b/>
          <w:sz w:val="32"/>
          <w:szCs w:val="32"/>
        </w:rPr>
      </w:pPr>
      <w:r>
        <w:rPr>
          <w:rFonts w:hint="eastAsia" w:ascii="仿宋_GB2312" w:hAnsi="仿宋_GB2312" w:eastAsia="仿宋_GB2312" w:cs="仿宋_GB2312"/>
          <w:color w:val="000000"/>
          <w:kern w:val="0"/>
          <w:sz w:val="32"/>
          <w:szCs w:val="32"/>
          <w:shd w:val="clear" w:color="auto" w:fill="FFFFFF"/>
          <w:lang w:val="zh-CN"/>
        </w:rPr>
        <w:t>（4）</w:t>
      </w:r>
      <w:r>
        <w:rPr>
          <w:rFonts w:hint="eastAsia" w:ascii="Times New Roman" w:hAnsi="Times New Roman" w:eastAsia="仿宋_GB2312" w:cs="仿宋_GB2312"/>
          <w:sz w:val="32"/>
          <w:szCs w:val="32"/>
        </w:rPr>
        <w:t>应用反馈：中心在2023年部门整体绩效自评工作中，从目标、执行、完成、效益、满意度等方面既全面又有着重点进行了认真分析，总结经验、查找差距、分析原因，在规定时间内向财政部门反馈应用绩效结果报告并应用于下一年度预算编制和绩效监控，总体来说部门整体目标绩效完成情况良好。</w:t>
      </w:r>
    </w:p>
    <w:p w14:paraId="2478D7A0">
      <w:pPr>
        <w:widowControl/>
        <w:adjustRightInd w:val="0"/>
        <w:snapToGrid w:val="0"/>
        <w:spacing w:beforeLines="0" w:afterLines="0" w:line="578" w:lineRule="exact"/>
        <w:ind w:firstLine="640" w:firstLineChars="200"/>
        <w:jc w:val="left"/>
        <w:rPr>
          <w:rFonts w:hint="eastAsia" w:ascii="Times New Roman" w:hAnsi="Times New Roman" w:eastAsia="黑体"/>
          <w:color w:val="000000"/>
          <w:kern w:val="0"/>
          <w:sz w:val="32"/>
          <w:szCs w:val="32"/>
          <w:shd w:val="clear" w:color="auto" w:fill="FFFFFF"/>
        </w:rPr>
        <w:sectPr>
          <w:footerReference r:id="rId12" w:type="first"/>
          <w:footerReference r:id="rId10" w:type="default"/>
          <w:footerReference r:id="rId11" w:type="even"/>
          <w:pgSz w:w="11906" w:h="16838"/>
          <w:pgMar w:top="2098" w:right="1474" w:bottom="1984" w:left="1587" w:header="851" w:footer="992" w:gutter="0"/>
          <w:lnNumType w:countBy="0" w:distance="360"/>
          <w:pgNumType w:fmt="decimal"/>
          <w:cols w:space="720" w:num="1"/>
          <w:docGrid w:type="lines" w:linePitch="435" w:charSpace="0"/>
        </w:sectPr>
      </w:pPr>
    </w:p>
    <w:p w14:paraId="3416E72B">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1"/>
        <w:rPr>
          <w:rFonts w:hint="default" w:ascii="Times New Roman" w:hAnsi="Times New Roman" w:eastAsia="黑体"/>
          <w:color w:val="000000"/>
          <w:kern w:val="0"/>
          <w:sz w:val="32"/>
          <w:szCs w:val="32"/>
          <w:shd w:val="clear" w:color="auto" w:fill="FFFFFF"/>
        </w:rPr>
      </w:pPr>
      <w:bookmarkStart w:id="149" w:name="_Toc28311"/>
      <w:bookmarkStart w:id="150" w:name="_Toc28063"/>
      <w:r>
        <w:rPr>
          <w:rFonts w:hint="eastAsia" w:ascii="Times New Roman" w:hAnsi="Times New Roman" w:eastAsia="黑体"/>
          <w:color w:val="000000"/>
          <w:kern w:val="0"/>
          <w:sz w:val="32"/>
          <w:szCs w:val="32"/>
          <w:shd w:val="clear" w:color="auto" w:fill="FFFFFF"/>
        </w:rPr>
        <w:t>四、评价结论及建议</w:t>
      </w:r>
      <w:bookmarkEnd w:id="149"/>
      <w:bookmarkEnd w:id="150"/>
    </w:p>
    <w:p w14:paraId="12378486">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楷体_GB2312" w:hAnsi="楷体_GB2312" w:eastAsia="楷体_GB2312" w:cs="楷体_GB2312"/>
          <w:b w:val="0"/>
          <w:bCs/>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（一）评价结论</w:t>
      </w:r>
    </w:p>
    <w:p w14:paraId="6D1EC373">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b/>
          <w:color w:val="000000"/>
          <w:kern w:val="0"/>
          <w:sz w:val="32"/>
          <w:szCs w:val="32"/>
          <w:shd w:val="clear" w:color="auto" w:fill="FFFFFF"/>
        </w:rPr>
      </w:pPr>
      <w:r>
        <w:rPr>
          <w:rFonts w:hint="eastAsia" w:ascii="Times New Roman" w:hAnsi="Times New Roman" w:eastAsia="仿宋_GB2312" w:cs="仿宋_GB2312"/>
          <w:sz w:val="32"/>
          <w:szCs w:val="32"/>
        </w:rPr>
        <w:t>中心在2023年度较好地执行了预算管理以及资金支出，全面实现了全年预算目标，</w:t>
      </w:r>
      <w:r>
        <w:rPr>
          <w:rFonts w:hint="eastAsia" w:ascii="Times New Roman" w:hAnsi="Times New Roman" w:eastAsia="仿宋_GB2312" w:cs="仿宋_GB2312"/>
          <w:sz w:val="32"/>
          <w:szCs w:val="32"/>
        </w:rPr>
        <w:t>并根据部门整体支出绩效评价指标体系对照自评得分为88.31分，剔除不适用指标10分即总分为90分，经换算最终得分88.31/90*100=98.12分。</w:t>
      </w:r>
    </w:p>
    <w:p w14:paraId="49D907DF">
      <w:pPr>
        <w:keepNext w:val="0"/>
        <w:keepLines w:val="0"/>
        <w:pageBreakBefore w:val="0"/>
        <w:widowControl/>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楷体_GB2312" w:hAnsi="楷体_GB2312" w:eastAsia="楷体_GB2312" w:cs="楷体_GB2312"/>
          <w:b w:val="0"/>
          <w:bCs/>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rPr>
        <w:t>（二）存在问题</w:t>
      </w:r>
    </w:p>
    <w:p w14:paraId="4E260FF9">
      <w:pPr>
        <w:pStyle w:val="2"/>
        <w:keepNext w:val="0"/>
        <w:keepLines w:val="0"/>
        <w:pageBreakBefore w:val="0"/>
        <w:numPr>
          <w:ilvl w:val="0"/>
          <w:numId w:val="0"/>
        </w:numPr>
        <w:kinsoku/>
        <w:wordWrap/>
        <w:overflowPunct/>
        <w:topLinePunct w:val="0"/>
        <w:autoSpaceDE/>
        <w:autoSpaceDN/>
        <w:bidi w:val="0"/>
        <w:spacing w:beforeLines="0" w:after="0" w:afterLines="0" w:line="578" w:lineRule="exact"/>
        <w:ind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一是中心通过</w:t>
      </w:r>
      <w:r>
        <w:rPr>
          <w:rFonts w:hint="eastAsia" w:ascii="Times New Roman" w:hAnsi="Times New Roman" w:eastAsia="仿宋_GB2312" w:cs="仿宋_GB2312"/>
          <w:sz w:val="32"/>
          <w:szCs w:val="32"/>
        </w:rPr>
        <w:t>2023年绩效自评工作中发现资金执行效率方面有待加强；</w:t>
      </w:r>
      <w:r>
        <w:rPr>
          <w:rFonts w:hint="eastAsia" w:ascii="Times New Roman" w:hAnsi="Times New Roman" w:eastAsia="仿宋_GB2312" w:cs="仿宋_GB2312"/>
          <w:sz w:val="32"/>
          <w:szCs w:val="32"/>
          <w:lang w:val="zh-CN"/>
        </w:rPr>
        <w:t>二是</w:t>
      </w:r>
      <w:r>
        <w:rPr>
          <w:rFonts w:hint="eastAsia" w:ascii="Times New Roman" w:hAnsi="Times New Roman" w:eastAsia="仿宋_GB2312" w:cs="仿宋_GB2312"/>
          <w:sz w:val="32"/>
          <w:szCs w:val="32"/>
        </w:rPr>
        <w:t>预算绩效管理工作任务重，专业性较强，而我中心相关专业人才不足，也未设置相关绩效管理科室专门负责此项工作；三是涉及预算绩效管理的各业务科室和财务科对绩效管理工作经验不足，配合度还不够契合，缺少绩效管理工作方面系统性的学习，只能在探索中前进。</w:t>
      </w:r>
    </w:p>
    <w:p w14:paraId="3DA615E1">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 w:cs="楷体"/>
          <w:b/>
          <w:color w:val="000000"/>
          <w:kern w:val="0"/>
          <w:sz w:val="32"/>
          <w:szCs w:val="32"/>
          <w:shd w:val="clear" w:color="auto" w:fill="FFFFFF"/>
          <w:lang w:val="zh-CN"/>
        </w:rPr>
      </w:pPr>
      <w:r>
        <w:rPr>
          <w:rFonts w:hint="eastAsia" w:ascii="楷体_GB2312" w:hAnsi="楷体_GB2312" w:eastAsia="楷体_GB2312" w:cs="楷体_GB2312"/>
          <w:b w:val="0"/>
          <w:bCs/>
          <w:color w:val="000000"/>
          <w:kern w:val="0"/>
          <w:sz w:val="32"/>
          <w:szCs w:val="32"/>
          <w:shd w:val="clear" w:color="auto" w:fill="FFFFFF"/>
          <w:lang w:val="zh-CN" w:eastAsia="zh-CN"/>
        </w:rPr>
        <w:t>（三）</w:t>
      </w:r>
      <w:r>
        <w:rPr>
          <w:rFonts w:hint="eastAsia" w:ascii="楷体_GB2312" w:hAnsi="楷体_GB2312" w:eastAsia="楷体_GB2312" w:cs="楷体_GB2312"/>
          <w:b w:val="0"/>
          <w:bCs/>
          <w:color w:val="000000"/>
          <w:kern w:val="0"/>
          <w:sz w:val="32"/>
          <w:szCs w:val="32"/>
          <w:shd w:val="clear" w:color="auto" w:fill="FFFFFF"/>
          <w:lang w:val="zh-CN"/>
        </w:rPr>
        <w:t>改进建议</w:t>
      </w:r>
      <w:bookmarkStart w:id="151" w:name="_Hlk110546638"/>
    </w:p>
    <w:p w14:paraId="53A901E4">
      <w:pPr>
        <w:pStyle w:val="2"/>
        <w:keepNext w:val="0"/>
        <w:keepLines w:val="0"/>
        <w:pageBreakBefore w:val="0"/>
        <w:numPr>
          <w:ilvl w:val="0"/>
          <w:numId w:val="0"/>
        </w:numPr>
        <w:kinsoku/>
        <w:wordWrap/>
        <w:overflowPunct/>
        <w:topLinePunct w:val="0"/>
        <w:autoSpaceDE/>
        <w:autoSpaceDN/>
        <w:bidi w:val="0"/>
        <w:spacing w:beforeLines="0" w:after="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是预算资金使用计划性有待加强，完善用款计划管理，更科学合理的编制资金使用计划，进一步细化收支明细，按项目、按时间、按进度支出，提高资金的使用效益；二是加强财政部门的沟通与衔接，推动财政资金及时到位；三是进一步优化预算绩效管理机构设置并加强人才队伍培养。</w:t>
      </w:r>
    </w:p>
    <w:p w14:paraId="1D0E9DC5">
      <w:pPr>
        <w:pStyle w:val="2"/>
        <w:numPr>
          <w:ilvl w:val="0"/>
          <w:numId w:val="0"/>
        </w:numPr>
        <w:spacing w:beforeLines="0" w:afterLines="0"/>
        <w:ind w:firstLine="0"/>
        <w:rPr>
          <w:rFonts w:hint="eastAsia" w:ascii="Times New Roman" w:hAnsi="Times New Roman"/>
          <w:sz w:val="32"/>
          <w:szCs w:val="32"/>
          <w:lang w:val="en"/>
        </w:rPr>
      </w:pPr>
    </w:p>
    <w:bookmarkEnd w:id="151"/>
    <w:p w14:paraId="4DF09E49">
      <w:pPr>
        <w:spacing w:beforeLines="0" w:afterLines="0" w:line="578" w:lineRule="exact"/>
        <w:ind w:firstLine="640" w:firstLineChars="200"/>
        <w:rPr>
          <w:rFonts w:hint="eastAsia" w:ascii="Times New Roman" w:hAnsi="Times New Roman"/>
          <w:color w:val="000000"/>
          <w:kern w:val="0"/>
          <w:sz w:val="32"/>
          <w:szCs w:val="32"/>
          <w:shd w:val="clear" w:color="auto" w:fill="FFFFFF"/>
        </w:rPr>
        <w:sectPr>
          <w:footerReference r:id="rId15" w:type="first"/>
          <w:footerReference r:id="rId13" w:type="default"/>
          <w:footerReference r:id="rId14" w:type="even"/>
          <w:pgSz w:w="11906" w:h="16838"/>
          <w:pgMar w:top="2098" w:right="1474" w:bottom="1984" w:left="1587" w:header="851" w:footer="992" w:gutter="0"/>
          <w:lnNumType w:countBy="0" w:distance="360"/>
          <w:pgNumType w:fmt="decimal"/>
          <w:cols w:space="720" w:num="1"/>
          <w:docGrid w:type="lines" w:linePitch="435" w:charSpace="0"/>
        </w:sectPr>
      </w:pPr>
    </w:p>
    <w:p w14:paraId="0565A257">
      <w:pPr>
        <w:spacing w:beforeLines="0" w:afterLines="0" w:line="578" w:lineRule="exact"/>
        <w:jc w:val="left"/>
        <w:rPr>
          <w:rFonts w:hint="eastAsia" w:ascii="Times New Roman" w:hAnsi="Times New Roman" w:eastAsia="黑体"/>
          <w:sz w:val="32"/>
          <w:szCs w:val="24"/>
          <w:lang w:val="en-US" w:eastAsia="zh-CN"/>
        </w:rPr>
      </w:pPr>
      <w:r>
        <w:rPr>
          <w:rFonts w:hint="eastAsia" w:ascii="Times New Roman" w:hAnsi="Times New Roman" w:eastAsia="黑体" w:cs="黑体"/>
          <w:sz w:val="32"/>
          <w:szCs w:val="24"/>
        </w:rPr>
        <w:t>附表</w:t>
      </w:r>
      <w:r>
        <w:rPr>
          <w:rFonts w:hint="eastAsia" w:ascii="Times New Roman" w:hAnsi="Times New Roman" w:eastAsia="黑体" w:cs="黑体"/>
          <w:sz w:val="32"/>
          <w:szCs w:val="24"/>
          <w:lang w:val="en-US" w:eastAsia="zh-CN"/>
        </w:rPr>
        <w:t>1</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3"/>
        <w:gridCol w:w="1291"/>
        <w:gridCol w:w="1058"/>
        <w:gridCol w:w="926"/>
        <w:gridCol w:w="1113"/>
      </w:tblGrid>
      <w:tr w14:paraId="13FE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tcBorders>
              <w:top w:val="nil"/>
              <w:left w:val="nil"/>
              <w:bottom w:val="nil"/>
              <w:right w:val="nil"/>
              <w:tl2br w:val="nil"/>
              <w:tr2bl w:val="nil"/>
            </w:tcBorders>
            <w:noWrap w:val="0"/>
            <w:vAlign w:val="center"/>
          </w:tcPr>
          <w:p w14:paraId="45285DA5">
            <w:pPr>
              <w:widowControl/>
              <w:spacing w:beforeLines="0" w:afterLines="0" w:line="600" w:lineRule="exact"/>
              <w:jc w:val="center"/>
              <w:textAlignment w:val="center"/>
              <w:rPr>
                <w:rFonts w:hint="default" w:ascii="Times New Roman" w:hAnsi="Times New Roman" w:eastAsia="黑体"/>
                <w:color w:val="000000"/>
                <w:sz w:val="28"/>
                <w:szCs w:val="28"/>
              </w:rPr>
            </w:pPr>
            <w:r>
              <w:rPr>
                <w:rFonts w:hint="eastAsia" w:ascii="Times New Roman" w:hAnsi="Times New Roman" w:eastAsia="方正小标宋简体"/>
                <w:color w:val="000000"/>
                <w:kern w:val="0"/>
                <w:sz w:val="44"/>
                <w:szCs w:val="44"/>
                <w:lang w:bidi="ar"/>
              </w:rPr>
              <w:t>部门整体支出绩效目标完成情况自评表</w:t>
            </w:r>
          </w:p>
        </w:tc>
      </w:tr>
      <w:tr w14:paraId="4EBD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top w:val="nil"/>
              <w:left w:val="nil"/>
              <w:bottom w:val="nil"/>
              <w:right w:val="nil"/>
              <w:tl2br w:val="nil"/>
              <w:tr2bl w:val="nil"/>
            </w:tcBorders>
            <w:noWrap w:val="0"/>
            <w:vAlign w:val="center"/>
          </w:tcPr>
          <w:p w14:paraId="4A69159F">
            <w:pPr>
              <w:widowControl/>
              <w:spacing w:beforeLines="0" w:afterLines="0" w:line="300" w:lineRule="exact"/>
              <w:jc w:val="center"/>
              <w:textAlignment w:val="center"/>
              <w:rPr>
                <w:rFonts w:hint="default" w:ascii="Times New Roman" w:hAnsi="Times New Roman" w:eastAsia="宋体"/>
                <w:color w:val="000000"/>
                <w:sz w:val="28"/>
                <w:szCs w:val="28"/>
              </w:rPr>
            </w:pPr>
            <w:r>
              <w:rPr>
                <w:rFonts w:hint="default" w:ascii="Times New Roman" w:hAnsi="Times New Roman" w:eastAsia="宋体"/>
                <w:color w:val="000000"/>
                <w:kern w:val="0"/>
                <w:sz w:val="28"/>
                <w:szCs w:val="28"/>
                <w:lang w:bidi="ar"/>
              </w:rPr>
              <w:t>（</w:t>
            </w:r>
            <w:r>
              <w:rPr>
                <w:rFonts w:hint="eastAsia" w:ascii="Times New Roman" w:hAnsi="Times New Roman" w:eastAsia="方正小标宋简体" w:cs="方正小标宋简体"/>
                <w:color w:val="000000"/>
                <w:kern w:val="0"/>
                <w:sz w:val="32"/>
                <w:szCs w:val="32"/>
                <w:lang w:bidi="ar"/>
              </w:rPr>
              <w:t>2023年度</w:t>
            </w:r>
            <w:r>
              <w:rPr>
                <w:rFonts w:hint="default" w:ascii="Times New Roman" w:hAnsi="Times New Roman" w:eastAsia="宋体"/>
                <w:color w:val="000000"/>
                <w:kern w:val="0"/>
                <w:sz w:val="28"/>
                <w:szCs w:val="28"/>
                <w:lang w:bidi="ar"/>
              </w:rPr>
              <w:t>）</w:t>
            </w:r>
          </w:p>
        </w:tc>
      </w:tr>
      <w:tr w14:paraId="3619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top w:val="nil"/>
              <w:left w:val="nil"/>
              <w:bottom w:val="single" w:color="000000" w:sz="4" w:space="0"/>
              <w:right w:val="nil"/>
              <w:tl2br w:val="nil"/>
              <w:tr2bl w:val="nil"/>
            </w:tcBorders>
            <w:noWrap w:val="0"/>
            <w:vAlign w:val="center"/>
          </w:tcPr>
          <w:p w14:paraId="707A3AE7">
            <w:pPr>
              <w:widowControl/>
              <w:spacing w:beforeLines="0" w:afterLines="0" w:line="300" w:lineRule="exact"/>
              <w:jc w:val="right"/>
              <w:textAlignment w:val="center"/>
              <w:rPr>
                <w:rFonts w:hint="default" w:ascii="Times New Roman" w:hAnsi="Times New Roman" w:eastAsia="宋体"/>
                <w:color w:val="000000"/>
                <w:sz w:val="21"/>
                <w:szCs w:val="21"/>
              </w:rPr>
            </w:pPr>
            <w:r>
              <w:rPr>
                <w:rFonts w:hint="default" w:ascii="Times New Roman" w:hAnsi="Times New Roman" w:eastAsia="宋体"/>
                <w:color w:val="000000"/>
                <w:kern w:val="0"/>
                <w:sz w:val="21"/>
                <w:szCs w:val="21"/>
                <w:lang w:bidi="ar"/>
              </w:rPr>
              <w:t>单位：万元</w:t>
            </w:r>
          </w:p>
        </w:tc>
      </w:tr>
      <w:tr w14:paraId="0552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39D36">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部门名称</w:t>
            </w:r>
          </w:p>
        </w:tc>
        <w:tc>
          <w:tcPr>
            <w:tcW w:w="66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67125">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大竹县疾病预防控制中心</w:t>
            </w:r>
          </w:p>
        </w:tc>
      </w:tr>
      <w:tr w14:paraId="724A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8A08B">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D85AD">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资金总额</w:t>
            </w:r>
          </w:p>
        </w:tc>
        <w:tc>
          <w:tcPr>
            <w:tcW w:w="22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5C820">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财政拨款</w:t>
            </w:r>
          </w:p>
        </w:tc>
        <w:tc>
          <w:tcPr>
            <w:tcW w:w="43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DE8D5">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其他资金</w:t>
            </w:r>
          </w:p>
        </w:tc>
      </w:tr>
      <w:tr w14:paraId="362C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81A32">
            <w:pPr>
              <w:widowControl/>
              <w:spacing w:beforeLines="0" w:afterLines="0" w:line="300" w:lineRule="exact"/>
              <w:jc w:val="center"/>
              <w:rPr>
                <w:rFonts w:hint="default" w:ascii="Times New Roman" w:hAnsi="Times New Roman" w:eastAsia="宋体"/>
                <w:color w:val="000000"/>
                <w:sz w:val="24"/>
                <w:szCs w:val="24"/>
              </w:rPr>
            </w:pP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C5C1C">
            <w:pPr>
              <w:widowControl/>
              <w:spacing w:beforeLines="0" w:afterLines="0" w:line="300" w:lineRule="exact"/>
              <w:jc w:val="center"/>
              <w:textAlignment w:val="center"/>
              <w:rPr>
                <w:rFonts w:hint="eastAsia" w:ascii="Times New Roman" w:hAnsi="Times New Roman" w:eastAsia="宋体"/>
                <w:color w:val="000000"/>
                <w:sz w:val="24"/>
                <w:szCs w:val="24"/>
                <w:lang w:val="en-US" w:eastAsia="zh-CN"/>
              </w:rPr>
            </w:pPr>
            <w:r>
              <w:rPr>
                <w:rFonts w:hint="default" w:ascii="Times New Roman" w:hAnsi="Times New Roman" w:eastAsia="宋体"/>
                <w:color w:val="000000"/>
                <w:kern w:val="0"/>
                <w:sz w:val="24"/>
                <w:szCs w:val="24"/>
                <w:lang w:bidi="ar"/>
              </w:rPr>
              <w:t>7106.6</w:t>
            </w:r>
            <w:r>
              <w:rPr>
                <w:rFonts w:hint="eastAsia" w:ascii="Times New Roman" w:hAnsi="Times New Roman"/>
                <w:color w:val="000000"/>
                <w:kern w:val="0"/>
                <w:sz w:val="24"/>
                <w:szCs w:val="24"/>
                <w:lang w:val="en-US" w:eastAsia="zh-CN" w:bidi="ar"/>
              </w:rPr>
              <w:t>5</w:t>
            </w:r>
          </w:p>
        </w:tc>
        <w:tc>
          <w:tcPr>
            <w:tcW w:w="22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9B99B">
            <w:pPr>
              <w:widowControl/>
              <w:spacing w:beforeLines="0" w:afterLines="0" w:line="300" w:lineRule="exact"/>
              <w:jc w:val="center"/>
              <w:textAlignment w:val="center"/>
              <w:rPr>
                <w:rFonts w:hint="eastAsia" w:ascii="Times New Roman" w:hAnsi="Times New Roman" w:eastAsia="宋体"/>
                <w:color w:val="000000"/>
                <w:sz w:val="24"/>
                <w:szCs w:val="24"/>
                <w:lang w:val="en-US" w:eastAsia="zh-CN"/>
              </w:rPr>
            </w:pPr>
            <w:r>
              <w:rPr>
                <w:rFonts w:hint="default" w:ascii="Times New Roman" w:hAnsi="Times New Roman" w:eastAsia="宋体"/>
                <w:color w:val="000000"/>
                <w:kern w:val="0"/>
                <w:sz w:val="24"/>
                <w:szCs w:val="24"/>
                <w:lang w:bidi="ar"/>
              </w:rPr>
              <w:t>7106.6</w:t>
            </w:r>
            <w:r>
              <w:rPr>
                <w:rFonts w:hint="eastAsia" w:ascii="Times New Roman" w:hAnsi="Times New Roman"/>
                <w:color w:val="000000"/>
                <w:kern w:val="0"/>
                <w:sz w:val="24"/>
                <w:szCs w:val="24"/>
                <w:lang w:val="en-US" w:eastAsia="zh-CN" w:bidi="ar"/>
              </w:rPr>
              <w:t>5</w:t>
            </w:r>
          </w:p>
        </w:tc>
        <w:tc>
          <w:tcPr>
            <w:tcW w:w="43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DC26E">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0</w:t>
            </w:r>
          </w:p>
        </w:tc>
      </w:tr>
      <w:tr w14:paraId="24D3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 w:hRule="atLeast"/>
          <w:jc w:val="center"/>
        </w:trPr>
        <w:tc>
          <w:tcPr>
            <w:tcW w:w="13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9131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年度总体</w:t>
            </w:r>
          </w:p>
          <w:p w14:paraId="6885EA38">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目标</w:t>
            </w:r>
          </w:p>
        </w:tc>
        <w:tc>
          <w:tcPr>
            <w:tcW w:w="925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81583">
            <w:pPr>
              <w:widowControl/>
              <w:spacing w:beforeLines="0" w:afterLines="0" w:line="300" w:lineRule="exact"/>
              <w:jc w:val="left"/>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应用于2023年开展疾病预防控制相关业务工作，达到加强人才队伍建设，维持中心各项业务工作良好运转，履行全县疾病预防与控制、应急预警与处置等职能，为人民身体健康提供防疫保障，提高全县人民健康水平和生命质量，促进经济社会可持续发展的目标。</w:t>
            </w:r>
          </w:p>
        </w:tc>
      </w:tr>
      <w:tr w14:paraId="2A13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C868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年度主要</w:t>
            </w:r>
          </w:p>
          <w:p w14:paraId="5CF0F313">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BB42E">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任务名称</w:t>
            </w:r>
          </w:p>
        </w:tc>
        <w:tc>
          <w:tcPr>
            <w:tcW w:w="66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36ABF">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主要内容</w:t>
            </w:r>
          </w:p>
        </w:tc>
      </w:tr>
      <w:tr w14:paraId="6D96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EFD2C">
            <w:pPr>
              <w:widowControl/>
              <w:spacing w:beforeLines="0" w:afterLines="0" w:line="300" w:lineRule="exact"/>
              <w:jc w:val="center"/>
              <w:rPr>
                <w:rFonts w:hint="default" w:ascii="Times New Roman" w:hAnsi="Times New Roman" w:eastAsia="宋体"/>
                <w:color w:val="000000"/>
                <w:sz w:val="24"/>
                <w:szCs w:val="24"/>
              </w:rPr>
            </w:pP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DBBAC">
            <w:pPr>
              <w:widowControl/>
              <w:spacing w:beforeLines="0" w:afterLines="0" w:line="300" w:lineRule="exact"/>
              <w:jc w:val="left"/>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强化管理职能，提升业务技能</w:t>
            </w:r>
          </w:p>
        </w:tc>
        <w:tc>
          <w:tcPr>
            <w:tcW w:w="66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6A394">
            <w:pPr>
              <w:widowControl/>
              <w:spacing w:beforeLines="0" w:afterLines="0" w:line="300" w:lineRule="exact"/>
              <w:jc w:val="left"/>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科学防控，传染病疫情维持低水平，重点突破，重大疾病防控强力推进；规范服务预防接种保持高水平，强化防治，地方病与寄生虫防治能力全面提升；综合防治，慢性病防治稳步推进；扩大覆盖，卫生监测与体检工作有序开展；全民参与，爱国卫生巩固工作持续开展；扩大宣传，健康教育与促进工作全面落实。</w:t>
            </w:r>
          </w:p>
        </w:tc>
      </w:tr>
      <w:tr w14:paraId="02E6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76BDB">
            <w:pPr>
              <w:widowControl/>
              <w:spacing w:beforeLines="0" w:afterLines="0" w:line="300" w:lineRule="exact"/>
              <w:jc w:val="center"/>
              <w:rPr>
                <w:rFonts w:hint="default" w:ascii="Times New Roman" w:hAnsi="Times New Roman" w:eastAsia="宋体"/>
                <w:color w:val="000000"/>
                <w:sz w:val="24"/>
                <w:szCs w:val="24"/>
              </w:rPr>
            </w:pP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E92F6">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强化人文建设，提高服务水平</w:t>
            </w:r>
          </w:p>
        </w:tc>
        <w:tc>
          <w:tcPr>
            <w:tcW w:w="66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0F377">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强化人文建设，提高服务水平。</w:t>
            </w:r>
          </w:p>
        </w:tc>
      </w:tr>
      <w:tr w14:paraId="185F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F9E5F">
            <w:pPr>
              <w:widowControl/>
              <w:spacing w:beforeLines="0" w:afterLines="0" w:line="300" w:lineRule="exact"/>
              <w:jc w:val="center"/>
              <w:rPr>
                <w:rFonts w:hint="default" w:ascii="Times New Roman" w:hAnsi="Times New Roman" w:eastAsia="宋体"/>
                <w:color w:val="000000"/>
                <w:sz w:val="24"/>
                <w:szCs w:val="24"/>
              </w:rPr>
            </w:pPr>
          </w:p>
        </w:tc>
        <w:tc>
          <w:tcPr>
            <w:tcW w:w="26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DFCFD">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强化思想建设，紧抓党建工作</w:t>
            </w:r>
          </w:p>
        </w:tc>
        <w:tc>
          <w:tcPr>
            <w:tcW w:w="663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610E2">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注重学习教育，夯实理论基础；加强党员队伍管理，严格党员管理和教育，发挥党组织的战斗堡垒作用和党员先锋模范作用；注重活动载体，激发党建活力。</w:t>
            </w:r>
          </w:p>
        </w:tc>
      </w:tr>
      <w:tr w14:paraId="6D76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0E87C0A4">
            <w:pPr>
              <w:widowControl/>
              <w:spacing w:beforeLines="0" w:afterLines="0" w:line="300" w:lineRule="exact"/>
              <w:jc w:val="center"/>
              <w:rPr>
                <w:rFonts w:hint="default" w:ascii="Times New Roman" w:hAnsi="Times New Roman" w:eastAsia="宋体"/>
                <w:color w:val="000000"/>
                <w:sz w:val="24"/>
                <w:szCs w:val="24"/>
              </w:rPr>
            </w:pPr>
          </w:p>
        </w:tc>
        <w:tc>
          <w:tcPr>
            <w:tcW w:w="2620"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35B186D7">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强化应急处置，全力抗击疫情</w:t>
            </w:r>
          </w:p>
        </w:tc>
        <w:tc>
          <w:tcPr>
            <w:tcW w:w="6631" w:type="dxa"/>
            <w:gridSpan w:val="6"/>
            <w:tcBorders>
              <w:top w:val="single" w:color="000000" w:sz="4" w:space="0"/>
              <w:left w:val="single" w:color="000000" w:sz="4" w:space="0"/>
              <w:bottom w:val="single" w:color="auto" w:sz="4" w:space="0"/>
              <w:right w:val="single" w:color="000000" w:sz="4" w:space="0"/>
              <w:tl2br w:val="nil"/>
              <w:tr2bl w:val="nil"/>
            </w:tcBorders>
            <w:noWrap w:val="0"/>
            <w:vAlign w:val="center"/>
          </w:tcPr>
          <w:p w14:paraId="79F83726">
            <w:pPr>
              <w:widowControl/>
              <w:spacing w:beforeLines="0" w:afterLines="0" w:line="300" w:lineRule="exact"/>
              <w:jc w:val="left"/>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闻令而动，科学部署抢抗“疫”主动权，严格落实新冠肺炎防控策略，全力保障新冠肺炎防控工作需要。</w:t>
            </w:r>
          </w:p>
        </w:tc>
      </w:tr>
      <w:tr w14:paraId="5CEE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jc w:val="center"/>
        </w:trPr>
        <w:tc>
          <w:tcPr>
            <w:tcW w:w="13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46AEDC">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30471EB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CC4938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612513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ADBA6EF">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85D87E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6DD358BA">
            <w:pPr>
              <w:widowControl/>
              <w:spacing w:beforeLines="0" w:afterLines="0" w:line="300" w:lineRule="exact"/>
              <w:textAlignment w:val="center"/>
              <w:rPr>
                <w:rFonts w:hint="default" w:ascii="Times New Roman" w:hAnsi="Times New Roman" w:eastAsia="宋体"/>
                <w:color w:val="000000"/>
                <w:kern w:val="0"/>
                <w:sz w:val="24"/>
                <w:szCs w:val="24"/>
                <w:lang w:bidi="ar"/>
              </w:rPr>
            </w:pPr>
          </w:p>
          <w:p w14:paraId="7808D8A9">
            <w:pPr>
              <w:widowControl/>
              <w:spacing w:beforeLines="0" w:afterLines="0" w:line="300" w:lineRule="exact"/>
              <w:ind w:firstLine="240" w:firstLineChars="100"/>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年度绩效</w:t>
            </w:r>
          </w:p>
          <w:p w14:paraId="4AA1DC1A">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指标</w:t>
            </w:r>
          </w:p>
          <w:p w14:paraId="086789F6">
            <w:pPr>
              <w:pStyle w:val="2"/>
              <w:spacing w:beforeLines="0" w:afterLines="0"/>
              <w:rPr>
                <w:rFonts w:hint="default" w:ascii="Times New Roman" w:hAnsi="Times New Roman" w:eastAsia="宋体"/>
                <w:color w:val="000000"/>
                <w:kern w:val="0"/>
                <w:sz w:val="24"/>
                <w:szCs w:val="24"/>
                <w:lang w:bidi="ar"/>
              </w:rPr>
            </w:pPr>
          </w:p>
          <w:p w14:paraId="7D5337BC">
            <w:pPr>
              <w:pStyle w:val="2"/>
              <w:spacing w:beforeLines="0" w:afterLines="0"/>
              <w:rPr>
                <w:rFonts w:hint="default" w:ascii="Times New Roman" w:hAnsi="Times New Roman" w:eastAsia="宋体"/>
                <w:color w:val="000000"/>
                <w:kern w:val="0"/>
                <w:sz w:val="24"/>
                <w:szCs w:val="24"/>
                <w:lang w:bidi="ar"/>
              </w:rPr>
            </w:pPr>
          </w:p>
          <w:p w14:paraId="3A51FACB">
            <w:pPr>
              <w:pStyle w:val="2"/>
              <w:spacing w:beforeLines="0" w:afterLines="0"/>
              <w:rPr>
                <w:rFonts w:hint="default" w:ascii="Times New Roman" w:hAnsi="Times New Roman" w:eastAsia="宋体"/>
                <w:color w:val="000000"/>
                <w:kern w:val="0"/>
                <w:sz w:val="24"/>
                <w:szCs w:val="24"/>
                <w:lang w:bidi="ar"/>
              </w:rPr>
            </w:pPr>
          </w:p>
          <w:p w14:paraId="28D3B20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DD8325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7442EB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6E0D346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71C989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623E54F">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6B285DF">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FA3A732">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66DFB02D">
            <w:pPr>
              <w:widowControl/>
              <w:spacing w:beforeLines="0" w:afterLines="0" w:line="300" w:lineRule="exact"/>
              <w:textAlignment w:val="center"/>
              <w:rPr>
                <w:rFonts w:hint="default" w:ascii="Times New Roman" w:hAnsi="Times New Roman" w:eastAsia="宋体"/>
                <w:color w:val="000000"/>
                <w:kern w:val="0"/>
                <w:sz w:val="24"/>
                <w:szCs w:val="24"/>
                <w:lang w:bidi="ar"/>
              </w:rPr>
            </w:pPr>
          </w:p>
          <w:p w14:paraId="39ABF94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C3C4483">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9D25A45">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0073DA7E">
            <w:pPr>
              <w:pStyle w:val="2"/>
              <w:spacing w:beforeLines="0" w:afterLines="0"/>
              <w:rPr>
                <w:rFonts w:hint="default" w:ascii="Times New Roman" w:hAnsi="Times New Roman" w:eastAsia="宋体"/>
                <w:color w:val="000000"/>
                <w:kern w:val="0"/>
                <w:sz w:val="24"/>
                <w:szCs w:val="24"/>
                <w:lang w:bidi="ar"/>
              </w:rPr>
            </w:pPr>
          </w:p>
          <w:p w14:paraId="29FAEBC7">
            <w:pPr>
              <w:pStyle w:val="2"/>
              <w:spacing w:beforeLines="0" w:afterLines="0"/>
              <w:rPr>
                <w:rFonts w:hint="default" w:ascii="Times New Roman" w:hAnsi="Times New Roman" w:eastAsia="宋体"/>
                <w:color w:val="000000"/>
                <w:kern w:val="0"/>
                <w:sz w:val="24"/>
                <w:szCs w:val="24"/>
                <w:lang w:bidi="ar"/>
              </w:rPr>
            </w:pPr>
          </w:p>
          <w:p w14:paraId="606D2A9E">
            <w:pPr>
              <w:pStyle w:val="2"/>
              <w:spacing w:beforeLines="0" w:afterLines="0"/>
              <w:rPr>
                <w:rFonts w:hint="default" w:ascii="Times New Roman" w:hAnsi="Times New Roman" w:eastAsia="宋体"/>
                <w:color w:val="000000"/>
                <w:kern w:val="0"/>
                <w:sz w:val="24"/>
                <w:szCs w:val="24"/>
                <w:lang w:bidi="ar"/>
              </w:rPr>
            </w:pPr>
          </w:p>
          <w:p w14:paraId="7A52E58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6B03664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年度绩效</w:t>
            </w:r>
          </w:p>
          <w:p w14:paraId="01492664">
            <w:pPr>
              <w:pStyle w:val="2"/>
              <w:spacing w:beforeLines="0" w:afterLines="0"/>
              <w:ind w:leftChars="0" w:firstLine="240" w:firstLineChars="100"/>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指标</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1298E">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一级指标</w:t>
            </w:r>
          </w:p>
        </w:tc>
        <w:tc>
          <w:tcPr>
            <w:tcW w:w="12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B800C">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二级指标</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C65D8">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三级指标</w:t>
            </w:r>
          </w:p>
        </w:tc>
        <w:tc>
          <w:tcPr>
            <w:tcW w:w="11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C140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绩效指标</w:t>
            </w:r>
          </w:p>
          <w:p w14:paraId="7E5CF3DE">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性质</w:t>
            </w:r>
          </w:p>
        </w:tc>
        <w:tc>
          <w:tcPr>
            <w:tcW w:w="12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945FA">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绩效指标值</w:t>
            </w:r>
          </w:p>
        </w:tc>
        <w:tc>
          <w:tcPr>
            <w:tcW w:w="1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618BD">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绩效度量单位</w:t>
            </w:r>
          </w:p>
        </w:tc>
        <w:tc>
          <w:tcPr>
            <w:tcW w:w="9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83AED">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权重</w:t>
            </w:r>
          </w:p>
        </w:tc>
        <w:tc>
          <w:tcPr>
            <w:tcW w:w="11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27FA3">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实际完成</w:t>
            </w:r>
          </w:p>
          <w:p w14:paraId="60FB472D">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指标值</w:t>
            </w:r>
          </w:p>
        </w:tc>
      </w:tr>
      <w:tr w14:paraId="548A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564CC2">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704E2AC">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FC95B00">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6397835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03EB3AB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03B79C1B">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1C9B352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A14550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产出指标</w:t>
            </w:r>
          </w:p>
          <w:p w14:paraId="19DB0E7B">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767C4F5">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9A8E00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3797B2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2DB715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4C4C52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2B92C0CC">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6E00C30">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66BA62A">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B3E62A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3EFC9A0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4C91CD7F">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5C2B3BF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64BB1E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044B42F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17BC303C">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p w14:paraId="778903AD">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产出指标</w:t>
            </w:r>
          </w:p>
        </w:tc>
        <w:tc>
          <w:tcPr>
            <w:tcW w:w="1273" w:type="dxa"/>
            <w:vMerge w:val="restart"/>
            <w:tcBorders>
              <w:top w:val="single" w:color="auto" w:sz="4" w:space="0"/>
              <w:left w:val="single" w:color="auto" w:sz="4" w:space="0"/>
              <w:bottom w:val="single" w:color="000000" w:sz="4" w:space="0"/>
              <w:right w:val="single" w:color="000000" w:sz="4" w:space="0"/>
              <w:tl2br w:val="nil"/>
              <w:tr2bl w:val="nil"/>
            </w:tcBorders>
            <w:noWrap w:val="0"/>
            <w:vAlign w:val="center"/>
          </w:tcPr>
          <w:p w14:paraId="5CA7F20F">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数量指标</w:t>
            </w:r>
          </w:p>
        </w:tc>
        <w:tc>
          <w:tcPr>
            <w:tcW w:w="1100"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220E7E89">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1"/>
                <w:szCs w:val="21"/>
                <w:lang w:bidi="ar"/>
              </w:rPr>
              <w:t>艾滋病咨询检测</w:t>
            </w:r>
          </w:p>
        </w:tc>
        <w:tc>
          <w:tcPr>
            <w:tcW w:w="1143"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04C146ED">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w:t>
            </w:r>
          </w:p>
        </w:tc>
        <w:tc>
          <w:tcPr>
            <w:tcW w:w="1291"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367A5267">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314</w:t>
            </w:r>
          </w:p>
        </w:tc>
        <w:tc>
          <w:tcPr>
            <w:tcW w:w="1058"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293F85F3">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人/年</w:t>
            </w:r>
          </w:p>
        </w:tc>
        <w:tc>
          <w:tcPr>
            <w:tcW w:w="926"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37BF6495">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8</w:t>
            </w:r>
          </w:p>
        </w:tc>
        <w:tc>
          <w:tcPr>
            <w:tcW w:w="1113"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5DF6AF67">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916</w:t>
            </w:r>
          </w:p>
        </w:tc>
      </w:tr>
      <w:tr w14:paraId="6813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54A4DAA1">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02D6C393">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auto" w:sz="4" w:space="0"/>
              <w:bottom w:val="nil"/>
              <w:right w:val="single" w:color="000000" w:sz="4" w:space="0"/>
              <w:tl2br w:val="nil"/>
              <w:tr2bl w:val="nil"/>
            </w:tcBorders>
            <w:noWrap w:val="0"/>
            <w:vAlign w:val="center"/>
          </w:tcPr>
          <w:p w14:paraId="08E0F39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5431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1"/>
                <w:szCs w:val="21"/>
                <w:lang w:bidi="ar"/>
              </w:rPr>
              <w:t>对县内接害用人单位的接害劳动者进行职业健康检查</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747F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257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2800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EABA9">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人次</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70D2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8</w:t>
            </w:r>
          </w:p>
        </w:tc>
        <w:tc>
          <w:tcPr>
            <w:tcW w:w="1113" w:type="dxa"/>
            <w:tcBorders>
              <w:top w:val="nil"/>
              <w:left w:val="single" w:color="000000" w:sz="4" w:space="0"/>
              <w:bottom w:val="single" w:color="000000" w:sz="4" w:space="0"/>
              <w:right w:val="single" w:color="000000" w:sz="4" w:space="0"/>
              <w:tl2br w:val="nil"/>
              <w:tr2bl w:val="nil"/>
            </w:tcBorders>
            <w:noWrap w:val="0"/>
            <w:vAlign w:val="center"/>
          </w:tcPr>
          <w:p w14:paraId="5278B18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2996</w:t>
            </w:r>
          </w:p>
        </w:tc>
      </w:tr>
      <w:tr w14:paraId="5798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13950D7C">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3201834A">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auto" w:sz="4" w:space="0"/>
              <w:bottom w:val="nil"/>
              <w:right w:val="single" w:color="000000" w:sz="4" w:space="0"/>
              <w:tl2br w:val="nil"/>
              <w:tr2bl w:val="nil"/>
            </w:tcBorders>
            <w:noWrap w:val="0"/>
            <w:vAlign w:val="center"/>
          </w:tcPr>
          <w:p w14:paraId="3E4F9BD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B3068">
            <w:pPr>
              <w:widowControl/>
              <w:spacing w:beforeLines="0" w:afterLines="0" w:line="300" w:lineRule="exact"/>
              <w:jc w:val="left"/>
              <w:textAlignment w:val="center"/>
              <w:rPr>
                <w:rFonts w:hint="default" w:ascii="Times New Roman" w:hAnsi="Times New Roman" w:eastAsia="宋体"/>
                <w:color w:val="000000"/>
                <w:kern w:val="0"/>
                <w:sz w:val="21"/>
                <w:szCs w:val="21"/>
                <w:lang w:bidi="ar"/>
              </w:rPr>
            </w:pPr>
            <w:r>
              <w:rPr>
                <w:rFonts w:hint="default" w:ascii="Times New Roman" w:hAnsi="Times New Roman" w:eastAsia="宋体"/>
                <w:color w:val="000000"/>
                <w:sz w:val="21"/>
                <w:szCs w:val="21"/>
              </w:rPr>
              <w:t>完成公共场所、食品从业者等各类从业人员预防性健康体检</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D70C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A9D83">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20000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067BA">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人次</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4BAA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8</w:t>
            </w:r>
          </w:p>
        </w:tc>
        <w:tc>
          <w:tcPr>
            <w:tcW w:w="1113" w:type="dxa"/>
            <w:tcBorders>
              <w:top w:val="nil"/>
              <w:left w:val="single" w:color="000000" w:sz="4" w:space="0"/>
              <w:bottom w:val="single" w:color="000000" w:sz="4" w:space="0"/>
              <w:right w:val="single" w:color="000000" w:sz="4" w:space="0"/>
              <w:tl2br w:val="nil"/>
              <w:tr2bl w:val="nil"/>
            </w:tcBorders>
            <w:noWrap w:val="0"/>
            <w:vAlign w:val="center"/>
          </w:tcPr>
          <w:p w14:paraId="1E076174">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20550</w:t>
            </w:r>
          </w:p>
        </w:tc>
      </w:tr>
      <w:tr w14:paraId="46AA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3D0D6AA9">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57A84F0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14:paraId="66998E4E">
            <w:pPr>
              <w:widowControl/>
              <w:spacing w:beforeLines="0" w:afterLines="0" w:line="300" w:lineRule="exact"/>
              <w:jc w:val="center"/>
              <w:rPr>
                <w:rFonts w:hint="default" w:ascii="Times New Roman" w:hAnsi="Times New Roman" w:eastAsia="宋体"/>
                <w:color w:val="000000"/>
                <w:sz w:val="24"/>
                <w:szCs w:val="24"/>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D6FF8">
            <w:pPr>
              <w:widowControl/>
              <w:tabs>
                <w:tab w:val="left" w:pos="429"/>
              </w:tabs>
              <w:spacing w:beforeLines="0" w:afterLines="0" w:line="300" w:lineRule="exact"/>
              <w:jc w:val="left"/>
              <w:rPr>
                <w:rFonts w:hint="default" w:ascii="Times New Roman" w:hAnsi="Times New Roman" w:eastAsia="宋体"/>
                <w:color w:val="000000"/>
                <w:sz w:val="21"/>
                <w:szCs w:val="21"/>
              </w:rPr>
            </w:pPr>
            <w:r>
              <w:rPr>
                <w:rFonts w:hint="default" w:ascii="Times New Roman" w:hAnsi="Times New Roman" w:eastAsia="宋体"/>
                <w:color w:val="000000"/>
                <w:sz w:val="21"/>
                <w:szCs w:val="21"/>
              </w:rPr>
              <w:t>辖区内所有初一、高一和高三学生结核病筛查</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68A4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EF411">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25000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3699A">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人次</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BE5A3">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7DD17">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26936</w:t>
            </w:r>
          </w:p>
        </w:tc>
      </w:tr>
      <w:tr w14:paraId="44B2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032E05CC">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08F6A9F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single" w:color="000000" w:sz="4" w:space="0"/>
              <w:left w:val="single" w:color="auto" w:sz="4" w:space="0"/>
              <w:bottom w:val="single" w:color="000000" w:sz="4" w:space="0"/>
              <w:right w:val="single" w:color="000000" w:sz="4" w:space="0"/>
              <w:tl2br w:val="nil"/>
              <w:tr2bl w:val="nil"/>
            </w:tcBorders>
            <w:noWrap w:val="0"/>
            <w:vAlign w:val="center"/>
          </w:tcPr>
          <w:p w14:paraId="31A42B4E">
            <w:pPr>
              <w:widowControl/>
              <w:spacing w:beforeLines="0" w:afterLines="0" w:line="300" w:lineRule="exact"/>
              <w:jc w:val="center"/>
              <w:rPr>
                <w:rFonts w:hint="default" w:ascii="Times New Roman" w:hAnsi="Times New Roman" w:eastAsia="宋体"/>
                <w:color w:val="000000"/>
                <w:sz w:val="24"/>
                <w:szCs w:val="24"/>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F40CF">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性病门诊干预</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A0BBB">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5D1FF">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179</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7CBE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人/年</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6CF5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8</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AACA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314</w:t>
            </w:r>
          </w:p>
        </w:tc>
      </w:tr>
      <w:tr w14:paraId="60BA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7DB6DBE8">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68725DE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restart"/>
            <w:tcBorders>
              <w:top w:val="single" w:color="000000" w:sz="4" w:space="0"/>
              <w:left w:val="single" w:color="auto" w:sz="4" w:space="0"/>
              <w:bottom w:val="nil"/>
              <w:right w:val="single" w:color="000000" w:sz="4" w:space="0"/>
              <w:tl2br w:val="nil"/>
              <w:tr2bl w:val="nil"/>
            </w:tcBorders>
            <w:noWrap w:val="0"/>
            <w:vAlign w:val="center"/>
          </w:tcPr>
          <w:p w14:paraId="4A9FCE16">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质量指标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618E8">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结核筛查覆盖率</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64E5B">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2E86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99</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5BE9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8DDCC">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6</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AE402">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99.25</w:t>
            </w:r>
          </w:p>
        </w:tc>
      </w:tr>
      <w:tr w14:paraId="07E8D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225AE18F">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73A6F21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auto" w:sz="4" w:space="0"/>
              <w:bottom w:val="nil"/>
              <w:right w:val="single" w:color="000000" w:sz="4" w:space="0"/>
              <w:tl2br w:val="nil"/>
              <w:tr2bl w:val="nil"/>
            </w:tcBorders>
            <w:noWrap w:val="0"/>
            <w:vAlign w:val="center"/>
          </w:tcPr>
          <w:p w14:paraId="6842696B">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40C25">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抗病毒治疗成功率</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6E30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6832C">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93</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D7A60">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8835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6</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A985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97.11</w:t>
            </w:r>
          </w:p>
        </w:tc>
      </w:tr>
      <w:tr w14:paraId="587D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59923ECD">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7B99C0A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auto" w:sz="4" w:space="0"/>
              <w:bottom w:val="nil"/>
              <w:right w:val="single" w:color="000000" w:sz="4" w:space="0"/>
              <w:tl2br w:val="nil"/>
              <w:tr2bl w:val="nil"/>
            </w:tcBorders>
            <w:noWrap w:val="0"/>
            <w:vAlign w:val="center"/>
          </w:tcPr>
          <w:p w14:paraId="04A530B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6AA82">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s="宋体"/>
                <w:color w:val="000000"/>
                <w:kern w:val="0"/>
                <w:sz w:val="20"/>
                <w:szCs w:val="20"/>
                <w:lang w:bidi="ar"/>
              </w:rPr>
              <w:t>免疫规划疫苗达国家标准</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90D13">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239F1">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B202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00FD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6</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CF148">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90</w:t>
            </w:r>
          </w:p>
        </w:tc>
      </w:tr>
      <w:tr w14:paraId="0AC6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5A57C93D">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22FAD3A8">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restart"/>
            <w:tcBorders>
              <w:top w:val="single" w:color="000000" w:sz="4" w:space="0"/>
              <w:left w:val="single" w:color="auto" w:sz="4" w:space="0"/>
              <w:bottom w:val="nil"/>
              <w:right w:val="single" w:color="000000" w:sz="4" w:space="0"/>
              <w:tl2br w:val="nil"/>
              <w:tr2bl w:val="nil"/>
            </w:tcBorders>
            <w:noWrap w:val="0"/>
            <w:vAlign w:val="center"/>
          </w:tcPr>
          <w:p w14:paraId="0CA665BC">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时效指标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88D19">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s="宋体"/>
                <w:color w:val="000000"/>
                <w:kern w:val="0"/>
                <w:sz w:val="24"/>
                <w:szCs w:val="24"/>
                <w:lang w:bidi="ar"/>
              </w:rPr>
              <w:t>霍乱病例报告时限</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65A79">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D255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2</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8A712">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小时</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AFC8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9E44A">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≤2</w:t>
            </w:r>
          </w:p>
        </w:tc>
      </w:tr>
      <w:tr w14:paraId="47D0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4A287607">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78E820A0">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auto" w:sz="4" w:space="0"/>
              <w:bottom w:val="single" w:color="000000" w:sz="4" w:space="0"/>
              <w:right w:val="single" w:color="000000" w:sz="4" w:space="0"/>
              <w:tl2br w:val="nil"/>
              <w:tr2bl w:val="nil"/>
            </w:tcBorders>
            <w:noWrap w:val="0"/>
            <w:vAlign w:val="center"/>
          </w:tcPr>
          <w:p w14:paraId="4944E097">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4CE62">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各项工作任务在12月底完成</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520F8">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B6F98">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663B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6F1BB">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EDCD7">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r>
      <w:tr w14:paraId="6952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68E0CA72">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14:paraId="138D450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效益指标</w:t>
            </w:r>
          </w:p>
        </w:tc>
        <w:tc>
          <w:tcPr>
            <w:tcW w:w="1273" w:type="dxa"/>
            <w:tcBorders>
              <w:top w:val="single" w:color="000000" w:sz="4" w:space="0"/>
              <w:left w:val="single" w:color="000000" w:sz="4" w:space="0"/>
              <w:bottom w:val="nil"/>
              <w:right w:val="single" w:color="000000" w:sz="4" w:space="0"/>
              <w:tl2br w:val="nil"/>
              <w:tr2bl w:val="nil"/>
            </w:tcBorders>
            <w:noWrap w:val="0"/>
            <w:vAlign w:val="center"/>
          </w:tcPr>
          <w:p w14:paraId="7BB5DE21">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社会效益</w:t>
            </w:r>
          </w:p>
          <w:p w14:paraId="71D12714">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7F216">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公众结核病防治 核心知识知晓率</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B612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18BFC">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85</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41AF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4C4BF">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9F108">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85.3</w:t>
            </w:r>
          </w:p>
        </w:tc>
      </w:tr>
      <w:tr w14:paraId="52E6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29765220">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09419829">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D06D5">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可持续影响指标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D37A2">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有效控制重大传染病、慢性疾病、疫情的发展</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95F25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9C860">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CC99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79BE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5ED1D">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r>
      <w:tr w14:paraId="4FEE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nil"/>
              <w:right w:val="single" w:color="000000" w:sz="4" w:space="0"/>
              <w:tl2br w:val="nil"/>
              <w:tr2bl w:val="nil"/>
            </w:tcBorders>
            <w:noWrap w:val="0"/>
            <w:vAlign w:val="center"/>
          </w:tcPr>
          <w:p w14:paraId="31F02A7E">
            <w:pPr>
              <w:widowControl/>
              <w:spacing w:beforeLines="0" w:afterLines="0" w:line="300" w:lineRule="exact"/>
              <w:jc w:val="center"/>
              <w:rPr>
                <w:rFonts w:hint="default" w:ascii="Times New Roman" w:hAnsi="Times New Roman" w:eastAsia="宋体"/>
                <w:color w:val="000000"/>
                <w:sz w:val="24"/>
                <w:szCs w:val="24"/>
              </w:rPr>
            </w:pPr>
          </w:p>
        </w:tc>
        <w:tc>
          <w:tcPr>
            <w:tcW w:w="134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5766AB15">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满意度指标</w:t>
            </w:r>
          </w:p>
        </w:tc>
        <w:tc>
          <w:tcPr>
            <w:tcW w:w="12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08731">
            <w:pPr>
              <w:widowControl/>
              <w:spacing w:beforeLines="0" w:afterLines="0" w:line="300" w:lineRule="exact"/>
              <w:jc w:val="center"/>
              <w:textAlignment w:val="center"/>
              <w:rPr>
                <w:rFonts w:hint="default" w:ascii="Times New Roman" w:hAnsi="Times New Roman" w:eastAsia="宋体"/>
                <w:color w:val="000000"/>
                <w:sz w:val="24"/>
                <w:szCs w:val="24"/>
              </w:rPr>
            </w:pPr>
            <w:r>
              <w:rPr>
                <w:rFonts w:hint="default" w:ascii="Times New Roman" w:hAnsi="Times New Roman" w:eastAsia="宋体"/>
                <w:color w:val="000000"/>
                <w:kern w:val="0"/>
                <w:sz w:val="24"/>
                <w:szCs w:val="24"/>
                <w:lang w:bidi="ar"/>
              </w:rPr>
              <w:t>服务对象满意度指标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79736">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群众对预防接种的满意度调查满意度</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454CF">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E414F">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BC2B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54F74">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D1057">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90</w:t>
            </w:r>
          </w:p>
        </w:tc>
      </w:tr>
      <w:tr w14:paraId="309BB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nil"/>
              <w:left w:val="single" w:color="auto" w:sz="4" w:space="0"/>
              <w:bottom w:val="nil"/>
              <w:right w:val="single" w:color="000000" w:sz="4" w:space="0"/>
              <w:tl2br w:val="nil"/>
              <w:tr2bl w:val="nil"/>
            </w:tcBorders>
            <w:noWrap w:val="0"/>
            <w:vAlign w:val="center"/>
          </w:tcPr>
          <w:p w14:paraId="2E5026EA">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restart"/>
            <w:tcBorders>
              <w:top w:val="single" w:color="000000" w:sz="4" w:space="0"/>
              <w:left w:val="single" w:color="000000" w:sz="4" w:space="0"/>
              <w:bottom w:val="nil"/>
              <w:right w:val="single" w:color="000000" w:sz="4" w:space="0"/>
              <w:tl2br w:val="nil"/>
              <w:tr2bl w:val="nil"/>
            </w:tcBorders>
            <w:noWrap w:val="0"/>
            <w:vAlign w:val="center"/>
          </w:tcPr>
          <w:p w14:paraId="579DB10E">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成本指标</w:t>
            </w:r>
          </w:p>
        </w:tc>
        <w:tc>
          <w:tcPr>
            <w:tcW w:w="1273" w:type="dxa"/>
            <w:vMerge w:val="restart"/>
            <w:tcBorders>
              <w:top w:val="single" w:color="000000" w:sz="4" w:space="0"/>
              <w:left w:val="single" w:color="000000" w:sz="4" w:space="0"/>
              <w:bottom w:val="nil"/>
              <w:right w:val="single" w:color="000000" w:sz="4" w:space="0"/>
              <w:tl2br w:val="nil"/>
              <w:tr2bl w:val="nil"/>
            </w:tcBorders>
            <w:noWrap w:val="0"/>
            <w:vAlign w:val="center"/>
          </w:tcPr>
          <w:p w14:paraId="35753B6C">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r>
              <w:rPr>
                <w:rFonts w:hint="default" w:ascii="Times New Roman" w:hAnsi="Times New Roman" w:eastAsia="宋体"/>
                <w:color w:val="000000"/>
                <w:kern w:val="0"/>
                <w:sz w:val="24"/>
                <w:szCs w:val="24"/>
                <w:lang w:bidi="ar"/>
              </w:rPr>
              <w:t>经济成本指标</w:t>
            </w: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8437A">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艾滋病监测与检测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81729">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7E705">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164</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8A9F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万元</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FFDA0">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2FAAA">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164</w:t>
            </w:r>
          </w:p>
        </w:tc>
      </w:tr>
      <w:tr w14:paraId="2EDA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nil"/>
              <w:left w:val="single" w:color="auto" w:sz="4" w:space="0"/>
              <w:bottom w:val="single" w:color="000000" w:sz="4" w:space="0"/>
              <w:right w:val="single" w:color="000000" w:sz="4" w:space="0"/>
              <w:tl2br w:val="nil"/>
              <w:tr2bl w:val="nil"/>
            </w:tcBorders>
            <w:noWrap w:val="0"/>
            <w:vAlign w:val="center"/>
          </w:tcPr>
          <w:p w14:paraId="0F5C63E1">
            <w:pPr>
              <w:widowControl/>
              <w:spacing w:beforeLines="0" w:afterLines="0" w:line="300" w:lineRule="exact"/>
              <w:jc w:val="center"/>
              <w:rPr>
                <w:rFonts w:hint="default" w:ascii="Times New Roman" w:hAnsi="Times New Roman" w:eastAsia="宋体"/>
                <w:color w:val="000000"/>
                <w:sz w:val="24"/>
                <w:szCs w:val="24"/>
              </w:rPr>
            </w:pPr>
          </w:p>
        </w:tc>
        <w:tc>
          <w:tcPr>
            <w:tcW w:w="1347"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6D3D5E3">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273"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9C277C6">
            <w:pPr>
              <w:widowControl/>
              <w:spacing w:beforeLines="0" w:afterLines="0" w:line="300" w:lineRule="exact"/>
              <w:jc w:val="center"/>
              <w:textAlignment w:val="center"/>
              <w:rPr>
                <w:rFonts w:hint="default" w:ascii="Times New Roman" w:hAnsi="Times New Roman" w:eastAsia="宋体"/>
                <w:color w:val="000000"/>
                <w:kern w:val="0"/>
                <w:sz w:val="24"/>
                <w:szCs w:val="24"/>
                <w:lang w:bidi="ar"/>
              </w:rPr>
            </w:pPr>
          </w:p>
        </w:tc>
        <w:tc>
          <w:tcPr>
            <w:tcW w:w="1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7B883">
            <w:pPr>
              <w:widowControl/>
              <w:spacing w:beforeLines="0" w:afterLines="0" w:line="300" w:lineRule="exact"/>
              <w:jc w:val="center"/>
              <w:rPr>
                <w:rFonts w:hint="default" w:ascii="Times New Roman" w:hAnsi="Times New Roman" w:eastAsia="宋体"/>
                <w:color w:val="000000"/>
                <w:sz w:val="21"/>
                <w:szCs w:val="21"/>
              </w:rPr>
            </w:pPr>
            <w:r>
              <w:rPr>
                <w:rFonts w:hint="default" w:ascii="Times New Roman" w:hAnsi="Times New Roman" w:eastAsia="宋体"/>
                <w:color w:val="000000"/>
                <w:sz w:val="21"/>
                <w:szCs w:val="21"/>
              </w:rPr>
              <w:t>结核工作筛查试剂成本</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BEB23">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F7329">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c>
          <w:tcPr>
            <w:tcW w:w="10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1A826">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万元</w:t>
            </w:r>
          </w:p>
        </w:tc>
        <w:tc>
          <w:tcPr>
            <w:tcW w:w="9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DE4B8">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5</w:t>
            </w:r>
          </w:p>
        </w:tc>
        <w:tc>
          <w:tcPr>
            <w:tcW w:w="11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0B41F">
            <w:pPr>
              <w:widowControl/>
              <w:spacing w:beforeLines="0" w:afterLines="0" w:line="300" w:lineRule="exact"/>
              <w:jc w:val="center"/>
              <w:rPr>
                <w:rFonts w:hint="default" w:ascii="Times New Roman" w:hAnsi="Times New Roman" w:eastAsia="宋体"/>
                <w:color w:val="000000"/>
                <w:sz w:val="24"/>
                <w:szCs w:val="24"/>
              </w:rPr>
            </w:pPr>
            <w:r>
              <w:rPr>
                <w:rFonts w:hint="default" w:ascii="Times New Roman" w:hAnsi="Times New Roman" w:eastAsia="宋体"/>
                <w:color w:val="000000"/>
                <w:sz w:val="24"/>
                <w:szCs w:val="24"/>
              </w:rPr>
              <w:t>100</w:t>
            </w:r>
          </w:p>
        </w:tc>
      </w:tr>
    </w:tbl>
    <w:p w14:paraId="41F7E2CE">
      <w:pPr>
        <w:pStyle w:val="2"/>
        <w:spacing w:beforeLines="0" w:afterLines="0"/>
        <w:ind w:leftChars="0" w:firstLine="0" w:firstLineChars="0"/>
        <w:rPr>
          <w:rFonts w:hint="default" w:ascii="Times New Roman" w:hAnsi="Times New Roman" w:eastAsia="黑体"/>
          <w:sz w:val="24"/>
          <w:szCs w:val="24"/>
        </w:rPr>
      </w:pPr>
    </w:p>
    <w:p w14:paraId="360EBCB8">
      <w:pPr>
        <w:rPr>
          <w:rFonts w:hint="eastAsia" w:ascii="Times New Roman" w:hAnsi="Times New Roman" w:eastAsia="黑体"/>
          <w:sz w:val="32"/>
          <w:szCs w:val="32"/>
        </w:rPr>
      </w:pPr>
      <w:r>
        <w:rPr>
          <w:rFonts w:hint="eastAsia" w:ascii="Times New Roman" w:hAnsi="Times New Roman" w:eastAsia="黑体"/>
          <w:sz w:val="32"/>
          <w:szCs w:val="32"/>
        </w:rPr>
        <w:br w:type="page"/>
      </w:r>
    </w:p>
    <w:p w14:paraId="2057DCAA">
      <w:pPr>
        <w:spacing w:beforeLines="0" w:afterLines="0" w:line="578" w:lineRule="exact"/>
        <w:outlineLvl w:val="1"/>
        <w:rPr>
          <w:rFonts w:hint="eastAsia" w:ascii="Times New Roman" w:hAnsi="Times New Roman" w:eastAsia="黑体" w:cs="黑体"/>
          <w:sz w:val="32"/>
          <w:szCs w:val="32"/>
          <w:lang w:val="en-US" w:eastAsia="zh-CN"/>
        </w:rPr>
      </w:pPr>
      <w:bookmarkStart w:id="152" w:name="_Toc26873"/>
      <w:bookmarkStart w:id="153" w:name="_Toc24068"/>
      <w:r>
        <w:rPr>
          <w:rFonts w:hint="eastAsia" w:ascii="Times New Roman" w:hAnsi="Times New Roman" w:eastAsia="黑体" w:cs="黑体"/>
          <w:sz w:val="32"/>
          <w:szCs w:val="32"/>
        </w:rPr>
        <w:t>附件</w:t>
      </w:r>
      <w:r>
        <w:rPr>
          <w:rFonts w:hint="eastAsia" w:ascii="Times New Roman" w:hAnsi="Times New Roman" w:eastAsia="黑体" w:cs="黑体"/>
          <w:sz w:val="32"/>
          <w:szCs w:val="32"/>
          <w:lang w:val="en-US" w:eastAsia="zh-CN"/>
        </w:rPr>
        <w:t>2</w:t>
      </w:r>
      <w:bookmarkEnd w:id="152"/>
      <w:bookmarkEnd w:id="153"/>
    </w:p>
    <w:p w14:paraId="4BAEA29B">
      <w:pPr>
        <w:pStyle w:val="35"/>
        <w:spacing w:beforeLines="0" w:afterLines="0" w:line="578" w:lineRule="exact"/>
        <w:rPr>
          <w:rFonts w:hint="eastAsia" w:ascii="Times New Roman" w:hAnsi="Times New Roman" w:eastAsia="方正小标宋简体" w:cs="方正小标宋简体"/>
          <w:color w:val="auto"/>
          <w:kern w:val="2"/>
          <w:sz w:val="44"/>
          <w:szCs w:val="44"/>
          <w:lang w:val="en-US"/>
        </w:rPr>
      </w:pPr>
    </w:p>
    <w:p w14:paraId="7E41893B">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19840177">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（艾滋病）</w:t>
      </w:r>
    </w:p>
    <w:p w14:paraId="16FEF845">
      <w:pPr>
        <w:pStyle w:val="35"/>
        <w:keepNext w:val="0"/>
        <w:keepLines w:val="0"/>
        <w:pageBreakBefore w:val="0"/>
        <w:kinsoku/>
        <w:wordWrap/>
        <w:overflowPunct/>
        <w:topLinePunct w:val="0"/>
        <w:autoSpaceDE/>
        <w:autoSpaceDN/>
        <w:bidi w:val="0"/>
        <w:spacing w:beforeLines="0" w:afterLines="0" w:line="578" w:lineRule="exact"/>
        <w:ind w:left="0" w:leftChars="0" w:firstLine="640" w:firstLineChars="200"/>
        <w:jc w:val="center"/>
        <w:textAlignment w:val="auto"/>
        <w:rPr>
          <w:rFonts w:hint="default" w:ascii="Times New Roman" w:hAnsi="Times New Roman"/>
          <w:color w:val="auto"/>
          <w:kern w:val="2"/>
          <w:sz w:val="32"/>
          <w:szCs w:val="32"/>
        </w:rPr>
      </w:pPr>
    </w:p>
    <w:p w14:paraId="5D3FE7F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eastAsia="黑体"/>
          <w:sz w:val="32"/>
          <w:szCs w:val="32"/>
          <w:lang w:val="zh-CN"/>
        </w:rPr>
      </w:pPr>
      <w:bookmarkStart w:id="154" w:name="_Toc13115"/>
      <w:bookmarkStart w:id="155" w:name="_Toc11380"/>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54"/>
      <w:bookmarkEnd w:id="155"/>
    </w:p>
    <w:p w14:paraId="72EF8F8B">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（一）设立背景及基本情况</w:t>
      </w:r>
    </w:p>
    <w:p w14:paraId="23BE556D">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zh-CN"/>
        </w:rPr>
        <w:t>根据</w:t>
      </w:r>
      <w:r>
        <w:rPr>
          <w:rFonts w:hint="eastAsia" w:ascii="Times New Roman" w:hAnsi="Times New Roman" w:eastAsia="仿宋_GB2312" w:cs="仿宋_GB2312"/>
          <w:color w:val="auto"/>
          <w:sz w:val="32"/>
          <w:szCs w:val="32"/>
          <w:shd w:val="clear" w:color="auto" w:fill="FFFFFF"/>
        </w:rPr>
        <w:t>《大竹县2023年艾滋病防治工作计划》（竹防艾办报〔2023〕2号）和《2023年大竹县艾滋病防治工作重点任务》（竹府办函〔2023〕47号）等文件要求，并结合我县艾滋病疫情形势，</w:t>
      </w:r>
      <w:r>
        <w:rPr>
          <w:rFonts w:hint="eastAsia" w:ascii="Times New Roman" w:hAnsi="Times New Roman" w:eastAsia="仿宋_GB2312" w:cs="仿宋_GB2312"/>
          <w:color w:val="auto"/>
          <w:sz w:val="32"/>
          <w:szCs w:val="32"/>
          <w:shd w:val="clear" w:color="auto" w:fill="FFFFFF"/>
          <w:lang w:val="zh-CN"/>
        </w:rPr>
        <w:t>深入推进艾滋病防治工作，进一步完善艾滋病防治工作机制，加强各级政府组织领导、部门各负其责，全社会共同参与的防治机制,</w:t>
      </w:r>
      <w:r>
        <w:rPr>
          <w:rFonts w:hint="eastAsia" w:ascii="Times New Roman" w:hAnsi="Times New Roman" w:eastAsia="仿宋_GB2312" w:cs="仿宋_GB2312"/>
          <w:color w:val="auto"/>
          <w:sz w:val="32"/>
          <w:szCs w:val="32"/>
          <w:shd w:val="clear" w:color="auto" w:fill="FFFFFF"/>
        </w:rPr>
        <w:t>全面落实政府主导、监测与检测、宣传教育与政策倡导、综合干预、综合管理及关怀救治以及项目管理等各项艾滋病预防控制措施；项目覆盖全县31个乡镇及街道，受益人群包括全县大众人群、艾滋病病毒感染者及病人、暗娼及男同等人群。</w:t>
      </w:r>
    </w:p>
    <w:p w14:paraId="4475BDA5">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shd w:val="clear" w:color="auto" w:fill="FFFFFF"/>
          <w:lang w:val="zh-CN"/>
        </w:rPr>
      </w:pPr>
      <w:r>
        <w:rPr>
          <w:rFonts w:hint="eastAsia" w:ascii="Times New Roman" w:hAnsi="Times New Roman" w:eastAsia="仿宋_GB2312" w:cs="仿宋_GB2312"/>
          <w:color w:val="auto"/>
          <w:sz w:val="32"/>
          <w:szCs w:val="32"/>
          <w:shd w:val="clear" w:color="auto" w:fill="FFFFFF"/>
          <w:lang w:val="zh-CN"/>
        </w:rPr>
        <w:t>项目资金申报及批复情况。</w:t>
      </w:r>
      <w:r>
        <w:rPr>
          <w:rFonts w:hint="eastAsia" w:ascii="Times New Roman" w:hAnsi="Times New Roman" w:eastAsia="仿宋_GB2312" w:cs="仿宋_GB2312"/>
          <w:color w:val="auto"/>
          <w:sz w:val="32"/>
          <w:szCs w:val="32"/>
          <w:shd w:val="clear" w:color="auto" w:fill="FFFFFF"/>
        </w:rPr>
        <w:t>在编制年初预算中按照预算项目支出相关程序进行项目支出连续申报，并经财政局及人代会进行审核批复后，在年初进行项目预算资金下达。</w:t>
      </w:r>
    </w:p>
    <w:p w14:paraId="727987E3">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（二）实施目的及支持方向</w:t>
      </w:r>
    </w:p>
    <w:p w14:paraId="32D50A8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highlight w:val="yellow"/>
          <w:lang w:val="zh-CN"/>
        </w:rPr>
      </w:pPr>
      <w:r>
        <w:rPr>
          <w:rFonts w:hint="eastAsia" w:ascii="Times New Roman" w:hAnsi="Times New Roman" w:eastAsia="仿宋_GB2312" w:cs="仿宋_GB2312"/>
          <w:color w:val="auto"/>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r>
        <w:rPr>
          <w:rFonts w:hint="eastAsia" w:ascii="Times New Roman" w:hAnsi="Times New Roman" w:eastAsia="仿宋_GB2312" w:cs="仿宋_GB2312"/>
          <w:color w:val="auto"/>
          <w:sz w:val="32"/>
          <w:szCs w:val="32"/>
          <w:lang w:val="zh-CN"/>
        </w:rPr>
        <w:t>。</w:t>
      </w:r>
    </w:p>
    <w:p w14:paraId="0797CC1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最大限度减少艾滋病新发感染；全县无注射吸毒传播和母婴传播</w:t>
      </w:r>
      <w:r>
        <w:rPr>
          <w:rFonts w:hint="eastAsia" w:cs="仿宋_GB2312"/>
          <w:color w:val="auto"/>
          <w:sz w:val="32"/>
          <w:szCs w:val="32"/>
          <w:lang w:eastAsia="zh-CN"/>
        </w:rPr>
        <w:t>，</w:t>
      </w:r>
      <w:r>
        <w:rPr>
          <w:rFonts w:hint="eastAsia" w:ascii="Times New Roman" w:hAnsi="Times New Roman" w:eastAsia="仿宋_GB2312" w:cs="仿宋_GB2312"/>
          <w:color w:val="auto"/>
          <w:sz w:val="32"/>
          <w:szCs w:val="32"/>
        </w:rPr>
        <w:t>有效控制性传播，最大限度发现和治疗感染者及病人，进一步降低病死率，逐步提高感染者和病人生存生活质量，不断减少社会歧视，将我县艾滋病疫情继续控制在低流行水平。具体为完成全县督导考核和目标考核全覆盖；推动落实在落实艾滋病防治“双下沉”工作中做到精准筛查、精准转介工作；初高中学校100%落实宣传教育工作；党校和教师进修校开展艾滋病防治政策知识培训；单阳家庭配偶传播率下降到2.5%以下，孕产妇艾滋病、梅毒和乙肝检测率达98%以上，孕期检测率达90%以上，孕早期检测率达85%以上，感染孕产妇孕早期用药率达95%以上，感染孕产妇所生婴儿抗病毒用药率达100%，母婴阻断成功率达100%。符合治疗条件的感染者和病人抗病毒治疗覆盖率达95%，接受抗病毒治疗的感染者和病人治疗成功率达95%。实施重点人群检测，全年常住人口HIV抗体检测覆盖率达45%以上，院外主动检测人群检测达10万人次以上。以上目标均按计划完成。</w:t>
      </w:r>
    </w:p>
    <w:p w14:paraId="032F6057">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662834E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专款专用，各项艾滋病防治工作有序开展并保质保量完成，资金支付依据合规合法，资金支付与预算相符。用于艾滋病检测监测、重点人群防治宣传、预防经性传播专项打击、吸毒人群干预（针具交换、美沙酮维持治疗）、预防艾滋病母婴传播、性病门诊干预服务、“三线一网底”机制建设及工作运行、感染者及病人随访管理、抗病毒治管理、中医治疗、工作督导与目标管理以及丙肝哨点监测等工作领域。</w:t>
      </w:r>
    </w:p>
    <w:p w14:paraId="162697B3">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（四）项目绩效目标设置</w:t>
      </w:r>
    </w:p>
    <w:p w14:paraId="0CA59858">
      <w:pPr>
        <w:pStyle w:val="8"/>
        <w:keepNext w:val="0"/>
        <w:keepLines w:val="0"/>
        <w:pageBreakBefore w:val="0"/>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根据省市县文件要求，为了</w:t>
      </w:r>
      <w:r>
        <w:rPr>
          <w:rFonts w:hint="eastAsia" w:ascii="Times New Roman" w:hAnsi="Times New Roman" w:eastAsia="仿宋_GB2312" w:cs="仿宋_GB2312"/>
          <w:color w:val="auto"/>
          <w:kern w:val="2"/>
          <w:sz w:val="32"/>
          <w:szCs w:val="32"/>
          <w:lang w:val="zh-CN" w:eastAsia="zh-CN" w:bidi="ar-SA"/>
        </w:rPr>
        <w:t>深入推进艾滋病防治工作，</w:t>
      </w:r>
      <w:r>
        <w:rPr>
          <w:rFonts w:hint="eastAsia" w:ascii="Times New Roman" w:hAnsi="Times New Roman" w:eastAsia="仿宋_GB2312" w:cs="仿宋_GB2312"/>
          <w:color w:val="auto"/>
          <w:kern w:val="2"/>
          <w:sz w:val="32"/>
          <w:szCs w:val="32"/>
          <w:lang w:val="en-US" w:eastAsia="zh-CN" w:bidi="ar-SA"/>
        </w:rPr>
        <w:t>全面落实政府主导、监测与检测、宣传教育与政策倡导、综合干预、综合管理及关怀救治以及项目管理等各项艾滋病预防控制措施；设置一下项目目标。</w:t>
      </w:r>
    </w:p>
    <w:p w14:paraId="4AF4207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Times New Roman" w:hAnsi="Times New Roman" w:eastAsia="仿宋_GB2312" w:cs="仿宋_GB2312"/>
          <w:color w:val="auto"/>
          <w:sz w:val="32"/>
          <w:szCs w:val="32"/>
        </w:rPr>
        <w:t>数量指标：指标1：艾滋病自愿咨询检测人数年度目标314；指标2：常住人口HIV抗体筛查覆盖率年度目标为30.00%；指标3：性病门诊干预人数年度目标179人；指标4：暗娼干预年度考核目标为88人；指标5：男同干预年度指标60人；指标6：抗病毒治疗比例年度目标95%。</w:t>
      </w:r>
    </w:p>
    <w:p w14:paraId="51531D49">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cs="仿宋_GB2312"/>
          <w:color w:val="auto"/>
          <w:sz w:val="32"/>
          <w:szCs w:val="32"/>
          <w:lang w:val="en-US" w:eastAsia="zh-CN"/>
        </w:rPr>
        <w:t>2.</w:t>
      </w:r>
      <w:bookmarkStart w:id="294" w:name="_GoBack"/>
      <w:bookmarkEnd w:id="294"/>
      <w:r>
        <w:rPr>
          <w:rFonts w:hint="eastAsia" w:ascii="Times New Roman" w:hAnsi="Times New Roman" w:eastAsia="仿宋_GB2312" w:cs="仿宋_GB2312"/>
          <w:color w:val="auto"/>
          <w:sz w:val="32"/>
          <w:szCs w:val="32"/>
        </w:rPr>
        <w:t xml:space="preserve">质量指标：指标1：高危人群月均干预比例年度目标为90%及以上；指标2：艾滋病感染者/病人随访检测比例年度目标90%及以上；指标3：感染者配偶/固定性伴HIV抗体检测率年度目标为85%及以上；指标4：抗病毒治疗成功率年度目标为93%及以上；指标5：艾滋病感染孕产妇所生儿童抗病毒用药比例为100%；指标6：母婴阻断成功率年度目标为100%。 </w:t>
      </w:r>
    </w:p>
    <w:p w14:paraId="69AF4842">
      <w:pPr>
        <w:pStyle w:val="8"/>
        <w:keepNext w:val="0"/>
        <w:keepLines w:val="0"/>
        <w:pageBreakBefore w:val="0"/>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kern w:val="2"/>
          <w:sz w:val="32"/>
          <w:szCs w:val="32"/>
          <w:lang w:val="zh-CN" w:eastAsia="zh-CN"/>
        </w:rPr>
      </w:pPr>
      <w:r>
        <w:rPr>
          <w:rFonts w:hint="eastAsia" w:ascii="Times New Roman" w:hAnsi="Times New Roman" w:eastAsia="仿宋_GB2312" w:cs="仿宋_GB2312"/>
          <w:color w:val="auto"/>
          <w:kern w:val="2"/>
          <w:sz w:val="32"/>
          <w:szCs w:val="32"/>
          <w:lang w:eastAsia="zh-CN"/>
        </w:rPr>
        <w:t>2023年各项指标均已完成，我县艾滋病防治效果达到预期目标，艾滋病疫情处于低流行水平，2023年新报告病例104例，在开展全民健康体检的情况下，与上年同比增加1.96%，存活数全省区县排名由2022年的34位下降至36位。目标人群艾滋病防治意识提高，均在95%以上；艾滋病感染者生存生活质量较好。截止2022年12月31日，项目按时、按质完成，投入与产出相符预期，严格按照项目管理制度执行，各项艾滋病防治措施落实到位。</w:t>
      </w:r>
    </w:p>
    <w:p w14:paraId="35394822">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156" w:name="_Toc30511"/>
      <w:bookmarkStart w:id="157" w:name="_Toc488"/>
      <w:r>
        <w:rPr>
          <w:rFonts w:hint="eastAsia" w:ascii="Times New Roman" w:hAnsi="Times New Roman" w:eastAsia="黑体"/>
          <w:color w:val="auto"/>
          <w:sz w:val="32"/>
          <w:szCs w:val="32"/>
        </w:rPr>
        <w:t>二、评价实施</w:t>
      </w:r>
      <w:bookmarkEnd w:id="156"/>
      <w:bookmarkEnd w:id="157"/>
    </w:p>
    <w:p w14:paraId="025F1D8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1975511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default" w:ascii="Times New Roman" w:hAnsi="Times New Roman"/>
          <w:color w:val="auto"/>
          <w:sz w:val="32"/>
          <w:szCs w:val="32"/>
        </w:rPr>
      </w:pPr>
      <w:r>
        <w:rPr>
          <w:rFonts w:hint="eastAsia" w:ascii="Times New Roman" w:hAnsi="Times New Roman" w:eastAsia="仿宋_GB2312" w:cs="仿宋_GB2312"/>
          <w:color w:val="auto"/>
          <w:sz w:val="32"/>
          <w:szCs w:val="32"/>
        </w:rPr>
        <w:t>确保能够按照项目实施方案开展项目工作，各项目指标如期完成。</w:t>
      </w:r>
    </w:p>
    <w:p w14:paraId="486404CF">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（二）预设问题及评价重点</w:t>
      </w:r>
    </w:p>
    <w:p w14:paraId="7080E69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0000FF"/>
          <w:sz w:val="32"/>
          <w:szCs w:val="32"/>
        </w:rPr>
      </w:pPr>
      <w:r>
        <w:rPr>
          <w:rFonts w:hint="eastAsia" w:ascii="Times New Roman" w:hAnsi="Times New Roman" w:eastAsia="仿宋_GB2312" w:cs="仿宋_GB2312"/>
          <w:color w:val="auto"/>
          <w:sz w:val="32"/>
          <w:szCs w:val="32"/>
        </w:rPr>
        <w:t>按照绩效评价指标体系，对资金支出使用全过程及其实施效果进行综合评价和判断。</w:t>
      </w:r>
    </w:p>
    <w:p w14:paraId="593545CE">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49C15EAF">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31ECD986">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1DFDEA12">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t>我中心根据年初预算项目绩效目标设定情况进行项目年终自评</w:t>
      </w:r>
      <w:r>
        <w:rPr>
          <w:rFonts w:hint="eastAsia" w:ascii="Times New Roman" w:hAnsi="Times New Roman" w:eastAsia="仿宋_GB2312" w:cs="仿宋_GB2312"/>
          <w:color w:val="auto"/>
          <w:sz w:val="32"/>
          <w:szCs w:val="32"/>
        </w:rPr>
        <w:t>。</w:t>
      </w:r>
    </w:p>
    <w:p w14:paraId="14434934">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color w:val="auto"/>
          <w:sz w:val="32"/>
          <w:szCs w:val="32"/>
          <w:lang w:val="zh-CN"/>
        </w:rPr>
      </w:pPr>
      <w:bookmarkStart w:id="158" w:name="_Toc31768"/>
      <w:bookmarkStart w:id="159" w:name="_Toc14958"/>
      <w:r>
        <w:rPr>
          <w:rFonts w:hint="eastAsia" w:ascii="Times New Roman" w:hAnsi="Times New Roman" w:eastAsia="黑体"/>
          <w:color w:val="auto"/>
          <w:sz w:val="32"/>
          <w:szCs w:val="32"/>
        </w:rPr>
        <w:t>三、绩效分析</w:t>
      </w:r>
      <w:bookmarkEnd w:id="158"/>
      <w:bookmarkEnd w:id="159"/>
    </w:p>
    <w:p w14:paraId="0F953D4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（一）通用指标绩效分析（54分）</w:t>
      </w:r>
    </w:p>
    <w:p w14:paraId="3A09C869">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s="仿宋_GB2312"/>
          <w:color w:val="auto"/>
          <w:sz w:val="32"/>
          <w:szCs w:val="32"/>
        </w:rPr>
        <w:t>项目决策。项目规划按照中央、省市要求，设置项目绩效目标。在编制年初预算中按照预算项目支出相关程序进行项目支出连续申报，并经财政局及人代会进行审核批复后，在年初进行项目预算资金下达。</w:t>
      </w:r>
    </w:p>
    <w:p w14:paraId="107DA898">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Times New Roman" w:hAnsi="Times New Roman" w:eastAsia="仿宋_GB2312" w:cs="仿宋_GB2312"/>
          <w:color w:val="auto"/>
          <w:sz w:val="32"/>
          <w:szCs w:val="32"/>
        </w:rPr>
        <w:t>项目管理。</w:t>
      </w:r>
      <w:r>
        <w:rPr>
          <w:rFonts w:hint="eastAsia" w:ascii="Times New Roman" w:hAnsi="Times New Roman" w:eastAsia="仿宋_GB2312" w:cs="仿宋_GB2312"/>
          <w:color w:val="auto"/>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2F472CC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Times New Roman" w:hAnsi="Times New Roman" w:eastAsia="仿宋_GB2312" w:cs="仿宋_GB2312"/>
          <w:color w:val="auto"/>
          <w:sz w:val="32"/>
          <w:szCs w:val="32"/>
        </w:rPr>
        <w:t>项目实施。</w:t>
      </w:r>
      <w:r>
        <w:rPr>
          <w:rFonts w:hint="eastAsia" w:ascii="Times New Roman" w:hAnsi="Times New Roman" w:eastAsia="仿宋_GB2312" w:cs="仿宋_GB2312"/>
          <w:color w:val="auto"/>
          <w:sz w:val="32"/>
          <w:szCs w:val="32"/>
          <w:lang w:val="zh-CN"/>
        </w:rPr>
        <w:t>项目组织实施由性艾科负责，财务、党建办等进行监督管理，项目实施过程中涉及招投标、政府采购、项目公示等情况由财务后勤科、党建办执行或监督。</w:t>
      </w:r>
    </w:p>
    <w:p w14:paraId="7DC0296F">
      <w:pPr>
        <w:keepNext w:val="0"/>
        <w:keepLines w:val="0"/>
        <w:pageBreakBefore w:val="0"/>
        <w:numPr>
          <w:ilvl w:val="0"/>
          <w:numId w:val="0"/>
        </w:numPr>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Times New Roman" w:hAnsi="Times New Roman" w:eastAsia="仿宋_GB2312" w:cs="仿宋_GB2312"/>
          <w:color w:val="auto"/>
          <w:sz w:val="32"/>
          <w:szCs w:val="32"/>
        </w:rPr>
        <w:t>项目结果。</w:t>
      </w:r>
    </w:p>
    <w:p w14:paraId="4DA90CDC">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s="仿宋_GB2312"/>
          <w:color w:val="auto"/>
          <w:sz w:val="32"/>
          <w:szCs w:val="32"/>
        </w:rPr>
        <w:t>数量指标：指标1：艾滋病自愿咨询检测人数年度目标314人，实际完成916人次；指标2：常住人口HIV抗体筛查覆盖率年度目标为30.00%，实际完成51%；指标3：性病门诊干预人数年度目标179人，实际完成324人；指标4：暗娼干预年度考核目标为88人，实际完成157人；指标5：男同干预年度指标60人，实际完成155人；指标6：抗病毒治疗比例年度目标95%，实际完成98.6%。</w:t>
      </w:r>
    </w:p>
    <w:p w14:paraId="616DA31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Times New Roman" w:hAnsi="Times New Roman" w:eastAsia="仿宋_GB2312" w:cs="仿宋_GB2312"/>
          <w:color w:val="auto"/>
          <w:sz w:val="32"/>
          <w:szCs w:val="32"/>
        </w:rPr>
        <w:t xml:space="preserve">质量指标：指标1：高危人群月均干预比例年度目标为90%及以上，实际完成100%；指标2：艾滋病感染者/病人随访检测比例年度目标90%及以上，实际完成96%；指标3：感染者配偶/固定性伴HIV抗体检测率年度目标为85%及以上，实际完成96.99%：指标4：抗病毒治疗成功率年度目标为93%及以上，实际完成97.11%；指标5：艾滋病感染孕产妇所生儿童抗病毒用药比例为100%，实际完成100%：指标6：母婴阻断成功率年度目标为100%，实际完成100%。 </w:t>
      </w:r>
    </w:p>
    <w:p w14:paraId="3E21285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2023年各项指标均已完成，我县艾滋病防治效果达到预期目标，艾滋病疫情处于低流行水平，2023年新报告病例104例，在开展全民健康体检的情况下，与上年同比增加1.96%，存活数全省区县排名由2022年的34位下降至36位。目标人群艾滋病防治意识提高，均在95%以上；艾滋病感染者生存生活质量较好。截止2023年12月31日，项目按时、按质完成，投入与产出相符预期，严格按照项目管理制度执行，各项艾滋病防治措施落实到位。</w:t>
      </w:r>
    </w:p>
    <w:p w14:paraId="2611A229">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cs="楷体_GB2312"/>
          <w:color w:val="auto"/>
          <w:sz w:val="32"/>
          <w:szCs w:val="32"/>
          <w:lang w:val="zh-CN"/>
        </w:rPr>
      </w:pPr>
      <w:r>
        <w:rPr>
          <w:rFonts w:hint="eastAsia" w:ascii="Times New Roman" w:hAnsi="Times New Roman" w:eastAsia="楷体_GB2312"/>
          <w:b w:val="0"/>
          <w:bCs/>
          <w:color w:val="auto"/>
          <w:sz w:val="32"/>
          <w:szCs w:val="32"/>
          <w:lang w:val="zh-CN"/>
        </w:rPr>
        <w:t>（二）专用指标绩效分析（30分）</w:t>
      </w:r>
    </w:p>
    <w:p w14:paraId="7B41BED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b w:val="0"/>
          <w:bCs w:val="0"/>
          <w:color w:val="auto"/>
          <w:sz w:val="32"/>
          <w:szCs w:val="32"/>
          <w:lang w:val="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zh-CN"/>
        </w:rPr>
        <w:t>民生保障</w:t>
      </w:r>
    </w:p>
    <w:p w14:paraId="55C2E22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分配体现区域均衡性；资金实际支持对象符合管理要求，符合支持对象范围；资金实际补贴标准符合资金管理办法规定的补助标准，及时按标准兑现情况；资金涉及相关受益群体、支持对象的满意度达百分百。</w:t>
      </w:r>
    </w:p>
    <w:p w14:paraId="7055210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（三）个性指标绩效分析（16分）</w:t>
      </w:r>
    </w:p>
    <w:p w14:paraId="2C51AEE6">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根据分级评价法，评价艾防工作成效，抗病毒治疗覆盖率、抗病毒治疗成功率等指标是否达标，差分值比率为0，较差为0.3，一般为0.6，较好为0.8，好为1。自评16分。</w:t>
      </w:r>
    </w:p>
    <w:p w14:paraId="02E06E78">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160" w:name="_Toc4161"/>
      <w:bookmarkStart w:id="161" w:name="_Toc13482"/>
      <w:r>
        <w:rPr>
          <w:rFonts w:hint="eastAsia" w:ascii="Times New Roman" w:hAnsi="Times New Roman" w:eastAsia="黑体"/>
          <w:color w:val="auto"/>
          <w:sz w:val="32"/>
          <w:szCs w:val="32"/>
          <w:lang w:eastAsia="zh-CN"/>
        </w:rPr>
        <w:t>四、评价结论</w:t>
      </w:r>
      <w:bookmarkEnd w:id="160"/>
      <w:bookmarkEnd w:id="161"/>
    </w:p>
    <w:p w14:paraId="39FA336E">
      <w:pPr>
        <w:pStyle w:val="2"/>
        <w:keepNext w:val="0"/>
        <w:keepLines w:val="0"/>
        <w:pageBreakBefore w:val="0"/>
        <w:kinsoku/>
        <w:wordWrap/>
        <w:overflowPunct/>
        <w:topLinePunct w:val="0"/>
        <w:autoSpaceDE/>
        <w:autoSpaceDN/>
        <w:bidi w:val="0"/>
        <w:spacing w:beforeLines="0" w:after="0" w:afterLines="0" w:line="578" w:lineRule="exact"/>
        <w:ind w:left="0" w:leftChars="0" w:firstLine="640" w:firstLineChars="200"/>
        <w:textAlignment w:val="auto"/>
        <w:rPr>
          <w:rFonts w:hint="default" w:ascii="Times New Roman" w:hAnsi="Times New Roman" w:eastAsia="仿宋" w:cs="仿宋"/>
          <w:color w:val="auto"/>
          <w:sz w:val="32"/>
          <w:szCs w:val="32"/>
        </w:rPr>
      </w:pPr>
      <w:r>
        <w:rPr>
          <w:rFonts w:hint="eastAsia" w:ascii="仿宋_GB2312" w:hAnsi="仿宋_GB2312" w:eastAsia="仿宋_GB2312" w:cs="仿宋_GB2312"/>
          <w:color w:val="auto"/>
          <w:sz w:val="32"/>
          <w:szCs w:val="32"/>
        </w:rPr>
        <w:t>按照项目文件要求，我单位已将项目资金及目标完成情况纳入绩效自评范围，认真组织了项目绩效自评工作，实现项目自评全覆盖。为保证项目实施质量及效果，我单位对项目各项工作落实情况进行了复核，包括项目进度、项目指标完成情况、项目资金支出及管理、项目实施后的收益及影响等。经复核，项目按时按质完成、项目资金支出合法合规，取得良好收益。</w:t>
      </w:r>
    </w:p>
    <w:p w14:paraId="2A86A83A">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162" w:name="_Toc27526"/>
      <w:bookmarkStart w:id="163" w:name="_Toc12094"/>
      <w:r>
        <w:rPr>
          <w:rFonts w:hint="eastAsia" w:ascii="Times New Roman" w:hAnsi="Times New Roman" w:eastAsia="黑体"/>
          <w:color w:val="auto"/>
          <w:sz w:val="32"/>
          <w:szCs w:val="32"/>
          <w:lang w:eastAsia="zh-CN"/>
        </w:rPr>
        <w:t>五、存在主要问题</w:t>
      </w:r>
      <w:bookmarkEnd w:id="162"/>
      <w:bookmarkEnd w:id="163"/>
    </w:p>
    <w:p w14:paraId="4DFB996B">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由于财政资金困难，项目资金到位不及时，导致项目无法按时开展，对艾滋病防治造成极大影响，甚至造成疫情反弹。</w:t>
      </w:r>
    </w:p>
    <w:p w14:paraId="02E262EF">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164" w:name="_Toc20777"/>
      <w:bookmarkStart w:id="165" w:name="_Toc17818"/>
      <w:r>
        <w:rPr>
          <w:rFonts w:hint="eastAsia" w:ascii="Times New Roman" w:hAnsi="Times New Roman" w:eastAsia="黑体"/>
          <w:color w:val="auto"/>
          <w:sz w:val="32"/>
          <w:szCs w:val="32"/>
          <w:lang w:val="zh-CN" w:eastAsia="zh-CN"/>
        </w:rPr>
        <w:t>六、改进建议</w:t>
      </w:r>
      <w:bookmarkEnd w:id="164"/>
      <w:bookmarkEnd w:id="165"/>
    </w:p>
    <w:p w14:paraId="571BE6EB">
      <w:pPr>
        <w:keepNext w:val="0"/>
        <w:keepLines w:val="0"/>
        <w:pageBreakBefore w:val="0"/>
        <w:tabs>
          <w:tab w:val="left" w:pos="1911"/>
        </w:tabs>
        <w:kinsoku/>
        <w:wordWrap/>
        <w:overflowPunct/>
        <w:topLinePunct w:val="0"/>
        <w:autoSpaceDE/>
        <w:autoSpaceDN/>
        <w:bidi w:val="0"/>
        <w:spacing w:beforeLines="0" w:afterLines="0" w:line="578" w:lineRule="exact"/>
        <w:ind w:left="0" w:leftChars="0" w:firstLine="640" w:firstLineChars="200"/>
        <w:jc w:val="lef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财政局等及时安排拨付性病艾滋病防治项目资金。</w:t>
      </w:r>
    </w:p>
    <w:p w14:paraId="5D649FF2">
      <w:pPr>
        <w:snapToGrid w:val="0"/>
        <w:spacing w:beforeLines="0" w:afterLines="0" w:line="578" w:lineRule="exact"/>
        <w:ind w:firstLine="640" w:firstLineChars="200"/>
        <w:rPr>
          <w:rFonts w:hint="eastAsia" w:ascii="Times New Roman" w:hAnsi="Times New Roman"/>
          <w:color w:val="auto"/>
          <w:kern w:val="0"/>
          <w:sz w:val="32"/>
          <w:szCs w:val="32"/>
          <w:shd w:val="clear" w:color="auto" w:fill="FFFFFF"/>
          <w:lang w:val="zh-CN"/>
        </w:rPr>
      </w:pPr>
    </w:p>
    <w:p w14:paraId="0D32B57C">
      <w:pPr>
        <w:spacing w:beforeLines="0" w:afterLines="0"/>
        <w:rPr>
          <w:rFonts w:hint="eastAsia" w:ascii="Times New Roman" w:hAnsi="Times New Roman"/>
          <w:color w:val="auto"/>
          <w:kern w:val="0"/>
          <w:sz w:val="32"/>
          <w:szCs w:val="32"/>
          <w:shd w:val="clear" w:color="auto" w:fill="FFFFFF"/>
        </w:rPr>
      </w:pPr>
    </w:p>
    <w:p w14:paraId="467D8358">
      <w:pPr>
        <w:snapToGrid w:val="0"/>
        <w:spacing w:beforeLines="0" w:afterLines="0" w:line="578" w:lineRule="exact"/>
        <w:ind w:firstLine="640" w:firstLineChars="200"/>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附表：1.项目资金分配涉及所有点位自评得分情况表</w:t>
      </w:r>
    </w:p>
    <w:p w14:paraId="31D17912">
      <w:pPr>
        <w:snapToGrid w:val="0"/>
        <w:spacing w:beforeLines="0" w:afterLines="0" w:line="578" w:lineRule="exact"/>
        <w:ind w:firstLine="1600" w:firstLineChars="500"/>
        <w:outlineLvl w:val="2"/>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2.专项预算项目绩效目标完成情况自评表</w:t>
      </w:r>
    </w:p>
    <w:p w14:paraId="35679E78">
      <w:pPr>
        <w:snapToGrid w:val="0"/>
        <w:spacing w:beforeLines="0" w:afterLines="0" w:line="578" w:lineRule="exact"/>
        <w:ind w:firstLine="640" w:firstLineChars="200"/>
        <w:rPr>
          <w:rFonts w:hint="eastAsia" w:ascii="Times New Roman" w:hAnsi="Times New Roman"/>
          <w:color w:val="auto"/>
          <w:kern w:val="0"/>
          <w:sz w:val="32"/>
          <w:szCs w:val="32"/>
          <w:shd w:val="clear" w:color="auto" w:fill="FFFFFF"/>
          <w:lang w:val="zh-CN"/>
        </w:rPr>
      </w:pPr>
      <w:r>
        <w:rPr>
          <w:rFonts w:hint="eastAsia" w:ascii="Times New Roman" w:hAnsi="Times New Roman"/>
          <w:color w:val="auto"/>
          <w:kern w:val="0"/>
          <w:sz w:val="32"/>
          <w:szCs w:val="32"/>
          <w:shd w:val="clear" w:color="auto" w:fill="FFFFFF"/>
          <w:lang w:val="zh-CN"/>
        </w:rPr>
        <w:br w:type="page"/>
      </w:r>
    </w:p>
    <w:p w14:paraId="690C802D">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33E25264">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166" w:name="_Toc15838"/>
      <w:bookmarkStart w:id="167" w:name="_Toc27243"/>
      <w:r>
        <w:rPr>
          <w:rFonts w:hint="eastAsia" w:ascii="Times New Roman" w:hAnsi="Times New Roman" w:eastAsia="方正小标宋_GBK" w:cs="方正小标宋_GBK"/>
          <w:color w:val="auto"/>
          <w:sz w:val="40"/>
          <w:szCs w:val="40"/>
        </w:rPr>
        <w:t>项目资金分配涉及所有点位自评得分情况表</w:t>
      </w:r>
      <w:bookmarkEnd w:id="166"/>
      <w:bookmarkEnd w:id="167"/>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6F45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D5ADFEF">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4DA72A2F">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2D986F75">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6D65E4D8">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7B3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1BC729D7">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0060AB94">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6263F87D">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auto"/>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58FA78E4">
            <w:pPr>
              <w:spacing w:beforeLines="0" w:afterLines="0" w:line="300" w:lineRule="exact"/>
              <w:rPr>
                <w:rFonts w:hint="eastAsia" w:ascii="Times New Roman" w:hAnsi="Times New Roman" w:cs="宋体"/>
                <w:color w:val="auto"/>
                <w:sz w:val="24"/>
                <w:szCs w:val="24"/>
              </w:rPr>
            </w:pPr>
          </w:p>
        </w:tc>
      </w:tr>
    </w:tbl>
    <w:p w14:paraId="12702D78">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711AF254">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7C796A61">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25FD09F7">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2B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single" w:color="auto" w:sz="4" w:space="0"/>
              <w:right w:val="nil"/>
              <w:tl2br w:val="nil"/>
              <w:tr2bl w:val="nil"/>
            </w:tcBorders>
            <w:noWrap w:val="0"/>
            <w:vAlign w:val="center"/>
          </w:tcPr>
          <w:p w14:paraId="4953A770">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093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29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B68463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2CFE273">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艾滋病</w:t>
            </w:r>
          </w:p>
        </w:tc>
      </w:tr>
      <w:tr w14:paraId="314D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29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29236B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3F30F21">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43CA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429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EAE63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7A355AC">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17FB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2D3322">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C2D11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055D1E58">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2023年预算大本、竹财社【2023】121号</w:t>
            </w:r>
          </w:p>
        </w:tc>
      </w:tr>
      <w:tr w14:paraId="2F08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11F615">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FCAEEFA">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D5C016C">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川卫办疾控便函【2023】4号</w:t>
            </w:r>
          </w:p>
        </w:tc>
      </w:tr>
      <w:tr w14:paraId="7225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1EF657">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CAFDC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E6D75">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0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4061FE">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93C2B">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01131">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3471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EED439">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28DB84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E5456C1">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县级配套资金</w:t>
            </w:r>
          </w:p>
        </w:tc>
      </w:tr>
      <w:tr w14:paraId="52CE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6A5EBC">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FBAD5B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A62EC56">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用于艾滋病防治专项</w:t>
            </w:r>
          </w:p>
        </w:tc>
      </w:tr>
      <w:tr w14:paraId="544A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9774E7">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8E4A692">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94ECACB">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1A4D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09BBB6">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5E656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26912598">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3DB8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9BFAA8">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3F3E0C5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56BC4B">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B968B8D">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420.38</w:t>
            </w:r>
          </w:p>
        </w:tc>
      </w:tr>
      <w:tr w14:paraId="411D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98526F">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D55D5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2537D79">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420.38</w:t>
            </w:r>
          </w:p>
        </w:tc>
      </w:tr>
      <w:tr w14:paraId="3390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98CBC7">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1D621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3A7B1AA">
            <w:pPr>
              <w:spacing w:beforeLines="0" w:afterLines="0" w:line="300" w:lineRule="exact"/>
              <w:jc w:val="right"/>
              <w:rPr>
                <w:rFonts w:hint="eastAsia" w:ascii="Times New Roman" w:hAnsi="Times New Roman" w:eastAsia="宋体" w:cs="宋体"/>
                <w:color w:val="000000"/>
                <w:sz w:val="24"/>
                <w:szCs w:val="24"/>
              </w:rPr>
            </w:pPr>
          </w:p>
        </w:tc>
      </w:tr>
      <w:tr w14:paraId="1A8C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72D6D1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37676B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592B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83AFED">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913F704">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应用于2023年，开展艾滋病防治工作督导考核和目标考核及艾滋病防治措施落实，质量考评，达到有效控制艾滋病疫情，提高艾滋病感染生存生活质量的目标。</w:t>
            </w:r>
          </w:p>
        </w:tc>
      </w:tr>
      <w:tr w14:paraId="4B81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9CC5E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372A8">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523B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12C8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3B93C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6024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57C5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CA8A1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7B94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204D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852D73">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ABC7544">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5DE063">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数量指标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CEC27">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男同干预</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DAA5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21BF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60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38BB7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人/年</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04A5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CB416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155</w:t>
            </w:r>
          </w:p>
        </w:tc>
      </w:tr>
      <w:tr w14:paraId="4161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3E7D2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4DCBD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20D1F4">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90124">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艾滋病抗病毒治疗比例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BABD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CE2E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95</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5963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C2DC4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5</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1395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98.6</w:t>
            </w:r>
          </w:p>
        </w:tc>
      </w:tr>
      <w:tr w14:paraId="1C01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575116">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C264D63">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182555">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BE0D1">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常住人员检测覆盖率</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AB5C3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E2AD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30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4162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BC70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5</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BB78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51</w:t>
            </w:r>
          </w:p>
        </w:tc>
      </w:tr>
      <w:tr w14:paraId="6F96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9CDF3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59494D">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6571F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43EF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艾滋病咨询检测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0031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6837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314</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3424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人/年</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C898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5</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2DF52">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916</w:t>
            </w:r>
          </w:p>
        </w:tc>
      </w:tr>
      <w:tr w14:paraId="3999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A56678">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624CF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12B8BE">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3C792">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性病门诊干预</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8CD9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5A61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179</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DF23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人/年</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B107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6820A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324</w:t>
            </w:r>
          </w:p>
        </w:tc>
      </w:tr>
      <w:tr w14:paraId="77C7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2A18F3">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661464">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0ACFE1">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8A1DC">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暗娼干预</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806C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F669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88</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D75E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人/年</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35A2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B5319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157</w:t>
            </w:r>
          </w:p>
        </w:tc>
      </w:tr>
      <w:tr w14:paraId="4290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738B2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8B413D">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69637E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质量指标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0D7B8">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抗病毒治疗成功率</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06CE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E4C7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93</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A104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5183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BB7E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97.11</w:t>
            </w:r>
          </w:p>
        </w:tc>
      </w:tr>
      <w:tr w14:paraId="2F2D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7553B1">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1A25B0">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4BE959">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B2A31">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艾滋病感染孕产妇所生儿童抗病毒用药比例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BC80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B082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100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F426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36AC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3</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5901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2021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C2FF8FC">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A9095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197F92">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D2C96">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母婴阻断成功率</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2C84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6B1F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100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8B63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CF97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5349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13E5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D7694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E8396D">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98668A">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4DAB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高危人群检测比例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271F6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0972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100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A50E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04F3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86692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36BD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6C8CC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989FB8">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E992E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41BB0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艾滋病规范化随访检测比例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1AA8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B247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90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8EC3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DC0E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13885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96</w:t>
            </w:r>
          </w:p>
        </w:tc>
      </w:tr>
      <w:tr w14:paraId="5A3F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89EB57">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6B4046">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55AA2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53F86">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感染者配偶/固定配偶HIV抗体检测率</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A70B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8759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85</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167F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A726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AE304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96.99</w:t>
            </w:r>
          </w:p>
        </w:tc>
      </w:tr>
      <w:tr w14:paraId="485C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6A6FA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BFDA9">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477B7">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时效指标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6329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完成各项考核指标时限</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140A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6008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2023</w:t>
            </w:r>
            <w:r>
              <w:rPr>
                <w:rFonts w:hint="eastAsia" w:ascii="Times New Roman" w:hAnsi="Times New Roman" w:eastAsia="宋体" w:cs="宋体"/>
                <w:color w:val="000000"/>
                <w:kern w:val="0"/>
                <w:sz w:val="24"/>
                <w:szCs w:val="24"/>
                <w:lang w:bidi="ar"/>
              </w:rPr>
              <w:t>年12月底前完成</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9E34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A5D0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57F8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各项指标在规定时限内完成</w:t>
            </w:r>
          </w:p>
        </w:tc>
      </w:tr>
      <w:tr w14:paraId="2EA8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8C594D">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621DBB">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效益指标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3392C4">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2FCD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艾滋病感染者生存生活质量提高</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9F0E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BBBA4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中长期</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368B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849E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6</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AD49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抗病毒治疗成功率保持较高水平，达到96.64%</w:t>
            </w:r>
          </w:p>
        </w:tc>
      </w:tr>
      <w:tr w14:paraId="6D94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1DC9C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65C1B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AAE9B9">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0ABF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各类目标人群艾滋病防治意识提高</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2885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0E128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中长期</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CEB5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0B168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6</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CF07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FSW人群（99.33%）</w:t>
            </w:r>
          </w:p>
          <w:p w14:paraId="443C47E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DUS人群（98.51%）</w:t>
            </w:r>
          </w:p>
        </w:tc>
      </w:tr>
      <w:tr w14:paraId="3FE7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D87AC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F39910">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1D036">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可持续影响指标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BF28B">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有效控制艾滋病疫情</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1FCEC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B0A76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艾滋病处低流行水平</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6DEFA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E1018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10</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1165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2023年新报告病例104例，在开展全民健康体检的情况下，与上年同比增加1.96%，存活数全省区县排名由2022年的34位下降至36位。</w:t>
            </w:r>
          </w:p>
        </w:tc>
      </w:tr>
      <w:tr w14:paraId="2E73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54AAFC">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0A5D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满意度指标</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160D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48F84">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目标人群对艾滋病防治服务民生工作满意</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C544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40C46B">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目标人群获得艾滋病防治服务的可及性</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A521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517F6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73E7B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国家“四免一关怀”政策得到有效落实，目标人群均能享受免费的自愿咨询检测、抗病毒治疗、母婴阻断、艾滋病致孤儿童免费上学，愿意申请的均纳入了低保。</w:t>
            </w:r>
          </w:p>
        </w:tc>
      </w:tr>
      <w:tr w14:paraId="257B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231D69">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85489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成本指标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15E606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37C56">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艾滋病综合管理与关怀救治</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CE51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E666C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58</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B3EF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04F12A">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E0BB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58</w:t>
            </w:r>
          </w:p>
        </w:tc>
      </w:tr>
      <w:tr w14:paraId="34E7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FA2AE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4FEAC2">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FD17DD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A0D49">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艾滋病综合干预</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7D2AB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0BD6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70</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37079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D420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3</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D170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70</w:t>
            </w:r>
          </w:p>
        </w:tc>
      </w:tr>
      <w:tr w14:paraId="205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E4F9C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3619F9">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53F10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78DCB">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艾滋病宣传干预</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2235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8E9A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52</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A0EB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5E0C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3</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4AEC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52</w:t>
            </w:r>
          </w:p>
        </w:tc>
      </w:tr>
      <w:tr w14:paraId="45C0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35CA9E">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2F5373">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D48147">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721C4">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艾滋病监测与检测</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DB9B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B8ABDF">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164</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5075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6A1F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4</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67CDC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164</w:t>
            </w:r>
          </w:p>
        </w:tc>
      </w:tr>
      <w:tr w14:paraId="581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C8C3CB">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27AC79">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393D0F">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80A79">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社会动员</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35E9F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9981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18</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84134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A7BD92">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3BA1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18</w:t>
            </w:r>
          </w:p>
        </w:tc>
      </w:tr>
      <w:tr w14:paraId="563C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38D60A">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BFBF47">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D8296C">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FBA9B">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项目督导与管理</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B390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2AE1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22</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FB9C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7410D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6879F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22</w:t>
            </w:r>
          </w:p>
        </w:tc>
      </w:tr>
      <w:tr w14:paraId="1541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B5FC35">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38234D">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BEED38">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3CCEC">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探索新模式</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5C53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C4506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16</w:t>
            </w:r>
          </w:p>
        </w:tc>
        <w:tc>
          <w:tcPr>
            <w:tcW w:w="1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F9F8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万元</w:t>
            </w:r>
          </w:p>
        </w:tc>
        <w:tc>
          <w:tcPr>
            <w:tcW w:w="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6DE5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2</w:t>
            </w:r>
          </w:p>
        </w:tc>
        <w:tc>
          <w:tcPr>
            <w:tcW w:w="18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2ADB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16</w:t>
            </w:r>
          </w:p>
        </w:tc>
      </w:tr>
    </w:tbl>
    <w:p w14:paraId="53AB0B70">
      <w:pPr>
        <w:widowControl/>
        <w:spacing w:beforeLines="0" w:afterLines="0" w:line="300" w:lineRule="exact"/>
        <w:jc w:val="left"/>
        <w:textAlignment w:val="center"/>
        <w:rPr>
          <w:rFonts w:hint="default" w:ascii="Times New Roman" w:hAnsi="Times New Roman" w:eastAsia="宋体" w:cs="宋体"/>
          <w:color w:val="000000"/>
          <w:kern w:val="0"/>
          <w:sz w:val="24"/>
          <w:szCs w:val="24"/>
          <w:lang w:bidi="ar"/>
        </w:rPr>
      </w:pPr>
    </w:p>
    <w:p w14:paraId="02EB86F5">
      <w:pP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br w:type="page"/>
      </w:r>
    </w:p>
    <w:p w14:paraId="66380326">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6AA41A8F">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w:t>
      </w:r>
      <w:r>
        <w:rPr>
          <w:rFonts w:hint="eastAsia" w:ascii="Times New Roman" w:hAnsi="Times New Roman" w:eastAsia="方正小标宋简体" w:cs="方正小标宋简体"/>
          <w:color w:val="auto"/>
          <w:kern w:val="2"/>
          <w:sz w:val="32"/>
          <w:szCs w:val="32"/>
          <w:lang w:val="en-US" w:eastAsia="zh-CN"/>
        </w:rPr>
        <w:t>传染</w:t>
      </w:r>
      <w:r>
        <w:rPr>
          <w:rFonts w:hint="eastAsia" w:ascii="Times New Roman" w:hAnsi="Times New Roman" w:eastAsia="方正小标宋简体" w:cs="方正小标宋简体"/>
          <w:color w:val="auto"/>
          <w:kern w:val="2"/>
          <w:sz w:val="32"/>
          <w:szCs w:val="32"/>
          <w:lang w:val="en-US"/>
        </w:rPr>
        <w:t>病）</w:t>
      </w:r>
    </w:p>
    <w:p w14:paraId="6B8AFF22">
      <w:pPr>
        <w:pStyle w:val="35"/>
        <w:keepNext w:val="0"/>
        <w:keepLines w:val="0"/>
        <w:pageBreakBefore w:val="0"/>
        <w:kinsoku/>
        <w:wordWrap/>
        <w:overflowPunct/>
        <w:topLinePunct w:val="0"/>
        <w:autoSpaceDE/>
        <w:autoSpaceDN/>
        <w:bidi w:val="0"/>
        <w:spacing w:beforeLines="0" w:afterLines="0" w:line="578" w:lineRule="exact"/>
        <w:ind w:left="0" w:leftChars="0" w:firstLine="640" w:firstLineChars="200"/>
        <w:jc w:val="center"/>
        <w:textAlignment w:val="auto"/>
        <w:rPr>
          <w:rFonts w:hint="default" w:ascii="Times New Roman" w:hAnsi="Times New Roman"/>
          <w:color w:val="auto"/>
          <w:kern w:val="2"/>
          <w:sz w:val="32"/>
          <w:szCs w:val="32"/>
        </w:rPr>
      </w:pPr>
    </w:p>
    <w:p w14:paraId="7909FC4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eastAsia="黑体"/>
          <w:sz w:val="32"/>
          <w:szCs w:val="32"/>
          <w:lang w:val="zh-CN"/>
        </w:rPr>
      </w:pPr>
      <w:bookmarkStart w:id="168" w:name="_Toc21265"/>
      <w:bookmarkStart w:id="169" w:name="_Toc5559"/>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68"/>
      <w:bookmarkEnd w:id="169"/>
    </w:p>
    <w:p w14:paraId="2EA15FE3">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（一）设立背景及基本情况</w:t>
      </w:r>
    </w:p>
    <w:p w14:paraId="4A69DBD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霍乱是由霍乱弧菌引起的急性肠道传染病。以发病急，传播快，波及范围广为特征，是《国际卫生条例》规定的国际检疫传染病之一，也是《中华人民共和国传染病防治法》规定强制管理的甲类传染病之一（甲类传染病只有2种，为鼠疫、霍乱，因此霍乱也称为“二号病”）。它可以引起散发、流行、暴发、甚至世界性大流行，不仅危害人民健康，而且影响人民正常的生活、生产、旅游、经贸、交通运输，甚至社会安定。</w:t>
      </w:r>
    </w:p>
    <w:p w14:paraId="5016244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1995年7月，我县首次暴发霍乱疫情，因当时的东柳乡一外出务工者感染霍乱弧菌，返家为其父操办寿宴引发，波及当时的朝阳、余家、城东、清水、民主、莲印、竹北乡及竹阳镇，发病78例。在省地专家组指导下，10 日内疫情得到有效控制，无一人死亡。1996年7月，周家镇双渔村发生霍乱病疫情，波及邻近1乡，7日内控制疫情院。随后我县每年开展霍乱监测工作。</w:t>
      </w:r>
    </w:p>
    <w:p w14:paraId="2D4152C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2023年按《达州市疾病预防控制中心关于加强霍乱等肠道传染病防控工作的通知》（达市疾控函</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rPr>
        <w:t>2023</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rPr>
        <w:t>83号）文件要求，根据《</w:t>
      </w:r>
      <w:r>
        <w:rPr>
          <w:rFonts w:hint="eastAsia" w:ascii="Times New Roman" w:hAnsi="Times New Roman" w:eastAsia="仿宋_GB2312" w:cs="仿宋_GB2312"/>
          <w:sz w:val="32"/>
          <w:szCs w:val="32"/>
          <w:lang w:val="zh-CN"/>
        </w:rPr>
        <w:t>国务院办公厅关于加强传染病防治人员安全防护的意见》（国办发〔2015〕1号）</w:t>
      </w:r>
      <w:r>
        <w:rPr>
          <w:rFonts w:hint="eastAsia" w:ascii="Times New Roman" w:hAnsi="Times New Roman" w:eastAsia="仿宋_GB2312" w:cs="仿宋_GB2312"/>
          <w:sz w:val="32"/>
          <w:szCs w:val="32"/>
        </w:rPr>
        <w:t>文件中“</w:t>
      </w:r>
      <w:r>
        <w:rPr>
          <w:rFonts w:hint="eastAsia" w:ascii="Times New Roman" w:hAnsi="Times New Roman" w:eastAsia="仿宋_GB2312" w:cs="仿宋_GB2312"/>
          <w:sz w:val="32"/>
          <w:szCs w:val="32"/>
          <w:lang w:val="zh-CN"/>
        </w:rPr>
        <w:t>要将传染病防治所需必要经费纳入同级财政预算﹐及时足额拨付”</w:t>
      </w:r>
      <w:r>
        <w:rPr>
          <w:rFonts w:hint="eastAsia" w:ascii="Times New Roman" w:hAnsi="Times New Roman" w:eastAsia="仿宋_GB2312" w:cs="仿宋_GB2312"/>
          <w:sz w:val="32"/>
          <w:szCs w:val="32"/>
        </w:rPr>
        <w:t>精神，在编制年初预算中按照预算项目支出相关程序进行项目支出申报，经财政局及人代会进行审核批复后，在年初进行项目预算资金下达。</w:t>
      </w:r>
    </w:p>
    <w:p w14:paraId="4C2E7BA9">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项目资金主要用于二号病（霍乱）的监测采样、霍乱样品检测、霍乱疫情处置、应急物资储备等。</w:t>
      </w:r>
    </w:p>
    <w:p w14:paraId="4E17AC1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（二）实施目的及支持方向</w:t>
      </w:r>
    </w:p>
    <w:p w14:paraId="31E8459D">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CN"/>
        </w:rPr>
        <w:t>二号病</w:t>
      </w:r>
      <w:r>
        <w:rPr>
          <w:rFonts w:hint="eastAsia" w:ascii="Times New Roman" w:hAnsi="Times New Roman" w:eastAsia="仿宋_GB2312" w:cs="仿宋_GB2312"/>
          <w:sz w:val="32"/>
          <w:szCs w:val="32"/>
        </w:rPr>
        <w:t>项目</w:t>
      </w:r>
      <w:r>
        <w:rPr>
          <w:rFonts w:hint="eastAsia" w:ascii="Times New Roman" w:hAnsi="Times New Roman" w:eastAsia="仿宋_GB2312" w:cs="仿宋_GB2312"/>
          <w:sz w:val="32"/>
          <w:szCs w:val="32"/>
          <w:lang w:val="zh-CN"/>
        </w:rPr>
        <w:t>（霍乱监测项目）</w:t>
      </w:r>
      <w:r>
        <w:rPr>
          <w:rFonts w:hint="eastAsia" w:ascii="Times New Roman" w:hAnsi="Times New Roman" w:eastAsia="仿宋_GB2312" w:cs="仿宋_GB2312"/>
          <w:sz w:val="32"/>
          <w:szCs w:val="32"/>
        </w:rPr>
        <w:t>实施目的：及时发现霍乱病例，早期识别暴发疫情，加强流行病学调查与处置工作，防止疫情扩散；掌握霍乱疫情菌株的生物学特征和耐药性变化监测菌型变迁；掌握霍乱弧菌引起的腹泻病例的发病情况、病原构成及临床特征，指导霍乱的防治工作；了解引起霍乱流行的危险因素，为制定有针对性的公共卫生防控措施提供依据。</w:t>
      </w:r>
    </w:p>
    <w:p w14:paraId="35A9174C">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二号病项目（霍乱监测项目）主要内容是：</w:t>
      </w:r>
      <w:r>
        <w:rPr>
          <w:rFonts w:hint="eastAsia" w:ascii="Times New Roman" w:hAnsi="Times New Roman" w:eastAsia="仿宋_GB2312" w:cs="仿宋_GB2312"/>
          <w:sz w:val="32"/>
          <w:szCs w:val="32"/>
        </w:rPr>
        <w:t>一是</w:t>
      </w:r>
      <w:r>
        <w:rPr>
          <w:rFonts w:hint="eastAsia" w:ascii="Times New Roman" w:hAnsi="Times New Roman" w:eastAsia="仿宋_GB2312" w:cs="仿宋_GB2312"/>
          <w:sz w:val="32"/>
          <w:szCs w:val="32"/>
          <w:lang w:val="zh-CN"/>
        </w:rPr>
        <w:t>病例报告，对发现的霍乱病例2小时内进行报告；</w:t>
      </w:r>
      <w:r>
        <w:rPr>
          <w:rFonts w:hint="eastAsia" w:ascii="Times New Roman" w:hAnsi="Times New Roman" w:eastAsia="仿宋_GB2312" w:cs="仿宋_GB2312"/>
          <w:sz w:val="32"/>
          <w:szCs w:val="32"/>
        </w:rPr>
        <w:t>二是</w:t>
      </w:r>
      <w:r>
        <w:rPr>
          <w:rFonts w:hint="eastAsia" w:ascii="Times New Roman" w:hAnsi="Times New Roman" w:eastAsia="仿宋_GB2312" w:cs="仿宋_GB2312"/>
          <w:sz w:val="32"/>
          <w:szCs w:val="32"/>
          <w:lang w:val="zh-CN"/>
        </w:rPr>
        <w:t>暴发疫情，对暴发疫情在2小时内报告，并进行规范调查和处理；</w:t>
      </w:r>
      <w:r>
        <w:rPr>
          <w:rFonts w:hint="eastAsia" w:ascii="Times New Roman" w:hAnsi="Times New Roman" w:eastAsia="仿宋_GB2312" w:cs="仿宋_GB2312"/>
          <w:sz w:val="32"/>
          <w:szCs w:val="32"/>
        </w:rPr>
        <w:t>三是</w:t>
      </w:r>
      <w:r>
        <w:rPr>
          <w:rFonts w:hint="eastAsia" w:ascii="Times New Roman" w:hAnsi="Times New Roman" w:eastAsia="仿宋_GB2312" w:cs="仿宋_GB2312"/>
          <w:sz w:val="32"/>
          <w:szCs w:val="32"/>
          <w:lang w:val="zh-CN"/>
        </w:rPr>
        <w:t>霍乱监测，5</w:t>
      </w:r>
      <w:r>
        <w:rPr>
          <w:rFonts w:hint="eastAsia" w:cs="仿宋_GB2312"/>
          <w:sz w:val="32"/>
          <w:szCs w:val="32"/>
          <w:lang w:val="zh-CN"/>
        </w:rPr>
        <w:t>—</w:t>
      </w:r>
      <w:r>
        <w:rPr>
          <w:rFonts w:hint="eastAsia" w:ascii="Times New Roman" w:hAnsi="Times New Roman" w:eastAsia="仿宋_GB2312" w:cs="仿宋_GB2312"/>
          <w:sz w:val="32"/>
          <w:szCs w:val="32"/>
          <w:lang w:val="zh-CN"/>
        </w:rPr>
        <w:t>10月开展以腹泻病人(每月不低于15份)，餐饮旅游等重点人群(每月不低于8份)，自来水、江河水、井水(每月不低于3份)，城镇污水(每月不低于2份)，甲鱼、牛蛙贝类、鱼类等(每月不低于5份，其中1份水产品涂抹样品应至少包括水产品的腮部、肛门和体表3处的涂抹拭子)为主霍乱监测工作，若测到阳性标本，要第一时间组织专家进行风险评估，科学分析研判风险，并快速实施控制措施、</w:t>
      </w:r>
      <w:r>
        <w:rPr>
          <w:rFonts w:hint="eastAsia" w:ascii="Times New Roman" w:hAnsi="Times New Roman" w:eastAsia="仿宋_GB2312" w:cs="仿宋_GB2312"/>
          <w:sz w:val="32"/>
          <w:szCs w:val="32"/>
        </w:rPr>
        <w:t>四是应急物资储备</w:t>
      </w:r>
      <w:r>
        <w:rPr>
          <w:rFonts w:hint="eastAsia" w:ascii="Times New Roman" w:hAnsi="Times New Roman" w:eastAsia="仿宋_GB2312" w:cs="仿宋_GB2312"/>
          <w:sz w:val="32"/>
          <w:szCs w:val="32"/>
          <w:lang w:val="zh-CN"/>
        </w:rPr>
        <w:t>。</w:t>
      </w:r>
    </w:p>
    <w:p w14:paraId="6547914C">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0987D3A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专项资金的分配、使用、由专项资金管理科室对照项目资金管理办法负责实施。</w:t>
      </w:r>
    </w:p>
    <w:p w14:paraId="77F62B9D">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（四）项目绩效目标设置</w:t>
      </w:r>
    </w:p>
    <w:p w14:paraId="6C9EB432">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按照项目要求，设通用指标、专用指标、个性指标</w:t>
      </w:r>
      <w:r>
        <w:rPr>
          <w:rFonts w:hint="eastAsia" w:ascii="Times New Roman" w:hAnsi="Times New Roman" w:eastAsia="仿宋_GB2312" w:cs="仿宋_GB2312"/>
          <w:sz w:val="32"/>
          <w:szCs w:val="32"/>
        </w:rPr>
        <w:t>三个分层指标，</w:t>
      </w:r>
      <w:r>
        <w:rPr>
          <w:rFonts w:hint="eastAsia" w:ascii="Times New Roman" w:hAnsi="Times New Roman" w:eastAsia="仿宋_GB2312" w:cs="仿宋_GB2312"/>
          <w:sz w:val="32"/>
          <w:szCs w:val="32"/>
          <w:lang w:val="zh-CN"/>
        </w:rPr>
        <w:t>需根据项目特性自行插行设定数</w:t>
      </w:r>
      <w:r>
        <w:rPr>
          <w:rFonts w:hint="eastAsia" w:ascii="Times New Roman" w:hAnsi="Times New Roman" w:eastAsia="仿宋_GB2312" w:cs="仿宋_GB2312"/>
          <w:sz w:val="32"/>
          <w:szCs w:val="32"/>
        </w:rPr>
        <w:t>量</w:t>
      </w:r>
      <w:r>
        <w:rPr>
          <w:rFonts w:hint="eastAsia" w:ascii="Times New Roman" w:hAnsi="Times New Roman" w:eastAsia="仿宋_GB2312" w:cs="仿宋_GB2312"/>
          <w:sz w:val="32"/>
          <w:szCs w:val="32"/>
          <w:lang w:val="zh-CN"/>
        </w:rPr>
        <w:t>指标、质量指标，</w:t>
      </w:r>
      <w:r>
        <w:rPr>
          <w:rFonts w:hint="eastAsia" w:ascii="Times New Roman" w:hAnsi="Times New Roman" w:eastAsia="仿宋_GB2312" w:cs="仿宋_GB2312"/>
          <w:sz w:val="32"/>
          <w:szCs w:val="32"/>
        </w:rPr>
        <w:t>按项目要求及时开展自评工作</w:t>
      </w:r>
      <w:r>
        <w:rPr>
          <w:rFonts w:hint="eastAsia" w:ascii="Times New Roman" w:hAnsi="Times New Roman" w:eastAsia="仿宋_GB2312" w:cs="仿宋_GB2312"/>
          <w:sz w:val="32"/>
          <w:szCs w:val="32"/>
          <w:lang w:val="zh-CN"/>
        </w:rPr>
        <w:t>。</w:t>
      </w:r>
    </w:p>
    <w:p w14:paraId="65FCC5FE">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sz w:val="32"/>
          <w:szCs w:val="32"/>
        </w:rPr>
      </w:pPr>
      <w:bookmarkStart w:id="170" w:name="_Toc9458"/>
      <w:bookmarkStart w:id="171" w:name="_Toc4679"/>
      <w:r>
        <w:rPr>
          <w:rFonts w:hint="eastAsia" w:ascii="Times New Roman" w:hAnsi="Times New Roman" w:eastAsia="黑体"/>
          <w:sz w:val="32"/>
          <w:szCs w:val="32"/>
        </w:rPr>
        <w:t>二、评价实施</w:t>
      </w:r>
      <w:bookmarkEnd w:id="170"/>
      <w:bookmarkEnd w:id="171"/>
    </w:p>
    <w:p w14:paraId="51FDEA0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（一）评价目的</w:t>
      </w:r>
    </w:p>
    <w:p w14:paraId="037A4061">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通过评价，了解项目进展情况，判定项目是否按要求开展；了解项目资金到位、使用情况，判定是否符合项目规定；及时发现项目实施过程中存在的问题，以便及时整改，为后续项目实施提供科学依据。</w:t>
      </w:r>
    </w:p>
    <w:p w14:paraId="7DBB7FE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（二）预设问题及评价重点</w:t>
      </w:r>
    </w:p>
    <w:p w14:paraId="6249E27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监测任务完成情况、疫情报告及处置情况及应急物资储备情况；评价重点是监测任务完成情况。</w:t>
      </w:r>
    </w:p>
    <w:p w14:paraId="7146FF5B">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1719B29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大竹县疾病预防控制中心。</w:t>
      </w:r>
    </w:p>
    <w:p w14:paraId="046A55F6">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08A29AAC">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lang w:val="zh-CN"/>
        </w:rPr>
        <w:t>根据年初预算项目绩效目标设定情况进行项目年终自评。</w:t>
      </w:r>
    </w:p>
    <w:p w14:paraId="1BCEA112">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（五）评价组织</w:t>
      </w:r>
    </w:p>
    <w:p w14:paraId="333C074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以中心账务后勤科牵头，各科室自评为主，账务后勤科审核、汇总、上报。</w:t>
      </w:r>
    </w:p>
    <w:p w14:paraId="6F93967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color w:val="auto"/>
          <w:sz w:val="32"/>
          <w:szCs w:val="32"/>
          <w:lang w:val="zh-CN"/>
        </w:rPr>
      </w:pPr>
      <w:bookmarkStart w:id="172" w:name="_Toc20626"/>
      <w:bookmarkStart w:id="173" w:name="_Toc32304"/>
      <w:r>
        <w:rPr>
          <w:rFonts w:hint="eastAsia" w:ascii="Times New Roman" w:hAnsi="Times New Roman" w:eastAsia="黑体"/>
          <w:color w:val="auto"/>
          <w:sz w:val="32"/>
          <w:szCs w:val="32"/>
        </w:rPr>
        <w:t>三、绩效分析</w:t>
      </w:r>
      <w:bookmarkEnd w:id="172"/>
      <w:bookmarkEnd w:id="173"/>
      <w:r>
        <w:rPr>
          <w:rFonts w:hint="eastAsia" w:ascii="Times New Roman" w:hAnsi="Times New Roman"/>
          <w:color w:val="auto"/>
          <w:sz w:val="32"/>
          <w:szCs w:val="32"/>
          <w:lang w:val="zh-CN"/>
        </w:rPr>
        <w:tab/>
      </w:r>
    </w:p>
    <w:p w14:paraId="3B5888C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val="0"/>
          <w:bCs/>
          <w:color w:val="auto"/>
          <w:sz w:val="32"/>
          <w:szCs w:val="32"/>
          <w:lang w:val="zh-CN"/>
        </w:rPr>
      </w:pPr>
      <w:r>
        <w:rPr>
          <w:rFonts w:hint="eastAsia" w:ascii="Times New Roman" w:hAnsi="Times New Roman" w:eastAsia="楷体_GB2312"/>
          <w:b w:val="0"/>
          <w:bCs/>
          <w:color w:val="auto"/>
          <w:sz w:val="32"/>
          <w:szCs w:val="32"/>
          <w:lang w:val="zh-CN"/>
        </w:rPr>
        <w:t>（一）通用指标绩效分析（54分）</w:t>
      </w:r>
    </w:p>
    <w:p w14:paraId="43EEEC5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w:t>
      </w:r>
    </w:p>
    <w:p w14:paraId="7661D4D2">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中心项目资金</w:t>
      </w:r>
      <w:r>
        <w:rPr>
          <w:rFonts w:hint="eastAsia" w:ascii="Times New Roman" w:hAnsi="Times New Roman" w:eastAsia="仿宋_GB2312" w:cs="仿宋_GB2312"/>
          <w:sz w:val="32"/>
          <w:szCs w:val="32"/>
        </w:rPr>
        <w:t>设立、</w:t>
      </w:r>
      <w:r>
        <w:rPr>
          <w:rFonts w:hint="eastAsia" w:ascii="Times New Roman" w:hAnsi="Times New Roman" w:eastAsia="仿宋_GB2312" w:cs="仿宋_GB2312"/>
          <w:sz w:val="32"/>
          <w:szCs w:val="32"/>
          <w:lang w:val="zh-CN"/>
        </w:rPr>
        <w:t>审批、</w:t>
      </w:r>
      <w:r>
        <w:rPr>
          <w:rFonts w:hint="eastAsia" w:ascii="Times New Roman" w:hAnsi="Times New Roman" w:eastAsia="仿宋_GB2312" w:cs="仿宋_GB2312"/>
          <w:sz w:val="32"/>
          <w:szCs w:val="32"/>
        </w:rPr>
        <w:t>资金投向等方面</w:t>
      </w:r>
      <w:r>
        <w:rPr>
          <w:rFonts w:hint="eastAsia" w:ascii="Times New Roman" w:hAnsi="Times New Roman" w:eastAsia="仿宋_GB2312" w:cs="仿宋_GB2312"/>
          <w:sz w:val="32"/>
          <w:szCs w:val="32"/>
          <w:lang w:val="zh-CN"/>
        </w:rPr>
        <w:t>严格</w:t>
      </w:r>
      <w:r>
        <w:rPr>
          <w:rFonts w:hint="eastAsia" w:ascii="Times New Roman" w:hAnsi="Times New Roman" w:eastAsia="仿宋_GB2312" w:cs="仿宋_GB2312"/>
          <w:sz w:val="32"/>
          <w:szCs w:val="32"/>
        </w:rPr>
        <w:t>按照法律、法规、规章制度和上级要求执行</w:t>
      </w:r>
      <w:r>
        <w:rPr>
          <w:rFonts w:hint="eastAsia" w:ascii="Times New Roman" w:hAnsi="Times New Roman" w:eastAsia="仿宋_GB2312" w:cs="仿宋_GB2312"/>
          <w:sz w:val="32"/>
          <w:szCs w:val="32"/>
          <w:lang w:val="zh-CN"/>
        </w:rPr>
        <w:t>，符合资金管理基本规范和决策程序要求。</w:t>
      </w:r>
    </w:p>
    <w:p w14:paraId="1434A5D6">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w:t>
      </w:r>
    </w:p>
    <w:p w14:paraId="215518E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二号病项目（霍乱监测项目）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3210F01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w:t>
      </w:r>
    </w:p>
    <w:p w14:paraId="1C3CB07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二号病项目资金计划10万，主要用于霍乱培训、监测采样、霍乱样品检测、霍乱疫情处置应急物资储备等，支付依据合规合法，资金支付与预算相符。</w:t>
      </w:r>
    </w:p>
    <w:p w14:paraId="74A2E5D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4.项目结果</w:t>
      </w:r>
    </w:p>
    <w:p w14:paraId="1D9059F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二号病项目</w:t>
      </w:r>
      <w:r>
        <w:rPr>
          <w:rFonts w:hint="eastAsia" w:ascii="Times New Roman" w:hAnsi="Times New Roman" w:eastAsia="仿宋_GB2312" w:cs="仿宋_GB2312"/>
          <w:sz w:val="32"/>
          <w:szCs w:val="32"/>
        </w:rPr>
        <w:t>按月</w:t>
      </w:r>
      <w:r>
        <w:rPr>
          <w:rFonts w:hint="eastAsia" w:ascii="Times New Roman" w:hAnsi="Times New Roman" w:eastAsia="仿宋_GB2312" w:cs="仿宋_GB2312"/>
          <w:sz w:val="32"/>
          <w:szCs w:val="32"/>
          <w:lang w:val="zh-CN"/>
        </w:rPr>
        <w:t>完成预期目标，实施结果与绩效目标相匹配。</w:t>
      </w:r>
    </w:p>
    <w:p w14:paraId="510A8BB8">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color w:val="auto"/>
          <w:sz w:val="32"/>
          <w:szCs w:val="32"/>
        </w:rPr>
      </w:pPr>
      <w:r>
        <w:rPr>
          <w:rFonts w:hint="eastAsia" w:ascii="Times New Roman" w:hAnsi="Times New Roman" w:eastAsia="楷体_GB2312"/>
          <w:b w:val="0"/>
          <w:bCs/>
          <w:color w:val="auto"/>
          <w:sz w:val="32"/>
          <w:szCs w:val="32"/>
          <w:lang w:val="zh-CN"/>
        </w:rPr>
        <w:t>（二）专用指标绩效分析（30分）</w:t>
      </w:r>
    </w:p>
    <w:p w14:paraId="4004E9F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号病项目资金分配科学合理、均衡公平；支持二号病监测符合管理要求；资金实际补贴标准符合资金管理办法规定的补助标准，及时按标准兑现；二号病项目开展可以及时发现霍乱病例，早期识别暴发疫情，早期处置，防止疫情扩散，减少感染病例，降低治疗费用，减少社会恐慌，促进经济平稳健康发展；同时掌握我县霍乱疫情菌株的生物学特征，监测菌型变迁规律；掌握我县霍乱弧菌引起的腹泻病例的发病情况、病原构成及临床特征，指导霍乱的防治工作，为制定有针对性的公共卫生防控措施提供依据。</w:t>
      </w:r>
    </w:p>
    <w:p w14:paraId="765E887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color w:val="auto"/>
          <w:sz w:val="32"/>
          <w:szCs w:val="32"/>
          <w:lang w:val="zh-CN"/>
        </w:rPr>
      </w:pPr>
      <w:r>
        <w:rPr>
          <w:rFonts w:hint="eastAsia" w:ascii="Times New Roman" w:hAnsi="Times New Roman" w:eastAsia="楷体_GB2312"/>
          <w:b w:val="0"/>
          <w:bCs/>
          <w:color w:val="auto"/>
          <w:sz w:val="32"/>
          <w:szCs w:val="32"/>
          <w:lang w:val="zh-CN"/>
        </w:rPr>
        <w:t>（三）个性指标绩效分析（16分）</w:t>
      </w:r>
    </w:p>
    <w:p w14:paraId="1EA91BB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全县各级各类医疗卫生机构未发现和报告霍乱病例；5—10月全县采集、检测各类样品912份，采样数超过市级方案要求，均未检出霍乱弧菌。其中全县34个腹泻监测医院全部开展监测，共采集腹泻病人粪便样本502份，占监测样品数的55.04%；重点人群监测采样300份，占监测样品数的32.90%；采集自来水、江河水、井水、塘水、城镇污水等样品34份，占监测样品数的3.73%；海、水产品监测采样76份，占监测样品数的8.33%。</w:t>
      </w:r>
    </w:p>
    <w:p w14:paraId="55D5124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采取实物和合同储备相结合的方式，</w:t>
      </w:r>
      <w:r>
        <w:rPr>
          <w:rFonts w:hint="eastAsia" w:ascii="Times New Roman" w:hAnsi="Times New Roman" w:eastAsia="仿宋_GB2312" w:cs="仿宋_GB2312"/>
          <w:sz w:val="32"/>
          <w:szCs w:val="32"/>
          <w:lang w:val="zh-CN"/>
        </w:rPr>
        <w:t>储备了满足30天满负荷运转需要的应急物资。</w:t>
      </w:r>
    </w:p>
    <w:p w14:paraId="2D0BE58F">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174" w:name="_Toc10458"/>
      <w:bookmarkStart w:id="175" w:name="_Toc16089"/>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174"/>
      <w:bookmarkEnd w:id="175"/>
    </w:p>
    <w:p w14:paraId="6C350829">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二号病项目专项资金使用规范，按月有序开展工作，按质按量地完成了监测任务，自评分100分。</w:t>
      </w:r>
    </w:p>
    <w:p w14:paraId="78F3B905">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176" w:name="_Toc4540"/>
      <w:bookmarkStart w:id="177" w:name="_Toc13339"/>
      <w:r>
        <w:rPr>
          <w:rFonts w:hint="eastAsia" w:ascii="Times New Roman" w:hAnsi="Times New Roman" w:eastAsia="黑体"/>
          <w:color w:val="auto"/>
          <w:sz w:val="32"/>
          <w:szCs w:val="32"/>
          <w:lang w:eastAsia="zh-CN"/>
        </w:rPr>
        <w:t>五、存在主要问题</w:t>
      </w:r>
      <w:bookmarkEnd w:id="176"/>
      <w:bookmarkEnd w:id="177"/>
    </w:p>
    <w:p w14:paraId="2A28C042">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随着对霍乱的深入认识，尤其是有效的治疗药品研发成功，导致世界上的霍乱发病率下降，我县多年无霍乱病例发生，也未监测到有受霍乱弧菌污染的海水产品流入我县，加之近年新冠疫情，因此各级各部门、以及群众在思想上对霍乱防控工作存在重视不够、麻痹大意。</w:t>
      </w:r>
    </w:p>
    <w:p w14:paraId="488FDCD6">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178" w:name="_Toc14420"/>
      <w:bookmarkStart w:id="179" w:name="_Toc8526"/>
      <w:r>
        <w:rPr>
          <w:rFonts w:hint="eastAsia" w:ascii="Times New Roman" w:hAnsi="Times New Roman" w:eastAsia="黑体"/>
          <w:color w:val="auto"/>
          <w:sz w:val="32"/>
          <w:szCs w:val="32"/>
          <w:lang w:val="zh-CN" w:eastAsia="zh-CN"/>
        </w:rPr>
        <w:t>六、改进建议</w:t>
      </w:r>
      <w:bookmarkEnd w:id="178"/>
      <w:bookmarkEnd w:id="179"/>
    </w:p>
    <w:p w14:paraId="6180D49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en"/>
        </w:rPr>
      </w:pPr>
      <w:r>
        <w:rPr>
          <w:rFonts w:hint="eastAsia" w:ascii="Times New Roman" w:hAnsi="Times New Roman" w:eastAsia="仿宋_GB2312" w:cs="仿宋_GB2312"/>
          <w:sz w:val="32"/>
          <w:szCs w:val="32"/>
          <w:lang w:val="en"/>
        </w:rPr>
        <w:t>提高认识，加强监测，落实各项防控措施，避免霍乱疫情输入我县，发生输入疫情后能及时发现、及时处置，防制疫情蔓延。</w:t>
      </w:r>
    </w:p>
    <w:p w14:paraId="30BB6816">
      <w:pPr>
        <w:spacing w:beforeLines="0" w:afterLines="0"/>
        <w:ind w:firstLine="640" w:firstLineChars="200"/>
        <w:rPr>
          <w:rFonts w:hint="eastAsia" w:ascii="Times New Roman" w:hAnsi="Times New Roman" w:cs="仿宋_GB2312"/>
          <w:sz w:val="32"/>
          <w:szCs w:val="32"/>
          <w:lang w:val="zh-CN"/>
        </w:rPr>
      </w:pPr>
    </w:p>
    <w:p w14:paraId="34812C7D">
      <w:pPr>
        <w:snapToGrid w:val="0"/>
        <w:spacing w:beforeLines="0" w:afterLines="0" w:line="578" w:lineRule="exact"/>
        <w:rPr>
          <w:rFonts w:hint="eastAsia" w:ascii="Times New Roman" w:hAnsi="Times New Roman"/>
          <w:color w:val="000000"/>
          <w:kern w:val="0"/>
          <w:sz w:val="32"/>
          <w:szCs w:val="32"/>
          <w:shd w:val="clear" w:color="auto" w:fill="FFFFFF"/>
        </w:rPr>
      </w:pPr>
    </w:p>
    <w:p w14:paraId="68D3F94F">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5291EFAF">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7287113A">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r>
        <w:rPr>
          <w:rFonts w:hint="eastAsia" w:ascii="Times New Roman" w:hAnsi="Times New Roman"/>
          <w:color w:val="000000"/>
          <w:kern w:val="0"/>
          <w:sz w:val="32"/>
          <w:szCs w:val="32"/>
          <w:shd w:val="clear" w:color="auto" w:fill="FFFFFF"/>
          <w:lang w:val="zh-CN"/>
        </w:rPr>
        <w:br w:type="page"/>
      </w:r>
    </w:p>
    <w:p w14:paraId="1DDFB0BB">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331213B8">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180" w:name="_Toc15743"/>
      <w:bookmarkStart w:id="181" w:name="_Toc23226"/>
      <w:r>
        <w:rPr>
          <w:rFonts w:hint="eastAsia" w:ascii="Times New Roman" w:hAnsi="Times New Roman" w:eastAsia="方正小标宋_GBK" w:cs="方正小标宋_GBK"/>
          <w:color w:val="auto"/>
          <w:sz w:val="40"/>
          <w:szCs w:val="40"/>
        </w:rPr>
        <w:t>项目资金分配涉及所有点位自评得分情况表</w:t>
      </w:r>
      <w:bookmarkEnd w:id="180"/>
      <w:bookmarkEnd w:id="181"/>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003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C99D770">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002B57B">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7064FC8F">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1B570682">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6B1E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D0D66F2">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104F284">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47D2E284">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000000"/>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745923F1">
            <w:pPr>
              <w:spacing w:beforeLines="0" w:afterLines="0" w:line="300" w:lineRule="exact"/>
              <w:rPr>
                <w:rFonts w:hint="eastAsia" w:ascii="Times New Roman" w:hAnsi="Times New Roman" w:cs="宋体"/>
                <w:color w:val="auto"/>
                <w:sz w:val="24"/>
                <w:szCs w:val="24"/>
              </w:rPr>
            </w:pPr>
          </w:p>
        </w:tc>
      </w:tr>
    </w:tbl>
    <w:p w14:paraId="158206A4">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45D59DB6">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0B76BE49">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0E68579D">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503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1ED4FCAF">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7F71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03A5F">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D0F1">
            <w:pPr>
              <w:spacing w:beforeLines="0" w:afterLines="0" w:line="300" w:lineRule="exact"/>
              <w:rPr>
                <w:rFonts w:hint="eastAsia" w:ascii="Times New Roman" w:hAnsi="Times New Roman" w:eastAsia="宋体" w:cs="宋体"/>
                <w:color w:val="000000"/>
                <w:sz w:val="24"/>
                <w:szCs w:val="24"/>
              </w:rPr>
            </w:pPr>
            <w:r>
              <w:rPr>
                <w:rFonts w:hint="eastAsia" w:cs="宋体"/>
                <w:color w:val="000000"/>
                <w:sz w:val="24"/>
                <w:szCs w:val="24"/>
                <w:lang w:eastAsia="zh-CN"/>
              </w:rPr>
              <w:t>传染</w:t>
            </w:r>
            <w:r>
              <w:rPr>
                <w:rFonts w:hint="eastAsia" w:ascii="Times New Roman" w:hAnsi="Times New Roman" w:eastAsia="宋体" w:cs="宋体"/>
                <w:color w:val="000000"/>
                <w:sz w:val="24"/>
                <w:szCs w:val="24"/>
              </w:rPr>
              <w:t>病</w:t>
            </w:r>
          </w:p>
        </w:tc>
      </w:tr>
      <w:tr w14:paraId="72A7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C299B">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7035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4802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FF51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4F2E7">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2331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EEF0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9C9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8148B">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竹财预【2023】8号</w:t>
            </w:r>
          </w:p>
        </w:tc>
      </w:tr>
      <w:tr w14:paraId="4A66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D143B">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64DB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FEB1F">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《达州市疾病预防控制中心关于加强霍乱等肠道传染病防控工作的通知》</w:t>
            </w:r>
          </w:p>
        </w:tc>
      </w:tr>
      <w:tr w14:paraId="5057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8D73A">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711D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7C9C7">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ABAFC">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A7B855">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E162F">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2838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226F">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C1FC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B94AD">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《达州市疾病预防控制中心关于加强霍乱等肠道传染病防控工作的通知》、《</w:t>
            </w:r>
            <w:r>
              <w:rPr>
                <w:rFonts w:hint="eastAsia" w:ascii="Times New Roman" w:hAnsi="Times New Roman" w:eastAsia="宋体" w:cs="宋体"/>
                <w:color w:val="000000"/>
                <w:sz w:val="24"/>
                <w:szCs w:val="24"/>
                <w:lang w:val="zh-CN"/>
              </w:rPr>
              <w:t>国务院办公厅关于加强传染病防治人员安全防护的意见》</w:t>
            </w:r>
          </w:p>
        </w:tc>
      </w:tr>
      <w:tr w14:paraId="49A0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1BFF2">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15EC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8A0F9">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用于二号病（霍乱）的监测采样、霍乱样品检测、霍乱疫情处置、应急物资储备</w:t>
            </w:r>
          </w:p>
        </w:tc>
      </w:tr>
      <w:tr w14:paraId="36C8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2CD4">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7951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7F5D8">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0346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D241D">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2E6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CAFE6">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6C29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B9A3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3D9DCE3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FBE2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46C9B">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r>
      <w:tr w14:paraId="5268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B2D46">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D5BEF">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D83F2">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r>
      <w:tr w14:paraId="5CA3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F5B69">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6C93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0AAD">
            <w:pPr>
              <w:spacing w:beforeLines="0" w:afterLines="0" w:line="300" w:lineRule="exact"/>
              <w:jc w:val="right"/>
              <w:rPr>
                <w:rFonts w:hint="eastAsia" w:ascii="Times New Roman" w:hAnsi="Times New Roman" w:eastAsia="宋体" w:cs="宋体"/>
                <w:color w:val="000000"/>
                <w:sz w:val="24"/>
                <w:szCs w:val="24"/>
              </w:rPr>
            </w:pPr>
          </w:p>
        </w:tc>
      </w:tr>
      <w:tr w14:paraId="043C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B365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7381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0ECC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B3213">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E2991">
            <w:pPr>
              <w:spacing w:beforeLines="0" w:afterLines="0" w:line="300" w:lineRule="exact"/>
              <w:rPr>
                <w:rFonts w:hint="eastAsia" w:ascii="Times New Roman" w:hAnsi="Times New Roman" w:eastAsia="宋体" w:cs="宋体"/>
                <w:color w:val="000000"/>
                <w:sz w:val="24"/>
                <w:szCs w:val="24"/>
                <w:highlight w:val="yellow"/>
              </w:rPr>
            </w:pPr>
            <w:r>
              <w:rPr>
                <w:rFonts w:hint="eastAsia" w:ascii="Times New Roman" w:hAnsi="Times New Roman" w:eastAsia="宋体" w:cs="宋体"/>
                <w:color w:val="000000"/>
                <w:sz w:val="24"/>
                <w:szCs w:val="24"/>
              </w:rPr>
              <w:t>及时发现病例，防制蔓延，减少病例，减少治疗费用；早期识别疫情，防制疫情蔓延；避免疫情造成的恐慌，维护社会稳定。</w:t>
            </w:r>
          </w:p>
        </w:tc>
      </w:tr>
      <w:tr w14:paraId="4488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75308B58">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EAB1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37D7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46AB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D31D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5B5E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D20B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AD702">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3450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47DE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2610A5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831E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CC33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70FE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监测任务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D7EB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39F6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174</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B99F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份</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288FB">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180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912</w:t>
            </w:r>
          </w:p>
        </w:tc>
      </w:tr>
      <w:tr w14:paraId="157F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5CE7953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9B54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64A1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5357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储备应急物资等</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3D41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6AAF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30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2ED4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天</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4B3D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C03C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≥30</w:t>
            </w:r>
          </w:p>
        </w:tc>
      </w:tr>
      <w:tr w14:paraId="5342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902DBD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1C5C8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902F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C1CE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霍乱疫情规范处置率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6C24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4E40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19DB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C9A5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3F65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3D0A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ABD05F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7E9B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5D8B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35B8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霍乱病例报告及时率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F1E1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9442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0353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85EF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5C29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7351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CE1898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E4D9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387D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97FB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霍乱病例报告时限</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E4FC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9979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0389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小时</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BCF6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89D1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w:t>
            </w:r>
          </w:p>
        </w:tc>
      </w:tr>
      <w:tr w14:paraId="77F9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88881B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D4E4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A408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经济效益</w:t>
            </w:r>
          </w:p>
          <w:p w14:paraId="183FAF1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F477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是否能及时发现并减少病例，减少治疗费用</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6959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89A6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能及时发现并减少病例，减少治疗费用</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5671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9B6A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D069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43DB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3112C1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FDC8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2F1B17F2">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w:t>
            </w:r>
          </w:p>
          <w:p w14:paraId="7ACF34A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FD1F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是否能早期识别疫情，防制疫情蔓延，避免恐慌</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72B1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5335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能早期识别疫情，防制疫情蔓延，避免恐慌</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EBC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4B2C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7E06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3440B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77DDB2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tcBorders>
              <w:top w:val="single" w:color="000000" w:sz="4" w:space="0"/>
              <w:left w:val="single" w:color="000000" w:sz="4" w:space="0"/>
              <w:bottom w:val="nil"/>
              <w:right w:val="single" w:color="000000" w:sz="4" w:space="0"/>
              <w:tl2br w:val="nil"/>
              <w:tr2bl w:val="nil"/>
            </w:tcBorders>
            <w:noWrap w:val="0"/>
            <w:vAlign w:val="center"/>
          </w:tcPr>
          <w:p w14:paraId="386022D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355E18E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指标</w:t>
            </w: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77F3228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3375802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F774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县区域群众满意度</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BE99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EE1B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为县区域群众带来社会稳定</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AEE3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4425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F8A1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639B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540B64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6516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C91B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w:t>
            </w:r>
          </w:p>
          <w:p w14:paraId="76D8535A">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4288B5B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县城区内监测租车每次费用</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FCC8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30F4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6</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EA78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2471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C7A1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6</w:t>
            </w:r>
          </w:p>
        </w:tc>
      </w:tr>
    </w:tbl>
    <w:p w14:paraId="7AFB7E1F">
      <w:pP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br w:type="page"/>
      </w:r>
    </w:p>
    <w:p w14:paraId="0B6E63C5">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F493FED">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（环境监测和消杀）</w:t>
      </w:r>
    </w:p>
    <w:p w14:paraId="4F5FB871">
      <w:pPr>
        <w:pStyle w:val="35"/>
        <w:keepNext w:val="0"/>
        <w:keepLines w:val="0"/>
        <w:pageBreakBefore w:val="0"/>
        <w:kinsoku/>
        <w:wordWrap/>
        <w:overflowPunct/>
        <w:topLinePunct w:val="0"/>
        <w:autoSpaceDE/>
        <w:autoSpaceDN/>
        <w:bidi w:val="0"/>
        <w:spacing w:beforeLines="0" w:afterLines="0" w:line="578" w:lineRule="exact"/>
        <w:ind w:firstLine="640" w:firstLineChars="200"/>
        <w:jc w:val="center"/>
        <w:textAlignment w:val="auto"/>
        <w:rPr>
          <w:rFonts w:hint="default" w:ascii="Times New Roman" w:hAnsi="Times New Roman"/>
          <w:color w:val="auto"/>
          <w:kern w:val="2"/>
          <w:sz w:val="32"/>
          <w:szCs w:val="32"/>
        </w:rPr>
      </w:pPr>
    </w:p>
    <w:p w14:paraId="0AC0B4C4">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default" w:ascii="Times New Roman" w:hAnsi="Times New Roman" w:eastAsia="黑体"/>
          <w:sz w:val="32"/>
          <w:szCs w:val="32"/>
          <w:lang w:val="zh-CN"/>
        </w:rPr>
      </w:pPr>
      <w:bookmarkStart w:id="182" w:name="_Toc11546"/>
      <w:bookmarkStart w:id="183" w:name="_Toc13211"/>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82"/>
      <w:bookmarkEnd w:id="183"/>
    </w:p>
    <w:p w14:paraId="398042C9">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（一）设立背景及基本情况</w:t>
      </w:r>
    </w:p>
    <w:p w14:paraId="78448BE6">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项目设立原因及背景：按照全国爱卫会下发的《国家卫生城市和国家卫生县标准》和《国家卫生城镇评审管理办法》等相关规定，国家卫生县和病媒生物密度每3年复审一次，其中4项病媒生物（鼠、蚊、蝇、蟑螂）密度达标是国家卫生县复审的前提条件，因此开展病媒生物密度监测和鼠蚊蝇蟑螂消杀灭十分必要并具重要意义。</w:t>
      </w:r>
    </w:p>
    <w:p w14:paraId="7CA0A3B6">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kern w:val="0"/>
          <w:sz w:val="32"/>
          <w:szCs w:val="32"/>
          <w:shd w:val="clear" w:color="auto" w:fill="FFFFFF"/>
          <w:lang w:val="zh-CN"/>
        </w:rPr>
        <w:t>项目立项、资金申报的依据</w:t>
      </w:r>
      <w:r>
        <w:rPr>
          <w:rFonts w:hint="eastAsia" w:ascii="Times New Roman" w:hAnsi="Times New Roman" w:eastAsia="仿宋_GB2312" w:cs="仿宋_GB2312"/>
          <w:color w:val="auto"/>
          <w:kern w:val="0"/>
          <w:sz w:val="32"/>
          <w:szCs w:val="32"/>
          <w:shd w:val="clear" w:color="auto" w:fill="FFFFFF"/>
        </w:rPr>
        <w:t>及</w:t>
      </w:r>
      <w:r>
        <w:rPr>
          <w:rFonts w:hint="eastAsia" w:ascii="Times New Roman" w:hAnsi="Times New Roman" w:eastAsia="仿宋_GB2312" w:cs="仿宋_GB2312"/>
          <w:color w:val="auto"/>
          <w:kern w:val="0"/>
          <w:sz w:val="32"/>
          <w:szCs w:val="32"/>
          <w:shd w:val="clear" w:color="auto" w:fill="FFFFFF"/>
          <w:lang w:val="zh-CN"/>
        </w:rPr>
        <w:t>主要内容</w:t>
      </w:r>
      <w:r>
        <w:rPr>
          <w:rFonts w:hint="eastAsia" w:ascii="Times New Roman" w:hAnsi="Times New Roman" w:eastAsia="仿宋_GB2312" w:cs="仿宋_GB2312"/>
          <w:color w:val="auto"/>
          <w:kern w:val="0"/>
          <w:sz w:val="32"/>
          <w:szCs w:val="32"/>
          <w:shd w:val="clear" w:color="auto" w:fill="FFFFFF"/>
        </w:rPr>
        <w:t>：2023年2月大竹县顺利通过病媒生物防制达标复审验收，2024年应申请国家卫生县复审。因此我县病媒生物防制工作需建立长效机制，在编制年初预算中按照预算项目支出相关程序进行项目支出连续申报，并经财政局及人代会进行审核批复后，在年初进行项目预算资金下达。</w:t>
      </w:r>
    </w:p>
    <w:p w14:paraId="455331BD">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lang w:val="zh-CN"/>
        </w:rPr>
        <w:t>主管部门职能：</w:t>
      </w:r>
      <w:r>
        <w:rPr>
          <w:rFonts w:hint="eastAsia" w:ascii="Times New Roman" w:hAnsi="Times New Roman" w:eastAsia="仿宋_GB2312" w:cs="仿宋_GB2312"/>
          <w:color w:val="auto"/>
          <w:kern w:val="0"/>
          <w:sz w:val="32"/>
          <w:szCs w:val="32"/>
          <w:shd w:val="clear" w:color="auto" w:fill="FFFFFF"/>
        </w:rPr>
        <w:t>环境监测和消杀工作由政府组织领导、部门各负其责、全社会共同参与的重大疾病防治机制。</w:t>
      </w:r>
    </w:p>
    <w:p w14:paraId="07CE3F5B">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（二）实施目的及支持方向</w:t>
      </w:r>
    </w:p>
    <w:p w14:paraId="57990AC6">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环境监测和消杀项目实施多年，每年均有详尽的实施方案，项目资金管理办法制定完整，落实到位。通过环境监测和消杀，掌握大竹县城区病媒生物种群构成、密度、季节消长规律，按省市《病媒生物监测方案》及县爱卫会病媒生物防制工作要求，全面落实“四害”密度监测、病媒生物控制工作，有效防治各类鼠传疾病和虫媒传染病的发生，巩固“国卫”创建成果。</w:t>
      </w:r>
    </w:p>
    <w:p w14:paraId="18927C0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2C6FAB97">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color w:val="auto"/>
          <w:kern w:val="0"/>
          <w:sz w:val="32"/>
          <w:szCs w:val="32"/>
          <w:shd w:val="clear" w:color="auto" w:fill="FFFFFF"/>
        </w:rPr>
        <w:t>本项目工作预算全面、无漏项，根据历年消杀次数和监测频次预算药品数量及器材用量，避免浪费，同时通过督导可发现并解决存在的问题，推广先进高效的措施，达到提高预算使用效率的目的。</w:t>
      </w:r>
    </w:p>
    <w:p w14:paraId="33EEDEFC">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（四）项目绩效目标设置</w:t>
      </w:r>
    </w:p>
    <w:p w14:paraId="35FE786C">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kern w:val="0"/>
          <w:sz w:val="32"/>
          <w:szCs w:val="32"/>
          <w:shd w:val="clear" w:color="auto" w:fill="FFFFFF"/>
        </w:rPr>
        <w:t>2023年主要目标任务：鼠、蟑螂密度监测1</w:t>
      </w:r>
      <w:r>
        <w:rPr>
          <w:rFonts w:hint="eastAsia" w:cs="仿宋_GB2312"/>
          <w:color w:val="auto"/>
          <w:kern w:val="0"/>
          <w:sz w:val="32"/>
          <w:szCs w:val="32"/>
          <w:shd w:val="clear" w:color="auto" w:fill="FFFFFF"/>
          <w:lang w:eastAsia="zh-CN"/>
        </w:rPr>
        <w:t>—</w:t>
      </w:r>
      <w:r>
        <w:rPr>
          <w:rFonts w:hint="eastAsia" w:ascii="Times New Roman" w:hAnsi="Times New Roman" w:eastAsia="仿宋_GB2312" w:cs="仿宋_GB2312"/>
          <w:color w:val="auto"/>
          <w:kern w:val="0"/>
          <w:sz w:val="32"/>
          <w:szCs w:val="32"/>
          <w:shd w:val="clear" w:color="auto" w:fill="FFFFFF"/>
        </w:rPr>
        <w:t>12月每月各一次，全年各12次；蚊密度监测4</w:t>
      </w:r>
      <w:r>
        <w:rPr>
          <w:rFonts w:hint="eastAsia" w:cs="仿宋_GB2312"/>
          <w:color w:val="auto"/>
          <w:kern w:val="0"/>
          <w:sz w:val="32"/>
          <w:szCs w:val="32"/>
          <w:shd w:val="clear" w:color="auto" w:fill="FFFFFF"/>
          <w:lang w:eastAsia="zh-CN"/>
        </w:rPr>
        <w:t>—</w:t>
      </w:r>
      <w:r>
        <w:rPr>
          <w:rFonts w:hint="eastAsia" w:ascii="Times New Roman" w:hAnsi="Times New Roman" w:eastAsia="仿宋_GB2312" w:cs="仿宋_GB2312"/>
          <w:color w:val="auto"/>
          <w:kern w:val="0"/>
          <w:sz w:val="32"/>
          <w:szCs w:val="32"/>
          <w:shd w:val="clear" w:color="auto" w:fill="FFFFFF"/>
        </w:rPr>
        <w:t>11月每月一次，全年共8次；蝇密度监测3</w:t>
      </w:r>
      <w:r>
        <w:rPr>
          <w:rFonts w:hint="eastAsia" w:cs="仿宋_GB2312"/>
          <w:color w:val="auto"/>
          <w:kern w:val="0"/>
          <w:sz w:val="32"/>
          <w:szCs w:val="32"/>
          <w:shd w:val="clear" w:color="auto" w:fill="FFFFFF"/>
          <w:lang w:eastAsia="zh-CN"/>
        </w:rPr>
        <w:t>—</w:t>
      </w:r>
      <w:r>
        <w:rPr>
          <w:rFonts w:hint="eastAsia" w:ascii="Times New Roman" w:hAnsi="Times New Roman" w:eastAsia="仿宋_GB2312" w:cs="仿宋_GB2312"/>
          <w:color w:val="auto"/>
          <w:kern w:val="0"/>
          <w:sz w:val="32"/>
          <w:szCs w:val="32"/>
          <w:shd w:val="clear" w:color="auto" w:fill="FFFFFF"/>
        </w:rPr>
        <w:t>11月每月一次，全年共9次；春季、秋季灭鼠每年各一次，全年共2次；蚊、蝇、蟑螂消杀活动5</w:t>
      </w:r>
      <w:r>
        <w:rPr>
          <w:rFonts w:hint="eastAsia" w:cs="仿宋_GB2312"/>
          <w:color w:val="auto"/>
          <w:kern w:val="0"/>
          <w:sz w:val="32"/>
          <w:szCs w:val="32"/>
          <w:shd w:val="clear" w:color="auto" w:fill="FFFFFF"/>
          <w:lang w:eastAsia="zh-CN"/>
        </w:rPr>
        <w:t>—</w:t>
      </w:r>
      <w:r>
        <w:rPr>
          <w:rFonts w:hint="eastAsia" w:ascii="Times New Roman" w:hAnsi="Times New Roman" w:eastAsia="仿宋_GB2312" w:cs="仿宋_GB2312"/>
          <w:color w:val="auto"/>
          <w:kern w:val="0"/>
          <w:sz w:val="32"/>
          <w:szCs w:val="32"/>
          <w:shd w:val="clear" w:color="auto" w:fill="FFFFFF"/>
        </w:rPr>
        <w:t>10月每月1次，全年共5次。截止2023年12月31日已按时按量完成项目实施进度。</w:t>
      </w:r>
    </w:p>
    <w:p w14:paraId="71825F1F">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eastAsia" w:ascii="Times New Roman" w:hAnsi="Times New Roman" w:eastAsia="黑体"/>
          <w:color w:val="auto"/>
          <w:sz w:val="32"/>
          <w:szCs w:val="32"/>
        </w:rPr>
      </w:pPr>
      <w:bookmarkStart w:id="184" w:name="_Toc25384"/>
      <w:bookmarkStart w:id="185" w:name="_Toc16638"/>
      <w:r>
        <w:rPr>
          <w:rFonts w:hint="eastAsia" w:ascii="Times New Roman" w:hAnsi="Times New Roman" w:eastAsia="黑体"/>
          <w:color w:val="auto"/>
          <w:sz w:val="32"/>
          <w:szCs w:val="32"/>
        </w:rPr>
        <w:t>二、评价实施</w:t>
      </w:r>
      <w:bookmarkEnd w:id="184"/>
      <w:bookmarkEnd w:id="185"/>
    </w:p>
    <w:p w14:paraId="6A1787AA">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1D63A35E">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通过项目绩效自评，督促项目推进进度，落实民生保障。</w:t>
      </w:r>
    </w:p>
    <w:p w14:paraId="6B1493F7">
      <w:pPr>
        <w:pStyle w:val="36"/>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_GB2312"/>
          <w:color w:val="auto"/>
          <w:sz w:val="32"/>
          <w:szCs w:val="32"/>
          <w:lang w:val="zh-CN"/>
        </w:rPr>
      </w:pPr>
      <w:r>
        <w:rPr>
          <w:rFonts w:hint="eastAsia" w:ascii="Times New Roman" w:hAnsi="Times New Roman" w:eastAsia="楷体_GB2312" w:cs="Times New Roman"/>
          <w:b w:val="0"/>
          <w:bCs/>
          <w:color w:val="auto"/>
          <w:kern w:val="2"/>
          <w:sz w:val="32"/>
          <w:szCs w:val="32"/>
          <w:lang w:val="zh-CN" w:eastAsia="zh-CN" w:bidi="ar-SA"/>
        </w:rPr>
        <w:t>（二）预设问题及评价重点</w:t>
      </w:r>
    </w:p>
    <w:p w14:paraId="1EB26EF4">
      <w:pPr>
        <w:pStyle w:val="36"/>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sz w:val="36"/>
          <w:szCs w:val="32"/>
        </w:rPr>
      </w:pPr>
      <w:r>
        <w:rPr>
          <w:rFonts w:hint="eastAsia" w:ascii="Times New Roman" w:hAnsi="Times New Roman" w:eastAsia="仿宋_GB2312" w:cs="仿宋_GB2312"/>
          <w:b w:val="0"/>
          <w:kern w:val="2"/>
          <w:sz w:val="32"/>
          <w:szCs w:val="32"/>
        </w:rPr>
        <w:t>通过本项目工作的实施涉及资金能够按照预定的分配方案准确、及时地拨付到各个活动环节。资金的使用遵循了相关的财务管理制度和审批流程，无资金闲置或浪费的情况，分配比例合理，媒生物密度高低、消杀灭开展情况等关键指标得到了显著改善。项目资金对提高环境监测和消杀服务的可及性和质量产生了积极影响。</w:t>
      </w:r>
    </w:p>
    <w:p w14:paraId="305CC050">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61F9BA9E">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FF0000"/>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43198062">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1BBB061D">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我中心根据年初预算项目绩效目标设定情况进行项目年终自评。</w:t>
      </w:r>
    </w:p>
    <w:p w14:paraId="397B4FB1">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default" w:ascii="Times New Roman" w:hAnsi="Times New Roman"/>
          <w:color w:val="auto"/>
          <w:sz w:val="32"/>
          <w:szCs w:val="32"/>
          <w:lang w:val="zh-CN"/>
        </w:rPr>
      </w:pPr>
      <w:bookmarkStart w:id="186" w:name="_Toc27598"/>
      <w:bookmarkStart w:id="187" w:name="_Toc6768"/>
      <w:r>
        <w:rPr>
          <w:rFonts w:hint="eastAsia" w:ascii="Times New Roman" w:hAnsi="Times New Roman" w:eastAsia="黑体"/>
          <w:color w:val="auto"/>
          <w:sz w:val="32"/>
          <w:szCs w:val="32"/>
        </w:rPr>
        <w:t>三、绩效分析</w:t>
      </w:r>
      <w:bookmarkEnd w:id="186"/>
      <w:bookmarkEnd w:id="187"/>
    </w:p>
    <w:p w14:paraId="50CD40D4">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（一）通用指标绩效分析（54分）</w:t>
      </w:r>
    </w:p>
    <w:p w14:paraId="0FEEAE46">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5608DAD1">
      <w:pPr>
        <w:keepNext w:val="0"/>
        <w:keepLines w:val="0"/>
        <w:pageBreakBefore w:val="0"/>
        <w:numPr>
          <w:ilvl w:val="0"/>
          <w:numId w:val="4"/>
        </w:numPr>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专用指标绩效分析（30分）</w:t>
      </w:r>
    </w:p>
    <w:p w14:paraId="4F546C2D">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zh-CN"/>
        </w:rPr>
        <w:t>项目由县爱卫会统筹协调，县疾控中心具体承办，各部门各单位积极参与。县疾控中心设立了地方病寄生虫病预防与控制科，</w:t>
      </w:r>
      <w:r>
        <w:rPr>
          <w:rFonts w:hint="eastAsia" w:ascii="Times New Roman" w:hAnsi="Times New Roman" w:eastAsia="仿宋_GB2312" w:cs="仿宋_GB2312"/>
          <w:sz w:val="32"/>
          <w:szCs w:val="32"/>
        </w:rPr>
        <w:t>成立了病媒生物防制工作技术领导小组，配备专业人员，负责病媒生物防制和指导工作。年初下发了全县病媒生物防制工作、密度监测工作实施方案，春季、秋季灭鼠工作通知，病媒生物防制工作督导通知，对城区各重点部门、社区、农（集）贸市场、城乡结合部各乡镇相关人员进行了培训，结合创文、城乡融合环境治理提升行动工作广泛开展宣传。除“四害”药品采购，通过比选由有资质的病媒生物防制消杀专业公司供货。2023年开展了春、秋两季大规模突击及日常灭鼠活动；5月至10月，坚持每月开展1次大规模的蚊、蝇、蟑螂消杀活动。中心按照方案要求按时按质对病媒生物密度进行了监测，并与县爱卫办工作人员一道对病媒生物防制工作开展了督导。</w:t>
      </w:r>
    </w:p>
    <w:p w14:paraId="472BFD83">
      <w:pPr>
        <w:pStyle w:val="37"/>
        <w:keepNext w:val="0"/>
        <w:keepLines w:val="0"/>
        <w:pageBreakBefore w:val="0"/>
        <w:numPr>
          <w:ilvl w:val="0"/>
          <w:numId w:val="4"/>
        </w:numPr>
        <w:kinsoku/>
        <w:wordWrap/>
        <w:overflowPunct/>
        <w:topLinePunct w:val="0"/>
        <w:autoSpaceDE/>
        <w:autoSpaceDN/>
        <w:bidi w:val="0"/>
        <w:spacing w:beforeLines="0" w:afterLines="0" w:line="578" w:lineRule="exact"/>
        <w:ind w:firstLine="640" w:firstLineChars="200"/>
        <w:textAlignment w:val="auto"/>
        <w:outlineLvl w:val="2"/>
        <w:rPr>
          <w:rFonts w:hint="default" w:ascii="Times New Roman" w:hAnsi="Times New Roman" w:eastAsia="楷体_GB2312" w:cs="Times New Roman"/>
          <w:b/>
          <w:color w:val="000000"/>
          <w:kern w:val="0"/>
          <w:sz w:val="30"/>
          <w:szCs w:val="32"/>
          <w:shd w:val="clear" w:color="auto" w:fill="FFFFFF"/>
          <w:lang w:val="zh-CN"/>
        </w:rPr>
      </w:pPr>
      <w:r>
        <w:rPr>
          <w:rFonts w:hint="eastAsia" w:ascii="Times New Roman" w:hAnsi="Times New Roman" w:eastAsia="楷体_GB2312" w:cs="Times New Roman"/>
          <w:b w:val="0"/>
          <w:bCs/>
          <w:color w:val="auto"/>
          <w:kern w:val="2"/>
          <w:sz w:val="32"/>
          <w:szCs w:val="32"/>
          <w:lang w:val="en-US" w:eastAsia="zh-CN" w:bidi="ar-SA"/>
        </w:rPr>
        <w:t>个性指标</w:t>
      </w:r>
      <w:r>
        <w:rPr>
          <w:rFonts w:hint="eastAsia" w:ascii="Times New Roman" w:hAnsi="Times New Roman" w:eastAsia="楷体_GB2312" w:cs="Times New Roman"/>
          <w:b w:val="0"/>
          <w:bCs/>
          <w:color w:val="auto"/>
          <w:kern w:val="2"/>
          <w:sz w:val="32"/>
          <w:szCs w:val="32"/>
          <w:lang w:val="zh-CN" w:eastAsia="zh-CN" w:bidi="ar-SA"/>
        </w:rPr>
        <w:t>绩效分析（</w:t>
      </w:r>
      <w:r>
        <w:rPr>
          <w:rFonts w:hint="eastAsia" w:ascii="Times New Roman" w:hAnsi="Times New Roman" w:eastAsia="楷体_GB2312" w:cs="Times New Roman"/>
          <w:b w:val="0"/>
          <w:bCs/>
          <w:color w:val="auto"/>
          <w:kern w:val="2"/>
          <w:sz w:val="32"/>
          <w:szCs w:val="32"/>
          <w:lang w:val="en-US" w:eastAsia="zh-CN" w:bidi="ar-SA"/>
        </w:rPr>
        <w:t>16分）</w:t>
      </w:r>
    </w:p>
    <w:p w14:paraId="4655E7D2">
      <w:pPr>
        <w:pStyle w:val="37"/>
        <w:keepNext w:val="0"/>
        <w:keepLines w:val="0"/>
        <w:pageBreakBefore w:val="0"/>
        <w:numPr>
          <w:ilvl w:val="0"/>
          <w:numId w:val="0"/>
        </w:numPr>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0"/>
          <w:szCs w:val="32"/>
          <w:lang w:val="en-US" w:eastAsia="zh-CN"/>
        </w:rPr>
      </w:pPr>
      <w:r>
        <w:rPr>
          <w:rFonts w:hint="eastAsia" w:ascii="Times New Roman" w:hAnsi="Times New Roman" w:eastAsia="仿宋_GB2312" w:cs="仿宋_GB2312"/>
          <w:color w:val="auto"/>
          <w:sz w:val="32"/>
          <w:szCs w:val="32"/>
          <w:lang w:val="en-US" w:eastAsia="zh-CN" w:bidi="ar-SA"/>
        </w:rPr>
        <w:t>本项目的实施，降低了“四害”密度和鼠传疾病与虫媒传染病发病率，保障了广大人民群众的身体健康，增强了广大居民参与病媒生物防制积极性。</w:t>
      </w:r>
    </w:p>
    <w:p w14:paraId="258CEF88">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rPr>
      </w:pPr>
      <w:bookmarkStart w:id="188" w:name="_Toc27703"/>
      <w:bookmarkStart w:id="189" w:name="_Toc25880"/>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188"/>
      <w:bookmarkEnd w:id="189"/>
    </w:p>
    <w:p w14:paraId="26D42B70">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评估总得分100分，各项评估指标均能按要求达成，按现有目标绩效及资金安排能满足需求，无需核减预算安排，应继续保留持续开展。</w:t>
      </w:r>
    </w:p>
    <w:p w14:paraId="535C4DA9">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olor w:val="auto"/>
          <w:kern w:val="2"/>
          <w:sz w:val="32"/>
          <w:szCs w:val="32"/>
          <w:lang w:eastAsia="zh-CN"/>
        </w:rPr>
        <w:t>通过本项目的实施，摸清了我县病媒生物种群变化、消长规律等基本情况，在巩固国家卫生县的同时，通过完善基础设施建设，加大综合环境治理力度，改造城市居住条件等综合防治措施，有效控制病媒生物孳生，减少鼠害造成的损失，为我县“国卫”复审奠定了坚实基础。</w:t>
      </w:r>
    </w:p>
    <w:p w14:paraId="15D618A5">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eastAsia="zh-CN"/>
        </w:rPr>
      </w:pPr>
      <w:bookmarkStart w:id="190" w:name="_Toc17526"/>
      <w:bookmarkStart w:id="191" w:name="_Toc29631"/>
      <w:r>
        <w:rPr>
          <w:rFonts w:hint="eastAsia" w:ascii="Times New Roman" w:hAnsi="Times New Roman" w:eastAsia="黑体"/>
          <w:color w:val="auto"/>
          <w:sz w:val="32"/>
          <w:szCs w:val="32"/>
          <w:lang w:eastAsia="zh-CN"/>
        </w:rPr>
        <w:t>五、存在主要问题</w:t>
      </w:r>
      <w:bookmarkEnd w:id="190"/>
      <w:bookmarkEnd w:id="191"/>
    </w:p>
    <w:p w14:paraId="496E6EF2">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sz w:val="32"/>
          <w:szCs w:val="32"/>
          <w:lang w:eastAsia="zh-CN"/>
        </w:rPr>
        <w:t>无。</w:t>
      </w:r>
    </w:p>
    <w:p w14:paraId="4036FCD8">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val="zh-CN" w:eastAsia="zh-CN"/>
        </w:rPr>
      </w:pPr>
      <w:bookmarkStart w:id="192" w:name="_Toc30173"/>
      <w:bookmarkStart w:id="193" w:name="_Toc24834"/>
      <w:r>
        <w:rPr>
          <w:rFonts w:hint="eastAsia" w:ascii="Times New Roman" w:hAnsi="Times New Roman" w:eastAsia="黑体"/>
          <w:color w:val="auto"/>
          <w:sz w:val="32"/>
          <w:szCs w:val="32"/>
          <w:lang w:val="zh-CN" w:eastAsia="zh-CN"/>
        </w:rPr>
        <w:t>六、改进建议</w:t>
      </w:r>
      <w:bookmarkEnd w:id="192"/>
      <w:bookmarkEnd w:id="193"/>
    </w:p>
    <w:p w14:paraId="072D4BAD">
      <w:pPr>
        <w:keepNext w:val="0"/>
        <w:keepLines w:val="0"/>
        <w:pageBreakBefore w:val="0"/>
        <w:tabs>
          <w:tab w:val="left" w:pos="1911"/>
        </w:tabs>
        <w:kinsoku/>
        <w:wordWrap/>
        <w:overflowPunct/>
        <w:topLinePunct w:val="0"/>
        <w:autoSpaceDE/>
        <w:autoSpaceDN/>
        <w:bidi w:val="0"/>
        <w:spacing w:beforeLines="0" w:afterLines="0" w:line="578" w:lineRule="exact"/>
        <w:ind w:firstLine="640" w:firstLineChars="200"/>
        <w:jc w:val="left"/>
        <w:textAlignment w:val="auto"/>
        <w:rPr>
          <w:rFonts w:hint="eastAsia" w:ascii="Times New Roman" w:hAnsi="Times New Roman" w:eastAsia="仿宋_GB2312" w:cs="仿宋_GB2312"/>
          <w:kern w:val="0"/>
          <w:sz w:val="32"/>
          <w:szCs w:val="32"/>
          <w:lang w:val="en"/>
        </w:rPr>
      </w:pPr>
      <w:r>
        <w:rPr>
          <w:rFonts w:hint="eastAsia" w:ascii="Times New Roman" w:hAnsi="Times New Roman" w:eastAsia="仿宋_GB2312" w:cs="仿宋_GB2312"/>
          <w:kern w:val="0"/>
          <w:sz w:val="32"/>
          <w:szCs w:val="32"/>
        </w:rPr>
        <w:t>无。</w:t>
      </w:r>
    </w:p>
    <w:p w14:paraId="3F333A2E">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293EE656">
      <w:pPr>
        <w:pStyle w:val="2"/>
        <w:rPr>
          <w:rFonts w:hint="eastAsia"/>
          <w:lang w:val="zh-CN"/>
        </w:rPr>
      </w:pPr>
    </w:p>
    <w:p w14:paraId="2954E9D6">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6789B6A3">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1D176592">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r>
        <w:rPr>
          <w:rFonts w:hint="eastAsia" w:ascii="Times New Roman" w:hAnsi="Times New Roman"/>
          <w:color w:val="000000"/>
          <w:kern w:val="0"/>
          <w:sz w:val="32"/>
          <w:szCs w:val="32"/>
          <w:shd w:val="clear" w:color="auto" w:fill="FFFFFF"/>
          <w:lang w:val="zh-CN"/>
        </w:rPr>
        <w:br w:type="page"/>
      </w:r>
    </w:p>
    <w:p w14:paraId="2F48D58B">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12A5A862">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194" w:name="_Toc8087"/>
      <w:bookmarkStart w:id="195" w:name="_Toc24148"/>
      <w:r>
        <w:rPr>
          <w:rFonts w:hint="eastAsia" w:ascii="Times New Roman" w:hAnsi="Times New Roman" w:eastAsia="方正小标宋_GBK" w:cs="方正小标宋_GBK"/>
          <w:color w:val="auto"/>
          <w:sz w:val="40"/>
          <w:szCs w:val="40"/>
        </w:rPr>
        <w:t>项目资金分配涉及所有点位自评得分情况表</w:t>
      </w:r>
      <w:bookmarkEnd w:id="194"/>
      <w:bookmarkEnd w:id="195"/>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6C11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3AF8715">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0994300C">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29ACAAAF">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0079564E">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5E42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18B203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32F4A162">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1CB98428">
            <w:pPr>
              <w:spacing w:beforeLines="0" w:afterLines="0" w:line="300" w:lineRule="exact"/>
              <w:jc w:val="center"/>
              <w:rPr>
                <w:rFonts w:hint="default" w:ascii="Times New Roman" w:hAnsi="Times New Roman" w:cs="宋体"/>
                <w:color w:val="auto"/>
                <w:sz w:val="24"/>
                <w:szCs w:val="24"/>
                <w:highlight w:val="yellow"/>
              </w:rPr>
            </w:pPr>
            <w:r>
              <w:rPr>
                <w:rFonts w:hint="eastAsia" w:ascii="Times New Roman" w:hAnsi="Times New Roman" w:cs="宋体"/>
                <w:color w:val="auto"/>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00EFEA0A">
            <w:pPr>
              <w:spacing w:beforeLines="0" w:afterLines="0" w:line="300" w:lineRule="exact"/>
              <w:rPr>
                <w:rFonts w:hint="eastAsia" w:ascii="Times New Roman" w:hAnsi="Times New Roman" w:cs="宋体"/>
                <w:color w:val="auto"/>
                <w:sz w:val="24"/>
                <w:szCs w:val="24"/>
              </w:rPr>
            </w:pPr>
          </w:p>
        </w:tc>
      </w:tr>
    </w:tbl>
    <w:p w14:paraId="4DEC800A">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6F4C9EF4">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603487B3">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5540AE7C">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C87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38347E86">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29C1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71E6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80F75">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环境监测和消杀</w:t>
            </w:r>
          </w:p>
        </w:tc>
      </w:tr>
      <w:tr w14:paraId="4F8C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A6EA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E82F5">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31337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B29A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项目类型 </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9391C">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6F0C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25C3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24B7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D5A76">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竹财预【2023】8号</w:t>
            </w:r>
          </w:p>
        </w:tc>
      </w:tr>
      <w:tr w14:paraId="06AB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25345">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E11C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70BC0">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按项目预算法管理</w:t>
            </w:r>
          </w:p>
        </w:tc>
      </w:tr>
      <w:tr w14:paraId="78A6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7A6B4">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E5E6A">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F52C4">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A3"/>
            </w:r>
            <w:r>
              <w:rPr>
                <w:rFonts w:hint="eastAsia" w:ascii="Times New Roman" w:hAnsi="Times New Roman"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28C6C">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81A9D">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AF679">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405A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F4943">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E665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1DEAF">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按项目预算法</w:t>
            </w:r>
          </w:p>
        </w:tc>
      </w:tr>
      <w:tr w14:paraId="2D39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49790">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7F64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4C2A8">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“四害”密度监测、病媒生物控制工作</w:t>
            </w:r>
          </w:p>
        </w:tc>
      </w:tr>
      <w:tr w14:paraId="0AD4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C883E">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7410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26A5E">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33BA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7B1A8">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221C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57D37">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3BC8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9B0B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7DC2EC8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5886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6434E">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50</w:t>
            </w:r>
          </w:p>
        </w:tc>
      </w:tr>
      <w:tr w14:paraId="7D22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BF3E8">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693A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25BA8">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50</w:t>
            </w:r>
          </w:p>
        </w:tc>
      </w:tr>
      <w:tr w14:paraId="68A9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C5262">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8B1FB">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9FB1E">
            <w:pPr>
              <w:spacing w:beforeLines="0" w:afterLines="0" w:line="300" w:lineRule="exact"/>
              <w:jc w:val="right"/>
              <w:rPr>
                <w:rFonts w:hint="eastAsia" w:ascii="Times New Roman" w:hAnsi="Times New Roman" w:eastAsia="宋体" w:cs="宋体"/>
                <w:color w:val="000000"/>
                <w:sz w:val="24"/>
                <w:szCs w:val="24"/>
              </w:rPr>
            </w:pPr>
          </w:p>
        </w:tc>
      </w:tr>
      <w:tr w14:paraId="1BB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F5FD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DFE1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1B94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32FF3">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693B4">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1"/>
                <w:szCs w:val="21"/>
              </w:rPr>
              <w:t>进一步完善“政府组织领导、部门各负其责、全社会共同参与”的重大疾病防治机制，掌握大竹县城区病媒生物种群构成、密度、季节消长规律，按省市《病媒生物监测方案》及县爱卫会病媒生物防制工作要求，全面落实“四害”密度监测、病媒生物控制工作。进一步遏制各类鼠传疾病和虫媒传染病疫情，提高病媒生物性疾病感染者和病人的生活质量。</w:t>
            </w:r>
          </w:p>
        </w:tc>
      </w:tr>
      <w:tr w14:paraId="6E66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16160D7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9260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E3E8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1F87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1035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F682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1872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036D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B8748">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0AC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B177D30">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3D5E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000000" w:sz="4" w:space="0"/>
              <w:left w:val="single" w:color="000000" w:sz="4" w:space="0"/>
              <w:bottom w:val="nil"/>
              <w:right w:val="single" w:color="000000" w:sz="4" w:space="0"/>
              <w:tl2br w:val="nil"/>
              <w:tr2bl w:val="nil"/>
            </w:tcBorders>
            <w:noWrap w:val="0"/>
            <w:vAlign w:val="center"/>
          </w:tcPr>
          <w:p w14:paraId="3DC70C6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A0EFF">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指标1：鼠、蟑螂密度监测1-12月每月各一次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D84BB">
            <w:pPr>
              <w:tabs>
                <w:tab w:val="left" w:pos="459"/>
              </w:tabs>
              <w:spacing w:beforeLines="0" w:afterLines="0" w:line="300" w:lineRule="exact"/>
              <w:jc w:val="lef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ab/>
            </w: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95ED2">
            <w:pPr>
              <w:tabs>
                <w:tab w:val="left" w:pos="457"/>
              </w:tabs>
              <w:spacing w:beforeLines="0" w:afterLines="0" w:line="300" w:lineRule="exact"/>
              <w:jc w:val="lef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全年各12次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1D55A">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5A12B">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9B3F9">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全年各12次</w:t>
            </w:r>
          </w:p>
        </w:tc>
      </w:tr>
      <w:tr w14:paraId="3A75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8"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599D678">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56F6C">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nil"/>
              <w:left w:val="single" w:color="000000" w:sz="4" w:space="0"/>
              <w:bottom w:val="nil"/>
              <w:right w:val="single" w:color="000000" w:sz="4" w:space="0"/>
              <w:tl2br w:val="nil"/>
              <w:tr2bl w:val="nil"/>
            </w:tcBorders>
            <w:noWrap w:val="0"/>
            <w:vAlign w:val="center"/>
          </w:tcPr>
          <w:p w14:paraId="15D1FD69">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34C8A">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指标2：蚊密度监测4-11月每月一次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6DD8F">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483E4">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全年共8次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9DA4D">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D0761">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3349A">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全年共8次</w:t>
            </w:r>
          </w:p>
        </w:tc>
      </w:tr>
      <w:tr w14:paraId="6E54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AD5ED67">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7932E">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nil"/>
              <w:left w:val="single" w:color="000000" w:sz="4" w:space="0"/>
              <w:bottom w:val="nil"/>
              <w:right w:val="single" w:color="000000" w:sz="4" w:space="0"/>
              <w:tl2br w:val="nil"/>
              <w:tr2bl w:val="nil"/>
            </w:tcBorders>
            <w:noWrap w:val="0"/>
            <w:vAlign w:val="center"/>
          </w:tcPr>
          <w:p w14:paraId="4FB4C08E">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DBC9D">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指标3：蝇密度监测3-11月每月一次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E137B">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C9F2F">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全年共9次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68E0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11D2D">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E471F">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全年共9次</w:t>
            </w:r>
          </w:p>
        </w:tc>
      </w:tr>
      <w:tr w14:paraId="79A6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34A491D">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8E757">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nil"/>
              <w:left w:val="single" w:color="000000" w:sz="4" w:space="0"/>
              <w:bottom w:val="nil"/>
              <w:right w:val="single" w:color="000000" w:sz="4" w:space="0"/>
              <w:tl2br w:val="nil"/>
              <w:tr2bl w:val="nil"/>
            </w:tcBorders>
            <w:noWrap w:val="0"/>
            <w:vAlign w:val="center"/>
          </w:tcPr>
          <w:p w14:paraId="7258D794">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42D68">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指标4：春、秋季灭鼠每年各一次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7FB53">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1904E">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全年共3次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9C2F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AFFE5">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BB699">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全年共3次</w:t>
            </w:r>
          </w:p>
        </w:tc>
      </w:tr>
      <w:tr w14:paraId="17E7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11B51AB">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B02AA">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28968AC">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721A5">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指标5：蚊、蝇、蟑螂消杀活动5-10月每月1次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64890">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E78DC">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全年共6次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C254D">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次/年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22844">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D2BE2">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全年共8次</w:t>
            </w:r>
          </w:p>
        </w:tc>
      </w:tr>
      <w:tr w14:paraId="1A09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35F4BE1">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40BC9">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966B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AEE74">
            <w:pPr>
              <w:spacing w:beforeLines="0" w:afterLines="0" w:line="300" w:lineRule="exac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指标1：“四害”密度监测方案、资料、总结是否完善</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C7160">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DE51A">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各项资料全年达到完善</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BD3AF">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7F97D">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3D79A">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资料完善</w:t>
            </w:r>
          </w:p>
        </w:tc>
      </w:tr>
      <w:tr w14:paraId="6094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60639B2">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3DF90">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8F729">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59EE8">
            <w:pPr>
              <w:spacing w:beforeLines="0" w:afterLines="0" w:line="300" w:lineRule="exac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指标2：“四害”器材和药品是否充足</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7B862">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3685E">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保障全年药品充足</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29739">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DD34A">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1BE50">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药品充足</w:t>
            </w:r>
          </w:p>
        </w:tc>
      </w:tr>
      <w:tr w14:paraId="16FD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AD69C56">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7C278">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E76C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E3609">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指标1：“四害”密度监测工作完成时间</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8EF4D">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7E08E">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2023年12月底</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7313D">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9CEDE">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8B3C">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2023年12月底</w:t>
            </w:r>
          </w:p>
        </w:tc>
      </w:tr>
      <w:tr w14:paraId="6CA9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ADCC21D">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F551F">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1F891">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FE376">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指标2：灭鼠和蚊、蝇、蟑螂消杀工作完成时间</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C923E">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2C13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2023年12月底</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03E8E">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97D50">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10A3">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2023年12月底</w:t>
            </w:r>
          </w:p>
        </w:tc>
      </w:tr>
      <w:tr w14:paraId="04EF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5674CC4">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AE21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效益指标</w:t>
            </w: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6BAE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经济效益</w:t>
            </w:r>
          </w:p>
          <w:p w14:paraId="7256AEC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1ACFB">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指标1：降低鼠传疾病及虫媒传染病发病率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AE7A2">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0C602">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中长期</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C03D2">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B7A30">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07C0B">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降低了发病率</w:t>
            </w:r>
          </w:p>
        </w:tc>
      </w:tr>
      <w:tr w14:paraId="4487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775CCA8">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2544E">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0715F">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CFEA5">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指标2：鼠偷吃粮食，啃咬财物现象</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8AD51">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E98A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减少鼠偷吃粮食，啃咬财物现象</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3A85C">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9CE47">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6F580">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减少了鼠害造成的损失</w:t>
            </w:r>
          </w:p>
        </w:tc>
      </w:tr>
      <w:tr w14:paraId="45D0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B360B75">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69E2B">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61A3292F">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w:t>
            </w:r>
          </w:p>
          <w:p w14:paraId="3E922CA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5FB6C">
            <w:pPr>
              <w:spacing w:beforeLines="0" w:afterLines="0" w:line="300" w:lineRule="exac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指标1：“四害”密度达标是国家卫生县复审的前提条件</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21FDC">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293F4">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“四害”密度达到国家卫生县标准</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78E50">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5E9DD">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4BB6D">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“四害”密度已达标</w:t>
            </w:r>
          </w:p>
        </w:tc>
      </w:tr>
      <w:tr w14:paraId="46F9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B616C07">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6EEA1B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0C002B8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25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D0D31E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7C81C4A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076CF">
            <w:pPr>
              <w:spacing w:beforeLines="0" w:afterLines="0" w:line="300" w:lineRule="exact"/>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指标1：提高城镇居民生活质量，美化城镇环境</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3C692">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CDE7B">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中长期</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23790">
            <w:pPr>
              <w:spacing w:beforeLines="0" w:afterLines="0" w:line="300" w:lineRule="exact"/>
              <w:jc w:val="center"/>
              <w:rPr>
                <w:rFonts w:hint="eastAsia" w:ascii="Times New Roman" w:hAnsi="Times New Roman" w:eastAsia="宋体" w:cs="宋体"/>
                <w:color w:val="000000"/>
                <w:sz w:val="21"/>
                <w:szCs w:val="21"/>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2299">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B7B4B">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提高了城镇居民生活质量，美化了城镇环境</w:t>
            </w:r>
          </w:p>
        </w:tc>
      </w:tr>
      <w:tr w14:paraId="5324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7709860E">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14:paraId="3C012B6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成本指标</w:t>
            </w:r>
          </w:p>
        </w:tc>
        <w:tc>
          <w:tcPr>
            <w:tcW w:w="1250" w:type="dxa"/>
            <w:vMerge w:val="restart"/>
            <w:tcBorders>
              <w:top w:val="single" w:color="auto" w:sz="4" w:space="0"/>
              <w:left w:val="single" w:color="000000" w:sz="4" w:space="0"/>
              <w:bottom w:val="single" w:color="auto" w:sz="4" w:space="0"/>
              <w:right w:val="single" w:color="auto" w:sz="4" w:space="0"/>
              <w:tl2br w:val="nil"/>
              <w:tr2bl w:val="nil"/>
            </w:tcBorders>
            <w:noWrap w:val="0"/>
            <w:vAlign w:val="center"/>
          </w:tcPr>
          <w:p w14:paraId="7CB0856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w:t>
            </w:r>
          </w:p>
          <w:p w14:paraId="15127A8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F893DCC">
            <w:pPr>
              <w:spacing w:beforeLines="0" w:afterLines="0" w:line="300" w:lineRule="exac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指标1：病媒生物密度监测器材费用</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EEA0A">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9A831">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10万元</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EF3AD">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元/年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37939">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3B613">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10</w:t>
            </w:r>
          </w:p>
        </w:tc>
      </w:tr>
      <w:tr w14:paraId="4C55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D3AC2C3">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2A73D95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p>
        </w:tc>
        <w:tc>
          <w:tcPr>
            <w:tcW w:w="1250"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6388903F">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8384167">
            <w:pPr>
              <w:spacing w:beforeLines="0" w:afterLines="0" w:line="300" w:lineRule="exact"/>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指标2：“四害”药品及其它费用</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8B81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73F51">
            <w:pPr>
              <w:spacing w:beforeLines="0" w:afterLines="0" w:line="300" w:lineRule="exact"/>
              <w:jc w:val="center"/>
              <w:rPr>
                <w:rFonts w:hint="default" w:ascii="Times New Roman" w:hAnsi="Times New Roman" w:eastAsia="宋体" w:cs="宋体"/>
                <w:color w:val="000000"/>
                <w:sz w:val="21"/>
                <w:szCs w:val="21"/>
              </w:rPr>
            </w:pPr>
            <w:r>
              <w:rPr>
                <w:rFonts w:hint="eastAsia" w:ascii="Times New Roman" w:hAnsi="Times New Roman" w:eastAsia="宋体" w:cs="宋体"/>
                <w:color w:val="000000"/>
                <w:sz w:val="21"/>
                <w:szCs w:val="21"/>
              </w:rPr>
              <w:t>40万元</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64F65">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元/年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D39F8">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7764B">
            <w:pPr>
              <w:spacing w:beforeLines="0" w:afterLines="0" w:line="300" w:lineRule="exact"/>
              <w:jc w:val="center"/>
              <w:rPr>
                <w:rFonts w:hint="eastAsia" w:ascii="Times New Roman" w:hAnsi="Times New Roman" w:eastAsia="宋体" w:cs="宋体"/>
                <w:color w:val="000000"/>
                <w:sz w:val="21"/>
                <w:szCs w:val="21"/>
              </w:rPr>
            </w:pPr>
            <w:r>
              <w:rPr>
                <w:rFonts w:hint="eastAsia" w:ascii="Times New Roman" w:hAnsi="Times New Roman" w:eastAsia="宋体" w:cs="宋体"/>
                <w:color w:val="000000"/>
                <w:sz w:val="21"/>
                <w:szCs w:val="21"/>
              </w:rPr>
              <w:t>40</w:t>
            </w:r>
          </w:p>
        </w:tc>
      </w:tr>
    </w:tbl>
    <w:p w14:paraId="5020194C">
      <w:pPr>
        <w:rPr>
          <w:rFonts w:hint="default" w:ascii="Times New Roman" w:hAnsi="Times New Roman" w:eastAsia="黑体" w:cs="黑体"/>
          <w:sz w:val="24"/>
          <w:szCs w:val="24"/>
        </w:rPr>
      </w:pPr>
      <w:r>
        <w:rPr>
          <w:rFonts w:hint="default" w:ascii="Times New Roman" w:hAnsi="Times New Roman" w:eastAsia="黑体" w:cs="黑体"/>
          <w:sz w:val="24"/>
          <w:szCs w:val="24"/>
        </w:rPr>
        <w:br w:type="page"/>
      </w:r>
    </w:p>
    <w:p w14:paraId="11426634">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657D4249">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（结核病）</w:t>
      </w:r>
    </w:p>
    <w:p w14:paraId="66D34D25">
      <w:pPr>
        <w:pStyle w:val="35"/>
        <w:keepNext w:val="0"/>
        <w:keepLines w:val="0"/>
        <w:pageBreakBefore w:val="0"/>
        <w:kinsoku/>
        <w:wordWrap/>
        <w:overflowPunct/>
        <w:topLinePunct w:val="0"/>
        <w:autoSpaceDE/>
        <w:autoSpaceDN/>
        <w:bidi w:val="0"/>
        <w:spacing w:beforeLines="0" w:afterLines="0" w:line="578" w:lineRule="exact"/>
        <w:ind w:left="0" w:leftChars="0" w:firstLine="640" w:firstLineChars="200"/>
        <w:jc w:val="center"/>
        <w:textAlignment w:val="auto"/>
        <w:rPr>
          <w:rFonts w:hint="default" w:ascii="Times New Roman" w:hAnsi="Times New Roman"/>
          <w:color w:val="auto"/>
          <w:kern w:val="2"/>
          <w:sz w:val="32"/>
          <w:szCs w:val="32"/>
        </w:rPr>
      </w:pPr>
    </w:p>
    <w:p w14:paraId="11D35E5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eastAsia="黑体"/>
          <w:sz w:val="32"/>
          <w:szCs w:val="32"/>
          <w:lang w:val="zh-CN"/>
        </w:rPr>
      </w:pPr>
      <w:bookmarkStart w:id="196" w:name="_Toc25852"/>
      <w:bookmarkStart w:id="197" w:name="_Toc9036"/>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196"/>
      <w:bookmarkEnd w:id="197"/>
    </w:p>
    <w:p w14:paraId="00ACD350">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s="仿宋_GB2312"/>
          <w:color w:val="auto"/>
          <w:kern w:val="0"/>
          <w:sz w:val="32"/>
          <w:szCs w:val="32"/>
          <w:lang w:val="zh-CN"/>
        </w:rPr>
      </w:pPr>
      <w:r>
        <w:rPr>
          <w:rFonts w:hint="eastAsia" w:ascii="Times New Roman" w:hAnsi="Times New Roman" w:eastAsia="楷体_GB2312"/>
          <w:b w:val="0"/>
          <w:bCs/>
          <w:color w:val="auto"/>
          <w:sz w:val="32"/>
          <w:szCs w:val="32"/>
          <w:lang w:val="zh-CN"/>
        </w:rPr>
        <w:t>（一）设立背景及基本情况</w:t>
      </w:r>
    </w:p>
    <w:p w14:paraId="4DD995E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大竹县结核病防治</w:t>
      </w:r>
      <w:r>
        <w:rPr>
          <w:rFonts w:hint="eastAsia" w:ascii="Times New Roman" w:hAnsi="Times New Roman" w:eastAsia="仿宋_GB2312" w:cs="仿宋_GB2312"/>
          <w:color w:val="auto"/>
          <w:sz w:val="32"/>
          <w:szCs w:val="32"/>
        </w:rPr>
        <w:t>项目工作在编制年初预算中按照预算项目支出相关程序进行项目支出连续申报，并经财政局及人代会进行审核批复后，在年初进行项目预算资金下达。</w:t>
      </w:r>
    </w:p>
    <w:p w14:paraId="3FAFFC8C">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（二）实施目的及支持方向</w:t>
      </w:r>
    </w:p>
    <w:p w14:paraId="595DC63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大竹县结核病防治所按照结核病防治项目要求，对全县所有门诊结核病患者开展规范抗结核治疗，为减轻病人医疗负担防止因病致贫、因病返贫，对所有患者免除以下费用：挂号费、全程痰涂片、痰分子生物学检查、痰培养和药敏试验费、对疑似结核病患者免费进行</w:t>
      </w:r>
      <w:r>
        <w:rPr>
          <w:rFonts w:hint="eastAsia" w:ascii="Times New Roman" w:hAnsi="Times New Roman" w:eastAsia="仿宋_GB2312" w:cs="仿宋_GB2312"/>
          <w:color w:val="auto"/>
          <w:sz w:val="32"/>
          <w:szCs w:val="32"/>
        </w:rPr>
        <w:t>DR胸片筛查、</w:t>
      </w:r>
      <w:r>
        <w:rPr>
          <w:rFonts w:hint="eastAsia" w:ascii="Times New Roman" w:hAnsi="Times New Roman" w:eastAsia="仿宋_GB2312" w:cs="仿宋_GB2312"/>
          <w:color w:val="auto"/>
          <w:sz w:val="32"/>
          <w:szCs w:val="32"/>
          <w:lang w:val="zh-CN"/>
        </w:rPr>
        <w:t>结核病病人免首次和治疗末次</w:t>
      </w:r>
      <w:r>
        <w:rPr>
          <w:rFonts w:hint="eastAsia" w:ascii="Times New Roman" w:hAnsi="Times New Roman" w:eastAsia="仿宋_GB2312" w:cs="仿宋_GB2312"/>
          <w:color w:val="auto"/>
          <w:sz w:val="32"/>
          <w:szCs w:val="32"/>
        </w:rPr>
        <w:t>DR</w:t>
      </w:r>
      <w:r>
        <w:rPr>
          <w:rFonts w:hint="eastAsia" w:ascii="Times New Roman" w:hAnsi="Times New Roman" w:eastAsia="仿宋_GB2312" w:cs="仿宋_GB2312"/>
          <w:color w:val="auto"/>
          <w:sz w:val="32"/>
          <w:szCs w:val="32"/>
          <w:lang w:val="zh-CN"/>
        </w:rPr>
        <w:t>胸片费、结核病病人免HIV检测费、全程治疗所需的一线抗结核药品。为提高患者规范服药率从而达到降低结核病的传播和流行，指导各医疗卫生单位做好辖区病人的管理以及追踪督导工作，定期开展结核病防治知识宣传提高大众对结核病核心知识知晓率。收集整理结核病疫情资料，提出防治规划，按时上报相关表格资料，培训基层防痨人员，指导考核基层结核病归口管理和完成结核病防治项目任务。</w:t>
      </w:r>
    </w:p>
    <w:p w14:paraId="05BE7900">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5FC2DBB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截止评价时点(202</w:t>
      </w: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zh-CN"/>
        </w:rPr>
        <w:t>年12月31日)项目资金的实际支出</w:t>
      </w:r>
      <w:r>
        <w:rPr>
          <w:rFonts w:hint="eastAsia" w:ascii="Times New Roman" w:hAnsi="Times New Roman" w:eastAsia="仿宋_GB2312" w:cs="仿宋_GB2312"/>
          <w:color w:val="auto"/>
          <w:sz w:val="32"/>
          <w:szCs w:val="32"/>
        </w:rPr>
        <w:t>13</w:t>
      </w:r>
      <w:r>
        <w:rPr>
          <w:rFonts w:hint="eastAsia" w:ascii="Times New Roman" w:hAnsi="Times New Roman" w:eastAsia="仿宋_GB2312" w:cs="仿宋_GB2312"/>
          <w:color w:val="auto"/>
          <w:sz w:val="32"/>
          <w:szCs w:val="32"/>
          <w:lang w:val="zh-CN"/>
        </w:rPr>
        <w:t>万元，支付合规合法，资金支付与预算相符。主要用于结核病患者</w:t>
      </w:r>
      <w:r>
        <w:rPr>
          <w:rFonts w:hint="eastAsia" w:ascii="Times New Roman" w:hAnsi="Times New Roman" w:eastAsia="仿宋_GB2312" w:cs="仿宋_GB2312"/>
          <w:color w:val="auto"/>
          <w:sz w:val="32"/>
          <w:szCs w:val="32"/>
        </w:rPr>
        <w:t>DR胸片费、</w:t>
      </w:r>
      <w:r>
        <w:rPr>
          <w:rFonts w:hint="eastAsia" w:ascii="Times New Roman" w:hAnsi="Times New Roman" w:eastAsia="仿宋_GB2312" w:cs="仿宋_GB2312"/>
          <w:color w:val="auto"/>
          <w:sz w:val="32"/>
          <w:szCs w:val="32"/>
          <w:lang w:val="zh-CN"/>
        </w:rPr>
        <w:t>全程痰涂片、痰分子生物学检查、痰培养、患者诊疗、</w:t>
      </w:r>
      <w:r>
        <w:rPr>
          <w:rFonts w:hint="eastAsia" w:ascii="Times New Roman" w:hAnsi="Times New Roman" w:eastAsia="仿宋_GB2312" w:cs="仿宋_GB2312"/>
          <w:color w:val="auto"/>
          <w:sz w:val="32"/>
          <w:szCs w:val="32"/>
        </w:rPr>
        <w:t>HIV筛查、追踪督导、密切接触者筛查、结核病防治知识宣传、结防人员培训督导等各项工作的开展。</w:t>
      </w:r>
    </w:p>
    <w:p w14:paraId="7017433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lang w:val="zh-CN"/>
        </w:rPr>
      </w:pPr>
      <w:r>
        <w:rPr>
          <w:rFonts w:hint="eastAsia" w:ascii="Times New Roman" w:hAnsi="Times New Roman" w:eastAsia="楷体_GB2312"/>
          <w:b w:val="0"/>
          <w:bCs/>
          <w:color w:val="auto"/>
          <w:sz w:val="32"/>
          <w:szCs w:val="32"/>
          <w:lang w:val="zh-CN"/>
        </w:rPr>
        <w:t>（四）项目绩效目标设置</w:t>
      </w:r>
    </w:p>
    <w:p w14:paraId="6AC471F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rPr>
        <w:t>县级结核病项目资金作为中央资金结核病防治项目不足部分的补充，2023年</w:t>
      </w:r>
      <w:r>
        <w:rPr>
          <w:rFonts w:hint="eastAsia" w:ascii="Times New Roman" w:hAnsi="Times New Roman" w:eastAsia="仿宋_GB2312" w:cs="仿宋_GB2312"/>
          <w:color w:val="auto"/>
          <w:sz w:val="32"/>
          <w:szCs w:val="32"/>
          <w:lang w:eastAsia="en-US"/>
        </w:rPr>
        <w:t>全年拟完成的主要目标任务</w:t>
      </w:r>
      <w:r>
        <w:rPr>
          <w:rFonts w:hint="eastAsia" w:ascii="Times New Roman" w:hAnsi="Times New Roman" w:eastAsia="仿宋_GB2312" w:cs="仿宋_GB2312"/>
          <w:color w:val="auto"/>
          <w:sz w:val="32"/>
          <w:szCs w:val="32"/>
        </w:rPr>
        <w:t>：基层医疗卫生机构肺结核患者规范管理率90%；病原学检查阳性肺结核患者的密切接触者筛查率95%；肺结核患者成功治疗率90%；肺结核患者病原学阳性率60%；病原学阳性肺结核患者耐药筛查率90%；报告肺结核患者和疑似肺结核患者的总体到位率95%；公众结核病防治核心知识知晓率85%。截止2023年12月31日已按时按量完成项目实施进度。</w:t>
      </w:r>
    </w:p>
    <w:p w14:paraId="088A76E0">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198" w:name="_Toc9587"/>
      <w:bookmarkStart w:id="199" w:name="_Toc11094"/>
      <w:r>
        <w:rPr>
          <w:rFonts w:hint="eastAsia" w:ascii="Times New Roman" w:hAnsi="Times New Roman" w:eastAsia="黑体"/>
          <w:color w:val="auto"/>
          <w:sz w:val="32"/>
          <w:szCs w:val="32"/>
        </w:rPr>
        <w:t>二、评价实施</w:t>
      </w:r>
      <w:bookmarkEnd w:id="198"/>
      <w:bookmarkEnd w:id="199"/>
    </w:p>
    <w:p w14:paraId="3041567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color w:val="auto"/>
          <w:sz w:val="32"/>
          <w:szCs w:val="32"/>
        </w:rPr>
      </w:pPr>
      <w:r>
        <w:rPr>
          <w:rFonts w:hint="eastAsia" w:ascii="Times New Roman" w:hAnsi="Times New Roman" w:eastAsia="楷体_GB2312"/>
          <w:b w:val="0"/>
          <w:bCs/>
          <w:color w:val="auto"/>
          <w:sz w:val="32"/>
          <w:szCs w:val="32"/>
          <w:lang w:val="zh-CN"/>
        </w:rPr>
        <w:t>（一）评价目的</w:t>
      </w:r>
    </w:p>
    <w:p w14:paraId="713D1E80">
      <w:pPr>
        <w:pStyle w:val="36"/>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lang w:val="en-US" w:eastAsia="zh-CN" w:bidi="ar-SA"/>
        </w:rPr>
        <w:t>1.</w:t>
      </w:r>
      <w:r>
        <w:rPr>
          <w:rFonts w:hint="eastAsia" w:ascii="Times New Roman" w:hAnsi="Times New Roman" w:eastAsia="仿宋_GB2312" w:cs="仿宋_GB2312"/>
          <w:b w:val="0"/>
          <w:color w:val="auto"/>
          <w:kern w:val="2"/>
          <w:sz w:val="32"/>
          <w:szCs w:val="32"/>
        </w:rPr>
        <w:t>资金使用合规性评估：确定项目资金是否按照相关法规、政策和预算安排进行合理使用，有无违规挪用、滥用等情况。</w:t>
      </w:r>
    </w:p>
    <w:p w14:paraId="4C58EFFA">
      <w:pPr>
        <w:pStyle w:val="36"/>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lang w:val="en-US" w:eastAsia="zh-CN" w:bidi="ar-SA"/>
        </w:rPr>
        <w:t>2.</w:t>
      </w:r>
      <w:r>
        <w:rPr>
          <w:rFonts w:hint="eastAsia" w:ascii="Times New Roman" w:hAnsi="Times New Roman" w:eastAsia="仿宋_GB2312" w:cs="仿宋_GB2312"/>
          <w:b w:val="0"/>
          <w:color w:val="auto"/>
          <w:kern w:val="2"/>
          <w:sz w:val="32"/>
          <w:szCs w:val="32"/>
        </w:rPr>
        <w:t>资金效益分析：评估资金投入在结核病防治工作中产生的效果，包括患者发现率、成功治疗率等关键指标的改善情况等，以判断资金使用是否达到预期的防治目标。</w:t>
      </w:r>
    </w:p>
    <w:p w14:paraId="34F04114">
      <w:pPr>
        <w:pStyle w:val="36"/>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lang w:val="en-US" w:eastAsia="zh-CN" w:bidi="ar-SA"/>
        </w:rPr>
        <w:t>3.</w:t>
      </w:r>
      <w:r>
        <w:rPr>
          <w:rFonts w:hint="eastAsia" w:ascii="Times New Roman" w:hAnsi="Times New Roman" w:eastAsia="仿宋_GB2312" w:cs="仿宋_GB2312"/>
          <w:b w:val="0"/>
          <w:color w:val="auto"/>
          <w:kern w:val="2"/>
          <w:sz w:val="32"/>
          <w:szCs w:val="32"/>
        </w:rPr>
        <w:t>资源配置合理性审查：考察资金在不同防治环节、地区、人群之间的分配是否合理，是否重点关注了高风险区域和弱势群体，以提高资金的公平性和效率。</w:t>
      </w:r>
    </w:p>
    <w:p w14:paraId="177D496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olor w:val="auto"/>
          <w:sz w:val="32"/>
          <w:szCs w:val="32"/>
        </w:rPr>
      </w:pPr>
      <w:r>
        <w:rPr>
          <w:rFonts w:hint="eastAsia" w:ascii="Times New Roman" w:hAnsi="Times New Roman" w:eastAsia="楷体_GB2312"/>
          <w:b w:val="0"/>
          <w:bCs/>
          <w:color w:val="auto"/>
          <w:sz w:val="32"/>
          <w:szCs w:val="32"/>
          <w:lang w:val="zh-CN"/>
        </w:rPr>
        <w:t>（二）预设问题及评价重点</w:t>
      </w:r>
    </w:p>
    <w:p w14:paraId="257A2101">
      <w:pPr>
        <w:pStyle w:val="36"/>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b w:val="0"/>
          <w:color w:val="auto"/>
          <w:kern w:val="2"/>
          <w:sz w:val="32"/>
          <w:szCs w:val="32"/>
        </w:rPr>
      </w:pPr>
      <w:r>
        <w:rPr>
          <w:rFonts w:hint="eastAsia" w:ascii="Times New Roman" w:hAnsi="Times New Roman" w:eastAsia="仿宋_GB2312" w:cs="仿宋_GB2312"/>
          <w:b w:val="0"/>
          <w:color w:val="auto"/>
          <w:kern w:val="2"/>
          <w:sz w:val="32"/>
          <w:szCs w:val="32"/>
        </w:rPr>
        <w:t>通过结核病项目工作的实施涉及资金能够按照预定的分配方案准确、及时地拨付到各个执行部门和活动环节。资金的使用遵循了相关的财务管理制度和审批流程，无资金闲置或浪费的情况，分配比例合理，结核病的发现率、成功治疗率等关键指标得到了显著改善。项目资金对提高结核病防治服务的可及性和质量产生了积极影响。</w:t>
      </w:r>
    </w:p>
    <w:p w14:paraId="3C37F1F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727D58C9">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29C97E0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7A14033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我中心根据年初预算项目绩效目标设定情况进行项目年终自评</w:t>
      </w:r>
      <w:r>
        <w:rPr>
          <w:rFonts w:hint="eastAsia" w:ascii="Times New Roman" w:hAnsi="Times New Roman" w:eastAsia="仿宋_GB2312" w:cs="仿宋_GB2312"/>
          <w:color w:val="auto"/>
          <w:sz w:val="32"/>
          <w:szCs w:val="32"/>
        </w:rPr>
        <w:t>。</w:t>
      </w:r>
    </w:p>
    <w:p w14:paraId="74E7D2AB">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color w:val="auto"/>
          <w:sz w:val="32"/>
          <w:szCs w:val="32"/>
          <w:lang w:val="zh-CN"/>
        </w:rPr>
      </w:pPr>
      <w:bookmarkStart w:id="200" w:name="_Toc1883"/>
      <w:bookmarkStart w:id="201" w:name="_Toc1736"/>
      <w:r>
        <w:rPr>
          <w:rFonts w:hint="eastAsia" w:ascii="Times New Roman" w:hAnsi="Times New Roman" w:eastAsia="黑体"/>
          <w:color w:val="auto"/>
          <w:sz w:val="32"/>
          <w:szCs w:val="32"/>
        </w:rPr>
        <w:t>三、绩效分析</w:t>
      </w:r>
      <w:bookmarkEnd w:id="200"/>
      <w:bookmarkEnd w:id="201"/>
      <w:r>
        <w:rPr>
          <w:rFonts w:hint="eastAsia" w:ascii="Times New Roman" w:hAnsi="Times New Roman"/>
          <w:color w:val="auto"/>
          <w:sz w:val="32"/>
          <w:szCs w:val="32"/>
          <w:lang w:val="zh-CN"/>
        </w:rPr>
        <w:tab/>
      </w:r>
    </w:p>
    <w:p w14:paraId="4910CD7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（一）通用指标绩效分析（53分）</w:t>
      </w:r>
    </w:p>
    <w:p w14:paraId="010BE99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w:t>
      </w:r>
    </w:p>
    <w:p w14:paraId="124C67B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决策严密，项目设立、调整延续等方面是符合资金管理基本规范和决策程序要求；项目规划符合中央、省委省政府、市委市政府、县委县政府有关决策部署安排，充分评估论证项目立项必要性、前瞻性、合理性和可行性；绩效目标科学合理、规范完整、量化细化、预算匹配。</w:t>
      </w:r>
    </w:p>
    <w:p w14:paraId="5C435AA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w:t>
      </w:r>
    </w:p>
    <w:p w14:paraId="33610D26">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color w:val="auto"/>
          <w:sz w:val="32"/>
          <w:szCs w:val="32"/>
        </w:rPr>
      </w:pPr>
      <w:r>
        <w:rPr>
          <w:rFonts w:hint="eastAsia" w:ascii="Times New Roman" w:hAnsi="Times New Roman" w:eastAsia="仿宋_GB2312" w:cs="仿宋_GB2312"/>
          <w:color w:val="auto"/>
          <w:sz w:val="32"/>
          <w:szCs w:val="32"/>
        </w:rPr>
        <w:t>资金管理办法等管理制度体系健全完善，不存在管理制度缺失、管理办法过期情况；项目资金分配因素选取、权重设置、区域分布，项目管理、审批符合管理要求。其中因素分配法中资金分配因素选取充分考虑相关行业事业发展实际和发展需求，资金分配因素的权重设置有效突出项目实施，资金区域分布结果公平合理；项目分配法中建设项目储备库，实行入库项目动态管理、推动资金竞争性分配，明确项目申报审核程序，按规定程序履行项目审批。资金分配严格按管理办法执行，决策程序符合管理要求，及时高效。</w:t>
      </w:r>
    </w:p>
    <w:p w14:paraId="17FB88B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w:t>
      </w:r>
    </w:p>
    <w:p w14:paraId="0758483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项目资金财政拨付</w:t>
      </w:r>
      <w:r>
        <w:rPr>
          <w:rFonts w:hint="eastAsia" w:ascii="Times New Roman" w:hAnsi="Times New Roman" w:eastAsia="仿宋_GB2312" w:cs="仿宋_GB2312"/>
          <w:color w:val="auto"/>
          <w:sz w:val="32"/>
          <w:szCs w:val="32"/>
          <w:lang w:val="zh-CN"/>
        </w:rPr>
        <w:t>截止评价时点202</w:t>
      </w: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zh-CN"/>
        </w:rPr>
        <w:t>年12月31日资金的实际支出</w:t>
      </w:r>
      <w:r>
        <w:rPr>
          <w:rFonts w:hint="eastAsia" w:ascii="Times New Roman" w:hAnsi="Times New Roman" w:eastAsia="仿宋_GB2312" w:cs="仿宋_GB2312"/>
          <w:color w:val="auto"/>
          <w:sz w:val="32"/>
          <w:szCs w:val="32"/>
        </w:rPr>
        <w:t>13</w:t>
      </w:r>
      <w:r>
        <w:rPr>
          <w:rFonts w:hint="eastAsia" w:ascii="Times New Roman" w:hAnsi="Times New Roman" w:eastAsia="仿宋_GB2312" w:cs="仿宋_GB2312"/>
          <w:color w:val="auto"/>
          <w:sz w:val="32"/>
          <w:szCs w:val="32"/>
          <w:lang w:val="zh-CN"/>
        </w:rPr>
        <w:t>万元</w:t>
      </w:r>
      <w:r>
        <w:rPr>
          <w:rFonts w:hint="eastAsia" w:ascii="Times New Roman" w:hAnsi="Times New Roman" w:eastAsia="仿宋_GB2312" w:cs="仿宋_GB2312"/>
          <w:color w:val="auto"/>
          <w:sz w:val="32"/>
          <w:szCs w:val="32"/>
        </w:rPr>
        <w:t>、资金完全到位并执行。</w:t>
      </w:r>
    </w:p>
    <w:p w14:paraId="09AE6090">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4.项目结果</w:t>
      </w:r>
    </w:p>
    <w:p w14:paraId="2154761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项目完成预期目标，实施结果与绩效目标相匹配，项目实际完成时间比计划完成时间更早完成。</w:t>
      </w:r>
    </w:p>
    <w:p w14:paraId="1369E321">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cs="楷体_GB2312"/>
          <w:color w:val="auto"/>
          <w:sz w:val="32"/>
          <w:szCs w:val="32"/>
          <w:lang w:val="zh-CN"/>
        </w:rPr>
      </w:pPr>
      <w:r>
        <w:rPr>
          <w:rFonts w:hint="eastAsia" w:ascii="Times New Roman" w:hAnsi="Times New Roman" w:eastAsia="楷体_GB2312"/>
          <w:b w:val="0"/>
          <w:bCs/>
          <w:color w:val="auto"/>
          <w:sz w:val="32"/>
          <w:szCs w:val="32"/>
          <w:lang w:val="zh-CN"/>
        </w:rPr>
        <w:t>（二）专用指标绩效分析（30分）</w:t>
      </w:r>
    </w:p>
    <w:p w14:paraId="1741A255">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民生保障</w:t>
      </w:r>
    </w:p>
    <w:p w14:paraId="1D9804A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分配体现区域均衡性；资金实际支持对象符合管理要求，符合支持对象范围；资金实际补贴标准符合资金管理办法规定的补助标准，及时按标准兑现情况；资金涉及相关受益群体、支持对象的满意度达百分百。</w:t>
      </w:r>
    </w:p>
    <w:p w14:paraId="4E62192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default" w:ascii="Times New Roman" w:hAnsi="Times New Roman" w:eastAsia="楷体_GB2312"/>
          <w:b/>
          <w:color w:val="000000"/>
          <w:kern w:val="0"/>
          <w:sz w:val="32"/>
          <w:szCs w:val="32"/>
          <w:lang w:val="zh-CN"/>
        </w:rPr>
      </w:pPr>
      <w:r>
        <w:rPr>
          <w:rFonts w:hint="eastAsia" w:ascii="Times New Roman" w:hAnsi="Times New Roman" w:eastAsia="楷体_GB2312"/>
          <w:b w:val="0"/>
          <w:bCs/>
          <w:color w:val="auto"/>
          <w:sz w:val="32"/>
          <w:szCs w:val="32"/>
          <w:lang w:val="zh-CN"/>
        </w:rPr>
        <w:t>（三）个性指标绩效分析（16分）</w:t>
      </w:r>
    </w:p>
    <w:p w14:paraId="1758540C">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根据比率分值法，省市目标要求结核患者规范管理率≥90%，得6分，下降5%扣1分，自评得分6分；省市目标要求病原学阳性率≥60%，得10分；下降5%扣1分，自评得分10分。</w:t>
      </w:r>
    </w:p>
    <w:p w14:paraId="3C322F9E">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202" w:name="_Toc14330"/>
      <w:bookmarkStart w:id="203" w:name="_Toc28839"/>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02"/>
      <w:bookmarkEnd w:id="203"/>
    </w:p>
    <w:p w14:paraId="60FFC833">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olor w:val="auto"/>
          <w:kern w:val="0"/>
          <w:sz w:val="32"/>
          <w:szCs w:val="32"/>
        </w:rPr>
        <w:t>我县本年度通过县、乡、村三级联动对所有新发现的353例肺结核患者（病原学学阳性患者233例）均进行规范治疗和管理，督促病人每日按时服药，定期随访查痰，保证规范治疗的同时降低了患者的传染性，从而有效的切断了传染源，降低了结核病的感染、发病与死</w:t>
      </w:r>
      <w:r>
        <w:rPr>
          <w:rFonts w:hint="eastAsia" w:ascii="Times New Roman" w:hAnsi="Times New Roman" w:eastAsia="仿宋_GB2312" w:cs="仿宋_GB2312"/>
          <w:color w:val="auto"/>
          <w:kern w:val="0"/>
          <w:sz w:val="32"/>
          <w:szCs w:val="32"/>
        </w:rPr>
        <w:t>亡，</w:t>
      </w:r>
      <w:r>
        <w:rPr>
          <w:rFonts w:hint="eastAsia" w:ascii="Times New Roman" w:hAnsi="Times New Roman" w:eastAsia="仿宋_GB2312" w:cs="仿宋_GB2312"/>
          <w:color w:val="auto"/>
          <w:sz w:val="32"/>
          <w:szCs w:val="32"/>
        </w:rPr>
        <w:t xml:space="preserve"> 降低结核病发病率，减少因患结核病的治疗产生的医疗费用支出。</w:t>
      </w:r>
      <w:r>
        <w:rPr>
          <w:rFonts w:hint="eastAsia" w:ascii="Times New Roman" w:hAnsi="Times New Roman" w:eastAsia="仿宋_GB2312" w:cs="仿宋_GB2312"/>
          <w:color w:val="auto"/>
          <w:kern w:val="0"/>
          <w:sz w:val="32"/>
          <w:szCs w:val="32"/>
        </w:rPr>
        <w:t>确保结核病疫情稳步下降，提高群众健康水平。</w:t>
      </w:r>
    </w:p>
    <w:p w14:paraId="1566FB3C">
      <w:pPr>
        <w:pStyle w:val="37"/>
        <w:keepNext w:val="0"/>
        <w:keepLines w:val="0"/>
        <w:pageBreakBefore w:val="0"/>
        <w:numPr>
          <w:ilvl w:val="0"/>
          <w:numId w:val="0"/>
        </w:numPr>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结核病防治的实施促使劳动者中的肺结核</w:t>
      </w:r>
      <w:r>
        <w:rPr>
          <w:rFonts w:hint="eastAsia" w:ascii="Times New Roman" w:hAnsi="Times New Roman" w:eastAsia="仿宋_GB2312" w:cs="Times New Roman"/>
          <w:color w:val="auto"/>
          <w:sz w:val="32"/>
          <w:szCs w:val="32"/>
          <w:lang w:val="en-US" w:eastAsia="zh-CN"/>
        </w:rPr>
        <w:t>患者恢复健康，防止社会歧视，促使社会生产力缺损大幅降低，同时降低肺结核向健康人群传播的几率，提高群众结核病防治健康知识知晓率，养成良好的卫生习惯。</w:t>
      </w:r>
    </w:p>
    <w:p w14:paraId="0915131F">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204" w:name="_Toc13507"/>
      <w:bookmarkStart w:id="205" w:name="_Toc26458"/>
      <w:r>
        <w:rPr>
          <w:rFonts w:hint="eastAsia" w:ascii="Times New Roman" w:hAnsi="Times New Roman" w:eastAsia="黑体"/>
          <w:color w:val="auto"/>
          <w:sz w:val="32"/>
          <w:szCs w:val="32"/>
          <w:lang w:eastAsia="zh-CN"/>
        </w:rPr>
        <w:t>五、存在主要问题</w:t>
      </w:r>
      <w:bookmarkEnd w:id="204"/>
      <w:bookmarkEnd w:id="205"/>
    </w:p>
    <w:p w14:paraId="3B5BC76D">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黑体" w:cs="黑体"/>
          <w:color w:val="auto"/>
          <w:kern w:val="2"/>
          <w:sz w:val="32"/>
          <w:szCs w:val="32"/>
          <w:lang w:eastAsia="zh-CN"/>
        </w:rPr>
      </w:pPr>
      <w:r>
        <w:rPr>
          <w:rFonts w:hint="eastAsia" w:ascii="Times New Roman" w:hAnsi="Times New Roman" w:eastAsia="仿宋_GB2312" w:cs="仿宋_GB2312"/>
          <w:color w:val="auto"/>
          <w:sz w:val="32"/>
          <w:szCs w:val="32"/>
          <w:lang w:eastAsia="zh-CN"/>
        </w:rPr>
        <w:t>无。</w:t>
      </w:r>
    </w:p>
    <w:p w14:paraId="03FCA0FB">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206" w:name="_Toc7527"/>
      <w:bookmarkStart w:id="207" w:name="_Toc11138"/>
      <w:r>
        <w:rPr>
          <w:rFonts w:hint="eastAsia" w:ascii="Times New Roman" w:hAnsi="Times New Roman" w:eastAsia="黑体"/>
          <w:color w:val="auto"/>
          <w:sz w:val="32"/>
          <w:szCs w:val="32"/>
          <w:lang w:val="zh-CN" w:eastAsia="zh-CN"/>
        </w:rPr>
        <w:t>六、改进建议</w:t>
      </w:r>
      <w:bookmarkEnd w:id="206"/>
      <w:bookmarkEnd w:id="207"/>
    </w:p>
    <w:p w14:paraId="2F45D7A5">
      <w:pPr>
        <w:keepNext w:val="0"/>
        <w:keepLines w:val="0"/>
        <w:pageBreakBefore w:val="0"/>
        <w:tabs>
          <w:tab w:val="left" w:pos="1911"/>
        </w:tabs>
        <w:kinsoku/>
        <w:wordWrap/>
        <w:overflowPunct/>
        <w:topLinePunct w:val="0"/>
        <w:autoSpaceDE/>
        <w:autoSpaceDN/>
        <w:bidi w:val="0"/>
        <w:spacing w:beforeLines="0" w:afterLines="0" w:line="578" w:lineRule="exact"/>
        <w:ind w:left="0" w:leftChars="0" w:firstLine="640" w:firstLineChars="200"/>
        <w:jc w:val="left"/>
        <w:textAlignment w:val="auto"/>
        <w:rPr>
          <w:rFonts w:hint="eastAsia" w:ascii="Times New Roman" w:hAnsi="Times New Roman" w:cs="仿宋_GB2312"/>
          <w:color w:val="auto"/>
          <w:kern w:val="0"/>
          <w:sz w:val="32"/>
          <w:szCs w:val="32"/>
        </w:rPr>
      </w:pPr>
      <w:r>
        <w:rPr>
          <w:rFonts w:hint="eastAsia" w:ascii="Times New Roman" w:hAnsi="Times New Roman" w:cs="仿宋_GB2312"/>
          <w:color w:val="auto"/>
          <w:kern w:val="0"/>
          <w:sz w:val="32"/>
          <w:szCs w:val="32"/>
        </w:rPr>
        <w:t>无。</w:t>
      </w:r>
    </w:p>
    <w:p w14:paraId="352FAFBA">
      <w:pPr>
        <w:pStyle w:val="2"/>
        <w:rPr>
          <w:rFonts w:hint="eastAsia" w:ascii="Times New Roman" w:hAnsi="Times New Roman" w:cs="仿宋_GB2312"/>
          <w:color w:val="auto"/>
          <w:kern w:val="0"/>
          <w:sz w:val="32"/>
          <w:szCs w:val="32"/>
        </w:rPr>
      </w:pPr>
    </w:p>
    <w:p w14:paraId="138B1EA6">
      <w:pPr>
        <w:pStyle w:val="2"/>
        <w:rPr>
          <w:rFonts w:hint="eastAsia" w:ascii="Times New Roman" w:hAnsi="Times New Roman" w:cs="仿宋_GB2312"/>
          <w:color w:val="auto"/>
          <w:kern w:val="0"/>
          <w:sz w:val="32"/>
          <w:szCs w:val="32"/>
          <w:lang w:val="en"/>
        </w:rPr>
      </w:pPr>
    </w:p>
    <w:p w14:paraId="1A056164">
      <w:pPr>
        <w:snapToGrid w:val="0"/>
        <w:spacing w:beforeLines="0" w:afterLines="0" w:line="578"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附表：1.项目资金分配涉及所有点位自评得分情况表</w:t>
      </w:r>
    </w:p>
    <w:p w14:paraId="6827E360">
      <w:pPr>
        <w:snapToGrid w:val="0"/>
        <w:spacing w:beforeLines="0" w:afterLines="0" w:line="578" w:lineRule="exact"/>
        <w:ind w:firstLine="1600" w:firstLineChars="500"/>
        <w:outlineLvl w:val="2"/>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2.专项预算项目绩效目标完成情况自评表</w:t>
      </w:r>
    </w:p>
    <w:p w14:paraId="25B9F474">
      <w:pPr>
        <w:snapToGrid w:val="0"/>
        <w:spacing w:beforeLines="0" w:afterLines="0" w:line="578" w:lineRule="exact"/>
        <w:ind w:firstLine="640" w:firstLineChars="200"/>
        <w:rPr>
          <w:rFonts w:hint="eastAsia" w:ascii="Times New Roman" w:hAnsi="Times New Roman"/>
          <w:color w:val="auto"/>
          <w:kern w:val="0"/>
          <w:sz w:val="32"/>
          <w:szCs w:val="32"/>
          <w:lang w:val="zh-CN"/>
        </w:rPr>
      </w:pPr>
    </w:p>
    <w:p w14:paraId="78984ADD">
      <w:pPr>
        <w:snapToGrid w:val="0"/>
        <w:spacing w:beforeLines="0" w:afterLines="0" w:line="578" w:lineRule="exact"/>
        <w:ind w:firstLine="640" w:firstLineChars="200"/>
        <w:rPr>
          <w:rFonts w:hint="eastAsia" w:ascii="Times New Roman" w:hAnsi="Times New Roman"/>
          <w:color w:val="auto"/>
          <w:kern w:val="0"/>
          <w:sz w:val="32"/>
          <w:szCs w:val="32"/>
        </w:rPr>
      </w:pPr>
    </w:p>
    <w:p w14:paraId="134A211F">
      <w:pPr>
        <w:snapToGrid w:val="0"/>
        <w:spacing w:beforeLines="0" w:afterLines="0" w:line="578" w:lineRule="exact"/>
        <w:ind w:firstLine="640" w:firstLineChars="200"/>
        <w:rPr>
          <w:rFonts w:hint="eastAsia" w:ascii="Times New Roman" w:hAnsi="Times New Roman"/>
          <w:color w:val="auto"/>
          <w:kern w:val="0"/>
          <w:sz w:val="32"/>
          <w:szCs w:val="32"/>
        </w:rPr>
      </w:pPr>
    </w:p>
    <w:p w14:paraId="2DB4AD16">
      <w:pPr>
        <w:snapToGrid w:val="0"/>
        <w:spacing w:beforeLines="0" w:afterLines="0" w:line="578" w:lineRule="exact"/>
        <w:ind w:firstLine="640" w:firstLineChars="200"/>
        <w:rPr>
          <w:rFonts w:hint="eastAsia" w:ascii="Times New Roman" w:hAnsi="Times New Roman"/>
          <w:color w:val="auto"/>
          <w:kern w:val="0"/>
          <w:sz w:val="32"/>
          <w:szCs w:val="32"/>
        </w:rPr>
      </w:pPr>
    </w:p>
    <w:p w14:paraId="11461A27">
      <w:pPr>
        <w:snapToGrid w:val="0"/>
        <w:spacing w:beforeLines="0" w:afterLines="0" w:line="578" w:lineRule="exact"/>
        <w:ind w:firstLine="640" w:firstLineChars="200"/>
        <w:rPr>
          <w:rFonts w:hint="eastAsia" w:ascii="Times New Roman" w:hAnsi="Times New Roman"/>
          <w:color w:val="auto"/>
          <w:kern w:val="0"/>
          <w:sz w:val="32"/>
          <w:szCs w:val="32"/>
        </w:rPr>
      </w:pPr>
    </w:p>
    <w:p w14:paraId="65CA053A">
      <w:pPr>
        <w:snapToGrid w:val="0"/>
        <w:spacing w:beforeLines="0" w:afterLines="0" w:line="578" w:lineRule="exact"/>
        <w:ind w:firstLine="640" w:firstLineChars="200"/>
        <w:rPr>
          <w:rFonts w:hint="eastAsia" w:ascii="Times New Roman" w:hAnsi="Times New Roman"/>
          <w:color w:val="auto"/>
          <w:kern w:val="0"/>
          <w:sz w:val="32"/>
          <w:szCs w:val="32"/>
        </w:rPr>
      </w:pPr>
    </w:p>
    <w:p w14:paraId="4F46F404">
      <w:pPr>
        <w:snapToGrid w:val="0"/>
        <w:spacing w:beforeLines="0" w:afterLines="0" w:line="578" w:lineRule="exact"/>
        <w:ind w:firstLine="640" w:firstLineChars="200"/>
        <w:rPr>
          <w:rFonts w:hint="eastAsia" w:ascii="Times New Roman" w:hAnsi="Times New Roman"/>
          <w:color w:val="auto"/>
          <w:kern w:val="0"/>
          <w:sz w:val="32"/>
          <w:szCs w:val="32"/>
        </w:rPr>
      </w:pPr>
    </w:p>
    <w:p w14:paraId="6382FE7A">
      <w:pPr>
        <w:snapToGrid w:val="0"/>
        <w:spacing w:beforeLines="0" w:afterLines="0" w:line="578" w:lineRule="exact"/>
        <w:ind w:firstLine="640" w:firstLineChars="200"/>
        <w:rPr>
          <w:rFonts w:hint="eastAsia" w:ascii="Times New Roman" w:hAnsi="Times New Roman"/>
          <w:color w:val="auto"/>
          <w:kern w:val="0"/>
          <w:sz w:val="32"/>
          <w:szCs w:val="32"/>
        </w:rPr>
      </w:pPr>
    </w:p>
    <w:p w14:paraId="4C647D92">
      <w:pPr>
        <w:snapToGrid w:val="0"/>
        <w:spacing w:beforeLines="0" w:afterLines="0" w:line="578" w:lineRule="exact"/>
        <w:ind w:firstLine="640" w:firstLineChars="200"/>
        <w:rPr>
          <w:rFonts w:hint="eastAsia" w:ascii="Times New Roman" w:hAnsi="Times New Roman"/>
          <w:color w:val="auto"/>
          <w:kern w:val="0"/>
          <w:sz w:val="32"/>
          <w:szCs w:val="32"/>
        </w:rPr>
      </w:pPr>
    </w:p>
    <w:p w14:paraId="27553CA4">
      <w:pPr>
        <w:snapToGrid w:val="0"/>
        <w:spacing w:beforeLines="0" w:afterLines="0" w:line="578" w:lineRule="exact"/>
        <w:ind w:firstLine="640" w:firstLineChars="200"/>
        <w:rPr>
          <w:rFonts w:hint="eastAsia" w:ascii="Times New Roman" w:hAnsi="Times New Roman"/>
          <w:color w:val="auto"/>
          <w:kern w:val="0"/>
          <w:sz w:val="32"/>
          <w:szCs w:val="32"/>
        </w:rPr>
      </w:pPr>
    </w:p>
    <w:p w14:paraId="5A192323">
      <w:pPr>
        <w:snapToGrid w:val="0"/>
        <w:spacing w:beforeLines="0" w:afterLines="0" w:line="578" w:lineRule="exact"/>
        <w:ind w:firstLine="640" w:firstLineChars="200"/>
        <w:rPr>
          <w:rFonts w:hint="eastAsia" w:ascii="Times New Roman" w:hAnsi="Times New Roman"/>
          <w:color w:val="auto"/>
          <w:kern w:val="0"/>
          <w:sz w:val="32"/>
          <w:szCs w:val="32"/>
        </w:rPr>
      </w:pPr>
    </w:p>
    <w:p w14:paraId="4210D8FD">
      <w:pPr>
        <w:snapToGrid w:val="0"/>
        <w:spacing w:beforeLines="0" w:afterLines="0" w:line="578" w:lineRule="exact"/>
        <w:rPr>
          <w:rFonts w:hint="eastAsia" w:ascii="Times New Roman" w:hAnsi="Times New Roman"/>
          <w:color w:val="auto"/>
          <w:kern w:val="0"/>
          <w:sz w:val="32"/>
          <w:szCs w:val="32"/>
        </w:rPr>
      </w:pPr>
    </w:p>
    <w:p w14:paraId="71E8D1E1">
      <w:pPr>
        <w:snapToGrid w:val="0"/>
        <w:spacing w:beforeLines="0" w:afterLines="0" w:line="578" w:lineRule="exact"/>
        <w:ind w:firstLine="640" w:firstLineChars="200"/>
        <w:rPr>
          <w:rFonts w:hint="eastAsia" w:ascii="Times New Roman" w:hAnsi="Times New Roman"/>
          <w:color w:val="000000"/>
          <w:kern w:val="0"/>
          <w:sz w:val="32"/>
          <w:szCs w:val="32"/>
          <w:lang w:val="zh-CN"/>
        </w:rPr>
      </w:pPr>
      <w:r>
        <w:rPr>
          <w:rFonts w:hint="eastAsia" w:ascii="Times New Roman" w:hAnsi="Times New Roman"/>
          <w:color w:val="000000"/>
          <w:kern w:val="0"/>
          <w:sz w:val="32"/>
          <w:szCs w:val="32"/>
          <w:lang w:val="zh-CN"/>
        </w:rPr>
        <w:br w:type="page"/>
      </w:r>
    </w:p>
    <w:p w14:paraId="57F6E2F8">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lang w:val="zh-CN"/>
        </w:rPr>
      </w:pPr>
      <w:r>
        <w:rPr>
          <w:rFonts w:hint="eastAsia" w:ascii="Times New Roman" w:hAnsi="Times New Roman" w:eastAsia="黑体" w:cs="黑体"/>
          <w:color w:val="auto"/>
          <w:kern w:val="0"/>
          <w:sz w:val="32"/>
          <w:szCs w:val="32"/>
          <w:lang w:val="zh-CN"/>
        </w:rPr>
        <w:t>附表</w:t>
      </w:r>
      <w:r>
        <w:rPr>
          <w:rFonts w:hint="eastAsia" w:ascii="Times New Roman" w:hAnsi="Times New Roman" w:eastAsia="黑体" w:cs="黑体"/>
          <w:color w:val="auto"/>
          <w:kern w:val="0"/>
          <w:sz w:val="32"/>
          <w:szCs w:val="32"/>
        </w:rPr>
        <w:t>1</w:t>
      </w:r>
    </w:p>
    <w:p w14:paraId="552DF926">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208" w:name="_Toc26033"/>
      <w:bookmarkStart w:id="209" w:name="_Toc22197"/>
      <w:r>
        <w:rPr>
          <w:rFonts w:hint="eastAsia" w:ascii="Times New Roman" w:hAnsi="Times New Roman" w:eastAsia="方正小标宋_GBK" w:cs="方正小标宋_GBK"/>
          <w:color w:val="auto"/>
          <w:sz w:val="40"/>
          <w:szCs w:val="40"/>
        </w:rPr>
        <w:t>项目资金分配涉及所有点位自评得分情况表</w:t>
      </w:r>
      <w:bookmarkEnd w:id="208"/>
      <w:bookmarkEnd w:id="209"/>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5481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06703EEE">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6F2297A1">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4835A06B">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34A304C0">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56CE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2CC4B157">
            <w:pPr>
              <w:spacing w:beforeLines="0" w:afterLines="0" w:line="300" w:lineRule="exact"/>
              <w:jc w:val="center"/>
              <w:rPr>
                <w:rFonts w:hint="default" w:ascii="Times New Roman" w:hAnsi="Times New Roman" w:eastAsia="宋体" w:cs="宋体"/>
                <w:color w:val="auto"/>
                <w:sz w:val="24"/>
                <w:szCs w:val="24"/>
              </w:rPr>
            </w:pPr>
            <w:r>
              <w:rPr>
                <w:rFonts w:hint="default"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76D1489C">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18BE9302">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auto"/>
                <w:sz w:val="24"/>
                <w:szCs w:val="24"/>
              </w:rPr>
              <w:t>99</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092235E2">
            <w:pPr>
              <w:spacing w:beforeLines="0" w:afterLines="0" w:line="300" w:lineRule="exact"/>
              <w:rPr>
                <w:rFonts w:hint="eastAsia" w:ascii="Times New Roman" w:hAnsi="Times New Roman" w:cs="宋体"/>
                <w:color w:val="auto"/>
                <w:sz w:val="24"/>
                <w:szCs w:val="24"/>
              </w:rPr>
            </w:pPr>
          </w:p>
        </w:tc>
      </w:tr>
    </w:tbl>
    <w:p w14:paraId="712597B5">
      <w:pPr>
        <w:spacing w:beforeLines="0" w:afterLines="0" w:line="400" w:lineRule="exact"/>
        <w:jc w:val="left"/>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备注：1.项目资金末端分配点位包括市（州）本级、县（市、区）、省级部门下属单位及一次性单位等。</w:t>
      </w:r>
    </w:p>
    <w:p w14:paraId="2DB648C2">
      <w:pPr>
        <w:numPr>
          <w:ilvl w:val="0"/>
          <w:numId w:val="0"/>
        </w:numPr>
        <w:spacing w:beforeLines="0" w:afterLines="0" w:line="400" w:lineRule="exact"/>
        <w:ind w:firstLine="630" w:firstLineChars="300"/>
        <w:jc w:val="left"/>
        <w:rPr>
          <w:rFonts w:hint="default" w:ascii="Times New Roman" w:hAnsi="Times New Roman" w:eastAsia="宋体" w:cs="宋体"/>
          <w:color w:val="auto"/>
          <w:sz w:val="21"/>
          <w:szCs w:val="21"/>
        </w:rPr>
      </w:pPr>
      <w:r>
        <w:rPr>
          <w:rFonts w:hint="default"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4AD69604">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16DFB993">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021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7D68C6E9">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39A1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FA6F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75503">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结核病</w:t>
            </w:r>
          </w:p>
        </w:tc>
      </w:tr>
      <w:tr w14:paraId="6334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6EB8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AA072">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大竹县疾病预防控制中心</w:t>
            </w:r>
          </w:p>
        </w:tc>
      </w:tr>
      <w:tr w14:paraId="6F2F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EB36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5F096">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医疗卫生类</w:t>
            </w:r>
          </w:p>
        </w:tc>
      </w:tr>
      <w:tr w14:paraId="007F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2D2F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20A8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E5548">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竹财预(2023)8号</w:t>
            </w:r>
          </w:p>
        </w:tc>
      </w:tr>
      <w:tr w14:paraId="7465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B89C9">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41F7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7DFA5">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川卫办疾控便函【2023】4号</w:t>
            </w:r>
          </w:p>
        </w:tc>
      </w:tr>
      <w:tr w14:paraId="57099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75835">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E28F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16A04">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default" w:ascii="Times New Roman" w:hAnsi="Times New Roman"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87CFD">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FF3F">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default"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7303A">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default" w:ascii="Times New Roman" w:hAnsi="Times New Roman" w:eastAsia="宋体" w:cs="宋体"/>
                <w:color w:val="000000"/>
                <w:kern w:val="0"/>
                <w:sz w:val="24"/>
                <w:szCs w:val="24"/>
                <w:lang w:bidi="ar"/>
              </w:rPr>
              <w:t>因素法与项目法相结合</w:t>
            </w:r>
          </w:p>
        </w:tc>
      </w:tr>
      <w:tr w14:paraId="1F8B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D071D">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BF39B">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04375">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县级配套资金</w:t>
            </w:r>
          </w:p>
        </w:tc>
      </w:tr>
      <w:tr w14:paraId="695A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AF5D2">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6418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F7AF7">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用于结核病防治专项</w:t>
            </w:r>
          </w:p>
        </w:tc>
      </w:tr>
      <w:tr w14:paraId="33A5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61167">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6C0F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CB31E">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按财政要求进行申报</w:t>
            </w:r>
          </w:p>
        </w:tc>
      </w:tr>
      <w:tr w14:paraId="41D3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BA910">
            <w:pPr>
              <w:spacing w:beforeLines="0" w:afterLines="0" w:line="300" w:lineRule="exact"/>
              <w:rPr>
                <w:rFonts w:hint="default"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BC50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D4121">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长期性</w:t>
            </w:r>
          </w:p>
        </w:tc>
      </w:tr>
      <w:tr w14:paraId="048E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7A35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项目资金</w:t>
            </w:r>
          </w:p>
          <w:p w14:paraId="7CD848E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445C2">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F24FD">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13</w:t>
            </w:r>
          </w:p>
        </w:tc>
      </w:tr>
      <w:tr w14:paraId="6D96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A5EE8">
            <w:pPr>
              <w:spacing w:beforeLines="0" w:afterLines="0" w:line="300" w:lineRule="exact"/>
              <w:rPr>
                <w:rFonts w:hint="default"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E71C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47881">
            <w:pPr>
              <w:spacing w:beforeLines="0" w:afterLines="0" w:line="300" w:lineRule="exact"/>
              <w:jc w:val="lef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13</w:t>
            </w:r>
          </w:p>
        </w:tc>
      </w:tr>
      <w:tr w14:paraId="350C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42767">
            <w:pPr>
              <w:spacing w:beforeLines="0" w:afterLines="0" w:line="300" w:lineRule="exact"/>
              <w:rPr>
                <w:rFonts w:hint="default"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408C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C68F8">
            <w:pPr>
              <w:spacing w:beforeLines="0" w:afterLines="0" w:line="300" w:lineRule="exact"/>
              <w:jc w:val="right"/>
              <w:rPr>
                <w:rFonts w:hint="default" w:ascii="Times New Roman" w:hAnsi="Times New Roman" w:eastAsia="宋体" w:cs="宋体"/>
                <w:color w:val="000000"/>
                <w:sz w:val="24"/>
                <w:szCs w:val="24"/>
              </w:rPr>
            </w:pPr>
          </w:p>
        </w:tc>
      </w:tr>
      <w:tr w14:paraId="2FC9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CFBD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5A5B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年度目标</w:t>
            </w:r>
          </w:p>
        </w:tc>
      </w:tr>
      <w:tr w14:paraId="7F816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E7247">
            <w:pPr>
              <w:spacing w:beforeLines="0" w:afterLines="0" w:line="300" w:lineRule="exact"/>
              <w:rPr>
                <w:rFonts w:hint="default"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4A6C8">
            <w:pPr>
              <w:spacing w:beforeLines="0" w:afterLines="0" w:line="300" w:lineRule="exact"/>
              <w:rPr>
                <w:rFonts w:hint="default" w:ascii="Times New Roman" w:hAnsi="Times New Roman" w:eastAsia="宋体" w:cs="宋体"/>
                <w:color w:val="000000"/>
                <w:sz w:val="24"/>
                <w:szCs w:val="24"/>
                <w:highlight w:val="yellow"/>
              </w:rPr>
            </w:pPr>
            <w:r>
              <w:rPr>
                <w:rFonts w:hint="default" w:ascii="Times New Roman" w:hAnsi="Times New Roman" w:eastAsia="宋体" w:cs="宋体"/>
                <w:color w:val="000000"/>
                <w:sz w:val="24"/>
                <w:szCs w:val="24"/>
              </w:rPr>
              <w:t>有计划、有实效地开展结核病防治和宣传工作，达到推进健康促进工作；进一步做好学校结核病、耐多药结核病、TB/HIV双重感染防治工作，并对辖区结核病疫情做好监测的目标。</w:t>
            </w:r>
          </w:p>
        </w:tc>
      </w:tr>
      <w:tr w14:paraId="70BF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109FB03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A613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479F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2A4F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FA04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9E7E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72B8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72BB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06A0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实际完成指标值</w:t>
            </w:r>
          </w:p>
        </w:tc>
      </w:tr>
      <w:tr w14:paraId="2560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6F2F28D">
            <w:pPr>
              <w:spacing w:beforeLines="0" w:afterLines="0" w:line="300" w:lineRule="exact"/>
              <w:jc w:val="center"/>
              <w:rPr>
                <w:rFonts w:hint="default" w:ascii="Times New Roman" w:hAnsi="Times New Roman"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BD93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CFA1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3104B">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基层医疗卫生机构肺结核患者规范管理率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33ECD">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021C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2A370">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9AF4E">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B7C83">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98.35</w:t>
            </w:r>
          </w:p>
        </w:tc>
      </w:tr>
      <w:tr w14:paraId="7701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AC12861">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C489A">
            <w:pPr>
              <w:spacing w:beforeLines="0" w:afterLines="0" w:line="300" w:lineRule="exact"/>
              <w:jc w:val="center"/>
              <w:rPr>
                <w:rFonts w:hint="default" w:ascii="Times New Roman" w:hAnsi="Times New Roman"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CF1AA">
            <w:pPr>
              <w:spacing w:beforeLines="0" w:afterLines="0" w:line="300" w:lineRule="exact"/>
              <w:jc w:val="center"/>
              <w:rPr>
                <w:rFonts w:hint="default"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8D105">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病原学检查阳性肺结核患者的密切接触者筛查率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A623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0BA4A">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95</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D289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D9E4A">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56D03">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100</w:t>
            </w:r>
          </w:p>
        </w:tc>
      </w:tr>
      <w:tr w14:paraId="5661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35822B86">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6AA9C64F">
            <w:pPr>
              <w:spacing w:beforeLines="0" w:afterLines="0" w:line="300" w:lineRule="exact"/>
              <w:jc w:val="center"/>
              <w:rPr>
                <w:rFonts w:hint="default" w:ascii="Times New Roman" w:hAnsi="Times New Roman" w:eastAsia="宋体" w:cs="宋体"/>
                <w:color w:val="000000"/>
                <w:sz w:val="24"/>
                <w:szCs w:val="24"/>
              </w:rPr>
            </w:pPr>
          </w:p>
        </w:tc>
        <w:tc>
          <w:tcPr>
            <w:tcW w:w="1250" w:type="dxa"/>
            <w:vMerge w:val="restart"/>
            <w:tcBorders>
              <w:top w:val="single" w:color="000000" w:sz="4" w:space="0"/>
              <w:left w:val="single" w:color="auto" w:sz="4" w:space="0"/>
              <w:bottom w:val="nil"/>
              <w:right w:val="single" w:color="000000" w:sz="4" w:space="0"/>
              <w:tl2br w:val="nil"/>
              <w:tr2bl w:val="nil"/>
            </w:tcBorders>
            <w:noWrap w:val="0"/>
            <w:vAlign w:val="center"/>
          </w:tcPr>
          <w:p w14:paraId="47A49F4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ECDCC">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肺结核患者成功治疗率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9F6B1">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390E8">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FF20A">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8BE86">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22E78">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98.88</w:t>
            </w:r>
          </w:p>
        </w:tc>
      </w:tr>
      <w:tr w14:paraId="3E87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26072A4">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4ECEBBF">
            <w:pPr>
              <w:spacing w:beforeLines="0" w:afterLines="0" w:line="300" w:lineRule="exact"/>
              <w:jc w:val="center"/>
              <w:rPr>
                <w:rFonts w:hint="default" w:ascii="Times New Roman" w:hAnsi="Times New Roman" w:eastAsia="宋体" w:cs="宋体"/>
                <w:color w:val="000000"/>
                <w:sz w:val="24"/>
                <w:szCs w:val="24"/>
              </w:rPr>
            </w:pPr>
          </w:p>
        </w:tc>
        <w:tc>
          <w:tcPr>
            <w:tcW w:w="1250" w:type="dxa"/>
            <w:vMerge w:val="continue"/>
            <w:tcBorders>
              <w:top w:val="nil"/>
              <w:left w:val="single" w:color="auto" w:sz="4" w:space="0"/>
              <w:bottom w:val="nil"/>
              <w:right w:val="single" w:color="000000" w:sz="4" w:space="0"/>
              <w:tl2br w:val="nil"/>
              <w:tr2bl w:val="nil"/>
            </w:tcBorders>
            <w:noWrap w:val="0"/>
            <w:vAlign w:val="center"/>
          </w:tcPr>
          <w:p w14:paraId="4356EA27">
            <w:pPr>
              <w:spacing w:beforeLines="0" w:afterLines="0" w:line="300" w:lineRule="exact"/>
              <w:jc w:val="center"/>
              <w:rPr>
                <w:rFonts w:hint="default"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25197">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肺结核患者病原学阳性率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B8E1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FFF75">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60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DEFB1">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ECA96">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BC7FF">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66.01</w:t>
            </w:r>
          </w:p>
        </w:tc>
      </w:tr>
      <w:tr w14:paraId="742A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EF38648">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27E44B7">
            <w:pPr>
              <w:spacing w:beforeLines="0" w:afterLines="0" w:line="300" w:lineRule="exact"/>
              <w:jc w:val="center"/>
              <w:rPr>
                <w:rFonts w:hint="default" w:ascii="Times New Roman" w:hAnsi="Times New Roman" w:eastAsia="宋体" w:cs="宋体"/>
                <w:color w:val="000000"/>
                <w:sz w:val="24"/>
                <w:szCs w:val="24"/>
              </w:rPr>
            </w:pPr>
          </w:p>
        </w:tc>
        <w:tc>
          <w:tcPr>
            <w:tcW w:w="1250" w:type="dxa"/>
            <w:vMerge w:val="continue"/>
            <w:tcBorders>
              <w:top w:val="nil"/>
              <w:left w:val="single" w:color="auto" w:sz="4" w:space="0"/>
              <w:bottom w:val="single" w:color="auto" w:sz="4" w:space="0"/>
              <w:right w:val="single" w:color="000000" w:sz="4" w:space="0"/>
              <w:tl2br w:val="nil"/>
              <w:tr2bl w:val="nil"/>
            </w:tcBorders>
            <w:noWrap w:val="0"/>
            <w:vAlign w:val="center"/>
          </w:tcPr>
          <w:p w14:paraId="56A6D01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p>
        </w:tc>
        <w:tc>
          <w:tcPr>
            <w:tcW w:w="1312"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0D84AAF1">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病原学阳性肺结核患者耐药筛查率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92ACA">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3BDB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407B3">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2BCC7">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05A47">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100</w:t>
            </w:r>
          </w:p>
        </w:tc>
      </w:tr>
      <w:tr w14:paraId="0B8B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3A08980">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E884B49">
            <w:pPr>
              <w:spacing w:beforeLines="0" w:afterLines="0" w:line="300" w:lineRule="exact"/>
              <w:jc w:val="center"/>
              <w:rPr>
                <w:rFonts w:hint="default"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73EA0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8B8A6">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报告肺结核患者和疑似肺结核患者的总体到位率</w:t>
            </w:r>
          </w:p>
        </w:tc>
        <w:tc>
          <w:tcPr>
            <w:tcW w:w="1127"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13DC67A">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9A65C">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95</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923D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AA20E">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B10A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100</w:t>
            </w:r>
          </w:p>
        </w:tc>
      </w:tr>
      <w:tr w14:paraId="4563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0FF75F3">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2FB9921">
            <w:pPr>
              <w:spacing w:beforeLines="0" w:afterLines="0" w:line="300" w:lineRule="exact"/>
              <w:jc w:val="center"/>
              <w:rPr>
                <w:rFonts w:hint="default" w:ascii="Times New Roman" w:hAnsi="Times New Roman"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1EFD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时效指标</w:t>
            </w:r>
          </w:p>
        </w:tc>
        <w:tc>
          <w:tcPr>
            <w:tcW w:w="13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36491">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规范处置学校结核病疫情</w:t>
            </w:r>
          </w:p>
        </w:tc>
        <w:tc>
          <w:tcPr>
            <w:tcW w:w="1127"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A01AE87">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C5DA0">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F0986">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77E66">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66F5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100</w:t>
            </w:r>
          </w:p>
        </w:tc>
      </w:tr>
      <w:tr w14:paraId="4940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205ADD9">
            <w:pPr>
              <w:spacing w:beforeLines="0" w:afterLines="0" w:line="300" w:lineRule="exact"/>
              <w:jc w:val="center"/>
              <w:rPr>
                <w:rFonts w:hint="default"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4CC02">
            <w:pPr>
              <w:spacing w:beforeLines="0" w:afterLines="0" w:line="300" w:lineRule="exact"/>
              <w:jc w:val="center"/>
              <w:rPr>
                <w:rFonts w:hint="default" w:ascii="Times New Roman" w:hAnsi="Times New Roman" w:eastAsia="宋体" w:cs="宋体"/>
                <w:color w:val="000000"/>
                <w:sz w:val="24"/>
                <w:szCs w:val="24"/>
              </w:rPr>
            </w:pPr>
          </w:p>
        </w:tc>
        <w:tc>
          <w:tcPr>
            <w:tcW w:w="1250" w:type="dxa"/>
            <w:tcBorders>
              <w:top w:val="single" w:color="auto" w:sz="4" w:space="0"/>
              <w:left w:val="single" w:color="000000" w:sz="4" w:space="0"/>
              <w:bottom w:val="nil"/>
              <w:right w:val="single" w:color="000000" w:sz="4" w:space="0"/>
              <w:tl2br w:val="nil"/>
              <w:tr2bl w:val="nil"/>
            </w:tcBorders>
            <w:noWrap w:val="0"/>
            <w:vAlign w:val="center"/>
          </w:tcPr>
          <w:p w14:paraId="0620CF5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社会效益</w:t>
            </w:r>
          </w:p>
          <w:p w14:paraId="379594C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指标</w:t>
            </w:r>
          </w:p>
        </w:tc>
        <w:tc>
          <w:tcPr>
            <w:tcW w:w="1312"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2CF68022">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公众结核病防治核心知识知晓率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DE69C">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9AF9E">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85</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70F60">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BCE00">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2106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85.3</w:t>
            </w:r>
          </w:p>
        </w:tc>
      </w:tr>
      <w:tr w14:paraId="037D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ADA870A">
            <w:pPr>
              <w:spacing w:beforeLines="0" w:afterLines="0" w:line="300" w:lineRule="exact"/>
              <w:jc w:val="center"/>
              <w:rPr>
                <w:rFonts w:hint="default" w:ascii="Times New Roman" w:hAnsi="Times New Roman" w:eastAsia="宋体" w:cs="宋体"/>
                <w:color w:val="000000"/>
                <w:sz w:val="24"/>
                <w:szCs w:val="24"/>
              </w:rPr>
            </w:pPr>
          </w:p>
        </w:tc>
        <w:tc>
          <w:tcPr>
            <w:tcW w:w="1081" w:type="dxa"/>
            <w:tcBorders>
              <w:top w:val="single" w:color="000000" w:sz="4" w:space="0"/>
              <w:left w:val="single" w:color="000000" w:sz="4" w:space="0"/>
              <w:bottom w:val="nil"/>
              <w:right w:val="single" w:color="000000" w:sz="4" w:space="0"/>
              <w:tl2br w:val="nil"/>
              <w:tr2bl w:val="nil"/>
            </w:tcBorders>
            <w:noWrap w:val="0"/>
            <w:vAlign w:val="center"/>
          </w:tcPr>
          <w:p w14:paraId="3C7F3063">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满意度</w:t>
            </w:r>
          </w:p>
          <w:p w14:paraId="3C45464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指标</w:t>
            </w: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20BA80BF">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服务对象</w:t>
            </w:r>
          </w:p>
          <w:p w14:paraId="0A0BC47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DEA17">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治疗成功肺结核病患者</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EC1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153D5">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280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175CC">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73103">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5D728">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353</w:t>
            </w:r>
          </w:p>
        </w:tc>
      </w:tr>
      <w:tr w14:paraId="0910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5ECEB2A3">
            <w:pPr>
              <w:spacing w:beforeLines="0" w:afterLines="0" w:line="300" w:lineRule="exact"/>
              <w:jc w:val="center"/>
              <w:rPr>
                <w:rFonts w:hint="default"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A597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F8E04">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default" w:ascii="Times New Roman" w:hAnsi="Times New Roman" w:eastAsia="宋体" w:cs="宋体"/>
                <w:color w:val="000000"/>
                <w:kern w:val="0"/>
                <w:sz w:val="24"/>
                <w:szCs w:val="24"/>
                <w:lang w:bidi="ar"/>
              </w:rPr>
              <w:t>经济成本</w:t>
            </w:r>
          </w:p>
          <w:p w14:paraId="28BAEB7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71F68626">
            <w:pPr>
              <w:spacing w:beforeLines="0" w:afterLines="0" w:line="300" w:lineRule="exact"/>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免除肺结核患者的挂号费、2次DR胸片、全程痰涂片及分子生物学检查等费用，减少结核病患者经济负担</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4233B">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32092">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340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937FF">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元/人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1094F">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706D6">
            <w:pPr>
              <w:spacing w:beforeLines="0" w:afterLines="0" w:line="300" w:lineRule="exact"/>
              <w:jc w:val="center"/>
              <w:rPr>
                <w:rFonts w:hint="default" w:ascii="Times New Roman" w:hAnsi="Times New Roman" w:eastAsia="宋体" w:cs="宋体"/>
                <w:color w:val="000000"/>
                <w:sz w:val="24"/>
                <w:szCs w:val="24"/>
              </w:rPr>
            </w:pPr>
            <w:r>
              <w:rPr>
                <w:rFonts w:hint="default" w:ascii="Times New Roman" w:hAnsi="Times New Roman" w:eastAsia="宋体" w:cs="宋体"/>
                <w:color w:val="000000"/>
                <w:sz w:val="24"/>
                <w:szCs w:val="24"/>
              </w:rPr>
              <w:t>340</w:t>
            </w:r>
          </w:p>
        </w:tc>
      </w:tr>
    </w:tbl>
    <w:p w14:paraId="510C3143">
      <w:pPr>
        <w:rPr>
          <w:rFonts w:hint="default" w:ascii="Times New Roman" w:hAnsi="Times New Roman"/>
        </w:rPr>
      </w:pPr>
      <w:r>
        <w:rPr>
          <w:rFonts w:hint="default" w:ascii="Times New Roman" w:hAnsi="Times New Roman"/>
        </w:rPr>
        <w:br w:type="page"/>
      </w:r>
    </w:p>
    <w:p w14:paraId="56216F4F">
      <w:pPr>
        <w:spacing w:beforeLines="0" w:afterLines="0" w:line="578" w:lineRule="exact"/>
        <w:jc w:val="center"/>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专项预算项目绩效评价报告</w:t>
      </w:r>
    </w:p>
    <w:p w14:paraId="4698739D">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（结核筛查工作经费）</w:t>
      </w:r>
    </w:p>
    <w:p w14:paraId="0A62DB7B">
      <w:pPr>
        <w:pStyle w:val="35"/>
        <w:keepNext w:val="0"/>
        <w:keepLines w:val="0"/>
        <w:pageBreakBefore w:val="0"/>
        <w:kinsoku/>
        <w:wordWrap/>
        <w:overflowPunct/>
        <w:topLinePunct w:val="0"/>
        <w:autoSpaceDE/>
        <w:bidi w:val="0"/>
        <w:spacing w:beforeLines="0" w:afterLines="0" w:line="578" w:lineRule="exact"/>
        <w:ind w:left="0" w:leftChars="0" w:firstLine="640" w:firstLineChars="200"/>
        <w:jc w:val="center"/>
        <w:textAlignment w:val="auto"/>
        <w:rPr>
          <w:rFonts w:hint="default" w:ascii="Times New Roman" w:hAnsi="Times New Roman"/>
          <w:color w:val="auto"/>
          <w:kern w:val="2"/>
          <w:sz w:val="32"/>
          <w:szCs w:val="32"/>
        </w:rPr>
      </w:pPr>
    </w:p>
    <w:p w14:paraId="26396F5E">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eastAsia="黑体"/>
          <w:sz w:val="32"/>
          <w:szCs w:val="32"/>
          <w:lang w:val="zh-CN"/>
        </w:rPr>
      </w:pPr>
      <w:bookmarkStart w:id="210" w:name="_Toc26786"/>
      <w:bookmarkStart w:id="211" w:name="_Toc23752"/>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10"/>
      <w:bookmarkEnd w:id="211"/>
    </w:p>
    <w:p w14:paraId="399B54E5">
      <w:pPr>
        <w:keepNext w:val="0"/>
        <w:keepLines w:val="0"/>
        <w:pageBreakBefore w:val="0"/>
        <w:widowControl/>
        <w:numPr>
          <w:ilvl w:val="0"/>
          <w:numId w:val="0"/>
        </w:numPr>
        <w:kinsoku/>
        <w:wordWrap/>
        <w:overflowPunct/>
        <w:topLinePunct w:val="0"/>
        <w:autoSpaceDE/>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（一）设立背景及基本情况</w:t>
      </w:r>
    </w:p>
    <w:p w14:paraId="10B1CBF0">
      <w:pPr>
        <w:keepNext w:val="0"/>
        <w:keepLines w:val="0"/>
        <w:pageBreakBefore w:val="0"/>
        <w:widowControl/>
        <w:numPr>
          <w:ilvl w:val="0"/>
          <w:numId w:val="0"/>
        </w:numPr>
        <w:kinsoku/>
        <w:wordWrap/>
        <w:overflowPunct/>
        <w:topLinePunct w:val="0"/>
        <w:autoSpaceDE/>
        <w:bidi w:val="0"/>
        <w:adjustRightInd w:val="0"/>
        <w:snapToGrid w:val="0"/>
        <w:spacing w:beforeLines="0" w:afterLines="0" w:line="578" w:lineRule="exact"/>
        <w:ind w:left="0" w:leftChars="0" w:firstLine="640" w:firstLineChars="200"/>
        <w:jc w:val="left"/>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kern w:val="0"/>
          <w:sz w:val="32"/>
          <w:szCs w:val="32"/>
          <w:shd w:val="clear" w:color="auto" w:fill="FFFFFF"/>
          <w:lang w:val="zh-CN"/>
        </w:rPr>
        <w:t>根据《传染病防治法》《学校卫生工作条例》《中国学校结核病防治指南》等法</w:t>
      </w:r>
      <w:r>
        <w:rPr>
          <w:rFonts w:hint="eastAsia" w:ascii="Times New Roman" w:hAnsi="Times New Roman" w:eastAsia="仿宋_GB2312" w:cs="仿宋_GB2312"/>
          <w:sz w:val="32"/>
          <w:szCs w:val="32"/>
          <w:lang w:val="zh-CN"/>
        </w:rPr>
        <w:t>律法规及文件要求，结核病筛查作为各学校入学体检的</w:t>
      </w:r>
      <w:r>
        <w:rPr>
          <w:rFonts w:hint="eastAsia" w:ascii="Times New Roman" w:hAnsi="Times New Roman" w:eastAsia="仿宋_GB2312" w:cs="仿宋_GB2312"/>
          <w:color w:val="auto"/>
          <w:kern w:val="0"/>
          <w:sz w:val="32"/>
          <w:szCs w:val="32"/>
          <w:shd w:val="clear" w:color="auto" w:fill="FFFFFF"/>
          <w:lang w:val="zh-CN"/>
        </w:rPr>
        <w:t>必检项目，早发现、早治疗是防止学校结核病发生的重要手段。近年来各地学校结核病聚集性疫情时有发生，引发了社会广泛关注，且我县每年均有结核病散发疫情发生，疫情风险不容忽视，而对于高三学生除防控疫情外，一旦感染结核病将直接影响其升学考试，因此对初一、高一和高三学生开展结核病筛查十分必要并具重要意义。</w:t>
      </w:r>
    </w:p>
    <w:p w14:paraId="167C1385">
      <w:pPr>
        <w:keepNext w:val="0"/>
        <w:keepLines w:val="0"/>
        <w:pageBreakBefore w:val="0"/>
        <w:widowControl/>
        <w:numPr>
          <w:ilvl w:val="0"/>
          <w:numId w:val="0"/>
        </w:numPr>
        <w:kinsoku/>
        <w:wordWrap/>
        <w:overflowPunct/>
        <w:topLinePunct w:val="0"/>
        <w:autoSpaceDE/>
        <w:bidi w:val="0"/>
        <w:adjustRightInd w:val="0"/>
        <w:snapToGrid w:val="0"/>
        <w:spacing w:beforeLines="0" w:afterLines="0" w:line="578" w:lineRule="exact"/>
        <w:ind w:left="0" w:leftChars="0" w:firstLine="640" w:firstLineChars="200"/>
        <w:jc w:val="left"/>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kern w:val="0"/>
          <w:sz w:val="32"/>
          <w:szCs w:val="32"/>
          <w:shd w:val="clear" w:color="auto" w:fill="FFFFFF"/>
          <w:lang w:val="zh-CN"/>
        </w:rPr>
        <w:t>根据财政部、国家发展改革委《关于清理规范一批行政事业性收费有关政策的通知》（财税〔2017〕20号）等文件要求，取消涉及个人的预防性体检费，由同级财政预算予以保障，对辖区内初一、高一和高三学生开展结核病筛查的经费经县委县政府同意于2019年开始每年予以了财政预算保障，年度资金130万元，完成辖区内2.6万余名初一、高一和高三学生的筛查工作。</w:t>
      </w:r>
    </w:p>
    <w:p w14:paraId="094E7A2C">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rPr>
        <w:t>截止2023年12月底，筛查经费专款专用，共筛查147所学校，学校覆盖率100%，应筛查学生37</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283名，实际筛查36</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929名，筛查覆盖率99.05%，初筛阳性1</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044名，检出率2.83%。其中对全县所有幼托机构、小学入园（入学）新生进行症状筛查，应筛查学生9</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993名，实际筛查9</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993名，筛查覆盖率100%，初筛阳性3名，检出率0.03%。对初筛阳性学生均按要求进行了胸部摄片复查，确诊结核病患者14例(四川省大竹中学3例、大竹县第二中学10例、大竹县职业中学1例)，均纳入归口管理，目前正在进行积极治疗，避免了学校结核病疫情的发生和蔓延，切实保障了学生群体的健康权益。</w:t>
      </w:r>
    </w:p>
    <w:p w14:paraId="11B0D0A9">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kern w:val="0"/>
          <w:sz w:val="32"/>
          <w:szCs w:val="32"/>
          <w:shd w:val="clear" w:color="auto" w:fill="FFFFFF"/>
          <w:lang w:val="zh-CN"/>
        </w:rPr>
        <w:t>主管部门职能：</w:t>
      </w:r>
    </w:p>
    <w:p w14:paraId="1DA8D01D">
      <w:pPr>
        <w:keepNext w:val="0"/>
        <w:keepLines w:val="0"/>
        <w:pageBreakBefore w:val="0"/>
        <w:numPr>
          <w:ilvl w:val="0"/>
          <w:numId w:val="0"/>
        </w:numPr>
        <w:tabs>
          <w:tab w:val="right" w:pos="9127"/>
        </w:tabs>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县教科局：牵头组织制定实施方案，协调辖区各学校主动联系医疗机构开展结核病筛查工作，负责对各学校开展督导检查，促使其落实相关工作职责。</w:t>
      </w:r>
    </w:p>
    <w:p w14:paraId="2F488C0A">
      <w:pPr>
        <w:keepNext w:val="0"/>
        <w:keepLines w:val="0"/>
        <w:pageBreakBefore w:val="0"/>
        <w:numPr>
          <w:ilvl w:val="0"/>
          <w:numId w:val="0"/>
        </w:numPr>
        <w:tabs>
          <w:tab w:val="right" w:pos="9127"/>
        </w:tabs>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sz w:val="32"/>
          <w:szCs w:val="32"/>
        </w:rPr>
        <w:t>县卫健局：配合县教科局制定实施方案，协调辖区医疗机构开展结核病筛查工作，负责对各医疗机构开展督导检查，促使其落实相关工作职责。</w:t>
      </w:r>
    </w:p>
    <w:p w14:paraId="00F49A90">
      <w:pPr>
        <w:keepNext w:val="0"/>
        <w:keepLines w:val="0"/>
        <w:pageBreakBefore w:val="0"/>
        <w:numPr>
          <w:ilvl w:val="0"/>
          <w:numId w:val="5"/>
        </w:numPr>
        <w:kinsoku/>
        <w:wordWrap/>
        <w:overflowPunct/>
        <w:topLinePunct w:val="0"/>
        <w:autoSpaceDE/>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实施目的及支持方向</w:t>
      </w:r>
    </w:p>
    <w:p w14:paraId="4BAC2FBD">
      <w:pPr>
        <w:pStyle w:val="2"/>
        <w:keepNext w:val="0"/>
        <w:keepLines w:val="0"/>
        <w:pageBreakBefore w:val="0"/>
        <w:numPr>
          <w:ilvl w:val="0"/>
          <w:numId w:val="0"/>
        </w:numPr>
        <w:kinsoku/>
        <w:wordWrap/>
        <w:overflowPunct/>
        <w:topLinePunct w:val="0"/>
        <w:autoSpaceDE/>
        <w:bidi w:val="0"/>
        <w:spacing w:beforeLines="0" w:after="0" w:afterLines="0" w:line="578" w:lineRule="exact"/>
        <w:ind w:left="0" w:leftChars="0" w:firstLine="640" w:firstLineChars="200"/>
        <w:textAlignment w:val="auto"/>
        <w:rPr>
          <w:rFonts w:hint="eastAsia" w:ascii="Times New Roman" w:hAnsi="Times New Roman" w:eastAsia="仿宋_GB2312" w:cs="仿宋_GB2312"/>
          <w:color w:val="auto"/>
          <w:kern w:val="0"/>
          <w:sz w:val="32"/>
          <w:szCs w:val="32"/>
          <w:shd w:val="clear" w:color="auto" w:fill="FFFFFF"/>
        </w:rPr>
      </w:pPr>
      <w:r>
        <w:rPr>
          <w:rFonts w:hint="eastAsia" w:ascii="Times New Roman" w:hAnsi="Times New Roman" w:eastAsia="仿宋_GB2312" w:cs="仿宋_GB2312"/>
          <w:color w:val="auto"/>
          <w:kern w:val="0"/>
          <w:sz w:val="32"/>
          <w:szCs w:val="32"/>
          <w:shd w:val="clear" w:color="auto" w:fill="FFFFFF"/>
        </w:rPr>
        <w:t>新生入学及高三学生结核病筛查工作开展以来，每年均有详尽的实施</w:t>
      </w:r>
      <w:r>
        <w:rPr>
          <w:rFonts w:hint="eastAsia" w:ascii="Times New Roman" w:hAnsi="Times New Roman" w:eastAsia="仿宋_GB2312" w:cs="仿宋_GB2312"/>
          <w:color w:val="auto"/>
          <w:sz w:val="32"/>
          <w:szCs w:val="32"/>
        </w:rPr>
        <w:t>方案，项目资金管理办法制定完整，落实到位。通过对全县所有幼托机构、小学入园（入学）新生进行症状筛查及新入学初一、高一和高三学生肺结核密切接触史和可疑症状及结核菌素皮肤试验筛查，掌握全县学生结核病流行病学状况，及时发现学校学生中的结核病人并给予有效治疗，预防和控制学校结核病疫情的发生和流行，为政府制定结核病防控策略提供科学依据。</w:t>
      </w:r>
    </w:p>
    <w:p w14:paraId="683E2B1E">
      <w:pPr>
        <w:keepNext w:val="0"/>
        <w:keepLines w:val="0"/>
        <w:pageBreakBefore w:val="0"/>
        <w:numPr>
          <w:ilvl w:val="0"/>
          <w:numId w:val="0"/>
        </w:numPr>
        <w:kinsoku/>
        <w:wordWrap/>
        <w:overflowPunct/>
        <w:topLinePunct w:val="0"/>
        <w:autoSpaceDE/>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75A11336">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全部经费按计划用于结核病筛查试剂采购、乡镇卫生院采血补助、人员培训督导及知识宣传等各项工作的开展。</w:t>
      </w:r>
      <w:r>
        <w:rPr>
          <w:rFonts w:hint="eastAsia" w:ascii="Times New Roman" w:hAnsi="Times New Roman" w:eastAsia="仿宋_GB2312" w:cs="仿宋_GB2312"/>
          <w:color w:val="auto"/>
          <w:sz w:val="32"/>
          <w:szCs w:val="32"/>
        </w:rPr>
        <w:t>具体如下：</w:t>
      </w:r>
    </w:p>
    <w:p w14:paraId="6BF5BA64">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s="仿宋_GB2312"/>
          <w:color w:val="auto"/>
          <w:sz w:val="32"/>
          <w:szCs w:val="32"/>
        </w:rPr>
        <w:t>秋季新入学初一、高一和高三筛查工作由县级财政根据成本核算予以经费保障，相关试剂由县疾控中心统一提供，对各医疗机构按照7元/人的标准予以补助,不宜进行结核菌素皮试而采取胸片检查代替的按照40元/人的标准补助，工作结束后由县疾控中心据实统一拨付。</w:t>
      </w:r>
    </w:p>
    <w:p w14:paraId="72A79A40">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w:t>
      </w:r>
      <w:r>
        <w:rPr>
          <w:rFonts w:hint="eastAsia" w:ascii="Times New Roman" w:hAnsi="Times New Roman" w:eastAsia="仿宋_GB2312" w:cs="仿宋_GB2312"/>
          <w:color w:val="auto"/>
          <w:sz w:val="32"/>
          <w:szCs w:val="32"/>
        </w:rPr>
        <w:t>幼托机构、小学入园（入学）新生肺结核密切接触史和可疑症状筛查按照2元/人的标准对各医疗机构予以补助，针对有接触史或可疑症状需进一步开展结核菌素皮肤试验的按照7元/生的标准对各医疗机构予以补助，工作结束后由县疾控中心据实统一拨付。</w:t>
      </w:r>
    </w:p>
    <w:p w14:paraId="19902913">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Times New Roman" w:hAnsi="Times New Roman" w:eastAsia="仿宋_GB2312" w:cs="仿宋_GB2312"/>
          <w:color w:val="auto"/>
          <w:sz w:val="32"/>
          <w:szCs w:val="32"/>
        </w:rPr>
        <w:t>涉及初筛阳性学生胸片复查及潜伏感染者胸片复查的费用，由学生自行承担。</w:t>
      </w:r>
    </w:p>
    <w:p w14:paraId="4749D72F">
      <w:pPr>
        <w:pStyle w:val="2"/>
        <w:keepNext w:val="0"/>
        <w:keepLines w:val="0"/>
        <w:pageBreakBefore w:val="0"/>
        <w:kinsoku/>
        <w:wordWrap/>
        <w:overflowPunct/>
        <w:topLinePunct w:val="0"/>
        <w:autoSpaceDE/>
        <w:bidi w:val="0"/>
        <w:spacing w:beforeLines="0" w:after="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4.</w:t>
      </w:r>
      <w:r>
        <w:rPr>
          <w:rFonts w:hint="eastAsia" w:ascii="Times New Roman" w:hAnsi="Times New Roman" w:eastAsia="仿宋_GB2312" w:cs="仿宋_GB2312"/>
          <w:color w:val="auto"/>
          <w:sz w:val="32"/>
          <w:szCs w:val="32"/>
        </w:rPr>
        <w:t>相关工作</w:t>
      </w:r>
      <w:r>
        <w:rPr>
          <w:rFonts w:hint="eastAsia" w:ascii="Times New Roman" w:hAnsi="Times New Roman" w:eastAsia="仿宋_GB2312" w:cs="仿宋_GB2312"/>
          <w:sz w:val="32"/>
          <w:szCs w:val="32"/>
        </w:rPr>
        <w:t>人员培训、卫生督导及防控知识宣传等各项工作资金按实际情况分配。</w:t>
      </w:r>
    </w:p>
    <w:p w14:paraId="586C18BE">
      <w:pPr>
        <w:keepNext w:val="0"/>
        <w:keepLines w:val="0"/>
        <w:pageBreakBefore w:val="0"/>
        <w:numPr>
          <w:ilvl w:val="0"/>
          <w:numId w:val="0"/>
        </w:numPr>
        <w:kinsoku/>
        <w:wordWrap/>
        <w:overflowPunct/>
        <w:topLinePunct w:val="0"/>
        <w:autoSpaceDE/>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（四）项目绩效目标设置</w:t>
      </w:r>
    </w:p>
    <w:p w14:paraId="51A60B4C">
      <w:pPr>
        <w:pStyle w:val="2"/>
        <w:keepNext w:val="0"/>
        <w:keepLines w:val="0"/>
        <w:pageBreakBefore w:val="0"/>
        <w:numPr>
          <w:ilvl w:val="0"/>
          <w:numId w:val="0"/>
        </w:numPr>
        <w:kinsoku/>
        <w:wordWrap/>
        <w:overflowPunct/>
        <w:topLinePunct w:val="0"/>
        <w:autoSpaceDE/>
        <w:bidi w:val="0"/>
        <w:spacing w:beforeLines="0" w:after="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通过该项目，掌握全县学生结核病流行病学状况，及时发现学校学生中的结核病人并给予有效治疗，预防和控制学校结核病疫情的发生和流行，同时为政府制定结核病防控策略提供科学依据，保障我县卫生工作的持续发展。具体绩效目标如下：</w:t>
      </w:r>
    </w:p>
    <w:p w14:paraId="46C2956E">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s="仿宋_GB2312"/>
          <w:color w:val="auto"/>
          <w:sz w:val="32"/>
          <w:szCs w:val="32"/>
        </w:rPr>
        <w:t>全县幼托机构、小学入园（入学）新生肺结核密切接触史和可疑症状筛查率达100%，对有肺结核密切接触史或可疑症状者开展结核菌素皮肤试验筛查率达100%。</w:t>
      </w:r>
    </w:p>
    <w:p w14:paraId="6062BFB5">
      <w:pPr>
        <w:keepNext w:val="0"/>
        <w:keepLines w:val="0"/>
        <w:pageBreakBefore w:val="0"/>
        <w:kinsoku/>
        <w:wordWrap/>
        <w:overflowPunct/>
        <w:topLinePunct w:val="0"/>
        <w:autoSpaceDE/>
        <w:autoSpaceDN w:val="0"/>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Times New Roman" w:hAnsi="Times New Roman" w:eastAsia="仿宋_GB2312" w:cs="仿宋_GB2312"/>
          <w:color w:val="auto"/>
          <w:sz w:val="32"/>
          <w:szCs w:val="32"/>
        </w:rPr>
        <w:t>全县秋季新入学初一、高一和高三学生生肺结核密切接触史和可疑症状及结核菌素皮肤试验筛查率达100%，初筛阳性学生跟踪复查率达100%，疑似结核病学生转诊率达100%。</w:t>
      </w:r>
    </w:p>
    <w:p w14:paraId="3E09EC52">
      <w:pPr>
        <w:pStyle w:val="2"/>
        <w:keepNext w:val="0"/>
        <w:keepLines w:val="0"/>
        <w:pageBreakBefore w:val="0"/>
        <w:widowControl w:val="0"/>
        <w:kinsoku/>
        <w:wordWrap/>
        <w:overflowPunct/>
        <w:topLinePunct w:val="0"/>
        <w:autoSpaceDE/>
        <w:autoSpaceDN/>
        <w:bidi w:val="0"/>
        <w:adjustRightInd/>
        <w:snapToGrid/>
        <w:spacing w:beforeLines="0" w:after="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rPr>
        <w:t>截止2023年12月底，筛查经费专款专用，共筛查147所学校，学校覆盖率100%，应筛查学生37</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283名，实际筛查36</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929名，筛查覆盖率99.05%，初筛阳性1</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044名，检出率2.83%。其中对全县所有幼托机构、小学入园（入学）新生进行症状筛查，应筛查学生9</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993名，实际筛查9</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993名，筛查覆盖率100%，初筛阳性3名，检出率0.03%。对初筛阳性学生均按要求进行了胸部摄片复查，确诊结核病患者14例(四川省大竹中学3例、大竹县第二中学10例、大竹县职业中学1例)，均纳入归口管理。</w:t>
      </w:r>
      <w:r>
        <w:rPr>
          <w:rFonts w:hint="eastAsia" w:ascii="Times New Roman" w:hAnsi="Times New Roman" w:eastAsia="仿宋_GB2312" w:cs="仿宋_GB2312"/>
          <w:sz w:val="32"/>
          <w:szCs w:val="32"/>
        </w:rPr>
        <w:t>通过筛查及时发现了学生群体中的结核病感染者，避免了学校</w:t>
      </w:r>
      <w:r>
        <w:rPr>
          <w:rFonts w:hint="eastAsia" w:ascii="Times New Roman" w:hAnsi="Times New Roman" w:eastAsia="仿宋_GB2312" w:cs="仿宋_GB2312"/>
          <w:color w:val="000000"/>
          <w:sz w:val="32"/>
          <w:szCs w:val="32"/>
          <w:shd w:val="clear" w:color="auto" w:fill="FFFFFF"/>
        </w:rPr>
        <w:t>结核病疫情的发生和蔓延，避免了高三学生因病延误高考，保障了学生群体的健康权益，较大程度减少了家庭经济负担及社会负面影响</w:t>
      </w:r>
      <w:r>
        <w:rPr>
          <w:rFonts w:hint="eastAsia" w:ascii="Times New Roman" w:hAnsi="Times New Roman" w:eastAsia="仿宋_GB2312" w:cs="仿宋_GB2312"/>
          <w:sz w:val="32"/>
          <w:szCs w:val="32"/>
          <w:lang w:val="zh-CN"/>
        </w:rPr>
        <w:t>。</w:t>
      </w:r>
    </w:p>
    <w:p w14:paraId="342ED67E">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sz w:val="32"/>
          <w:szCs w:val="32"/>
        </w:rPr>
      </w:pPr>
      <w:bookmarkStart w:id="212" w:name="_Toc25876"/>
      <w:bookmarkStart w:id="213" w:name="_Toc10107"/>
      <w:r>
        <w:rPr>
          <w:rFonts w:hint="eastAsia" w:ascii="Times New Roman" w:hAnsi="Times New Roman" w:eastAsia="黑体"/>
          <w:sz w:val="32"/>
          <w:szCs w:val="32"/>
        </w:rPr>
        <w:t>二、评价实施</w:t>
      </w:r>
      <w:bookmarkEnd w:id="212"/>
      <w:bookmarkEnd w:id="213"/>
    </w:p>
    <w:p w14:paraId="7D07C4A2">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70AC9906">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通过项目绩效自评，督促项目推进进度，落实民生保障。</w:t>
      </w:r>
    </w:p>
    <w:p w14:paraId="4AD5F75F">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（二）预设问题及评价重点</w:t>
      </w:r>
      <w:r>
        <w:rPr>
          <w:rFonts w:hint="eastAsia" w:ascii="Times New Roman" w:hAnsi="Times New Roman"/>
          <w:sz w:val="32"/>
          <w:szCs w:val="32"/>
        </w:rPr>
        <w:t xml:space="preserve">         </w:t>
      </w:r>
    </w:p>
    <w:p w14:paraId="356146BC">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本项目工作的实施涉及资金能够按照预定的分配方案准确、及时地拨付到各个活动环节。资金的使用遵循了中心相关的财务管理制度和审批流程，无资金闲置或浪费的情况，分配比例合理，筛查覆盖率等关键指标得到了显著改善。专项预算项目绩效评价对提高新生入学及高三学生结核病筛查工作实施的可及性和质量产生了积极影响。</w:t>
      </w:r>
    </w:p>
    <w:p w14:paraId="30A4D25C">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3B77862E">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603793BC">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5F51DD1C">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lang w:val="zh-CN"/>
        </w:rPr>
        <w:t>我中心根据年初预算项目绩效目标设定情况进行项目年终自评</w:t>
      </w:r>
      <w:r>
        <w:rPr>
          <w:rFonts w:hint="eastAsia" w:ascii="Times New Roman" w:hAnsi="Times New Roman" w:eastAsia="仿宋_GB2312" w:cs="仿宋_GB2312"/>
          <w:sz w:val="32"/>
          <w:szCs w:val="32"/>
        </w:rPr>
        <w:t>。</w:t>
      </w:r>
    </w:p>
    <w:p w14:paraId="26A13735">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color w:val="auto"/>
          <w:sz w:val="32"/>
          <w:szCs w:val="32"/>
          <w:lang w:val="zh-CN"/>
        </w:rPr>
      </w:pPr>
      <w:bookmarkStart w:id="214" w:name="_Toc21982"/>
      <w:bookmarkStart w:id="215" w:name="_Toc5328"/>
      <w:r>
        <w:rPr>
          <w:rFonts w:hint="eastAsia" w:ascii="Times New Roman" w:hAnsi="Times New Roman" w:eastAsia="黑体"/>
          <w:color w:val="auto"/>
          <w:sz w:val="32"/>
          <w:szCs w:val="32"/>
        </w:rPr>
        <w:t>三、绩效分析</w:t>
      </w:r>
      <w:bookmarkEnd w:id="214"/>
      <w:bookmarkEnd w:id="215"/>
    </w:p>
    <w:p w14:paraId="1020BE75">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（一）通用指标绩效分析（54分）</w:t>
      </w:r>
    </w:p>
    <w:p w14:paraId="4968A22C">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50B41C2B">
      <w:pPr>
        <w:keepNext w:val="0"/>
        <w:keepLines w:val="0"/>
        <w:pageBreakBefore w:val="0"/>
        <w:kinsoku/>
        <w:wordWrap/>
        <w:overflowPunct/>
        <w:topLinePunct w:val="0"/>
        <w:autoSpaceDE/>
        <w:bidi w:val="0"/>
        <w:spacing w:beforeLines="0" w:afterLines="0" w:line="578" w:lineRule="exact"/>
        <w:ind w:left="0" w:leftChars="0" w:firstLine="640" w:firstLineChars="200"/>
        <w:textAlignment w:val="auto"/>
        <w:outlineLvl w:val="2"/>
        <w:rPr>
          <w:rFonts w:hint="eastAsia" w:ascii="Times New Roman" w:hAnsi="Times New Roman" w:eastAsia="楷体_GB2312" w:cs="楷体_GB2312"/>
          <w:color w:val="auto"/>
          <w:sz w:val="32"/>
          <w:szCs w:val="32"/>
          <w:lang w:val="zh-CN"/>
        </w:rPr>
      </w:pPr>
      <w:r>
        <w:rPr>
          <w:rFonts w:hint="eastAsia" w:ascii="Times New Roman" w:hAnsi="Times New Roman" w:eastAsia="楷体_GB2312"/>
          <w:b w:val="0"/>
          <w:bCs/>
          <w:color w:val="auto"/>
          <w:sz w:val="32"/>
          <w:szCs w:val="32"/>
          <w:lang w:val="zh-CN"/>
        </w:rPr>
        <w:t>（二）专用指标绩效分析（30分）</w:t>
      </w:r>
    </w:p>
    <w:p w14:paraId="24944951">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zh-CN"/>
        </w:rPr>
        <w:t>项目由县</w:t>
      </w:r>
      <w:r>
        <w:rPr>
          <w:rFonts w:hint="eastAsia" w:ascii="Times New Roman" w:hAnsi="Times New Roman" w:eastAsia="仿宋_GB2312" w:cs="仿宋_GB2312"/>
          <w:sz w:val="32"/>
          <w:szCs w:val="32"/>
        </w:rPr>
        <w:t>教育局牵头，县卫健局</w:t>
      </w:r>
      <w:r>
        <w:rPr>
          <w:rFonts w:hint="eastAsia" w:ascii="Times New Roman" w:hAnsi="Times New Roman" w:eastAsia="仿宋_GB2312" w:cs="仿宋_GB2312"/>
          <w:color w:val="auto"/>
          <w:sz w:val="32"/>
          <w:szCs w:val="32"/>
        </w:rPr>
        <w:t>配合实施开展工作</w:t>
      </w:r>
      <w:r>
        <w:rPr>
          <w:rFonts w:hint="eastAsia" w:ascii="Times New Roman" w:hAnsi="Times New Roman" w:eastAsia="仿宋_GB2312" w:cs="仿宋_GB2312"/>
          <w:sz w:val="32"/>
          <w:szCs w:val="32"/>
          <w:lang w:val="zh-CN"/>
        </w:rPr>
        <w:t>，县疾控中心具体承办，各部门各单位积极参与。县疾控中心设立了</w:t>
      </w:r>
      <w:r>
        <w:rPr>
          <w:rFonts w:hint="eastAsia" w:ascii="Times New Roman" w:hAnsi="Times New Roman" w:eastAsia="仿宋_GB2312" w:cs="仿宋_GB2312"/>
          <w:sz w:val="32"/>
          <w:szCs w:val="32"/>
        </w:rPr>
        <w:t>公共卫生健康危害因素控制科</w:t>
      </w: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sz w:val="32"/>
          <w:szCs w:val="32"/>
        </w:rPr>
        <w:t>下设学校卫生工作小组，配备专业人员，负责学生结核筛查和指导工作。每年均下发了该项工作实施方案，培训通知，相关工作联合督导通知，对相关人员进行了培训，结合创文、结核病宣传、学生近视宣传、学生营养宣传工作在社区及学校广泛开展宣传。中心按照方案要求按时按质对筛查结果进行质控，公卫科将阳性数据与结防所进行对接，确保工作高质量、高要求的开展。</w:t>
      </w:r>
    </w:p>
    <w:p w14:paraId="2457BB36">
      <w:pPr>
        <w:keepNext w:val="0"/>
        <w:keepLines w:val="0"/>
        <w:pageBreakBefore w:val="0"/>
        <w:numPr>
          <w:ilvl w:val="0"/>
          <w:numId w:val="0"/>
        </w:numPr>
        <w:kinsoku/>
        <w:wordWrap/>
        <w:overflowPunct/>
        <w:topLinePunct w:val="0"/>
        <w:autoSpaceDE/>
        <w:bidi w:val="0"/>
        <w:spacing w:beforeLines="0" w:afterLines="0" w:line="578" w:lineRule="exact"/>
        <w:ind w:left="0" w:leftChars="0" w:firstLine="640" w:firstLineChars="200"/>
        <w:textAlignment w:val="auto"/>
        <w:outlineLvl w:val="2"/>
        <w:rPr>
          <w:rFonts w:hint="eastAsia" w:ascii="Times New Roman" w:hAnsi="Times New Roman"/>
          <w:color w:val="auto"/>
          <w:sz w:val="32"/>
          <w:szCs w:val="32"/>
          <w:lang w:val="zh-CN"/>
        </w:rPr>
      </w:pPr>
      <w:r>
        <w:rPr>
          <w:rFonts w:hint="eastAsia" w:ascii="Times New Roman" w:hAnsi="Times New Roman" w:eastAsia="楷体_GB2312"/>
          <w:b w:val="0"/>
          <w:bCs/>
          <w:color w:val="auto"/>
          <w:sz w:val="32"/>
          <w:szCs w:val="32"/>
          <w:lang w:val="zh-CN"/>
        </w:rPr>
        <w:t>（三）个性指标绩效分析（16分）</w:t>
      </w:r>
    </w:p>
    <w:p w14:paraId="7FF36645">
      <w:pPr>
        <w:pStyle w:val="2"/>
        <w:keepNext w:val="0"/>
        <w:keepLines w:val="0"/>
        <w:pageBreakBefore w:val="0"/>
        <w:numPr>
          <w:ilvl w:val="0"/>
          <w:numId w:val="0"/>
        </w:numPr>
        <w:kinsoku/>
        <w:wordWrap/>
        <w:overflowPunct/>
        <w:topLinePunct w:val="0"/>
        <w:autoSpaceDE/>
        <w:bidi w:val="0"/>
        <w:spacing w:beforeLines="0" w:after="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通过掌握全县学生结核病筛查覆盖率，为政府制定结核病防控策略提供客观数据支持。降低了肺结核病在学生群体中的发病率，保障了我县学生的身体健康，同时提高了肺结核病在学生群体的知晓度，增强了广大居民参与肺结核防治的积极性。</w:t>
      </w:r>
    </w:p>
    <w:p w14:paraId="46B95FD9">
      <w:pPr>
        <w:pStyle w:val="8"/>
        <w:keepNext w:val="0"/>
        <w:keepLines w:val="0"/>
        <w:pageBreakBefore w:val="0"/>
        <w:numPr>
          <w:ilvl w:val="0"/>
          <w:numId w:val="0"/>
        </w:numPr>
        <w:tabs>
          <w:tab w:val="left" w:pos="2160"/>
        </w:tabs>
        <w:kinsoku/>
        <w:wordWrap/>
        <w:overflowPunct/>
        <w:topLinePunct w:val="0"/>
        <w:autoSpaceDE/>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216" w:name="_Toc12107"/>
      <w:bookmarkStart w:id="217" w:name="_Toc30710"/>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16"/>
      <w:bookmarkEnd w:id="217"/>
    </w:p>
    <w:p w14:paraId="52F641F2">
      <w:pPr>
        <w:keepNext w:val="0"/>
        <w:keepLines w:val="0"/>
        <w:pageBreakBefore w:val="0"/>
        <w:kinsoku/>
        <w:wordWrap/>
        <w:overflowPunct/>
        <w:topLinePunct w:val="0"/>
        <w:autoSpaceDE/>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评估总得分100分，各项评估指标均能按要求达成，按现有目标绩效及资金安排能满足需求，无需核减预算安排，应继续保留持续开展。</w:t>
      </w:r>
    </w:p>
    <w:p w14:paraId="491B7503">
      <w:pPr>
        <w:pStyle w:val="8"/>
        <w:keepNext w:val="0"/>
        <w:keepLines w:val="0"/>
        <w:pageBreakBefore w:val="0"/>
        <w:numPr>
          <w:ilvl w:val="0"/>
          <w:numId w:val="0"/>
        </w:numPr>
        <w:tabs>
          <w:tab w:val="left" w:pos="2160"/>
        </w:tabs>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auto"/>
          <w:kern w:val="2"/>
          <w:sz w:val="32"/>
          <w:szCs w:val="32"/>
          <w:lang w:val="zh-CN" w:eastAsia="zh-CN"/>
        </w:rPr>
        <w:t>近年来各地学校结核病聚集性疫情时有发生，引发了社会广泛关注，且我县每年均有结核病散发疫情发生，疫情风险不容忽视，</w:t>
      </w:r>
      <w:r>
        <w:rPr>
          <w:rFonts w:hint="eastAsia" w:ascii="Times New Roman" w:hAnsi="Times New Roman" w:eastAsia="仿宋_GB2312" w:cs="仿宋_GB2312"/>
          <w:color w:val="auto"/>
          <w:kern w:val="2"/>
          <w:sz w:val="32"/>
          <w:szCs w:val="32"/>
          <w:lang w:eastAsia="zh-CN"/>
        </w:rPr>
        <w:t>通过本项目的实施，摸清了我县</w:t>
      </w:r>
      <w:r>
        <w:rPr>
          <w:rFonts w:hint="eastAsia" w:ascii="Times New Roman" w:hAnsi="Times New Roman" w:eastAsia="仿宋_GB2312" w:cs="仿宋_GB2312"/>
          <w:color w:val="auto"/>
          <w:kern w:val="2"/>
          <w:sz w:val="32"/>
          <w:szCs w:val="32"/>
          <w:lang w:val="zh-CN" w:eastAsia="zh-CN"/>
        </w:rPr>
        <w:t>初一、高一和高三学生开展结核病</w:t>
      </w:r>
      <w:r>
        <w:rPr>
          <w:rFonts w:hint="eastAsia" w:ascii="Times New Roman" w:hAnsi="Times New Roman" w:eastAsia="仿宋_GB2312" w:cs="仿宋_GB2312"/>
          <w:color w:val="auto"/>
          <w:kern w:val="2"/>
          <w:sz w:val="32"/>
          <w:szCs w:val="32"/>
          <w:lang w:eastAsia="zh-CN"/>
        </w:rPr>
        <w:t>感染的基本情况，特别是</w:t>
      </w:r>
      <w:r>
        <w:rPr>
          <w:rFonts w:hint="eastAsia" w:ascii="Times New Roman" w:hAnsi="Times New Roman" w:eastAsia="仿宋_GB2312" w:cs="仿宋_GB2312"/>
          <w:color w:val="auto"/>
          <w:kern w:val="2"/>
          <w:sz w:val="32"/>
          <w:szCs w:val="32"/>
          <w:lang w:val="zh-CN" w:eastAsia="zh-CN"/>
        </w:rPr>
        <w:t>对于高三学生除防控疫情外，</w:t>
      </w:r>
      <w:r>
        <w:rPr>
          <w:rFonts w:hint="eastAsia" w:ascii="Times New Roman" w:hAnsi="Times New Roman" w:eastAsia="仿宋_GB2312" w:cs="仿宋_GB2312"/>
          <w:color w:val="auto"/>
          <w:kern w:val="2"/>
          <w:sz w:val="32"/>
          <w:szCs w:val="32"/>
          <w:lang w:eastAsia="zh-CN"/>
        </w:rPr>
        <w:t>还减少因</w:t>
      </w:r>
      <w:r>
        <w:rPr>
          <w:rFonts w:hint="eastAsia" w:ascii="Times New Roman" w:hAnsi="Times New Roman" w:eastAsia="仿宋_GB2312" w:cs="仿宋_GB2312"/>
          <w:color w:val="auto"/>
          <w:kern w:val="2"/>
          <w:sz w:val="32"/>
          <w:szCs w:val="32"/>
          <w:lang w:val="zh-CN" w:eastAsia="zh-CN"/>
        </w:rPr>
        <w:t>感染结核病</w:t>
      </w:r>
      <w:r>
        <w:rPr>
          <w:rFonts w:hint="eastAsia" w:ascii="Times New Roman" w:hAnsi="Times New Roman" w:eastAsia="仿宋_GB2312" w:cs="仿宋_GB2312"/>
          <w:color w:val="auto"/>
          <w:kern w:val="2"/>
          <w:sz w:val="32"/>
          <w:szCs w:val="32"/>
          <w:lang w:eastAsia="zh-CN"/>
        </w:rPr>
        <w:t>而</w:t>
      </w:r>
      <w:r>
        <w:rPr>
          <w:rFonts w:hint="eastAsia" w:ascii="Times New Roman" w:hAnsi="Times New Roman" w:eastAsia="仿宋_GB2312" w:cs="仿宋_GB2312"/>
          <w:color w:val="auto"/>
          <w:kern w:val="2"/>
          <w:sz w:val="32"/>
          <w:szCs w:val="32"/>
          <w:lang w:val="zh-CN" w:eastAsia="zh-CN"/>
        </w:rPr>
        <w:t>影响其升学</w:t>
      </w:r>
      <w:r>
        <w:rPr>
          <w:rFonts w:hint="eastAsia" w:ascii="Times New Roman" w:hAnsi="Times New Roman" w:eastAsia="仿宋_GB2312" w:cs="仿宋_GB2312"/>
          <w:color w:val="auto"/>
          <w:kern w:val="2"/>
          <w:sz w:val="32"/>
          <w:szCs w:val="32"/>
          <w:lang w:eastAsia="zh-CN"/>
        </w:rPr>
        <w:t>的情况发生</w:t>
      </w:r>
      <w:r>
        <w:rPr>
          <w:rFonts w:hint="eastAsia" w:ascii="Times New Roman" w:hAnsi="Times New Roman" w:eastAsia="仿宋_GB2312" w:cs="仿宋_GB2312"/>
          <w:color w:val="auto"/>
          <w:kern w:val="2"/>
          <w:sz w:val="32"/>
          <w:szCs w:val="32"/>
          <w:lang w:val="zh-CN" w:eastAsia="zh-CN"/>
        </w:rPr>
        <w:t>。</w:t>
      </w:r>
      <w:r>
        <w:rPr>
          <w:rFonts w:hint="eastAsia" w:ascii="Times New Roman" w:hAnsi="Times New Roman" w:eastAsia="仿宋_GB2312" w:cs="仿宋_GB2312"/>
          <w:color w:val="000000"/>
          <w:sz w:val="32"/>
          <w:szCs w:val="32"/>
          <w:shd w:val="clear" w:color="auto" w:fill="FFFFFF"/>
          <w:lang w:eastAsia="zh-CN"/>
        </w:rPr>
        <w:t>近年来，在县委、县政府的高度重视下，学生结核病筛查工作得到了县财政经费保障并顺利开展，筛查覆盖率达99.05%，基本实现了在校中学生重点目标人群的全覆盖。所有初筛阳性学生均进行了胸片复查，并及时发现了14名结核病患者，经规范处置，大大降低了结核病在学校传播流行的安全隐患。</w:t>
      </w:r>
    </w:p>
    <w:p w14:paraId="3D1943A9">
      <w:pPr>
        <w:pStyle w:val="8"/>
        <w:keepNext w:val="0"/>
        <w:keepLines w:val="0"/>
        <w:pageBreakBefore w:val="0"/>
        <w:numPr>
          <w:ilvl w:val="0"/>
          <w:numId w:val="0"/>
        </w:numPr>
        <w:tabs>
          <w:tab w:val="left" w:pos="2160"/>
        </w:tabs>
        <w:kinsoku/>
        <w:wordWrap/>
        <w:overflowPunct/>
        <w:topLinePunct w:val="0"/>
        <w:autoSpaceDE/>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218" w:name="_Toc17684"/>
      <w:bookmarkStart w:id="219" w:name="_Toc21188"/>
      <w:r>
        <w:rPr>
          <w:rFonts w:hint="eastAsia" w:ascii="Times New Roman" w:hAnsi="Times New Roman" w:eastAsia="黑体"/>
          <w:color w:val="auto"/>
          <w:sz w:val="32"/>
          <w:szCs w:val="32"/>
          <w:lang w:eastAsia="zh-CN"/>
        </w:rPr>
        <w:t>五、存在主要问题</w:t>
      </w:r>
      <w:bookmarkEnd w:id="218"/>
      <w:bookmarkEnd w:id="219"/>
    </w:p>
    <w:p w14:paraId="173FC22F">
      <w:pPr>
        <w:pStyle w:val="8"/>
        <w:keepNext w:val="0"/>
        <w:keepLines w:val="0"/>
        <w:pageBreakBefore w:val="0"/>
        <w:numPr>
          <w:ilvl w:val="0"/>
          <w:numId w:val="0"/>
        </w:numPr>
        <w:tabs>
          <w:tab w:val="left" w:pos="2160"/>
        </w:tabs>
        <w:kinsoku/>
        <w:wordWrap/>
        <w:overflowPunct/>
        <w:topLinePunct w:val="0"/>
        <w:autoSpaceDE/>
        <w:bidi w:val="0"/>
        <w:spacing w:beforeLines="0" w:afterLines="0" w:line="578" w:lineRule="exact"/>
        <w:ind w:left="0" w:leftChars="0" w:firstLine="640" w:firstLineChars="200"/>
        <w:textAlignment w:val="auto"/>
        <w:rPr>
          <w:rFonts w:hint="eastAsia" w:ascii="Times New Roman" w:hAnsi="Times New Roman" w:eastAsia="黑体" w:cs="黑体"/>
          <w:kern w:val="2"/>
          <w:sz w:val="32"/>
          <w:szCs w:val="32"/>
          <w:lang w:eastAsia="zh-CN"/>
        </w:rPr>
      </w:pPr>
      <w:r>
        <w:rPr>
          <w:rFonts w:hint="eastAsia" w:ascii="Times New Roman" w:hAnsi="Times New Roman" w:eastAsia="仿宋_GB2312" w:cs="仿宋_GB2312"/>
          <w:sz w:val="32"/>
          <w:szCs w:val="32"/>
          <w:lang w:eastAsia="zh-CN"/>
        </w:rPr>
        <w:t>无。</w:t>
      </w:r>
    </w:p>
    <w:p w14:paraId="068EF848">
      <w:pPr>
        <w:pStyle w:val="8"/>
        <w:keepNext w:val="0"/>
        <w:keepLines w:val="0"/>
        <w:pageBreakBefore w:val="0"/>
        <w:numPr>
          <w:ilvl w:val="0"/>
          <w:numId w:val="0"/>
        </w:numPr>
        <w:tabs>
          <w:tab w:val="left" w:pos="2160"/>
        </w:tabs>
        <w:kinsoku/>
        <w:wordWrap/>
        <w:overflowPunct/>
        <w:topLinePunct w:val="0"/>
        <w:autoSpaceDE/>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220" w:name="_Toc27961"/>
      <w:bookmarkStart w:id="221" w:name="_Toc25741"/>
      <w:r>
        <w:rPr>
          <w:rFonts w:hint="eastAsia" w:ascii="Times New Roman" w:hAnsi="Times New Roman" w:eastAsia="黑体"/>
          <w:color w:val="auto"/>
          <w:sz w:val="32"/>
          <w:szCs w:val="32"/>
          <w:lang w:val="zh-CN" w:eastAsia="zh-CN"/>
        </w:rPr>
        <w:t>六、改进建议</w:t>
      </w:r>
      <w:bookmarkEnd w:id="220"/>
      <w:bookmarkEnd w:id="221"/>
    </w:p>
    <w:p w14:paraId="0F370033">
      <w:pPr>
        <w:keepNext w:val="0"/>
        <w:keepLines w:val="0"/>
        <w:pageBreakBefore w:val="0"/>
        <w:tabs>
          <w:tab w:val="left" w:pos="1911"/>
        </w:tabs>
        <w:kinsoku/>
        <w:wordWrap/>
        <w:overflowPunct/>
        <w:topLinePunct w:val="0"/>
        <w:autoSpaceDE/>
        <w:bidi w:val="0"/>
        <w:spacing w:beforeLines="0" w:afterLines="0" w:line="578" w:lineRule="exact"/>
        <w:ind w:left="0" w:leftChars="0" w:firstLine="640" w:firstLineChars="200"/>
        <w:jc w:val="left"/>
        <w:textAlignment w:val="auto"/>
        <w:rPr>
          <w:rFonts w:hint="default" w:ascii="Times New Roman" w:hAnsi="Times New Roman" w:cs="仿宋_GB2312"/>
          <w:kern w:val="0"/>
          <w:sz w:val="32"/>
          <w:szCs w:val="32"/>
        </w:rPr>
      </w:pPr>
      <w:r>
        <w:rPr>
          <w:rFonts w:hint="eastAsia" w:ascii="Times New Roman" w:hAnsi="Times New Roman" w:cs="仿宋_GB2312"/>
          <w:kern w:val="0"/>
          <w:sz w:val="32"/>
          <w:szCs w:val="32"/>
        </w:rPr>
        <w:t>无。</w:t>
      </w:r>
    </w:p>
    <w:p w14:paraId="5EDC0F84">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098E8E1C">
      <w:pPr>
        <w:pStyle w:val="2"/>
        <w:rPr>
          <w:rFonts w:hint="eastAsia"/>
          <w:lang w:val="zh-CN"/>
        </w:rPr>
      </w:pPr>
    </w:p>
    <w:p w14:paraId="5BB6259A">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55E3C386">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22FD1A25">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r>
        <w:rPr>
          <w:rFonts w:hint="eastAsia" w:ascii="Times New Roman" w:hAnsi="Times New Roman"/>
          <w:color w:val="000000"/>
          <w:kern w:val="0"/>
          <w:sz w:val="32"/>
          <w:szCs w:val="32"/>
          <w:shd w:val="clear" w:color="auto" w:fill="FFFFFF"/>
          <w:lang w:val="zh-CN"/>
        </w:rPr>
        <w:br w:type="page"/>
      </w:r>
    </w:p>
    <w:p w14:paraId="08ADB9E7">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46997552">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222" w:name="_Toc2365"/>
      <w:bookmarkStart w:id="223" w:name="_Toc31688"/>
      <w:r>
        <w:rPr>
          <w:rFonts w:hint="eastAsia" w:ascii="Times New Roman" w:hAnsi="Times New Roman" w:eastAsia="方正小标宋_GBK" w:cs="方正小标宋_GBK"/>
          <w:color w:val="auto"/>
          <w:sz w:val="40"/>
          <w:szCs w:val="40"/>
        </w:rPr>
        <w:t>项目资金分配涉及所有点位自评得分情况表</w:t>
      </w:r>
      <w:bookmarkEnd w:id="222"/>
      <w:bookmarkEnd w:id="223"/>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075F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0EEBD8F2">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7B249426">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5937DF4C">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794FD620">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7DD3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5A99A43C">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09AE6B57">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2982685B">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auto"/>
                <w:sz w:val="24"/>
                <w:szCs w:val="24"/>
              </w:rPr>
              <w:t>100分</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3E145F67">
            <w:pPr>
              <w:spacing w:beforeLines="0" w:afterLines="0" w:line="300" w:lineRule="exact"/>
              <w:rPr>
                <w:rFonts w:hint="eastAsia" w:ascii="Times New Roman" w:hAnsi="Times New Roman" w:cs="宋体"/>
                <w:color w:val="auto"/>
                <w:sz w:val="24"/>
                <w:szCs w:val="24"/>
              </w:rPr>
            </w:pPr>
          </w:p>
        </w:tc>
      </w:tr>
    </w:tbl>
    <w:p w14:paraId="35320700">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49842679">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6F4F2B72">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50B56BC8">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E6B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75756326">
            <w:pPr>
              <w:widowControl/>
              <w:spacing w:beforeLines="0" w:afterLines="0" w:line="600" w:lineRule="exact"/>
              <w:jc w:val="center"/>
              <w:textAlignment w:val="center"/>
              <w:rPr>
                <w:rFonts w:hint="default" w:ascii="Times New Roman" w:hAnsi="Times New Roman" w:eastAsia="黑体" w:cs="黑体"/>
                <w:color w:val="auto"/>
                <w:sz w:val="30"/>
                <w:szCs w:val="30"/>
              </w:rPr>
            </w:pPr>
            <w:r>
              <w:rPr>
                <w:rFonts w:hint="eastAsia" w:ascii="Times New Roman" w:hAnsi="Times New Roman" w:eastAsia="方正小标宋简体" w:cs="方正小标宋简体"/>
                <w:color w:val="auto"/>
                <w:kern w:val="0"/>
                <w:sz w:val="40"/>
                <w:szCs w:val="40"/>
                <w:lang w:bidi="ar"/>
              </w:rPr>
              <w:t>专项预算项目绩效目标完成情况自评表</w:t>
            </w:r>
          </w:p>
        </w:tc>
      </w:tr>
      <w:tr w14:paraId="4A74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A7B3D">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19FCA">
            <w:pPr>
              <w:spacing w:beforeLines="0" w:afterLines="0" w:line="300" w:lineRule="exac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结核筛查工作经费</w:t>
            </w:r>
          </w:p>
        </w:tc>
      </w:tr>
      <w:tr w14:paraId="27DC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A7027">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18127">
            <w:pPr>
              <w:spacing w:beforeLines="0" w:afterLines="0" w:line="300" w:lineRule="exac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大竹县疾病预防控制中心</w:t>
            </w:r>
          </w:p>
        </w:tc>
      </w:tr>
      <w:tr w14:paraId="158D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FF59D">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C6477">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医疗卫生类</w:t>
            </w:r>
          </w:p>
        </w:tc>
      </w:tr>
      <w:tr w14:paraId="3CD4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1E7EA">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FF1B2">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83C09">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竹财预【2023】8号</w:t>
            </w:r>
          </w:p>
        </w:tc>
      </w:tr>
      <w:tr w14:paraId="3BB5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FFFBE">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C6DE1">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EB7B9">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000000"/>
                <w:sz w:val="24"/>
                <w:szCs w:val="24"/>
              </w:rPr>
              <w:t>川卫办疾控便函【2023】4号</w:t>
            </w:r>
          </w:p>
        </w:tc>
      </w:tr>
      <w:tr w14:paraId="2025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0F06D">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AFE79">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56F9A">
            <w:pPr>
              <w:widowControl/>
              <w:spacing w:beforeLines="0" w:afterLines="0" w:line="300" w:lineRule="exact"/>
              <w:jc w:val="left"/>
              <w:textAlignment w:val="center"/>
              <w:rPr>
                <w:rFonts w:hint="default" w:ascii="Times New Roman" w:hAnsi="Times New Roman" w:eastAsia="Wingdings 2" w:cs="Wingdings 2"/>
                <w:color w:val="auto"/>
                <w:sz w:val="24"/>
                <w:szCs w:val="24"/>
              </w:rPr>
            </w:pPr>
            <w:r>
              <w:rPr>
                <w:rFonts w:hint="default" w:ascii="Times New Roman" w:hAnsi="Times New Roman" w:eastAsia="Wingdings 2" w:cs="Wingdings 2"/>
                <w:color w:val="auto"/>
                <w:kern w:val="0"/>
                <w:sz w:val="24"/>
                <w:szCs w:val="24"/>
                <w:lang w:bidi="ar"/>
              </w:rPr>
              <w:t>£</w:t>
            </w:r>
            <w:r>
              <w:rPr>
                <w:rFonts w:hint="eastAsia" w:ascii="Times New Roman" w:hAnsi="Times New Roman" w:eastAsia="宋体" w:cs="宋体"/>
                <w:color w:val="auto"/>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522E7">
            <w:pPr>
              <w:widowControl/>
              <w:spacing w:beforeLines="0" w:afterLines="0" w:line="300" w:lineRule="exact"/>
              <w:jc w:val="center"/>
              <w:textAlignment w:val="center"/>
              <w:rPr>
                <w:rFonts w:hint="default" w:ascii="Times New Roman" w:hAnsi="Times New Roman" w:eastAsia="Wingdings 2" w:cs="Wingdings 2"/>
                <w:color w:val="auto"/>
                <w:sz w:val="24"/>
                <w:szCs w:val="24"/>
              </w:rPr>
            </w:pPr>
            <w:r>
              <w:rPr>
                <w:rFonts w:hint="default" w:ascii="Times New Roman" w:hAnsi="Times New Roman" w:eastAsia="Wingdings 2" w:cs="Wingdings 2"/>
                <w:color w:val="auto"/>
                <w:kern w:val="0"/>
                <w:sz w:val="24"/>
                <w:szCs w:val="24"/>
                <w:lang w:bidi="ar"/>
              </w:rPr>
              <w:sym w:font="Wingdings 2" w:char="0052"/>
            </w:r>
            <w:r>
              <w:rPr>
                <w:rFonts w:hint="default" w:ascii="Times New Roman" w:hAnsi="Times New Roman" w:eastAsia="Wingdings 2" w:cs="Wingdings 2"/>
                <w:color w:val="auto"/>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5383D">
            <w:pPr>
              <w:widowControl/>
              <w:spacing w:beforeLines="0" w:afterLines="0" w:line="300" w:lineRule="exact"/>
              <w:jc w:val="center"/>
              <w:textAlignment w:val="center"/>
              <w:rPr>
                <w:rFonts w:hint="default" w:ascii="Times New Roman" w:hAnsi="Times New Roman" w:eastAsia="Wingdings 2" w:cs="Wingdings 2"/>
                <w:color w:val="auto"/>
                <w:sz w:val="24"/>
                <w:szCs w:val="24"/>
              </w:rPr>
            </w:pPr>
            <w:r>
              <w:rPr>
                <w:rFonts w:hint="default" w:ascii="Times New Roman" w:hAnsi="Times New Roman" w:eastAsia="Wingdings 2" w:cs="Wingdings 2"/>
                <w:color w:val="auto"/>
                <w:kern w:val="0"/>
                <w:sz w:val="24"/>
                <w:szCs w:val="24"/>
                <w:lang w:bidi="ar"/>
              </w:rPr>
              <w:t>£</w:t>
            </w:r>
            <w:r>
              <w:rPr>
                <w:rFonts w:hint="eastAsia" w:ascii="Times New Roman" w:hAnsi="Times New Roman" w:eastAsia="宋体" w:cs="宋体"/>
                <w:color w:val="auto"/>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9B9BD">
            <w:pPr>
              <w:widowControl/>
              <w:spacing w:beforeLines="0" w:afterLines="0" w:line="300" w:lineRule="exact"/>
              <w:jc w:val="center"/>
              <w:textAlignment w:val="center"/>
              <w:rPr>
                <w:rFonts w:hint="default" w:ascii="Times New Roman" w:hAnsi="Times New Roman" w:eastAsia="Wingdings 2" w:cs="Wingdings 2"/>
                <w:color w:val="auto"/>
                <w:sz w:val="24"/>
                <w:szCs w:val="24"/>
              </w:rPr>
            </w:pPr>
            <w:r>
              <w:rPr>
                <w:rFonts w:hint="default" w:ascii="Times New Roman" w:hAnsi="Times New Roman" w:eastAsia="Wingdings 2" w:cs="Wingdings 2"/>
                <w:color w:val="auto"/>
                <w:kern w:val="0"/>
                <w:sz w:val="24"/>
                <w:szCs w:val="24"/>
                <w:lang w:bidi="ar"/>
              </w:rPr>
              <w:t>£</w:t>
            </w:r>
            <w:r>
              <w:rPr>
                <w:rFonts w:hint="eastAsia" w:ascii="Times New Roman" w:hAnsi="Times New Roman" w:eastAsia="宋体" w:cs="宋体"/>
                <w:color w:val="auto"/>
                <w:kern w:val="0"/>
                <w:sz w:val="24"/>
                <w:szCs w:val="24"/>
                <w:lang w:bidi="ar"/>
              </w:rPr>
              <w:t>因素法与项目法相结合</w:t>
            </w:r>
          </w:p>
        </w:tc>
      </w:tr>
      <w:tr w14:paraId="766D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6F668">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A50B">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C6FCF">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cs="仿宋_GB2312"/>
                <w:color w:val="auto"/>
                <w:kern w:val="0"/>
                <w:sz w:val="32"/>
                <w:szCs w:val="32"/>
                <w:shd w:val="clear" w:color="auto" w:fill="FFFFFF"/>
                <w:lang w:val="zh-CN"/>
              </w:rPr>
              <w:t>《</w:t>
            </w:r>
            <w:r>
              <w:rPr>
                <w:rFonts w:hint="eastAsia" w:ascii="Times New Roman" w:hAnsi="Times New Roman" w:eastAsia="宋体" w:cs="宋体"/>
                <w:color w:val="auto"/>
                <w:sz w:val="24"/>
                <w:szCs w:val="24"/>
                <w:lang w:val="zh-CN"/>
              </w:rPr>
              <w:t>传染病防治法》</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zh-CN"/>
              </w:rPr>
              <w:t>《学校卫生工作条例》</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lang w:val="zh-CN"/>
              </w:rPr>
              <w:t>《中国学校结核病防治指南》</w:t>
            </w:r>
          </w:p>
        </w:tc>
      </w:tr>
      <w:tr w14:paraId="4229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4462C">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ABC5B">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A9740">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预防和控制学校学生传染病，保障在校学生身体健康</w:t>
            </w:r>
          </w:p>
        </w:tc>
      </w:tr>
      <w:tr w14:paraId="6497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65A9E">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242F1">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66FA5">
            <w:pPr>
              <w:spacing w:beforeLines="0" w:afterLines="0" w:line="300" w:lineRule="exact"/>
              <w:jc w:val="lef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按财政要求进行申报</w:t>
            </w:r>
          </w:p>
        </w:tc>
      </w:tr>
      <w:tr w14:paraId="3688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EBE90">
            <w:pPr>
              <w:spacing w:beforeLines="0" w:afterLines="0" w:line="300" w:lineRule="exact"/>
              <w:rPr>
                <w:rFonts w:hint="eastAsia" w:ascii="Times New Roman" w:hAnsi="Times New Roman" w:eastAsia="宋体" w:cs="宋体"/>
                <w:color w:val="auto"/>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2CBFB">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1575C">
            <w:pPr>
              <w:spacing w:beforeLines="0" w:afterLines="0" w:line="300" w:lineRule="exact"/>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长期性</w:t>
            </w:r>
          </w:p>
        </w:tc>
      </w:tr>
      <w:tr w14:paraId="284B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E178F">
            <w:pPr>
              <w:widowControl/>
              <w:spacing w:beforeLines="0" w:afterLines="0" w:line="300" w:lineRule="exact"/>
              <w:jc w:val="center"/>
              <w:textAlignment w:val="center"/>
              <w:rPr>
                <w:rFonts w:hint="default" w:ascii="Times New Roman" w:hAnsi="Times New Roman" w:eastAsia="宋体" w:cs="宋体"/>
                <w:color w:val="auto"/>
                <w:kern w:val="0"/>
                <w:sz w:val="24"/>
                <w:szCs w:val="24"/>
                <w:lang w:bidi="ar"/>
              </w:rPr>
            </w:pPr>
            <w:r>
              <w:rPr>
                <w:rFonts w:hint="eastAsia" w:ascii="Times New Roman" w:hAnsi="Times New Roman" w:eastAsia="宋体" w:cs="宋体"/>
                <w:color w:val="auto"/>
                <w:kern w:val="0"/>
                <w:sz w:val="24"/>
                <w:szCs w:val="24"/>
                <w:lang w:bidi="ar"/>
              </w:rPr>
              <w:t>项目资金</w:t>
            </w:r>
          </w:p>
          <w:p w14:paraId="327677DB">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1B985">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default" w:ascii="Times New Roman" w:hAnsi="Times New Roman" w:eastAsia="宋体" w:cs="宋体"/>
                <w:color w:val="auto"/>
                <w:kern w:val="0"/>
                <w:sz w:val="24"/>
                <w:szCs w:val="24"/>
                <w:lang w:bidi="ar"/>
              </w:rPr>
              <w:t xml:space="preserve">  </w:t>
            </w:r>
            <w:r>
              <w:rPr>
                <w:rFonts w:hint="eastAsia" w:ascii="Times New Roman" w:hAnsi="Times New Roman" w:eastAsia="宋体" w:cs="宋体"/>
                <w:color w:val="auto"/>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42E62">
            <w:pPr>
              <w:tabs>
                <w:tab w:val="left" w:pos="603"/>
              </w:tabs>
              <w:spacing w:beforeLines="0" w:afterLines="0" w:line="300" w:lineRule="exact"/>
              <w:jc w:val="left"/>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130</w:t>
            </w:r>
          </w:p>
        </w:tc>
      </w:tr>
      <w:tr w14:paraId="65EC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8E44E">
            <w:pPr>
              <w:spacing w:beforeLines="0" w:afterLines="0" w:line="300" w:lineRule="exact"/>
              <w:rPr>
                <w:rFonts w:hint="eastAsia" w:ascii="Times New Roman" w:hAnsi="Times New Roman" w:eastAsia="宋体" w:cs="宋体"/>
                <w:color w:val="auto"/>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90479">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default" w:ascii="Times New Roman" w:hAnsi="Times New Roman" w:eastAsia="宋体" w:cs="宋体"/>
                <w:color w:val="auto"/>
                <w:kern w:val="0"/>
                <w:sz w:val="24"/>
                <w:szCs w:val="24"/>
                <w:lang w:bidi="ar"/>
              </w:rPr>
              <w:t xml:space="preserve">     </w:t>
            </w:r>
            <w:r>
              <w:rPr>
                <w:rFonts w:hint="eastAsia" w:ascii="Times New Roman" w:hAnsi="Times New Roman" w:eastAsia="宋体" w:cs="宋体"/>
                <w:color w:val="auto"/>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D6067">
            <w:pPr>
              <w:spacing w:beforeLines="0" w:afterLines="0" w:line="300" w:lineRule="exact"/>
              <w:jc w:val="left"/>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130</w:t>
            </w:r>
          </w:p>
        </w:tc>
      </w:tr>
      <w:tr w14:paraId="0912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116AE">
            <w:pPr>
              <w:spacing w:beforeLines="0" w:afterLines="0" w:line="300" w:lineRule="exact"/>
              <w:rPr>
                <w:rFonts w:hint="eastAsia" w:ascii="Times New Roman" w:hAnsi="Times New Roman" w:eastAsia="宋体" w:cs="宋体"/>
                <w:color w:val="auto"/>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E760E">
            <w:pPr>
              <w:widowControl/>
              <w:spacing w:beforeLines="0" w:afterLines="0" w:line="300" w:lineRule="exact"/>
              <w:jc w:val="left"/>
              <w:textAlignment w:val="center"/>
              <w:rPr>
                <w:rFonts w:hint="default" w:ascii="Times New Roman" w:hAnsi="Times New Roman" w:eastAsia="宋体" w:cs="宋体"/>
                <w:color w:val="auto"/>
                <w:sz w:val="24"/>
                <w:szCs w:val="24"/>
              </w:rPr>
            </w:pPr>
            <w:r>
              <w:rPr>
                <w:rFonts w:hint="default" w:ascii="Times New Roman" w:hAnsi="Times New Roman" w:eastAsia="宋体" w:cs="宋体"/>
                <w:color w:val="auto"/>
                <w:kern w:val="0"/>
                <w:sz w:val="24"/>
                <w:szCs w:val="24"/>
                <w:lang w:bidi="ar"/>
              </w:rPr>
              <w:t xml:space="preserve">            </w:t>
            </w:r>
            <w:r>
              <w:rPr>
                <w:rFonts w:hint="eastAsia" w:ascii="Times New Roman" w:hAnsi="Times New Roman" w:eastAsia="宋体" w:cs="宋体"/>
                <w:color w:val="auto"/>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04B35">
            <w:pPr>
              <w:spacing w:beforeLines="0" w:afterLines="0" w:line="300" w:lineRule="exact"/>
              <w:jc w:val="right"/>
              <w:rPr>
                <w:rFonts w:hint="eastAsia" w:ascii="Times New Roman" w:hAnsi="Times New Roman" w:eastAsia="宋体" w:cs="宋体"/>
                <w:color w:val="auto"/>
                <w:sz w:val="24"/>
                <w:szCs w:val="24"/>
              </w:rPr>
            </w:pPr>
          </w:p>
        </w:tc>
      </w:tr>
      <w:tr w14:paraId="4185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C9ED2">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31436">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年度目标</w:t>
            </w:r>
          </w:p>
        </w:tc>
      </w:tr>
      <w:tr w14:paraId="5B68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BC102">
            <w:pPr>
              <w:spacing w:beforeLines="0" w:afterLines="0" w:line="300" w:lineRule="exact"/>
              <w:rPr>
                <w:rFonts w:hint="eastAsia" w:ascii="Times New Roman" w:hAnsi="Times New Roman" w:eastAsia="宋体" w:cs="宋体"/>
                <w:color w:val="auto"/>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49B8E">
            <w:pPr>
              <w:spacing w:beforeLines="0" w:afterLines="0" w:line="300" w:lineRule="exact"/>
              <w:rPr>
                <w:rFonts w:hint="default" w:ascii="Times New Roman" w:hAnsi="Times New Roman" w:eastAsia="宋体" w:cs="宋体"/>
                <w:color w:val="auto"/>
                <w:sz w:val="24"/>
                <w:szCs w:val="24"/>
                <w:highlight w:val="yellow"/>
              </w:rPr>
            </w:pPr>
            <w:r>
              <w:rPr>
                <w:rFonts w:hint="eastAsia" w:ascii="Times New Roman" w:hAnsi="Times New Roman" w:eastAsia="宋体" w:cs="宋体"/>
                <w:color w:val="auto"/>
                <w:sz w:val="21"/>
                <w:szCs w:val="21"/>
              </w:rPr>
              <w:t>进一步完善“政府组织领导、部门各负其责、全社会共同参与”的重大疾病防治机制，为贯彻落实《传染病防治法》《学校卫生工作条例》等法律法规，有效预防和控制学校学生传染病，保障在校学生身体健康，按照《大竹县教育局 大竹县卫生健康局 关于印发大竹县2023年新生入学及高三学生结核病筛查工作实施方案》等相关文件要求，全面落实我县新生入学及高三学生结核病筛查工作，全面掌握全县学生结核病流行病学状况，及时发现学校学生中的结核病人并给予有效治疗，预防和控制学校结核病疫情的发生和流行，同时为政府制定结核病防控策略提供科学依据，保障我县卫生工作的持续高发展。</w:t>
            </w:r>
          </w:p>
        </w:tc>
      </w:tr>
      <w:tr w14:paraId="6D26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6C25D42E">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487AC">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21D00">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3C84C">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95858">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438FF">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ED2BC">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E6C3F">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53A50">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实际完成指标值</w:t>
            </w:r>
          </w:p>
        </w:tc>
      </w:tr>
      <w:tr w14:paraId="73D0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E271167">
            <w:pPr>
              <w:spacing w:beforeLines="0" w:afterLines="0" w:line="300" w:lineRule="exact"/>
              <w:jc w:val="center"/>
              <w:rPr>
                <w:rFonts w:hint="eastAsia" w:ascii="Times New Roman" w:hAnsi="Times New Roman" w:eastAsia="宋体" w:cs="宋体"/>
                <w:color w:val="auto"/>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A6DDA">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产出指标</w:t>
            </w:r>
          </w:p>
        </w:tc>
        <w:tc>
          <w:tcPr>
            <w:tcW w:w="1250" w:type="dxa"/>
            <w:vMerge w:val="restart"/>
            <w:tcBorders>
              <w:top w:val="single" w:color="000000" w:sz="4" w:space="0"/>
              <w:left w:val="single" w:color="000000" w:sz="4" w:space="0"/>
              <w:bottom w:val="nil"/>
              <w:right w:val="single" w:color="000000" w:sz="4" w:space="0"/>
              <w:tl2br w:val="nil"/>
              <w:tr2bl w:val="nil"/>
            </w:tcBorders>
            <w:noWrap w:val="0"/>
            <w:vAlign w:val="center"/>
          </w:tcPr>
          <w:p w14:paraId="7D502CC4">
            <w:pPr>
              <w:widowControl/>
              <w:spacing w:beforeLines="0" w:afterLines="0" w:line="300" w:lineRule="exact"/>
              <w:jc w:val="center"/>
              <w:textAlignment w:val="center"/>
              <w:rPr>
                <w:rFonts w:hint="default" w:ascii="Times New Roman" w:hAnsi="Times New Roman" w:eastAsia="宋体" w:cs="宋体"/>
                <w:color w:val="auto"/>
                <w:sz w:val="24"/>
                <w:szCs w:val="24"/>
              </w:rPr>
            </w:pPr>
            <w:r>
              <w:rPr>
                <w:rFonts w:hint="eastAsia" w:ascii="Times New Roman" w:hAnsi="Times New Roman" w:eastAsia="宋体" w:cs="宋体"/>
                <w:color w:val="auto"/>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A784E">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辖区内所有初一、高一和高三学生结核病筛查</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B890B">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36F8D">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25000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C545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人次</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31261">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9AD50">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26936</w:t>
            </w:r>
          </w:p>
        </w:tc>
      </w:tr>
      <w:tr w14:paraId="02C4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3803BE7">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nil"/>
              <w:left w:val="single" w:color="000000" w:sz="4" w:space="0"/>
              <w:bottom w:val="nil"/>
              <w:right w:val="single" w:color="000000" w:sz="4" w:space="0"/>
              <w:tl2br w:val="nil"/>
              <w:tr2bl w:val="nil"/>
            </w:tcBorders>
            <w:noWrap w:val="0"/>
            <w:vAlign w:val="center"/>
          </w:tcPr>
          <w:p w14:paraId="48E8408B">
            <w:pPr>
              <w:widowControl/>
              <w:spacing w:beforeLines="0" w:afterLines="0" w:line="300" w:lineRule="exact"/>
              <w:jc w:val="center"/>
              <w:textAlignment w:val="center"/>
              <w:rPr>
                <w:rFonts w:hint="default" w:ascii="Times New Roman" w:hAnsi="Times New Roman" w:eastAsia="宋体" w:cs="宋体"/>
                <w:color w:val="auto"/>
                <w:kern w:val="0"/>
                <w:sz w:val="24"/>
                <w:szCs w:val="24"/>
                <w:lang w:bidi="ar"/>
              </w:rPr>
            </w:pPr>
          </w:p>
        </w:tc>
        <w:tc>
          <w:tcPr>
            <w:tcW w:w="125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4701CF1">
            <w:pPr>
              <w:widowControl/>
              <w:spacing w:beforeLines="0" w:afterLines="0" w:line="300" w:lineRule="exact"/>
              <w:jc w:val="center"/>
              <w:textAlignment w:val="center"/>
              <w:rPr>
                <w:rFonts w:hint="default" w:ascii="Times New Roman" w:hAnsi="Times New Roman" w:eastAsia="宋体" w:cs="宋体"/>
                <w:color w:val="auto"/>
                <w:kern w:val="0"/>
                <w:sz w:val="24"/>
                <w:szCs w:val="24"/>
                <w:lang w:bidi="ar"/>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09FEC">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辖区内所有幼儿园入园、小学入学一年级学生结核症状筛查</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6B9D6">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33F1F">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9500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60AC8">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人次</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0FB8B">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7112B">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9993</w:t>
            </w:r>
          </w:p>
        </w:tc>
      </w:tr>
      <w:tr w14:paraId="22E13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7EE0618">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0275E">
            <w:pPr>
              <w:spacing w:beforeLines="0" w:afterLines="0" w:line="300" w:lineRule="exact"/>
              <w:jc w:val="center"/>
              <w:rPr>
                <w:rFonts w:hint="eastAsia" w:ascii="Times New Roman" w:hAnsi="Times New Roman" w:eastAsia="宋体" w:cs="宋体"/>
                <w:color w:val="auto"/>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88FB3">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质量指标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2C75E">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筛查覆盖率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CC743">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771CF">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99</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B4075">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1A33F">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CA898">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99.25</w:t>
            </w:r>
          </w:p>
        </w:tc>
      </w:tr>
      <w:tr w14:paraId="1DED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B9E4037">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ADFEE">
            <w:pPr>
              <w:spacing w:beforeLines="0" w:afterLines="0" w:line="300" w:lineRule="exact"/>
              <w:jc w:val="center"/>
              <w:rPr>
                <w:rFonts w:hint="eastAsia" w:ascii="Times New Roman" w:hAnsi="Times New Roman" w:eastAsia="宋体" w:cs="宋体"/>
                <w:color w:val="auto"/>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6A0CE">
            <w:pPr>
              <w:spacing w:beforeLines="0" w:afterLines="0" w:line="300" w:lineRule="exact"/>
              <w:jc w:val="center"/>
              <w:rPr>
                <w:rFonts w:hint="eastAsia" w:ascii="Times New Roman" w:hAnsi="Times New Roman" w:eastAsia="宋体" w:cs="宋体"/>
                <w:color w:val="auto"/>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17DC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阳性复查率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AA5B2">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BBBAB">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99</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C28CB">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53D46">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0CACD">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99.99</w:t>
            </w:r>
          </w:p>
        </w:tc>
      </w:tr>
      <w:tr w14:paraId="5022F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38605BA8">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15795">
            <w:pPr>
              <w:spacing w:beforeLines="0" w:afterLines="0" w:line="300" w:lineRule="exact"/>
              <w:jc w:val="center"/>
              <w:rPr>
                <w:rFonts w:hint="eastAsia" w:ascii="Times New Roman" w:hAnsi="Times New Roman" w:eastAsia="宋体" w:cs="宋体"/>
                <w:color w:val="auto"/>
                <w:sz w:val="24"/>
                <w:szCs w:val="24"/>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5907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时效指标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8355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12月底前完成全部筛查</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C2AF9">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定性指标</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3D00D">
            <w:pPr>
              <w:spacing w:beforeLines="0" w:afterLines="0" w:line="300" w:lineRule="exact"/>
              <w:rPr>
                <w:rFonts w:hint="default" w:ascii="Times New Roman" w:hAnsi="Times New Roman" w:eastAsia="宋体" w:cs="宋体"/>
                <w:b/>
                <w:color w:val="auto"/>
                <w:sz w:val="24"/>
                <w:szCs w:val="24"/>
              </w:rPr>
            </w:pPr>
            <w:r>
              <w:rPr>
                <w:rFonts w:hint="eastAsia" w:ascii="Times New Roman" w:hAnsi="Times New Roman" w:eastAsia="宋体" w:cs="宋体"/>
                <w:color w:val="auto"/>
                <w:sz w:val="24"/>
                <w:szCs w:val="24"/>
              </w:rPr>
              <w:t>年底完成</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02A0A">
            <w:pPr>
              <w:spacing w:beforeLines="0" w:afterLines="0" w:line="300" w:lineRule="exact"/>
              <w:jc w:val="center"/>
              <w:rPr>
                <w:rFonts w:hint="eastAsia" w:ascii="Times New Roman" w:hAnsi="Times New Roman" w:eastAsia="宋体" w:cs="宋体"/>
                <w:color w:val="auto"/>
                <w:sz w:val="24"/>
                <w:szCs w:val="24"/>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FE866">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EF232">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按时完成</w:t>
            </w:r>
          </w:p>
        </w:tc>
      </w:tr>
      <w:tr w14:paraId="688E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516B47A4">
            <w:pPr>
              <w:spacing w:beforeLines="0" w:afterLines="0" w:line="300" w:lineRule="exact"/>
              <w:jc w:val="center"/>
              <w:rPr>
                <w:rFonts w:hint="eastAsia" w:ascii="Times New Roman" w:hAnsi="Times New Roman" w:eastAsia="宋体" w:cs="宋体"/>
                <w:color w:val="auto"/>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0C54">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效益指标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F3EB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经济效益</w:t>
            </w:r>
          </w:p>
          <w:p w14:paraId="5A909132">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E70F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降低因结核病治疗产生的费用和经济负担</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1C5E7">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定性指标</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D0A3C">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中长期</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BB2D6">
            <w:pPr>
              <w:spacing w:beforeLines="0" w:afterLines="0" w:line="300" w:lineRule="exact"/>
              <w:jc w:val="center"/>
              <w:rPr>
                <w:rFonts w:hint="eastAsia" w:ascii="Times New Roman" w:hAnsi="Times New Roman" w:eastAsia="宋体" w:cs="宋体"/>
                <w:color w:val="auto"/>
                <w:sz w:val="24"/>
                <w:szCs w:val="24"/>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FD097">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DCED6">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降低因结核病治疗产生的费用和经济负担</w:t>
            </w:r>
          </w:p>
        </w:tc>
      </w:tr>
      <w:tr w14:paraId="64C7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D937467">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3D3C5">
            <w:pPr>
              <w:spacing w:beforeLines="0" w:afterLines="0" w:line="300" w:lineRule="exact"/>
              <w:jc w:val="center"/>
              <w:rPr>
                <w:rFonts w:hint="eastAsia" w:ascii="Times New Roman" w:hAnsi="Times New Roman" w:eastAsia="宋体" w:cs="宋体"/>
                <w:color w:val="auto"/>
                <w:sz w:val="24"/>
                <w:szCs w:val="24"/>
              </w:rPr>
            </w:pP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492BBC95">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社会效益</w:t>
            </w:r>
          </w:p>
          <w:p w14:paraId="792268E8">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B39E5">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提高学校及社会稳定</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D884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定性指标</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68383">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中长期</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DDEDE">
            <w:pPr>
              <w:spacing w:beforeLines="0" w:afterLines="0" w:line="300" w:lineRule="exact"/>
              <w:jc w:val="center"/>
              <w:rPr>
                <w:rFonts w:hint="eastAsia" w:ascii="Times New Roman" w:hAnsi="Times New Roman" w:eastAsia="宋体" w:cs="宋体"/>
                <w:color w:val="auto"/>
                <w:sz w:val="24"/>
                <w:szCs w:val="24"/>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A5FF9">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39DC0">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降低社会和家庭结核病治疗负担</w:t>
            </w:r>
          </w:p>
        </w:tc>
      </w:tr>
      <w:tr w14:paraId="0737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84F75BA">
            <w:pPr>
              <w:spacing w:beforeLines="0" w:afterLines="0" w:line="300" w:lineRule="exact"/>
              <w:jc w:val="center"/>
              <w:rPr>
                <w:rFonts w:hint="eastAsia" w:ascii="Times New Roman" w:hAnsi="Times New Roman" w:eastAsia="宋体" w:cs="宋体"/>
                <w:color w:val="auto"/>
                <w:sz w:val="24"/>
                <w:szCs w:val="24"/>
              </w:rPr>
            </w:pPr>
          </w:p>
        </w:tc>
        <w:tc>
          <w:tcPr>
            <w:tcW w:w="1081" w:type="dxa"/>
            <w:tcBorders>
              <w:top w:val="single" w:color="000000" w:sz="4" w:space="0"/>
              <w:left w:val="single" w:color="000000" w:sz="4" w:space="0"/>
              <w:bottom w:val="nil"/>
              <w:right w:val="single" w:color="000000" w:sz="4" w:space="0"/>
              <w:tl2br w:val="nil"/>
              <w:tr2bl w:val="nil"/>
            </w:tcBorders>
            <w:noWrap w:val="0"/>
            <w:vAlign w:val="center"/>
          </w:tcPr>
          <w:p w14:paraId="0A801FFC">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满意度</w:t>
            </w:r>
          </w:p>
          <w:p w14:paraId="77188DB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指标</w:t>
            </w: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4829FCC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服务对象</w:t>
            </w:r>
          </w:p>
          <w:p w14:paraId="77EDED9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5E77A">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保障在校学生不因结核病影响学习和健康</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4C2BD">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定性指标</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32F35">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中长期</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773B8">
            <w:pPr>
              <w:spacing w:beforeLines="0" w:afterLines="0" w:line="300" w:lineRule="exact"/>
              <w:jc w:val="center"/>
              <w:rPr>
                <w:rFonts w:hint="eastAsia" w:ascii="Times New Roman" w:hAnsi="Times New Roman" w:eastAsia="宋体" w:cs="宋体"/>
                <w:color w:val="auto"/>
                <w:sz w:val="24"/>
                <w:szCs w:val="24"/>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C8281">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5BFAB">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极大地保障了在校学生不因结核病影响学习和健康的情况发生</w:t>
            </w:r>
          </w:p>
        </w:tc>
      </w:tr>
      <w:tr w14:paraId="7BF1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31501274">
            <w:pPr>
              <w:spacing w:beforeLines="0" w:afterLines="0" w:line="300" w:lineRule="exact"/>
              <w:jc w:val="center"/>
              <w:rPr>
                <w:rFonts w:hint="eastAsia" w:ascii="Times New Roman" w:hAnsi="Times New Roman" w:eastAsia="宋体" w:cs="宋体"/>
                <w:color w:val="auto"/>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72900">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成本指标</w:t>
            </w:r>
          </w:p>
        </w:tc>
        <w:tc>
          <w:tcPr>
            <w:tcW w:w="1250" w:type="dxa"/>
            <w:vMerge w:val="restart"/>
            <w:tcBorders>
              <w:top w:val="single" w:color="000000" w:sz="4" w:space="0"/>
              <w:left w:val="single" w:color="000000" w:sz="4" w:space="0"/>
              <w:bottom w:val="nil"/>
              <w:right w:val="single" w:color="000000" w:sz="4" w:space="0"/>
              <w:tl2br w:val="nil"/>
              <w:tr2bl w:val="nil"/>
            </w:tcBorders>
            <w:noWrap w:val="0"/>
            <w:vAlign w:val="center"/>
          </w:tcPr>
          <w:p w14:paraId="1E05B68B">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经济成本</w:t>
            </w:r>
          </w:p>
          <w:p w14:paraId="57A5A6B4">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66740E4B">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医疗机构工作补助经费</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9B8C2">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6DE04">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24294">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万元</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22F9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4C7F5">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r>
      <w:tr w14:paraId="7B84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32FDBF54">
            <w:pPr>
              <w:spacing w:beforeLines="0" w:afterLines="0" w:line="300" w:lineRule="exact"/>
              <w:jc w:val="center"/>
              <w:rPr>
                <w:rFonts w:hint="eastAsia" w:ascii="Times New Roman" w:hAnsi="Times New Roman" w:eastAsia="宋体" w:cs="宋体"/>
                <w:color w:val="auto"/>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68CD4">
            <w:pPr>
              <w:spacing w:beforeLines="0" w:afterLines="0" w:line="300" w:lineRule="exact"/>
              <w:jc w:val="center"/>
              <w:rPr>
                <w:rFonts w:hint="eastAsia" w:ascii="Times New Roman" w:hAnsi="Times New Roman" w:eastAsia="宋体" w:cs="宋体"/>
                <w:color w:val="auto"/>
                <w:sz w:val="24"/>
                <w:szCs w:val="24"/>
              </w:rPr>
            </w:pPr>
          </w:p>
        </w:tc>
        <w:tc>
          <w:tcPr>
            <w:tcW w:w="125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79FE4E9">
            <w:pPr>
              <w:spacing w:beforeLines="0" w:afterLines="0" w:line="300" w:lineRule="exact"/>
              <w:jc w:val="center"/>
              <w:rPr>
                <w:rFonts w:hint="eastAsia" w:ascii="Times New Roman" w:hAnsi="Times New Roman" w:eastAsia="宋体" w:cs="宋体"/>
                <w:color w:val="auto"/>
                <w:sz w:val="24"/>
                <w:szCs w:val="24"/>
              </w:rPr>
            </w:pP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4503D419">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筛查试剂成本</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00E7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F5FE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8BDC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万元</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CA85E">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ABE97">
            <w:pPr>
              <w:spacing w:beforeLines="0" w:afterLines="0" w:line="300" w:lineRule="exact"/>
              <w:jc w:val="center"/>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100</w:t>
            </w:r>
          </w:p>
        </w:tc>
      </w:tr>
    </w:tbl>
    <w:p w14:paraId="0B572461">
      <w:pPr>
        <w:spacing w:beforeLines="0" w:afterLines="0" w:line="300" w:lineRule="exact"/>
        <w:jc w:val="center"/>
        <w:rPr>
          <w:rFonts w:hint="default" w:ascii="Times New Roman" w:hAnsi="Times New Roman" w:eastAsia="宋体" w:cs="宋体"/>
          <w:color w:val="auto"/>
          <w:sz w:val="24"/>
          <w:szCs w:val="24"/>
        </w:rPr>
      </w:pPr>
    </w:p>
    <w:p w14:paraId="5818BE6E">
      <w:pPr>
        <w:rPr>
          <w:rFonts w:hint="default" w:ascii="Times New Roman" w:hAnsi="Times New Roman"/>
        </w:rPr>
      </w:pPr>
      <w:r>
        <w:rPr>
          <w:rFonts w:hint="default" w:ascii="Times New Roman" w:hAnsi="Times New Roman"/>
        </w:rPr>
        <w:br w:type="page"/>
      </w:r>
    </w:p>
    <w:p w14:paraId="5D4157EC">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254F2F81">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（麻风病）</w:t>
      </w:r>
    </w:p>
    <w:p w14:paraId="4036C1A1">
      <w:pPr>
        <w:pStyle w:val="35"/>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eastAsia" w:ascii="Times New Roman" w:hAnsi="Times New Roman"/>
          <w:color w:val="auto"/>
          <w:kern w:val="2"/>
          <w:sz w:val="32"/>
          <w:szCs w:val="32"/>
        </w:rPr>
      </w:pPr>
    </w:p>
    <w:p w14:paraId="02E07BE0">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eastAsia" w:ascii="Times New Roman" w:hAnsi="Times New Roman" w:eastAsia="黑体"/>
          <w:sz w:val="32"/>
          <w:szCs w:val="32"/>
          <w:lang w:val="zh-CN"/>
        </w:rPr>
      </w:pPr>
      <w:bookmarkStart w:id="224" w:name="_Toc17676"/>
      <w:bookmarkStart w:id="225" w:name="_Toc30401"/>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24"/>
      <w:bookmarkEnd w:id="225"/>
    </w:p>
    <w:p w14:paraId="04EAF255">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（一）设立背景及基本情况</w:t>
      </w:r>
    </w:p>
    <w:p w14:paraId="1F7E8020">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color w:val="auto"/>
          <w:kern w:val="0"/>
          <w:sz w:val="32"/>
          <w:szCs w:val="32"/>
          <w:shd w:val="clear" w:color="auto" w:fill="FFFFFF"/>
          <w:lang w:val="zh-CN"/>
        </w:rPr>
      </w:pPr>
      <w:r>
        <w:rPr>
          <w:rFonts w:hint="eastAsia" w:ascii="Times New Roman" w:hAnsi="Times New Roman" w:eastAsia="仿宋_GB2312" w:cs="仿宋_GB2312"/>
          <w:color w:val="auto"/>
          <w:sz w:val="32"/>
          <w:szCs w:val="32"/>
          <w:shd w:val="clear" w:color="auto" w:fill="FFFFFF"/>
          <w:lang w:val="zh-CN"/>
        </w:rPr>
        <w:t>中央下达我县麻风病防治转移支付预算和区域绩效目标情况如下：麻风病可疑线索报告率≧</w:t>
      </w:r>
      <w:r>
        <w:rPr>
          <w:rFonts w:hint="eastAsia" w:ascii="Times New Roman" w:hAnsi="Times New Roman" w:eastAsia="仿宋_GB2312" w:cs="仿宋_GB2312"/>
          <w:color w:val="auto"/>
          <w:sz w:val="32"/>
          <w:szCs w:val="32"/>
          <w:shd w:val="clear" w:color="auto" w:fill="FFFFFF"/>
        </w:rPr>
        <w:t>90%，麻风病按规定随访到位率100%，麻风病治愈存活者监测率100%，麻风病密切接触者监测率100%；</w:t>
      </w:r>
      <w:r>
        <w:rPr>
          <w:rFonts w:hint="eastAsia" w:ascii="Times New Roman" w:hAnsi="Times New Roman" w:eastAsia="仿宋_GB2312" w:cs="仿宋_GB2312"/>
          <w:color w:val="auto"/>
          <w:sz w:val="32"/>
          <w:szCs w:val="32"/>
          <w:shd w:val="clear" w:color="auto" w:fill="FFFFFF"/>
          <w:lang w:val="zh-CN"/>
        </w:rPr>
        <w:t>省内资金安排、分解下达预算和绩效目标情况如下：</w:t>
      </w:r>
      <w:r>
        <w:rPr>
          <w:rFonts w:hint="eastAsia" w:ascii="Times New Roman" w:hAnsi="Times New Roman" w:eastAsia="仿宋_GB2312" w:cs="仿宋_GB2312"/>
          <w:color w:val="auto"/>
          <w:sz w:val="32"/>
          <w:szCs w:val="32"/>
          <w:shd w:val="clear" w:color="auto" w:fill="FFFFFF"/>
        </w:rPr>
        <w:t>1.麻风病可疑监测77例；2.麻风病现症病例管理监测数1例；3.麻风病治愈存活数20例；4.麻风病密切接触者监测数10例。</w:t>
      </w:r>
    </w:p>
    <w:p w14:paraId="43E61175">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（二）实施目的及支持方向</w:t>
      </w:r>
    </w:p>
    <w:p w14:paraId="637542F3">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r>
        <w:rPr>
          <w:rFonts w:hint="eastAsia" w:ascii="Times New Roman" w:hAnsi="Times New Roman" w:eastAsia="仿宋_GB2312" w:cs="仿宋_GB2312"/>
          <w:color w:val="auto"/>
          <w:sz w:val="32"/>
          <w:szCs w:val="32"/>
          <w:shd w:val="clear" w:color="auto" w:fill="FFFFFF"/>
          <w:lang w:val="zh-CN"/>
        </w:rPr>
        <w:t>截止评价时点(202</w:t>
      </w:r>
      <w:r>
        <w:rPr>
          <w:rFonts w:hint="eastAsia" w:ascii="Times New Roman" w:hAnsi="Times New Roman" w:eastAsia="仿宋_GB2312" w:cs="仿宋_GB2312"/>
          <w:color w:val="auto"/>
          <w:sz w:val="32"/>
          <w:szCs w:val="32"/>
          <w:shd w:val="clear" w:color="auto" w:fill="FFFFFF"/>
        </w:rPr>
        <w:t>3</w:t>
      </w:r>
      <w:r>
        <w:rPr>
          <w:rFonts w:hint="eastAsia" w:ascii="Times New Roman" w:hAnsi="Times New Roman" w:eastAsia="仿宋_GB2312" w:cs="仿宋_GB2312"/>
          <w:color w:val="auto"/>
          <w:sz w:val="32"/>
          <w:szCs w:val="32"/>
          <w:shd w:val="clear" w:color="auto" w:fill="FFFFFF"/>
          <w:lang w:val="zh-CN"/>
        </w:rPr>
        <w:t>年12月31日)项目资金的实际支出</w:t>
      </w:r>
      <w:r>
        <w:rPr>
          <w:rFonts w:hint="eastAsia" w:ascii="Times New Roman" w:hAnsi="Times New Roman" w:eastAsia="仿宋_GB2312" w:cs="仿宋_GB2312"/>
          <w:color w:val="auto"/>
          <w:sz w:val="32"/>
          <w:szCs w:val="32"/>
          <w:shd w:val="clear" w:color="auto" w:fill="FFFFFF"/>
        </w:rPr>
        <w:t>3</w:t>
      </w:r>
      <w:r>
        <w:rPr>
          <w:rFonts w:hint="eastAsia" w:ascii="Times New Roman" w:hAnsi="Times New Roman" w:eastAsia="仿宋_GB2312" w:cs="仿宋_GB2312"/>
          <w:color w:val="auto"/>
          <w:sz w:val="32"/>
          <w:szCs w:val="32"/>
          <w:shd w:val="clear" w:color="auto" w:fill="FFFFFF"/>
          <w:lang w:val="zh-CN"/>
        </w:rPr>
        <w:t>万元，</w:t>
      </w:r>
      <w:r>
        <w:rPr>
          <w:rFonts w:hint="eastAsia" w:ascii="Times New Roman" w:hAnsi="Times New Roman" w:eastAsia="仿宋_GB2312" w:cs="仿宋_GB2312"/>
          <w:color w:val="auto"/>
          <w:sz w:val="32"/>
          <w:szCs w:val="32"/>
          <w:shd w:val="clear" w:color="auto" w:fill="FFFFFF"/>
        </w:rPr>
        <w:t>专款专用，全部用于麻风病防治各项工作的开展。</w:t>
      </w:r>
    </w:p>
    <w:p w14:paraId="5E6DF72C">
      <w:pPr>
        <w:keepNext w:val="0"/>
        <w:keepLines w:val="0"/>
        <w:pageBreakBefore w:val="0"/>
        <w:kinsoku/>
        <w:wordWrap/>
        <w:overflowPunct/>
        <w:topLinePunct w:val="0"/>
        <w:autoSpaceDE/>
        <w:autoSpaceDN/>
        <w:bidi w:val="0"/>
        <w:adjustRightInd w:val="0"/>
        <w:snapToGrid w:val="0"/>
        <w:spacing w:beforeLines="0" w:afterLines="0" w:line="578" w:lineRule="exact"/>
        <w:ind w:firstLine="643" w:firstLineChars="200"/>
        <w:textAlignment w:val="auto"/>
        <w:rPr>
          <w:rFonts w:hint="eastAsia" w:ascii="Times New Roman" w:hAnsi="Times New Roman" w:eastAsia="仿宋_GB2312" w:cs="仿宋_GB2312"/>
          <w:b/>
          <w:color w:val="auto"/>
          <w:sz w:val="32"/>
          <w:szCs w:val="32"/>
          <w:lang w:val="zh-CN"/>
        </w:rPr>
      </w:pPr>
    </w:p>
    <w:p w14:paraId="1CA90A8B">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4CE2AEE9">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sz w:val="32"/>
          <w:szCs w:val="32"/>
        </w:rPr>
        <w:t>截止2023年12月31日，共到位县级预算资金3万元，到位率100%。</w:t>
      </w:r>
      <w:r>
        <w:rPr>
          <w:rFonts w:hint="eastAsia" w:ascii="Times New Roman" w:hAnsi="Times New Roman" w:eastAsia="仿宋_GB2312" w:cs="仿宋_GB2312"/>
          <w:color w:val="auto"/>
          <w:sz w:val="32"/>
          <w:szCs w:val="32"/>
          <w:shd w:val="clear" w:color="auto" w:fill="FFFFFF"/>
        </w:rPr>
        <w:t>全部用于麻风病防治各项工作的开展。</w:t>
      </w:r>
    </w:p>
    <w:p w14:paraId="106E8327">
      <w:pPr>
        <w:keepNext w:val="0"/>
        <w:keepLines w:val="0"/>
        <w:pageBreakBefore w:val="0"/>
        <w:numPr>
          <w:ilvl w:val="0"/>
          <w:numId w:val="0"/>
        </w:numPr>
        <w:kinsoku/>
        <w:wordWrap/>
        <w:overflowPunct/>
        <w:topLinePunct w:val="0"/>
        <w:autoSpaceDE/>
        <w:autoSpaceDN/>
        <w:bidi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（四）项目绩效目标设置</w:t>
      </w:r>
    </w:p>
    <w:p w14:paraId="6EA4456C">
      <w:pPr>
        <w:keepNext w:val="0"/>
        <w:keepLines w:val="0"/>
        <w:pageBreakBefore w:val="0"/>
        <w:numPr>
          <w:ilvl w:val="0"/>
          <w:numId w:val="0"/>
        </w:numPr>
        <w:kinsoku/>
        <w:wordWrap/>
        <w:overflowPunct/>
        <w:topLinePunct w:val="0"/>
        <w:autoSpaceDE/>
        <w:autoSpaceDN/>
        <w:bidi w:val="0"/>
        <w:snapToGrid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shd w:val="clear" w:color="auto" w:fill="FFFFFF"/>
          <w:lang w:val="zh-CN"/>
        </w:rPr>
        <w:t>为深入推进麻风病防治工作，进一步完善麻风病防治工作机制，加强各级政府组织领导、部门各负其责，全社会共同参与的防治机制,</w:t>
      </w:r>
      <w:r>
        <w:rPr>
          <w:rFonts w:hint="eastAsia" w:ascii="Times New Roman" w:hAnsi="Times New Roman" w:eastAsia="仿宋_GB2312" w:cs="仿宋_GB2312"/>
          <w:color w:val="auto"/>
          <w:sz w:val="32"/>
          <w:szCs w:val="32"/>
          <w:shd w:val="clear" w:color="auto" w:fill="FFFFFF"/>
        </w:rPr>
        <w:t>全面落实各项麻风病防治措施。</w:t>
      </w:r>
      <w:r>
        <w:rPr>
          <w:rFonts w:hint="eastAsia" w:ascii="Times New Roman" w:hAnsi="Times New Roman" w:eastAsia="仿宋_GB2312" w:cs="仿宋_GB2312"/>
          <w:color w:val="auto"/>
          <w:sz w:val="32"/>
          <w:szCs w:val="32"/>
          <w:shd w:val="clear" w:color="auto" w:fill="FFFFFF"/>
          <w:lang w:val="zh-CN"/>
        </w:rPr>
        <w:t>今年收到县级专项资金</w:t>
      </w:r>
      <w:r>
        <w:rPr>
          <w:rFonts w:hint="eastAsia" w:ascii="Times New Roman" w:hAnsi="Times New Roman" w:eastAsia="仿宋_GB2312" w:cs="仿宋_GB2312"/>
          <w:color w:val="auto"/>
          <w:sz w:val="32"/>
          <w:szCs w:val="32"/>
          <w:shd w:val="clear" w:color="auto" w:fill="FFFFFF"/>
        </w:rPr>
        <w:t>3万元</w:t>
      </w:r>
      <w:r>
        <w:rPr>
          <w:rFonts w:hint="eastAsia" w:ascii="Times New Roman" w:hAnsi="Times New Roman" w:eastAsia="仿宋_GB2312" w:cs="仿宋_GB2312"/>
          <w:color w:val="auto"/>
          <w:sz w:val="32"/>
          <w:szCs w:val="32"/>
          <w:shd w:val="clear" w:color="auto" w:fill="FFFFFF"/>
          <w:lang w:val="zh-CN"/>
        </w:rPr>
        <w:t>。</w:t>
      </w:r>
      <w:r>
        <w:rPr>
          <w:rFonts w:hint="eastAsia" w:ascii="Times New Roman" w:hAnsi="Times New Roman" w:eastAsia="仿宋_GB2312" w:cs="仿宋_GB2312"/>
          <w:color w:val="auto"/>
          <w:sz w:val="32"/>
          <w:szCs w:val="32"/>
          <w:shd w:val="clear" w:color="auto" w:fill="FFFFFF"/>
        </w:rPr>
        <w:t>截止2023年12月，该专项资金已全部使用完、主要用于我县麻风病综合防治工作培训、宣传、麻风节病人慰问、现症病例管理及治愈存活者监测、麻风病密切接触者监测、麻风病可疑症状监测项目等相关工作。</w:t>
      </w:r>
    </w:p>
    <w:p w14:paraId="05EC4CD5">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eastAsia" w:ascii="Times New Roman" w:hAnsi="Times New Roman" w:eastAsia="黑体"/>
          <w:sz w:val="32"/>
          <w:szCs w:val="32"/>
        </w:rPr>
      </w:pPr>
      <w:bookmarkStart w:id="226" w:name="_Toc14973"/>
      <w:bookmarkStart w:id="227" w:name="_Toc4228"/>
      <w:r>
        <w:rPr>
          <w:rFonts w:hint="eastAsia" w:ascii="Times New Roman" w:hAnsi="Times New Roman" w:eastAsia="黑体"/>
          <w:sz w:val="32"/>
          <w:szCs w:val="32"/>
        </w:rPr>
        <w:t>二、评价实施</w:t>
      </w:r>
      <w:bookmarkEnd w:id="226"/>
      <w:bookmarkEnd w:id="227"/>
    </w:p>
    <w:p w14:paraId="65E1F76B">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36A7A1FD">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shd w:val="clear" w:color="auto" w:fill="FFFFFF"/>
        </w:rPr>
        <w:t>对我县麻风病防治各项工作的开展及完成情况进行综合评价</w:t>
      </w:r>
      <w:r>
        <w:rPr>
          <w:rFonts w:hint="eastAsia" w:ascii="Times New Roman" w:hAnsi="Times New Roman" w:eastAsia="仿宋_GB2312" w:cs="仿宋_GB2312"/>
          <w:sz w:val="32"/>
          <w:szCs w:val="32"/>
        </w:rPr>
        <w:t>。</w:t>
      </w:r>
    </w:p>
    <w:p w14:paraId="5F015863">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（二）预设问题及评价重点</w:t>
      </w:r>
    </w:p>
    <w:p w14:paraId="152762A1">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按照绩效评价指标体系，对资金支出使用全过程及其实施效果进行综合评价和判断。</w:t>
      </w:r>
    </w:p>
    <w:p w14:paraId="052FB57B">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080EE618">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5AB754EB">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60433F81">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我中心根据年初预算项目绩效目标设定情况进行项目年终自评。</w:t>
      </w:r>
    </w:p>
    <w:p w14:paraId="7EAFE064">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eastAsia" w:ascii="Times New Roman" w:hAnsi="Times New Roman"/>
          <w:color w:val="auto"/>
          <w:sz w:val="32"/>
          <w:szCs w:val="32"/>
          <w:lang w:val="zh-CN"/>
        </w:rPr>
      </w:pPr>
      <w:bookmarkStart w:id="228" w:name="_Toc5696"/>
      <w:bookmarkStart w:id="229" w:name="_Toc32034"/>
      <w:r>
        <w:rPr>
          <w:rFonts w:hint="eastAsia" w:ascii="Times New Roman" w:hAnsi="Times New Roman" w:eastAsia="黑体"/>
          <w:color w:val="auto"/>
          <w:sz w:val="32"/>
          <w:szCs w:val="32"/>
        </w:rPr>
        <w:t>三、绩效分析</w:t>
      </w:r>
      <w:bookmarkEnd w:id="228"/>
      <w:bookmarkEnd w:id="229"/>
    </w:p>
    <w:p w14:paraId="17405380">
      <w:pPr>
        <w:keepNext w:val="0"/>
        <w:keepLines w:val="0"/>
        <w:pageBreakBefore w:val="0"/>
        <w:numPr>
          <w:ilvl w:val="0"/>
          <w:numId w:val="0"/>
        </w:numPr>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rPr>
        <w:t>对21</w:t>
      </w:r>
      <w:r>
        <w:rPr>
          <w:rFonts w:hint="eastAsia" w:ascii="Times New Roman" w:hAnsi="Times New Roman" w:eastAsia="仿宋_GB2312" w:cs="仿宋_GB2312"/>
          <w:color w:val="auto"/>
          <w:sz w:val="32"/>
          <w:szCs w:val="32"/>
          <w:shd w:val="clear" w:color="auto" w:fill="FFFFFF"/>
        </w:rPr>
        <w:t>位畸残和存活麻风康复者进行关怀慰问，详细了解了他们在生活和就医等方面实际困难，尽可能地帮助他们解决所面临的难题。</w:t>
      </w:r>
    </w:p>
    <w:p w14:paraId="5C245B11">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shd w:val="clear" w:color="auto" w:fill="FFFFFF"/>
        </w:rPr>
        <w:t>通过项目的实施，</w:t>
      </w:r>
      <w:r>
        <w:rPr>
          <w:rFonts w:hint="eastAsia" w:ascii="Times New Roman" w:hAnsi="Times New Roman" w:eastAsia="仿宋_GB2312" w:cs="仿宋_GB2312"/>
          <w:color w:val="auto"/>
          <w:sz w:val="32"/>
          <w:szCs w:val="32"/>
          <w:shd w:val="clear" w:color="auto" w:fill="FFFFFF"/>
          <w:lang w:val="zh-CN"/>
        </w:rPr>
        <w:t>进一步完善了麻风病防治工作机制，加强各级政府组织领导、部门各负其责，全社会共同参与的防治机制,</w:t>
      </w:r>
      <w:r>
        <w:rPr>
          <w:rFonts w:hint="eastAsia" w:ascii="Times New Roman" w:hAnsi="Times New Roman" w:eastAsia="仿宋_GB2312" w:cs="仿宋_GB2312"/>
          <w:color w:val="auto"/>
          <w:sz w:val="32"/>
          <w:szCs w:val="32"/>
          <w:shd w:val="clear" w:color="auto" w:fill="FFFFFF"/>
        </w:rPr>
        <w:t>全面落实各项麻风病防治措施。鼓励了畸残和存活麻风康复者积极乐观的生活，同时也唤起了全社会对麻风病人的关爱，充分体现了党和政府的关怀和温暖</w:t>
      </w:r>
      <w:r>
        <w:rPr>
          <w:rFonts w:hint="eastAsia" w:ascii="Times New Roman" w:hAnsi="Times New Roman" w:eastAsia="仿宋_GB2312" w:cs="仿宋_GB2312"/>
          <w:sz w:val="32"/>
          <w:szCs w:val="32"/>
        </w:rPr>
        <w:t>。</w:t>
      </w:r>
    </w:p>
    <w:p w14:paraId="48661AE5">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w:t>
      </w:r>
    </w:p>
    <w:p w14:paraId="4B706523">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w:t>
      </w:r>
    </w:p>
    <w:p w14:paraId="05FDEEFE">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lang w:val="zh-CN"/>
        </w:rPr>
      </w:pPr>
      <w:r>
        <w:rPr>
          <w:rFonts w:hint="eastAsia" w:ascii="Times New Roman" w:hAnsi="Times New Roman" w:eastAsia="仿宋_GB2312" w:cs="仿宋_GB2312"/>
          <w:color w:val="auto"/>
          <w:sz w:val="32"/>
          <w:szCs w:val="32"/>
          <w:shd w:val="clear" w:color="auto" w:fill="FFFFFF"/>
          <w:lang w:val="zh-CN"/>
        </w:rPr>
        <w:t>麻风病项目设立、调整延续等方面符合资金管理基本规范和决策程序要求且资金，绩效目标设置科学合理。</w:t>
      </w:r>
      <w:r>
        <w:rPr>
          <w:rFonts w:hint="eastAsia" w:ascii="Times New Roman" w:hAnsi="Times New Roman" w:eastAsia="仿宋_GB2312" w:cs="仿宋_GB2312"/>
          <w:color w:val="auto"/>
          <w:sz w:val="32"/>
          <w:szCs w:val="32"/>
          <w:shd w:val="clear" w:color="auto" w:fill="FFFFFF"/>
        </w:rPr>
        <w:t>2023年麻风防治工作经费实际到位3万元，到位率100%</w:t>
      </w:r>
      <w:r>
        <w:rPr>
          <w:rFonts w:hint="eastAsia" w:ascii="Times New Roman" w:hAnsi="Times New Roman" w:eastAsia="仿宋_GB2312" w:cs="仿宋_GB2312"/>
          <w:color w:val="auto"/>
          <w:sz w:val="32"/>
          <w:szCs w:val="32"/>
          <w:shd w:val="clear" w:color="auto" w:fill="FFFFFF"/>
          <w:lang w:val="zh-CN"/>
        </w:rPr>
        <w:t>。</w:t>
      </w:r>
      <w:r>
        <w:rPr>
          <w:rFonts w:hint="eastAsia" w:ascii="Times New Roman" w:hAnsi="Times New Roman" w:eastAsia="仿宋_GB2312" w:cs="仿宋_GB2312"/>
          <w:color w:val="auto"/>
          <w:sz w:val="32"/>
          <w:szCs w:val="32"/>
          <w:shd w:val="clear" w:color="auto" w:fill="FFFFFF"/>
        </w:rPr>
        <w:t>专款专用，全部用于麻风病防治各项工作的开展。</w:t>
      </w:r>
    </w:p>
    <w:p w14:paraId="1854605B">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项目全年绩效目标（完成指标）实现情况：麻风病可疑症状监测任务数77例；麻风病现症病例管理监测数1例；麻风病治愈存活者监测数20例；麻风病密切接触者监测数10例。指标完成100%。</w:t>
      </w:r>
    </w:p>
    <w:p w14:paraId="4B35F238">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w:t>
      </w:r>
    </w:p>
    <w:p w14:paraId="69E1D12E">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4B51BD8A">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w:t>
      </w:r>
    </w:p>
    <w:p w14:paraId="26BAA888">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zh-CN"/>
        </w:rPr>
        <w:t>为深入推进麻风病防治工作，进一步完善麻风病防治工作机制，加强各级政府组织领导、部门各负其责，全社会共同参与的防治机制,</w:t>
      </w:r>
      <w:r>
        <w:rPr>
          <w:rFonts w:hint="eastAsia" w:ascii="Times New Roman" w:hAnsi="Times New Roman" w:eastAsia="仿宋_GB2312" w:cs="仿宋_GB2312"/>
          <w:color w:val="auto"/>
          <w:sz w:val="32"/>
          <w:szCs w:val="32"/>
          <w:shd w:val="clear" w:color="auto" w:fill="FFFFFF"/>
        </w:rPr>
        <w:t>全面落实各项麻风病防治措施。</w:t>
      </w:r>
      <w:r>
        <w:rPr>
          <w:rFonts w:hint="eastAsia" w:ascii="Times New Roman" w:hAnsi="Times New Roman" w:eastAsia="仿宋_GB2312" w:cs="仿宋_GB2312"/>
          <w:color w:val="auto"/>
          <w:sz w:val="32"/>
          <w:szCs w:val="32"/>
          <w:shd w:val="clear" w:color="auto" w:fill="FFFFFF"/>
          <w:lang w:val="zh-CN"/>
        </w:rPr>
        <w:t>今年收到县级专项资金</w:t>
      </w:r>
      <w:r>
        <w:rPr>
          <w:rFonts w:hint="eastAsia" w:ascii="Times New Roman" w:hAnsi="Times New Roman" w:eastAsia="仿宋_GB2312" w:cs="仿宋_GB2312"/>
          <w:color w:val="auto"/>
          <w:sz w:val="32"/>
          <w:szCs w:val="32"/>
          <w:shd w:val="clear" w:color="auto" w:fill="FFFFFF"/>
        </w:rPr>
        <w:t>3万元</w:t>
      </w:r>
      <w:r>
        <w:rPr>
          <w:rFonts w:hint="eastAsia" w:ascii="Times New Roman" w:hAnsi="Times New Roman" w:eastAsia="仿宋_GB2312" w:cs="仿宋_GB2312"/>
          <w:color w:val="auto"/>
          <w:sz w:val="32"/>
          <w:szCs w:val="32"/>
          <w:shd w:val="clear" w:color="auto" w:fill="FFFFFF"/>
          <w:lang w:val="zh-CN"/>
        </w:rPr>
        <w:t>。</w:t>
      </w:r>
      <w:r>
        <w:rPr>
          <w:rFonts w:hint="eastAsia" w:ascii="Times New Roman" w:hAnsi="Times New Roman" w:eastAsia="仿宋_GB2312" w:cs="仿宋_GB2312"/>
          <w:color w:val="auto"/>
          <w:sz w:val="32"/>
          <w:szCs w:val="32"/>
          <w:shd w:val="clear" w:color="auto" w:fill="FFFFFF"/>
        </w:rPr>
        <w:t>截止2023年12月，该专项资金3</w:t>
      </w:r>
      <w:r>
        <w:rPr>
          <w:rFonts w:hint="eastAsia" w:ascii="Times New Roman" w:hAnsi="Times New Roman" w:eastAsia="仿宋_GB2312" w:cs="仿宋_GB2312"/>
          <w:color w:val="auto"/>
          <w:sz w:val="32"/>
          <w:szCs w:val="32"/>
          <w:shd w:val="clear" w:color="auto" w:fill="FFFFFF"/>
          <w:lang w:val="zh-CN"/>
        </w:rPr>
        <w:t>万元</w:t>
      </w:r>
      <w:r>
        <w:rPr>
          <w:rFonts w:hint="eastAsia" w:ascii="Times New Roman" w:hAnsi="Times New Roman" w:eastAsia="仿宋_GB2312" w:cs="仿宋_GB2312"/>
          <w:color w:val="auto"/>
          <w:sz w:val="32"/>
          <w:szCs w:val="32"/>
          <w:shd w:val="clear" w:color="auto" w:fill="FFFFFF"/>
        </w:rPr>
        <w:t>已全部用于我县麻风病综合防治工作培训、宣传、麻风节病人慰问、现症病例管理及治愈存活者监测、麻风病密切接触者监测、麻风病可疑症状监测项目等相关工作，资金使用率100%。</w:t>
      </w:r>
    </w:p>
    <w:p w14:paraId="61198D57">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4.项目结果</w:t>
      </w:r>
    </w:p>
    <w:p w14:paraId="3B6A1163">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项目1—12月绩效目标（完成指标）实现情况：麻风病可疑症状监测任务数77例；麻风病现症病例管理监测数1例；麻风病治愈存活者监测数20例；麻风病密切接触者监测数10例。指标完成100%。</w:t>
      </w:r>
    </w:p>
    <w:p w14:paraId="3BFF57D4">
      <w:pPr>
        <w:keepNext w:val="0"/>
        <w:keepLines w:val="0"/>
        <w:pageBreakBefore w:val="0"/>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_GB2312" w:cs="楷体_GB2312"/>
          <w:color w:val="auto"/>
          <w:sz w:val="32"/>
          <w:szCs w:val="32"/>
        </w:rPr>
      </w:pPr>
      <w:r>
        <w:rPr>
          <w:rFonts w:hint="eastAsia" w:ascii="Times New Roman" w:hAnsi="Times New Roman" w:eastAsia="楷体_GB2312"/>
          <w:b w:val="0"/>
          <w:bCs/>
          <w:color w:val="auto"/>
          <w:sz w:val="32"/>
          <w:szCs w:val="32"/>
          <w:lang w:val="zh-CN"/>
        </w:rPr>
        <w:t>（二）专用指标绩效分析</w:t>
      </w:r>
    </w:p>
    <w:p w14:paraId="09A4482C">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shd w:val="clear" w:color="auto" w:fill="FFFFFF"/>
        </w:rPr>
        <w:t>通过项目的实施，</w:t>
      </w:r>
      <w:r>
        <w:rPr>
          <w:rFonts w:hint="eastAsia" w:ascii="Times New Roman" w:hAnsi="Times New Roman" w:eastAsia="仿宋_GB2312" w:cs="仿宋_GB2312"/>
          <w:color w:val="auto"/>
          <w:sz w:val="32"/>
          <w:szCs w:val="32"/>
          <w:shd w:val="clear" w:color="auto" w:fill="FFFFFF"/>
          <w:lang w:val="zh-CN"/>
        </w:rPr>
        <w:t>进一步完善了麻风病防治工作机制，加强各级政府组织领导、部门各负其责，全社会共同参与的防治机制,</w:t>
      </w:r>
      <w:r>
        <w:rPr>
          <w:rFonts w:hint="eastAsia" w:ascii="Times New Roman" w:hAnsi="Times New Roman" w:eastAsia="仿宋_GB2312" w:cs="仿宋_GB2312"/>
          <w:color w:val="auto"/>
          <w:sz w:val="32"/>
          <w:szCs w:val="32"/>
          <w:shd w:val="clear" w:color="auto" w:fill="FFFFFF"/>
        </w:rPr>
        <w:t>全面落实各项麻风病防治措施。鼓励了畸残和存活麻风康复者积极乐观的生活，同时也唤起了全社会对麻风病人的关爱，充分体现了党和政府的关怀和温暖</w:t>
      </w:r>
      <w:r>
        <w:rPr>
          <w:rFonts w:hint="eastAsia" w:ascii="Times New Roman" w:hAnsi="Times New Roman" w:eastAsia="仿宋_GB2312" w:cs="仿宋_GB2312"/>
          <w:sz w:val="32"/>
          <w:szCs w:val="32"/>
        </w:rPr>
        <w:t>。</w:t>
      </w:r>
    </w:p>
    <w:p w14:paraId="3C563547">
      <w:pPr>
        <w:keepNext w:val="0"/>
        <w:keepLines w:val="0"/>
        <w:pageBreakBefore w:val="0"/>
        <w:numPr>
          <w:ilvl w:val="0"/>
          <w:numId w:val="6"/>
        </w:numPr>
        <w:kinsoku/>
        <w:wordWrap/>
        <w:overflowPunct/>
        <w:topLinePunct w:val="0"/>
        <w:autoSpaceDE/>
        <w:autoSpaceDN/>
        <w:bidi w:val="0"/>
        <w:spacing w:beforeLines="0" w:afterLines="0" w:line="578" w:lineRule="exact"/>
        <w:ind w:firstLine="640" w:firstLineChars="20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个性指标绩效分析</w:t>
      </w:r>
    </w:p>
    <w:p w14:paraId="399F7E16">
      <w:pPr>
        <w:keepNext w:val="0"/>
        <w:keepLines w:val="0"/>
        <w:pageBreakBefore w:val="0"/>
        <w:numPr>
          <w:ilvl w:val="0"/>
          <w:numId w:val="0"/>
        </w:numPr>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rPr>
        <w:t>对21</w:t>
      </w:r>
      <w:r>
        <w:rPr>
          <w:rFonts w:hint="eastAsia" w:ascii="Times New Roman" w:hAnsi="Times New Roman" w:eastAsia="仿宋_GB2312" w:cs="仿宋_GB2312"/>
          <w:color w:val="auto"/>
          <w:sz w:val="32"/>
          <w:szCs w:val="32"/>
          <w:shd w:val="clear" w:color="auto" w:fill="FFFFFF"/>
        </w:rPr>
        <w:t>位畸残和存活麻风康复者进行关怀慰问，详细了解了他们在生活和就医等方面实际困难，尽可能地帮助他们解决所面临的难题。</w:t>
      </w:r>
    </w:p>
    <w:p w14:paraId="52F4DDF2">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rPr>
      </w:pPr>
      <w:bookmarkStart w:id="230" w:name="_Toc27301"/>
      <w:bookmarkStart w:id="231" w:name="_Toc15299"/>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30"/>
      <w:bookmarkEnd w:id="231"/>
    </w:p>
    <w:p w14:paraId="1C7DC15C">
      <w:pPr>
        <w:keepNext w:val="0"/>
        <w:keepLines w:val="0"/>
        <w:pageBreakBefore w:val="0"/>
        <w:numPr>
          <w:ilvl w:val="0"/>
          <w:numId w:val="0"/>
        </w:numPr>
        <w:kinsoku/>
        <w:wordWrap/>
        <w:overflowPunct/>
        <w:topLinePunct w:val="0"/>
        <w:autoSpaceDE/>
        <w:autoSpaceDN/>
        <w:bidi w:val="0"/>
        <w:snapToGrid w:val="0"/>
        <w:spacing w:beforeLines="0" w:afterLines="0" w:line="578"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_GB2312" w:cs="仿宋"/>
          <w:color w:val="auto"/>
          <w:sz w:val="32"/>
          <w:szCs w:val="32"/>
          <w:shd w:val="clear" w:color="auto" w:fill="FFFFFF"/>
          <w:lang w:val="zh-CN"/>
        </w:rPr>
        <w:t>为深入推进麻风病防治工作，进一步完善麻风病防治工作机制，加强各级政府组织领导、部门各负其责，全社会共同参与的防治机制,</w:t>
      </w:r>
      <w:r>
        <w:rPr>
          <w:rFonts w:hint="eastAsia" w:ascii="Times New Roman" w:hAnsi="Times New Roman" w:eastAsia="仿宋_GB2312" w:cs="仿宋"/>
          <w:color w:val="auto"/>
          <w:sz w:val="32"/>
          <w:szCs w:val="32"/>
          <w:shd w:val="clear" w:color="auto" w:fill="FFFFFF"/>
        </w:rPr>
        <w:t>全面落实各项麻风病防治措施。</w:t>
      </w:r>
      <w:r>
        <w:rPr>
          <w:rFonts w:hint="eastAsia" w:ascii="Times New Roman" w:hAnsi="Times New Roman" w:eastAsia="仿宋_GB2312" w:cs="仿宋"/>
          <w:color w:val="auto"/>
          <w:sz w:val="32"/>
          <w:szCs w:val="32"/>
          <w:shd w:val="clear" w:color="auto" w:fill="FFFFFF"/>
          <w:lang w:val="zh-CN"/>
        </w:rPr>
        <w:t>今年收到县级专项资金</w:t>
      </w:r>
      <w:r>
        <w:rPr>
          <w:rFonts w:hint="eastAsia" w:ascii="Times New Roman" w:hAnsi="Times New Roman" w:eastAsia="仿宋_GB2312" w:cs="仿宋"/>
          <w:color w:val="auto"/>
          <w:sz w:val="32"/>
          <w:szCs w:val="32"/>
          <w:shd w:val="clear" w:color="auto" w:fill="FFFFFF"/>
        </w:rPr>
        <w:t>3万元</w:t>
      </w:r>
      <w:r>
        <w:rPr>
          <w:rFonts w:hint="eastAsia" w:ascii="Times New Roman" w:hAnsi="Times New Roman" w:eastAsia="仿宋_GB2312" w:cs="仿宋"/>
          <w:color w:val="auto"/>
          <w:sz w:val="32"/>
          <w:szCs w:val="32"/>
          <w:shd w:val="clear" w:color="auto" w:fill="FFFFFF"/>
          <w:lang w:val="zh-CN"/>
        </w:rPr>
        <w:t>。</w:t>
      </w:r>
      <w:r>
        <w:rPr>
          <w:rFonts w:hint="eastAsia" w:ascii="Times New Roman" w:hAnsi="Times New Roman" w:eastAsia="仿宋_GB2312" w:cs="仿宋"/>
          <w:color w:val="auto"/>
          <w:sz w:val="32"/>
          <w:szCs w:val="32"/>
          <w:shd w:val="clear" w:color="auto" w:fill="FFFFFF"/>
        </w:rPr>
        <w:t>截止2023年12月，该专项资金已全部使用完、主要用于我县麻风病综合防治工作培训、宣传、麻风节病人慰问、现症病例管理及治愈存活者监测、麻风病密切接触者监测、麻风病可疑症状监测项目等相关工作。</w:t>
      </w:r>
    </w:p>
    <w:p w14:paraId="4B0B21AC">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eastAsia="zh-CN"/>
        </w:rPr>
      </w:pPr>
      <w:bookmarkStart w:id="232" w:name="_Toc8861"/>
      <w:bookmarkStart w:id="233" w:name="_Toc7134"/>
      <w:r>
        <w:rPr>
          <w:rFonts w:hint="eastAsia" w:ascii="Times New Roman" w:hAnsi="Times New Roman" w:eastAsia="黑体"/>
          <w:color w:val="auto"/>
          <w:sz w:val="32"/>
          <w:szCs w:val="32"/>
          <w:lang w:eastAsia="zh-CN"/>
        </w:rPr>
        <w:t>五、存在主要问题</w:t>
      </w:r>
      <w:bookmarkEnd w:id="232"/>
      <w:bookmarkEnd w:id="233"/>
    </w:p>
    <w:p w14:paraId="3A753331">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黑体" w:cs="黑体"/>
          <w:kern w:val="2"/>
          <w:sz w:val="32"/>
          <w:szCs w:val="32"/>
          <w:lang w:eastAsia="zh-CN"/>
        </w:rPr>
      </w:pPr>
      <w:r>
        <w:rPr>
          <w:rFonts w:hint="eastAsia" w:ascii="Times New Roman" w:hAnsi="Times New Roman" w:eastAsia="仿宋_GB2312" w:cs="仿宋_GB2312"/>
          <w:sz w:val="32"/>
          <w:szCs w:val="32"/>
          <w:lang w:eastAsia="zh-CN"/>
        </w:rPr>
        <w:t>无。</w:t>
      </w:r>
    </w:p>
    <w:p w14:paraId="05350771">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val="zh-CN" w:eastAsia="zh-CN"/>
        </w:rPr>
      </w:pPr>
      <w:bookmarkStart w:id="234" w:name="_Toc22190"/>
      <w:bookmarkStart w:id="235" w:name="_Toc27461"/>
      <w:r>
        <w:rPr>
          <w:rFonts w:hint="eastAsia" w:ascii="Times New Roman" w:hAnsi="Times New Roman" w:eastAsia="黑体"/>
          <w:color w:val="auto"/>
          <w:sz w:val="32"/>
          <w:szCs w:val="32"/>
          <w:lang w:val="zh-CN" w:eastAsia="zh-CN"/>
        </w:rPr>
        <w:t>六、改进建议</w:t>
      </w:r>
      <w:bookmarkEnd w:id="234"/>
      <w:bookmarkEnd w:id="235"/>
    </w:p>
    <w:p w14:paraId="247156C0">
      <w:pPr>
        <w:keepNext w:val="0"/>
        <w:keepLines w:val="0"/>
        <w:pageBreakBefore w:val="0"/>
        <w:kinsoku/>
        <w:wordWrap/>
        <w:overflowPunct/>
        <w:topLinePunct w:val="0"/>
        <w:autoSpaceDE/>
        <w:autoSpaceDN/>
        <w:bidi w:val="0"/>
        <w:snapToGrid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严格按照上级下达的目标任务完成各项指标，无偏离绩效目标现象。</w:t>
      </w:r>
    </w:p>
    <w:p w14:paraId="7E40C988">
      <w:pPr>
        <w:keepNext w:val="0"/>
        <w:keepLines w:val="0"/>
        <w:pageBreakBefore w:val="0"/>
        <w:tabs>
          <w:tab w:val="left" w:pos="1911"/>
        </w:tabs>
        <w:kinsoku/>
        <w:wordWrap/>
        <w:overflowPunct/>
        <w:topLinePunct w:val="0"/>
        <w:autoSpaceDE/>
        <w:autoSpaceDN/>
        <w:bidi w:val="0"/>
        <w:spacing w:beforeLines="0" w:afterLines="0" w:line="578" w:lineRule="exact"/>
        <w:jc w:val="left"/>
        <w:textAlignment w:val="auto"/>
        <w:rPr>
          <w:rFonts w:hint="eastAsia" w:ascii="Times New Roman" w:hAnsi="Times New Roman" w:cs="仿宋_GB2312"/>
          <w:kern w:val="0"/>
          <w:sz w:val="32"/>
          <w:szCs w:val="32"/>
          <w:lang w:val="en"/>
        </w:rPr>
      </w:pPr>
    </w:p>
    <w:p w14:paraId="5BDD14D0">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60F2FC17">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7C2DFE6C">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319F14C6">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r>
        <w:rPr>
          <w:rFonts w:hint="eastAsia" w:ascii="Times New Roman" w:hAnsi="Times New Roman"/>
          <w:color w:val="000000"/>
          <w:kern w:val="0"/>
          <w:sz w:val="32"/>
          <w:szCs w:val="32"/>
          <w:shd w:val="clear" w:color="auto" w:fill="FFFFFF"/>
          <w:lang w:val="zh-CN"/>
        </w:rPr>
        <w:br w:type="page"/>
      </w:r>
    </w:p>
    <w:p w14:paraId="627790CA">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3E226A87">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236" w:name="_Toc29762"/>
      <w:bookmarkStart w:id="237" w:name="_Toc8919"/>
      <w:r>
        <w:rPr>
          <w:rFonts w:hint="eastAsia" w:ascii="Times New Roman" w:hAnsi="Times New Roman" w:eastAsia="方正小标宋_GBK" w:cs="方正小标宋_GBK"/>
          <w:color w:val="auto"/>
          <w:sz w:val="40"/>
          <w:szCs w:val="40"/>
        </w:rPr>
        <w:t>项目资金分配涉及所有点位自评得分情况表</w:t>
      </w:r>
      <w:bookmarkEnd w:id="236"/>
      <w:bookmarkEnd w:id="237"/>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0F7F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03EA047">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4FA161EC">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2317D841">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41069397">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4CD3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6F6550A7">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3E9C352">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3DD2389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cs="宋体"/>
                <w:color w:val="auto"/>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60D36A6E">
            <w:pPr>
              <w:spacing w:beforeLines="0" w:afterLines="0" w:line="300" w:lineRule="exact"/>
              <w:rPr>
                <w:rFonts w:hint="eastAsia" w:ascii="Times New Roman" w:hAnsi="Times New Roman" w:cs="宋体"/>
                <w:color w:val="auto"/>
                <w:sz w:val="24"/>
                <w:szCs w:val="24"/>
              </w:rPr>
            </w:pPr>
          </w:p>
        </w:tc>
      </w:tr>
    </w:tbl>
    <w:p w14:paraId="5274089E">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026AFFB3">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77AE656D">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7281536A">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38B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70EFBA6F">
            <w:pPr>
              <w:widowControl/>
              <w:spacing w:beforeLines="0" w:afterLines="0" w:line="600" w:lineRule="exact"/>
              <w:jc w:val="center"/>
              <w:textAlignment w:val="center"/>
              <w:rPr>
                <w:rFonts w:hint="eastAsia"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5EE5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D5AC4">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04FBD">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麻风病</w:t>
            </w:r>
          </w:p>
        </w:tc>
      </w:tr>
      <w:tr w14:paraId="0629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B6FD0">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0005A">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7835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B7867">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6AD13">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422B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0865E">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2470C">
            <w:pPr>
              <w:widowControl/>
              <w:spacing w:beforeLines="0" w:afterLines="0" w:line="300" w:lineRule="exact"/>
              <w:jc w:val="left"/>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中长期规划（名称、文号，仅指</w:t>
            </w:r>
          </w:p>
          <w:p w14:paraId="69C1B7B1">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DF26E">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竹财预【2023】8号</w:t>
            </w:r>
          </w:p>
        </w:tc>
      </w:tr>
      <w:tr w14:paraId="4DCE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1F0E3">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4F077">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89E49">
            <w:pPr>
              <w:spacing w:beforeLines="0" w:afterLines="0" w:line="300" w:lineRule="exact"/>
              <w:jc w:val="left"/>
              <w:rPr>
                <w:rFonts w:hint="eastAsia" w:ascii="Times New Roman" w:hAnsi="Times New Roman" w:eastAsia="宋体" w:cs="宋体"/>
                <w:color w:val="000000"/>
                <w:sz w:val="24"/>
                <w:szCs w:val="24"/>
              </w:rPr>
            </w:pPr>
          </w:p>
        </w:tc>
      </w:tr>
      <w:tr w14:paraId="2D2E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F0711">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B59F8">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18E05">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5C3E9">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95CA">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72293">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6D43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EE87A">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D454A">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E0B27">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县级配套资金</w:t>
            </w:r>
          </w:p>
        </w:tc>
      </w:tr>
      <w:tr w14:paraId="6B2D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653FA">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EBF73">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0215E">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用于麻风病专项</w:t>
            </w:r>
          </w:p>
        </w:tc>
      </w:tr>
      <w:tr w14:paraId="01BE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95CFE">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498F1">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4BBD7">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153F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1F93F">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10DAE">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67842">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5EE1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FAE1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153ECE2D">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8CCB5">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3B985">
            <w:pPr>
              <w:tabs>
                <w:tab w:val="left" w:pos="603"/>
              </w:tabs>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r>
      <w:tr w14:paraId="5B53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41E8D">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A3B6D">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E8884">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3</w:t>
            </w:r>
          </w:p>
        </w:tc>
      </w:tr>
      <w:tr w14:paraId="2EAB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81315">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F1C664">
            <w:pPr>
              <w:widowControl/>
              <w:spacing w:beforeLines="0" w:afterLines="0" w:line="300" w:lineRule="exact"/>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74E88">
            <w:pPr>
              <w:spacing w:beforeLines="0" w:afterLines="0" w:line="300" w:lineRule="exact"/>
              <w:jc w:val="right"/>
              <w:rPr>
                <w:rFonts w:hint="eastAsia" w:ascii="Times New Roman" w:hAnsi="Times New Roman" w:eastAsia="宋体" w:cs="宋体"/>
                <w:color w:val="000000"/>
                <w:sz w:val="24"/>
                <w:szCs w:val="24"/>
              </w:rPr>
            </w:pPr>
          </w:p>
        </w:tc>
      </w:tr>
      <w:tr w14:paraId="0E11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D4757">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779C7">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7E30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3AAF4">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6CAAD">
            <w:pPr>
              <w:spacing w:beforeLines="0" w:afterLines="0" w:line="300" w:lineRule="exact"/>
              <w:ind w:firstLine="480" w:firstLineChars="200"/>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麻风病线索调查报告率100%；麻风病按规定随访到位率100%；麻风病治愈存活者监测率100%,麻风病密切接触者监测率100%。</w:t>
            </w:r>
          </w:p>
        </w:tc>
      </w:tr>
      <w:tr w14:paraId="2BD6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AD79D0">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A560C">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E09C4">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9B5DE99">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C6FB7">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994E1">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75129">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2BBBF">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DDE81">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6C08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F89CAF">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C0222B">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1E33AE">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E530C5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麻风病可疑症状监测任务数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1A0B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2529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74</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FEAA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61B5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0870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77</w:t>
            </w:r>
          </w:p>
        </w:tc>
      </w:tr>
      <w:tr w14:paraId="30E1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15BC50">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63173C">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8E02AB">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3A8EC4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麻风病现症病例管理监测数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FF64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AC6C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8DA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044C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E2F9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w:t>
            </w:r>
          </w:p>
        </w:tc>
      </w:tr>
      <w:tr w14:paraId="3B5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60DC99">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4A1FC8">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7DB21F">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35AB4E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麻风病治愈存活者监测数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14F2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012F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1642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0092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EECF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w:t>
            </w:r>
          </w:p>
        </w:tc>
      </w:tr>
      <w:tr w14:paraId="7332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B77EDB">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6C68E2">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553C4E">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485435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麻风病密切接触者监测数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BC479">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4A80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A6F4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人</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F14D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7936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r>
      <w:tr w14:paraId="227C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399134">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B00807">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9C8546">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质量指标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078988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麻风病可疑线索报告率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6FBD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692E66F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28FA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AA10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241DDD2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39DA5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nil"/>
              <w:tl2br w:val="nil"/>
              <w:tr2bl w:val="nil"/>
            </w:tcBorders>
            <w:noWrap w:val="0"/>
            <w:vAlign w:val="center"/>
          </w:tcPr>
          <w:p w14:paraId="729BAC1E">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37B5CB8A">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4457F51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9CB1D2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麻风病按规定随访到位率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16B2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6256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280D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5CFC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87E6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77F3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nil"/>
              <w:tl2br w:val="nil"/>
              <w:tr2bl w:val="nil"/>
            </w:tcBorders>
            <w:noWrap w:val="0"/>
            <w:vAlign w:val="center"/>
          </w:tcPr>
          <w:p w14:paraId="57E3E99D">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45AEB5D7">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59A888B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920E5C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麻风病治愈存活者监测率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16FA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D713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45C4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5E7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FA6C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60DE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nil"/>
              <w:tl2br w:val="nil"/>
              <w:tr2bl w:val="nil"/>
            </w:tcBorders>
            <w:noWrap w:val="0"/>
            <w:vAlign w:val="center"/>
          </w:tcPr>
          <w:p w14:paraId="35C60F18">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14:paraId="5EAA49F4">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14:paraId="3A986505">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9D62A6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麻风病密切接触者监测率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7261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00EF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7999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CBC5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38F5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2C85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000000" w:sz="4" w:space="0"/>
              <w:right w:val="nil"/>
              <w:tl2br w:val="nil"/>
              <w:tr2bl w:val="nil"/>
            </w:tcBorders>
            <w:noWrap w:val="0"/>
            <w:vAlign w:val="center"/>
          </w:tcPr>
          <w:p w14:paraId="1D989C7B">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000000" w:sz="4" w:space="0"/>
              <w:bottom w:val="single" w:color="000000" w:sz="4" w:space="0"/>
              <w:right w:val="single" w:color="000000" w:sz="4" w:space="0"/>
              <w:tl2br w:val="nil"/>
              <w:tr2bl w:val="nil"/>
            </w:tcBorders>
            <w:noWrap w:val="0"/>
            <w:vAlign w:val="center"/>
          </w:tcPr>
          <w:p w14:paraId="6CCAB76B">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1A6A675">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899C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项目能否在年底完成时间</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CA35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8EDF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2023年12底之前</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9073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3A25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C6C6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已完成</w:t>
            </w:r>
          </w:p>
        </w:tc>
      </w:tr>
      <w:tr w14:paraId="29C0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right w:val="nil"/>
              <w:tl2br w:val="nil"/>
              <w:tr2bl w:val="nil"/>
            </w:tcBorders>
            <w:noWrap w:val="0"/>
            <w:vAlign w:val="center"/>
          </w:tcPr>
          <w:p w14:paraId="6A953134">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1C921">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EAF74">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经济效益</w:t>
            </w:r>
          </w:p>
          <w:p w14:paraId="14843E66">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E5C8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慰问麻风病病人21人（500元/人）</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BB38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0D09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10500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39E2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元/年</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D4C2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B45D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10500</w:t>
            </w:r>
          </w:p>
        </w:tc>
      </w:tr>
      <w:tr w14:paraId="62AF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right w:val="nil"/>
              <w:tl2br w:val="nil"/>
              <w:tr2bl w:val="nil"/>
            </w:tcBorders>
            <w:noWrap w:val="0"/>
            <w:vAlign w:val="center"/>
          </w:tcPr>
          <w:p w14:paraId="40F43BB0">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auto" w:sz="4" w:space="0"/>
              <w:right w:val="single" w:color="000000" w:sz="4" w:space="0"/>
              <w:tl2br w:val="nil"/>
              <w:tr2bl w:val="nil"/>
            </w:tcBorders>
            <w:noWrap w:val="0"/>
            <w:vAlign w:val="center"/>
          </w:tcPr>
          <w:p w14:paraId="381A6C07">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AFD04C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w:t>
            </w:r>
          </w:p>
          <w:p w14:paraId="5F17AAC9">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3910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鼓励了畸残和存活麻风康复者积极乐观的生活，同时也唤起了全社会对麻风病人的关爱，充分体现了党和政府的关怀和温暖。</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A213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8FB9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3469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5D5C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6000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01BF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right w:val="single" w:color="auto" w:sz="4" w:space="0"/>
              <w:tl2br w:val="nil"/>
              <w:tr2bl w:val="nil"/>
            </w:tcBorders>
            <w:noWrap w:val="0"/>
            <w:vAlign w:val="center"/>
          </w:tcPr>
          <w:p w14:paraId="190589E0">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auto" w:sz="4" w:space="0"/>
              <w:left w:val="single" w:color="auto" w:sz="4" w:space="0"/>
              <w:bottom w:val="single" w:color="auto" w:sz="4" w:space="0"/>
              <w:right w:val="single" w:color="000000" w:sz="4" w:space="0"/>
              <w:tl2br w:val="nil"/>
              <w:tr2bl w:val="nil"/>
            </w:tcBorders>
            <w:noWrap w:val="0"/>
            <w:vAlign w:val="center"/>
          </w:tcPr>
          <w:p w14:paraId="188320F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70E554A2">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250"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2964261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2F4F9AA7">
            <w:pPr>
              <w:widowControl/>
              <w:spacing w:beforeLines="0" w:afterLines="0" w:line="300" w:lineRule="exact"/>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26DC324E">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麻风病存活者对随访关怀满意度</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073C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0FFB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471D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A8CE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9889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bl>
    <w:p w14:paraId="4C6BB656">
      <w:pPr>
        <w:pStyle w:val="2"/>
        <w:spacing w:beforeLines="0" w:after="0" w:afterLines="0" w:line="578" w:lineRule="exact"/>
        <w:ind w:leftChars="0"/>
        <w:rPr>
          <w:rFonts w:hint="eastAsia" w:ascii="Times New Roman" w:hAnsi="Times New Roman" w:eastAsia="黑体" w:cs="黑体"/>
          <w:sz w:val="24"/>
          <w:szCs w:val="24"/>
        </w:rPr>
      </w:pPr>
    </w:p>
    <w:p w14:paraId="472EE68B">
      <w:pP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br w:type="page"/>
      </w:r>
    </w:p>
    <w:p w14:paraId="60DFBDA4">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40746B72">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（美沙酮）</w:t>
      </w:r>
    </w:p>
    <w:p w14:paraId="1300318D">
      <w:pPr>
        <w:pStyle w:val="35"/>
        <w:keepNext w:val="0"/>
        <w:keepLines w:val="0"/>
        <w:pageBreakBefore w:val="0"/>
        <w:kinsoku/>
        <w:wordWrap/>
        <w:overflowPunct/>
        <w:topLinePunct w:val="0"/>
        <w:autoSpaceDE/>
        <w:autoSpaceDN/>
        <w:bidi w:val="0"/>
        <w:spacing w:beforeLines="0" w:afterLines="0" w:line="578" w:lineRule="exact"/>
        <w:ind w:left="0" w:leftChars="0" w:firstLine="640"/>
        <w:jc w:val="center"/>
        <w:textAlignment w:val="auto"/>
        <w:rPr>
          <w:rFonts w:hint="eastAsia" w:ascii="Times New Roman" w:hAnsi="Times New Roman"/>
          <w:color w:val="auto"/>
          <w:kern w:val="2"/>
          <w:sz w:val="32"/>
          <w:szCs w:val="32"/>
        </w:rPr>
      </w:pPr>
    </w:p>
    <w:p w14:paraId="77B490A8">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sz w:val="32"/>
          <w:szCs w:val="32"/>
          <w:lang w:val="zh-CN"/>
        </w:rPr>
      </w:pPr>
      <w:bookmarkStart w:id="238" w:name="_Toc17690"/>
      <w:bookmarkStart w:id="239" w:name="_Toc27645"/>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38"/>
      <w:bookmarkEnd w:id="239"/>
    </w:p>
    <w:p w14:paraId="40D2676C">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（一）设立背景及基本情况</w:t>
      </w:r>
    </w:p>
    <w:p w14:paraId="0F9FC32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大竹县药物维持治疗门诊隶属大竹县疾控中心，于2005年6月8日开诊，是全国第二批成立的非营利性门诊，也是达州市首家成立的药物维持治疗门诊。其职能职责：认真贯彻执行《中华人民共和国传染病防治法》、《麻醉药品和精神药品管理条例》和《戒毒药物维持治疗工作管理办法》等国家有关法律、法规；负责病人的维持治疗，严格保密病人的任何信息；开展健康教育、心理辅导、防病咨询、行为矫治等综合干预措施；协调相关部门落实国家“四免一关怀”政策。县委、政府高度重视药物维持治疗工作，多次到门诊视察、解决实际困难和问题，药物维持治疗门诊持续健康发展，最大限度降低了毒品危害，有效遏制了艾滋病蔓延，进一步减少了吸毒引发的治安刑事案件，为维护社会大局稳定起到了极其重要的作用。</w:t>
      </w:r>
    </w:p>
    <w:p w14:paraId="46C5AD22">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（二）实施目的及支持方向</w:t>
      </w:r>
    </w:p>
    <w:p w14:paraId="1BC90C35">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r>
        <w:rPr>
          <w:rFonts w:hint="eastAsia" w:ascii="Times New Roman" w:hAnsi="Times New Roman" w:eastAsia="仿宋_GB2312" w:cs="仿宋_GB2312"/>
          <w:color w:val="auto"/>
          <w:kern w:val="0"/>
          <w:sz w:val="32"/>
          <w:szCs w:val="32"/>
          <w:shd w:val="clear" w:color="auto" w:fill="FFFFFF"/>
          <w:lang w:val="zh-CN"/>
        </w:rPr>
        <w:t>项目实施目的和主要工作任务是</w:t>
      </w:r>
      <w:r>
        <w:rPr>
          <w:rFonts w:hint="eastAsia" w:ascii="Times New Roman" w:hAnsi="Times New Roman" w:eastAsia="仿宋_GB2312" w:cs="仿宋_GB2312"/>
          <w:color w:val="auto"/>
          <w:kern w:val="0"/>
          <w:sz w:val="32"/>
          <w:szCs w:val="32"/>
          <w:shd w:val="clear" w:color="auto" w:fill="FFFFFF"/>
        </w:rPr>
        <w:t>应用于2023年美沙酮药物维持治疗相关支出，达到减少毒品危害，有效遏制艾滋病蔓延，减少吸毒引发的治安、刑事案件的目标。</w:t>
      </w:r>
    </w:p>
    <w:p w14:paraId="6AE748E9">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46A0C682">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3"/>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项目预算安排情况</w:t>
      </w:r>
    </w:p>
    <w:p w14:paraId="02397C05">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美沙酮药物维持治疗项目各类资金计划及截止评价时点实际到位20万元。资金到位及时，到位率100%。</w:t>
      </w:r>
    </w:p>
    <w:p w14:paraId="10773EB9">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3"/>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项目资金分配原则及考虑因素</w:t>
      </w:r>
    </w:p>
    <w:p w14:paraId="50CA943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CN"/>
        </w:rPr>
        <w:t>美沙酮药物维持治疗项目资金分配充分考虑资金来源和资金需求，制定合理的分配方案，遵循优先保障关键节点、优化资源配置，降低成本，根据项目的实际进展和需求变化，对资金分配计划进行动态调整，确保资金的合理使用。</w:t>
      </w:r>
    </w:p>
    <w:p w14:paraId="1C12478C">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项目资金分配情况</w:t>
      </w:r>
    </w:p>
    <w:p w14:paraId="32E6863F">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美沙酮专项项目年初预算20万元，支付合规合法，资金支付与预算相符。主要用于美沙酮药品购置，</w:t>
      </w:r>
      <w:r>
        <w:rPr>
          <w:rFonts w:hint="eastAsia" w:ascii="Times New Roman" w:hAnsi="Times New Roman" w:eastAsia="仿宋_GB2312" w:cs="仿宋_GB2312"/>
          <w:sz w:val="32"/>
          <w:szCs w:val="32"/>
        </w:rPr>
        <w:t>健康教育、心理辅导、防病咨询、行为矫治等综合干预措施，</w:t>
      </w:r>
      <w:r>
        <w:rPr>
          <w:rFonts w:hint="eastAsia" w:ascii="Times New Roman" w:hAnsi="Times New Roman" w:eastAsia="仿宋_GB2312" w:cs="仿宋_GB2312"/>
          <w:sz w:val="32"/>
          <w:szCs w:val="32"/>
          <w:lang w:val="zh-CN"/>
        </w:rPr>
        <w:t>保安聘用以及办公经费。</w:t>
      </w:r>
    </w:p>
    <w:p w14:paraId="3A319930">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（四）项目绩效目标设置</w:t>
      </w:r>
    </w:p>
    <w:p w14:paraId="5E5D6B96">
      <w:pPr>
        <w:pStyle w:val="37"/>
        <w:keepNext w:val="0"/>
        <w:keepLines w:val="0"/>
        <w:pageBreakBefore w:val="0"/>
        <w:kinsoku/>
        <w:wordWrap/>
        <w:overflowPunct/>
        <w:topLinePunct w:val="0"/>
        <w:autoSpaceDE/>
        <w:autoSpaceDN/>
        <w:bidi w:val="0"/>
        <w:spacing w:beforeLines="0" w:afterLines="0" w:line="578" w:lineRule="exact"/>
        <w:ind w:left="0" w:lef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Times New Roman" w:hAnsi="Times New Roman" w:eastAsia="仿宋_GB2312" w:cs="仿宋_GB2312"/>
          <w:sz w:val="32"/>
          <w:szCs w:val="32"/>
          <w:lang w:val="en-US" w:eastAsia="zh-CN"/>
        </w:rPr>
        <w:t>数量指标1：全年满足服药人员需求数量≥120人；</w:t>
      </w:r>
      <w:r>
        <w:rPr>
          <w:rFonts w:hint="eastAsia" w:ascii="仿宋_GB2312" w:hAnsi="仿宋_GB2312" w:eastAsia="仿宋_GB2312" w:cs="仿宋_GB2312"/>
          <w:color w:val="auto"/>
          <w:kern w:val="2"/>
          <w:sz w:val="32"/>
          <w:szCs w:val="32"/>
          <w:lang w:val="en-US" w:eastAsia="zh-CN" w:bidi="ar-SA"/>
        </w:rPr>
        <w:t>（2）</w:t>
      </w:r>
      <w:r>
        <w:rPr>
          <w:rFonts w:hint="eastAsia" w:ascii="Times New Roman" w:hAnsi="Times New Roman" w:eastAsia="仿宋_GB2312" w:cs="仿宋_GB2312"/>
          <w:sz w:val="32"/>
          <w:szCs w:val="32"/>
          <w:lang w:val="en-US" w:eastAsia="zh-CN"/>
        </w:rPr>
        <w:t>数量指标2：门诊实际工作量≥16,000人次；</w:t>
      </w:r>
      <w:r>
        <w:rPr>
          <w:rFonts w:hint="eastAsia" w:ascii="仿宋_GB2312" w:hAnsi="仿宋_GB2312" w:eastAsia="仿宋_GB2312" w:cs="仿宋_GB2312"/>
          <w:color w:val="auto"/>
          <w:kern w:val="2"/>
          <w:sz w:val="32"/>
          <w:szCs w:val="32"/>
          <w:lang w:val="en-US" w:eastAsia="zh-CN" w:bidi="ar-SA"/>
        </w:rPr>
        <w:t>（3）</w:t>
      </w:r>
      <w:r>
        <w:rPr>
          <w:rFonts w:hint="eastAsia" w:ascii="Times New Roman" w:hAnsi="Times New Roman" w:eastAsia="仿宋_GB2312" w:cs="仿宋_GB2312"/>
          <w:sz w:val="32"/>
          <w:szCs w:val="32"/>
          <w:lang w:val="en-US" w:eastAsia="zh-CN"/>
        </w:rPr>
        <w:t>质量指标：药物维持治疗年维持率≥75%；</w:t>
      </w:r>
      <w:r>
        <w:rPr>
          <w:rFonts w:hint="eastAsia" w:ascii="仿宋_GB2312" w:hAnsi="仿宋_GB2312" w:eastAsia="仿宋_GB2312" w:cs="仿宋_GB2312"/>
          <w:color w:val="auto"/>
          <w:kern w:val="2"/>
          <w:sz w:val="32"/>
          <w:szCs w:val="32"/>
          <w:lang w:val="en-US" w:eastAsia="zh-CN" w:bidi="ar-SA"/>
        </w:rPr>
        <w:t>（4）</w:t>
      </w:r>
      <w:r>
        <w:rPr>
          <w:rFonts w:hint="eastAsia" w:ascii="Times New Roman" w:hAnsi="Times New Roman" w:eastAsia="仿宋_GB2312" w:cs="仿宋_GB2312"/>
          <w:sz w:val="32"/>
          <w:szCs w:val="32"/>
          <w:lang w:val="en-US" w:eastAsia="zh-CN"/>
        </w:rPr>
        <w:t>时效指标：药物维持治疗常年维持率达100%；</w:t>
      </w:r>
      <w:r>
        <w:rPr>
          <w:rFonts w:hint="eastAsia" w:ascii="仿宋_GB2312" w:hAnsi="仿宋_GB2312" w:eastAsia="仿宋_GB2312" w:cs="仿宋_GB2312"/>
          <w:color w:val="auto"/>
          <w:kern w:val="2"/>
          <w:sz w:val="32"/>
          <w:szCs w:val="32"/>
          <w:lang w:val="en-US" w:eastAsia="zh-CN" w:bidi="ar-SA"/>
        </w:rPr>
        <w:t>（5）</w:t>
      </w:r>
      <w:r>
        <w:rPr>
          <w:rFonts w:hint="eastAsia" w:ascii="Times New Roman" w:hAnsi="Times New Roman" w:eastAsia="仿宋_GB2312" w:cs="仿宋_GB2312"/>
          <w:sz w:val="32"/>
          <w:szCs w:val="32"/>
          <w:lang w:val="en-US" w:eastAsia="zh-CN"/>
        </w:rPr>
        <w:t>社会效益指标：美沙酮维持治疗带来的社会效益能够减少毒品危害，有效遏制艾滋病蔓延，减少吸毒引发的治安、刑事案件；</w:t>
      </w:r>
      <w:r>
        <w:rPr>
          <w:rFonts w:hint="eastAsia" w:ascii="仿宋_GB2312" w:hAnsi="仿宋_GB2312" w:eastAsia="仿宋_GB2312" w:cs="仿宋_GB2312"/>
          <w:color w:val="auto"/>
          <w:kern w:val="2"/>
          <w:sz w:val="32"/>
          <w:szCs w:val="32"/>
          <w:lang w:val="en-US" w:eastAsia="zh-CN" w:bidi="ar-SA"/>
        </w:rPr>
        <w:t>（6）</w:t>
      </w:r>
      <w:r>
        <w:rPr>
          <w:rFonts w:hint="eastAsia" w:ascii="Times New Roman" w:hAnsi="Times New Roman" w:eastAsia="仿宋_GB2312" w:cs="仿宋_GB2312"/>
          <w:sz w:val="32"/>
          <w:szCs w:val="32"/>
          <w:lang w:val="en-US" w:eastAsia="zh-CN"/>
        </w:rPr>
        <w:t>服务对象满意度指标：</w:t>
      </w:r>
      <w:r>
        <w:rPr>
          <w:rFonts w:hint="eastAsia" w:ascii="Times New Roman" w:hAnsi="Times New Roman" w:eastAsia="仿宋_GB2312" w:cs="仿宋_GB2312"/>
          <w:sz w:val="32"/>
          <w:szCs w:val="32"/>
          <w:lang w:val="en-US" w:eastAsia="en-US"/>
        </w:rPr>
        <w:t>满足服药人员需求</w:t>
      </w:r>
      <w:r>
        <w:rPr>
          <w:rFonts w:hint="eastAsia" w:ascii="Times New Roman" w:hAnsi="Times New Roman"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（7）</w:t>
      </w:r>
      <w:r>
        <w:rPr>
          <w:rFonts w:hint="eastAsia" w:ascii="Times New Roman" w:hAnsi="Times New Roman" w:eastAsia="仿宋_GB2312" w:cs="仿宋_GB2312"/>
          <w:sz w:val="32"/>
          <w:szCs w:val="32"/>
          <w:lang w:val="en-US" w:eastAsia="zh-CN"/>
        </w:rPr>
        <w:t>经济成本指标：药品费≥25,000元/年。</w:t>
      </w:r>
    </w:p>
    <w:p w14:paraId="3C7ADCBF">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sz w:val="32"/>
          <w:szCs w:val="32"/>
        </w:rPr>
      </w:pPr>
      <w:bookmarkStart w:id="240" w:name="_Toc4356"/>
      <w:bookmarkStart w:id="241" w:name="_Toc23911"/>
      <w:r>
        <w:rPr>
          <w:rFonts w:hint="eastAsia" w:ascii="Times New Roman" w:hAnsi="Times New Roman" w:eastAsia="黑体"/>
          <w:sz w:val="32"/>
          <w:szCs w:val="32"/>
        </w:rPr>
        <w:t>二、评价实施</w:t>
      </w:r>
      <w:bookmarkEnd w:id="240"/>
      <w:bookmarkEnd w:id="241"/>
    </w:p>
    <w:p w14:paraId="013E5551">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3C63C7B7">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项目绩效自评回顾美沙酮项目是否完成预期目标，实施结果是否与绩效目标相匹配，反映目标实现程度，应用于2023年美沙酮药物维持治疗相关支出达到减少毒品危害，有效遏制艾滋病蔓延，减少吸毒引发的治安、刑事案件的目标。</w:t>
      </w:r>
    </w:p>
    <w:p w14:paraId="49979FF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val="0"/>
          <w:bCs/>
          <w:color w:val="auto"/>
          <w:sz w:val="32"/>
          <w:szCs w:val="32"/>
          <w:lang w:val="zh-CN"/>
        </w:rPr>
      </w:pPr>
      <w:r>
        <w:rPr>
          <w:rFonts w:hint="eastAsia" w:ascii="Times New Roman" w:hAnsi="Times New Roman" w:eastAsia="楷体_GB2312"/>
          <w:b w:val="0"/>
          <w:bCs/>
          <w:color w:val="auto"/>
          <w:sz w:val="32"/>
          <w:szCs w:val="32"/>
          <w:lang w:val="zh-CN"/>
        </w:rPr>
        <w:t>（二）预设问题及评价重点</w:t>
      </w:r>
    </w:p>
    <w:p w14:paraId="526AD4EF">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绩效评价指标体系，对资金支出使用全过程及其实施效果进行综合评价和判断。在项目实施过程中可能会存在资金使用不及时不规范的问题，年初目标设定不合理需要及时调整，评价重点涉及资金的执行进度和目标实现的偏离度进行综合考察。</w:t>
      </w:r>
    </w:p>
    <w:p w14:paraId="5489711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08EAA6A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评价选点主要以大竹县疾病预防控制中心为单位进行自评。</w:t>
      </w:r>
    </w:p>
    <w:p w14:paraId="7F2A58FC">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33EC9649">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我中心根据年初预算项目绩效目标设定情况进行项目年终自评</w:t>
      </w:r>
      <w:r>
        <w:rPr>
          <w:rFonts w:hint="eastAsia" w:ascii="Times New Roman" w:hAnsi="Times New Roman" w:eastAsia="仿宋_GB2312" w:cs="仿宋_GB2312"/>
          <w:color w:val="auto"/>
          <w:sz w:val="32"/>
          <w:szCs w:val="32"/>
        </w:rPr>
        <w:t>。</w:t>
      </w:r>
    </w:p>
    <w:p w14:paraId="3DE970AD">
      <w:pPr>
        <w:keepNext w:val="0"/>
        <w:keepLines w:val="0"/>
        <w:pageBreakBefore w:val="0"/>
        <w:numPr>
          <w:ilvl w:val="0"/>
          <w:numId w:val="7"/>
        </w:numPr>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eastAsia="楷体_GB2312"/>
          <w:b w:val="0"/>
          <w:bCs/>
          <w:color w:val="auto"/>
          <w:sz w:val="32"/>
          <w:szCs w:val="32"/>
          <w:lang w:val="zh-CN"/>
        </w:rPr>
      </w:pPr>
      <w:r>
        <w:rPr>
          <w:rFonts w:hint="eastAsia" w:ascii="Times New Roman" w:hAnsi="Times New Roman" w:eastAsia="楷体_GB2312"/>
          <w:b w:val="0"/>
          <w:bCs/>
          <w:color w:val="auto"/>
          <w:sz w:val="32"/>
          <w:szCs w:val="32"/>
          <w:lang w:val="zh-CN"/>
        </w:rPr>
        <w:t>评价组织</w:t>
      </w:r>
    </w:p>
    <w:p w14:paraId="3D5DFB35">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rPr>
        <w:t>大竹县药物维持治疗门诊隶属大竹县疾控中心，于2005年6月8日开诊，是全国第二批成立的非营利性门诊，也是达州市首家成立的药物维持治疗门诊。门诊内设咨询室、治疗室、数据录入室、药品分发室、资料查询室等服务窗口，</w:t>
      </w:r>
      <w:r>
        <w:rPr>
          <w:rFonts w:hint="eastAsia" w:ascii="Times New Roman" w:hAnsi="Times New Roman" w:eastAsia="仿宋_GB2312" w:cs="仿宋_GB2312"/>
          <w:color w:val="auto"/>
          <w:sz w:val="32"/>
          <w:szCs w:val="32"/>
          <w:lang w:val="zh-CN"/>
        </w:rPr>
        <w:t>项目组织实施由美沙酮科室负责，财务、党建办等进行监督管理，项目实施过程中涉及招投标、政府采购、项目公示等情况由财务后勤科、党建办执行或监督</w:t>
      </w:r>
      <w:r>
        <w:rPr>
          <w:rFonts w:hint="eastAsia" w:ascii="Times New Roman" w:hAnsi="Times New Roman" w:eastAsia="仿宋_GB2312" w:cs="仿宋_GB2312"/>
          <w:sz w:val="32"/>
          <w:szCs w:val="32"/>
        </w:rPr>
        <w:t>。</w:t>
      </w:r>
    </w:p>
    <w:p w14:paraId="7DBE6CD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color w:val="auto"/>
          <w:sz w:val="32"/>
          <w:szCs w:val="32"/>
          <w:lang w:val="zh-CN"/>
        </w:rPr>
      </w:pPr>
      <w:bookmarkStart w:id="242" w:name="_Toc3401"/>
      <w:bookmarkStart w:id="243" w:name="_Toc101"/>
      <w:r>
        <w:rPr>
          <w:rFonts w:hint="eastAsia" w:ascii="Times New Roman" w:hAnsi="Times New Roman" w:eastAsia="黑体"/>
          <w:color w:val="auto"/>
          <w:sz w:val="32"/>
          <w:szCs w:val="32"/>
        </w:rPr>
        <w:t>三、绩效分析</w:t>
      </w:r>
      <w:bookmarkEnd w:id="242"/>
      <w:bookmarkEnd w:id="243"/>
    </w:p>
    <w:p w14:paraId="2D8DC963">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（一）通用指标绩效分析（54分）</w:t>
      </w:r>
    </w:p>
    <w:p w14:paraId="06FFB7DE">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w:t>
      </w:r>
    </w:p>
    <w:p w14:paraId="13D11EA8">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决策严密，项目设立、调整延续等方面是符合资金管理基本规范和决策程序要求；项目规划符合中央、省委省政府、市委市政府、县委县政府有关决策部署安排，充分评估论证项目立项必要性、前瞻性、合理性和可行性；绩效目标科学合理、规范完整、量化细化、预算匹配。</w:t>
      </w:r>
    </w:p>
    <w:p w14:paraId="3207898A">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w:t>
      </w:r>
    </w:p>
    <w:p w14:paraId="220E2A9E">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资金管理办法等管理制度体系健全完善，不存在管理制度缺失、管理办法过期情况；项目资金分配因素选取、权重设置、区域分布，项目管理、审批符合管理要求。其中因素分配法中资金分配因素选取充分考虑相关行业事业发展实际和发展需求，资金分配因素的权重设置有效突出项目实施，资金区域分布结果公平合理；项目分配法中建设项目储备库，实行入库项目动态管理、推动资金竞争性分配，明确项目申报审核程序，按规定程序履行项目审批。资金分配严格按管理办法执行，决策程序符合管理要求，及时高效。</w:t>
      </w:r>
    </w:p>
    <w:p w14:paraId="2A385B1D">
      <w:pPr>
        <w:keepNext w:val="0"/>
        <w:keepLines w:val="0"/>
        <w:pageBreakBefore w:val="0"/>
        <w:widowControl w:val="0"/>
        <w:kinsoku/>
        <w:wordWrap/>
        <w:overflowPunct/>
        <w:topLinePunct w:val="0"/>
        <w:autoSpaceDE/>
        <w:autoSpaceDN/>
        <w:bidi w:val="0"/>
        <w:adjustRightInd/>
        <w:snapToGrid/>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w:t>
      </w:r>
    </w:p>
    <w:p w14:paraId="58C6F093">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项目资金财政拨付</w:t>
      </w:r>
      <w:r>
        <w:rPr>
          <w:rFonts w:hint="eastAsia" w:ascii="Times New Roman" w:hAnsi="Times New Roman" w:eastAsia="仿宋_GB2312" w:cs="仿宋_GB2312"/>
          <w:color w:val="auto"/>
          <w:sz w:val="32"/>
          <w:szCs w:val="32"/>
          <w:lang w:val="zh-CN"/>
        </w:rPr>
        <w:t>截止评价时点202</w:t>
      </w: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z w:val="32"/>
          <w:szCs w:val="32"/>
          <w:lang w:val="zh-CN"/>
        </w:rPr>
        <w:t>年12月31日资金的实际支出20万元</w:t>
      </w:r>
      <w:r>
        <w:rPr>
          <w:rFonts w:hint="eastAsia" w:ascii="Times New Roman" w:hAnsi="Times New Roman" w:eastAsia="仿宋_GB2312" w:cs="仿宋_GB2312"/>
          <w:color w:val="auto"/>
          <w:sz w:val="32"/>
          <w:szCs w:val="32"/>
        </w:rPr>
        <w:t>、资金完全到位并执行。</w:t>
      </w:r>
    </w:p>
    <w:p w14:paraId="3799190F">
      <w:pPr>
        <w:keepNext w:val="0"/>
        <w:keepLines w:val="0"/>
        <w:pageBreakBefore w:val="0"/>
        <w:widowControl w:val="0"/>
        <w:kinsoku/>
        <w:wordWrap/>
        <w:overflowPunct/>
        <w:topLinePunct w:val="0"/>
        <w:autoSpaceDE/>
        <w:autoSpaceDN/>
        <w:bidi w:val="0"/>
        <w:adjustRightInd/>
        <w:snapToGrid/>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4.项目结果</w:t>
      </w:r>
    </w:p>
    <w:p w14:paraId="40BD284A">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color w:val="auto"/>
          <w:sz w:val="32"/>
          <w:szCs w:val="32"/>
        </w:rPr>
      </w:pPr>
      <w:r>
        <w:rPr>
          <w:rFonts w:hint="eastAsia" w:ascii="Times New Roman" w:hAnsi="Times New Roman" w:eastAsia="仿宋_GB2312" w:cs="仿宋_GB2312"/>
          <w:color w:val="auto"/>
          <w:sz w:val="32"/>
          <w:szCs w:val="32"/>
        </w:rPr>
        <w:t>项目完成预期目标，实施结果与绩效目标相匹配，项目实际完成时间比计划完成时间更早完成。</w:t>
      </w:r>
    </w:p>
    <w:p w14:paraId="4A03B63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cs="楷体_GB2312"/>
          <w:color w:val="auto"/>
          <w:sz w:val="32"/>
          <w:szCs w:val="32"/>
          <w:lang w:val="zh-CN"/>
        </w:rPr>
      </w:pPr>
      <w:r>
        <w:rPr>
          <w:rFonts w:hint="eastAsia" w:ascii="Times New Roman" w:hAnsi="Times New Roman" w:eastAsia="楷体_GB2312"/>
          <w:b w:val="0"/>
          <w:bCs/>
          <w:color w:val="auto"/>
          <w:sz w:val="32"/>
          <w:szCs w:val="32"/>
          <w:lang w:val="zh-CN"/>
        </w:rPr>
        <w:t>（二）专用指标绩效分析（30分）</w:t>
      </w:r>
    </w:p>
    <w:p w14:paraId="3F27B46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民生保障</w:t>
      </w:r>
    </w:p>
    <w:p w14:paraId="09A6FC19">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分配体现区域均衡性；资金实际支持对象符合管理要求，符合支持对象范围；资金实际补贴标准符合资金管理办法规定的补助标准，及时按标准兑现情况；资金涉及相关受益群体、支持对象的满意度达百分百。</w:t>
      </w:r>
    </w:p>
    <w:p w14:paraId="024EE4B8">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（三）个性指标绩效分析（16分）</w:t>
      </w:r>
    </w:p>
    <w:p w14:paraId="2DD26D40">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lang w:eastAsia="en-US"/>
        </w:rPr>
        <w:t>202</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en-US"/>
        </w:rPr>
        <w:t>年全年拟完成的主要目标任务</w:t>
      </w:r>
      <w:r>
        <w:rPr>
          <w:rFonts w:hint="eastAsia" w:ascii="Times New Roman" w:hAnsi="Times New Roman" w:eastAsia="仿宋_GB2312" w:cs="仿宋_GB2312"/>
          <w:sz w:val="32"/>
          <w:szCs w:val="32"/>
        </w:rPr>
        <w:t>：药物维持治疗年维持率不低于75%，2023年已全面完成目标任务，药物维持治疗年维持率达到98%</w:t>
      </w:r>
      <w:r>
        <w:rPr>
          <w:rFonts w:hint="eastAsia" w:ascii="Times New Roman" w:hAnsi="Times New Roman" w:eastAsia="仿宋_GB2312" w:cs="仿宋_GB2312"/>
          <w:color w:val="auto"/>
          <w:sz w:val="32"/>
          <w:szCs w:val="32"/>
          <w:lang w:val="zh-CN"/>
        </w:rPr>
        <w:t>。</w:t>
      </w:r>
    </w:p>
    <w:p w14:paraId="14999FA2">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244" w:name="_Toc19865"/>
      <w:bookmarkStart w:id="245" w:name="_Toc28980"/>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44"/>
      <w:bookmarkEnd w:id="245"/>
    </w:p>
    <w:p w14:paraId="254B92F6">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kern w:val="0"/>
          <w:sz w:val="32"/>
          <w:szCs w:val="32"/>
        </w:rPr>
        <w:t>总体来看，本年度美沙酮专项预算项目实施情况良好，保质保量完成目标，</w:t>
      </w:r>
      <w:r>
        <w:rPr>
          <w:rFonts w:hint="eastAsia" w:ascii="Times New Roman" w:hAnsi="Times New Roman" w:eastAsia="仿宋_GB2312" w:cs="仿宋_GB2312"/>
          <w:sz w:val="32"/>
          <w:szCs w:val="32"/>
        </w:rPr>
        <w:t>持续推进药物维持治疗工作，最大限度降低了毒品危害，有效遏制了艾滋病蔓延，进一步减少了吸毒引发的治安刑事案件，自评得分100分。</w:t>
      </w:r>
    </w:p>
    <w:p w14:paraId="79470027">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246" w:name="_Toc5605"/>
      <w:bookmarkStart w:id="247" w:name="_Toc10987"/>
      <w:r>
        <w:rPr>
          <w:rFonts w:hint="eastAsia" w:ascii="Times New Roman" w:hAnsi="Times New Roman" w:eastAsia="黑体"/>
          <w:color w:val="auto"/>
          <w:sz w:val="32"/>
          <w:szCs w:val="32"/>
          <w:lang w:eastAsia="zh-CN"/>
        </w:rPr>
        <w:t>五、存在主要问题</w:t>
      </w:r>
      <w:bookmarkEnd w:id="246"/>
      <w:bookmarkEnd w:id="247"/>
    </w:p>
    <w:p w14:paraId="5288CAE7">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sz w:val="32"/>
          <w:szCs w:val="32"/>
          <w:lang w:eastAsia="zh-CN"/>
        </w:rPr>
        <w:t>美沙酮专项预算项目绩效自评发现的主要问题是</w:t>
      </w:r>
      <w:r>
        <w:rPr>
          <w:rFonts w:hint="eastAsia" w:ascii="Times New Roman" w:hAnsi="Times New Roman" w:eastAsia="仿宋_GB2312" w:cs="仿宋_GB2312"/>
          <w:sz w:val="32"/>
          <w:szCs w:val="32"/>
          <w:lang w:val="zh-CN" w:eastAsia="zh-CN"/>
        </w:rPr>
        <w:t>资金投入不足</w:t>
      </w:r>
      <w:r>
        <w:rPr>
          <w:rFonts w:hint="eastAsia" w:ascii="Times New Roman" w:hAnsi="Times New Roman" w:eastAsia="仿宋_GB2312" w:cs="仿宋_GB2312"/>
          <w:sz w:val="32"/>
          <w:szCs w:val="32"/>
          <w:lang w:eastAsia="zh-CN"/>
        </w:rPr>
        <w:t>。</w:t>
      </w:r>
    </w:p>
    <w:p w14:paraId="5BCDBF46">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248" w:name="_Toc26488"/>
      <w:bookmarkStart w:id="249" w:name="_Toc19660"/>
      <w:r>
        <w:rPr>
          <w:rFonts w:hint="eastAsia" w:ascii="Times New Roman" w:hAnsi="Times New Roman" w:eastAsia="黑体"/>
          <w:color w:val="auto"/>
          <w:sz w:val="32"/>
          <w:szCs w:val="32"/>
          <w:lang w:val="zh-CN" w:eastAsia="zh-CN"/>
        </w:rPr>
        <w:t>六、改进建议</w:t>
      </w:r>
      <w:bookmarkEnd w:id="248"/>
      <w:bookmarkEnd w:id="249"/>
    </w:p>
    <w:p w14:paraId="46EA8B39">
      <w:pPr>
        <w:keepNext w:val="0"/>
        <w:keepLines w:val="0"/>
        <w:pageBreakBefore w:val="0"/>
        <w:tabs>
          <w:tab w:val="left" w:pos="1911"/>
        </w:tabs>
        <w:kinsoku/>
        <w:wordWrap/>
        <w:overflowPunct/>
        <w:topLinePunct w:val="0"/>
        <w:autoSpaceDE/>
        <w:autoSpaceDN/>
        <w:bidi w:val="0"/>
        <w:spacing w:beforeLines="0" w:afterLines="0" w:line="578" w:lineRule="exact"/>
        <w:ind w:left="0" w:leftChars="0"/>
        <w:jc w:val="left"/>
        <w:textAlignment w:val="auto"/>
        <w:rPr>
          <w:rFonts w:hint="eastAsia" w:ascii="Times New Roman" w:hAnsi="Times New Roman" w:eastAsia="仿宋_GB2312" w:cs="仿宋_GB2312"/>
          <w:kern w:val="0"/>
          <w:sz w:val="32"/>
          <w:szCs w:val="32"/>
          <w:lang w:val="en"/>
        </w:rPr>
      </w:pPr>
      <w:r>
        <w:rPr>
          <w:rFonts w:hint="eastAsia" w:ascii="Times New Roman" w:hAnsi="Times New Roman" w:cs="仿宋_GB2312"/>
          <w:color w:val="auto"/>
          <w:kern w:val="0"/>
          <w:sz w:val="32"/>
          <w:szCs w:val="32"/>
          <w:shd w:val="clear" w:color="auto" w:fill="FFFFFF"/>
          <w:lang w:val="zh-CN"/>
        </w:rPr>
        <w:t xml:space="preserve"> </w:t>
      </w:r>
      <w:r>
        <w:rPr>
          <w:rFonts w:hint="eastAsia" w:ascii="Times New Roman" w:hAnsi="Times New Roman" w:eastAsia="仿宋_GB2312" w:cs="仿宋_GB2312"/>
          <w:kern w:val="0"/>
          <w:sz w:val="32"/>
          <w:szCs w:val="32"/>
        </w:rPr>
        <w:t xml:space="preserve">   美沙酮专项预算项目在</w:t>
      </w:r>
      <w:r>
        <w:rPr>
          <w:rFonts w:hint="eastAsia" w:ascii="Times New Roman" w:hAnsi="Times New Roman" w:eastAsia="仿宋_GB2312" w:cs="仿宋_GB2312"/>
          <w:kern w:val="0"/>
          <w:sz w:val="32"/>
          <w:szCs w:val="32"/>
          <w:lang w:val="en"/>
        </w:rPr>
        <w:t>预算安排上还需要</w:t>
      </w:r>
      <w:r>
        <w:rPr>
          <w:rFonts w:hint="eastAsia" w:ascii="Times New Roman" w:hAnsi="Times New Roman" w:eastAsia="仿宋_GB2312" w:cs="仿宋_GB2312"/>
          <w:sz w:val="32"/>
          <w:szCs w:val="32"/>
        </w:rPr>
        <w:t>加大财政资金投入</w:t>
      </w:r>
      <w:r>
        <w:rPr>
          <w:rFonts w:hint="eastAsia" w:ascii="Times New Roman" w:hAnsi="Times New Roman" w:eastAsia="仿宋_GB2312" w:cs="仿宋_GB2312"/>
          <w:kern w:val="0"/>
          <w:sz w:val="32"/>
          <w:szCs w:val="32"/>
        </w:rPr>
        <w:t>。</w:t>
      </w:r>
    </w:p>
    <w:p w14:paraId="71751E91">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161C8643">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rPr>
      </w:pPr>
    </w:p>
    <w:p w14:paraId="04279958">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33A245B6">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79E2F171">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br w:type="page"/>
      </w:r>
    </w:p>
    <w:p w14:paraId="7453E480">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08B61DF9">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250" w:name="_Toc1230"/>
      <w:bookmarkStart w:id="251" w:name="_Toc15308"/>
      <w:r>
        <w:rPr>
          <w:rFonts w:hint="eastAsia" w:ascii="Times New Roman" w:hAnsi="Times New Roman" w:eastAsia="方正小标宋_GBK" w:cs="方正小标宋_GBK"/>
          <w:color w:val="auto"/>
          <w:sz w:val="40"/>
          <w:szCs w:val="40"/>
        </w:rPr>
        <w:t>项目资金分配涉及所有点位自评得分情况表</w:t>
      </w:r>
      <w:bookmarkEnd w:id="250"/>
      <w:bookmarkEnd w:id="251"/>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548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3AA35ECF">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72C7FDC">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0EED18B1">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65ABE2BB">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19F0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51688B99">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62786721">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71679E71">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cs="宋体"/>
                <w:color w:val="auto"/>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6247BC02">
            <w:pPr>
              <w:spacing w:beforeLines="0" w:afterLines="0" w:line="300" w:lineRule="exact"/>
              <w:rPr>
                <w:rFonts w:hint="eastAsia" w:ascii="Times New Roman" w:hAnsi="Times New Roman" w:cs="宋体"/>
                <w:color w:val="auto"/>
                <w:sz w:val="24"/>
                <w:szCs w:val="24"/>
              </w:rPr>
            </w:pPr>
          </w:p>
        </w:tc>
      </w:tr>
    </w:tbl>
    <w:p w14:paraId="5F9AE10A">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2141F726">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4ACFD957">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134D4B89">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1726"/>
        <w:gridCol w:w="1125"/>
        <w:gridCol w:w="610"/>
        <w:gridCol w:w="1350"/>
      </w:tblGrid>
      <w:tr w14:paraId="5FE4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062B951E">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75F6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22546">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63AD4">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美沙酮</w:t>
            </w:r>
          </w:p>
        </w:tc>
      </w:tr>
      <w:tr w14:paraId="6C03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E060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40881">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2ADA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A7CA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3FD7F">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6E31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36242">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67F9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3159B">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竹财预【2023】8号</w:t>
            </w:r>
          </w:p>
        </w:tc>
      </w:tr>
      <w:tr w14:paraId="150E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A727D">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36AF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A6435">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按项目预算法管理</w:t>
            </w:r>
          </w:p>
        </w:tc>
      </w:tr>
      <w:tr w14:paraId="26C5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6B588">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64F0B">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DA8C7">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8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B6EFE">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EAFE2">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2246D">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5CA0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7E7B7">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5797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8948A">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县级配套资金</w:t>
            </w:r>
          </w:p>
        </w:tc>
      </w:tr>
      <w:tr w14:paraId="4E7D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AF9C2">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B3773">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8EE78">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用于美沙酮专项</w:t>
            </w:r>
          </w:p>
        </w:tc>
      </w:tr>
      <w:tr w14:paraId="503A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F1071">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1BA9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D72E1">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690B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DBE2C">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F196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53262">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1C2E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D73C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0A7EF7D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EA7C9">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52328">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r>
      <w:tr w14:paraId="1864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58FCC">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AFFDF">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D2D3B">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r>
      <w:tr w14:paraId="6CC6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501F9">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B596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28ED1">
            <w:pPr>
              <w:spacing w:beforeLines="0" w:afterLines="0" w:line="300" w:lineRule="exact"/>
              <w:jc w:val="right"/>
              <w:rPr>
                <w:rFonts w:hint="eastAsia" w:ascii="Times New Roman" w:hAnsi="Times New Roman" w:eastAsia="宋体" w:cs="宋体"/>
                <w:color w:val="000000"/>
                <w:sz w:val="24"/>
                <w:szCs w:val="24"/>
              </w:rPr>
            </w:pPr>
          </w:p>
        </w:tc>
      </w:tr>
      <w:tr w14:paraId="4097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A731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77E7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7D09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CF307">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AAC5C">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应用于2023年美沙酮药物维持治疗相关支出，达到减少毒品危害，有效遏制艾滋病蔓延，减少吸毒引发的治安、刑事案件的目标。</w:t>
            </w:r>
          </w:p>
        </w:tc>
      </w:tr>
      <w:tr w14:paraId="1BE0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08C8DFD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AE63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53EF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F50D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15ED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B484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4C6F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A2AEE">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9038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56CE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3CE30F28">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98CA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07A7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59A41">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全年满足服药人员需求数量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8DEB4">
            <w:pPr>
              <w:widowControl/>
              <w:spacing w:beforeLines="0" w:afterLines="0"/>
              <w:jc w:val="center"/>
              <w:textAlignment w:val="center"/>
              <w:rPr>
                <w:rFonts w:hint="eastAsia" w:ascii="Times New Roman" w:hAnsi="Times New Roman" w:eastAsia="宋体" w:cs="宋体"/>
                <w:color w:val="000000"/>
                <w:sz w:val="18"/>
                <w:szCs w:val="18"/>
              </w:rPr>
            </w:pPr>
            <w:r>
              <w:rPr>
                <w:rFonts w:hint="default" w:ascii="Times New Roman" w:hAnsi="Times New Roman" w:eastAsia="宋体" w:cs="宋体"/>
                <w:color w:val="000000"/>
                <w:kern w:val="0"/>
                <w:sz w:val="18"/>
                <w:szCs w:val="18"/>
                <w:lang w:bidi="ar"/>
              </w:rPr>
              <w:t>≥</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8F632">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120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54895">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人</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78F08">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27264">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121</w:t>
            </w:r>
          </w:p>
        </w:tc>
      </w:tr>
      <w:tr w14:paraId="68ED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0C06F22F">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CC441">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F6C1A">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B0796">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全年满足服药人员需求数量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E6D2D">
            <w:pPr>
              <w:spacing w:beforeLines="0" w:afterLines="0" w:line="300" w:lineRule="exact"/>
              <w:jc w:val="center"/>
              <w:rPr>
                <w:rFonts w:hint="eastAsia" w:ascii="Times New Roman" w:hAnsi="Times New Roman" w:eastAsia="宋体" w:cs="宋体"/>
                <w:color w:val="000000"/>
                <w:sz w:val="24"/>
                <w:szCs w:val="24"/>
              </w:rPr>
            </w:pPr>
            <w:r>
              <w:rPr>
                <w:rFonts w:hint="default" w:ascii="Times New Roman" w:hAnsi="Times New Roman" w:eastAsia="宋体" w:cs="宋体"/>
                <w:color w:val="000000"/>
                <w:kern w:val="0"/>
                <w:sz w:val="18"/>
                <w:szCs w:val="18"/>
                <w:lang w:bidi="ar"/>
              </w:rPr>
              <w:t>≥</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E56F5">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16000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A87BF">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人次</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262D6">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AA942">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16670</w:t>
            </w:r>
          </w:p>
        </w:tc>
      </w:tr>
      <w:tr w14:paraId="092D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1"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5A6548D7">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27685">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6189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质量指标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548B5">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年维持率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B724A">
            <w:pPr>
              <w:spacing w:beforeLines="0" w:afterLines="0" w:line="300" w:lineRule="exact"/>
              <w:jc w:val="center"/>
              <w:rPr>
                <w:rFonts w:hint="eastAsia" w:ascii="Times New Roman" w:hAnsi="Times New Roman" w:eastAsia="宋体" w:cs="宋体"/>
                <w:color w:val="000000"/>
                <w:sz w:val="24"/>
                <w:szCs w:val="24"/>
              </w:rPr>
            </w:pPr>
            <w:r>
              <w:rPr>
                <w:rFonts w:hint="default" w:ascii="Times New Roman" w:hAnsi="Times New Roman" w:eastAsia="宋体" w:cs="宋体"/>
                <w:color w:val="000000"/>
                <w:kern w:val="0"/>
                <w:sz w:val="18"/>
                <w:szCs w:val="18"/>
                <w:lang w:bidi="ar"/>
              </w:rPr>
              <w:t>≥</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F3F3E">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75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C734A">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CEEFC">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15A95">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98</w:t>
            </w:r>
          </w:p>
        </w:tc>
      </w:tr>
      <w:tr w14:paraId="654C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56071110">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AF4FF">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C220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64DF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常年维持率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483CB">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E3708">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63E68">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103C0">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7C263">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100</w:t>
            </w:r>
          </w:p>
        </w:tc>
      </w:tr>
      <w:tr w14:paraId="0F18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27DFD163">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6A6A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C772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w:t>
            </w:r>
          </w:p>
          <w:p w14:paraId="1BD7176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6FB3A">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美沙酮维持治疗带来的社会效益</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0A8B0">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定性</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9A575">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减少毒品危害，有效遏制艾滋病蔓延，减少吸毒引发的治安、刑事案件</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AE37A">
            <w:pPr>
              <w:spacing w:beforeLines="0" w:afterLines="0" w:line="300" w:lineRule="exact"/>
              <w:jc w:val="center"/>
              <w:rPr>
                <w:rFonts w:hint="eastAsia" w:ascii="Times New Roman" w:hAnsi="Times New Roman" w:eastAsia="宋体" w:cs="宋体"/>
                <w:color w:val="000000"/>
                <w:sz w:val="24"/>
                <w:szCs w:val="24"/>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FBC1C">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DFEE1">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减少</w:t>
            </w:r>
          </w:p>
        </w:tc>
      </w:tr>
      <w:tr w14:paraId="77CB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B123AAA">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nil"/>
              <w:right w:val="single" w:color="000000" w:sz="4" w:space="0"/>
              <w:tl2br w:val="nil"/>
              <w:tr2bl w:val="nil"/>
            </w:tcBorders>
            <w:noWrap w:val="0"/>
            <w:vAlign w:val="center"/>
          </w:tcPr>
          <w:p w14:paraId="3F9576DC">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031EC73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250" w:type="dxa"/>
            <w:tcBorders>
              <w:top w:val="single" w:color="000000" w:sz="4" w:space="0"/>
              <w:left w:val="single" w:color="000000" w:sz="4" w:space="0"/>
              <w:bottom w:val="nil"/>
              <w:right w:val="single" w:color="000000" w:sz="4" w:space="0"/>
              <w:tl2br w:val="nil"/>
              <w:tr2bl w:val="nil"/>
            </w:tcBorders>
            <w:noWrap w:val="0"/>
            <w:vAlign w:val="center"/>
          </w:tcPr>
          <w:p w14:paraId="78978E7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4789CD6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E1C4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能否满足服药人员需求</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F922E">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定性</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DBB69">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满足服药人员需求</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0313D">
            <w:pPr>
              <w:spacing w:beforeLines="0" w:afterLines="0" w:line="300" w:lineRule="exact"/>
              <w:jc w:val="center"/>
              <w:rPr>
                <w:rFonts w:hint="eastAsia" w:ascii="Times New Roman" w:hAnsi="Times New Roman" w:eastAsia="宋体" w:cs="宋体"/>
                <w:color w:val="000000"/>
                <w:sz w:val="24"/>
                <w:szCs w:val="24"/>
              </w:rPr>
            </w:pP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342F1">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915E9">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满足</w:t>
            </w:r>
          </w:p>
        </w:tc>
      </w:tr>
      <w:tr w14:paraId="0A70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738FB73">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2E1E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FB317">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w:t>
            </w:r>
          </w:p>
          <w:p w14:paraId="6842367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0C5561CD">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药品费</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124F5">
            <w:pPr>
              <w:spacing w:beforeLines="0" w:afterLines="0" w:line="300" w:lineRule="exact"/>
              <w:jc w:val="center"/>
              <w:rPr>
                <w:rFonts w:hint="eastAsia" w:ascii="Times New Roman" w:hAnsi="Times New Roman" w:eastAsia="宋体" w:cs="宋体"/>
                <w:color w:val="000000"/>
                <w:sz w:val="24"/>
                <w:szCs w:val="24"/>
              </w:rPr>
            </w:pPr>
            <w:r>
              <w:rPr>
                <w:rFonts w:hint="default" w:ascii="Times New Roman" w:hAnsi="Times New Roman" w:eastAsia="宋体" w:cs="宋体"/>
                <w:color w:val="000000"/>
                <w:kern w:val="0"/>
                <w:sz w:val="18"/>
                <w:szCs w:val="18"/>
                <w:lang w:bidi="ar"/>
              </w:rPr>
              <w:t>≥</w:t>
            </w:r>
          </w:p>
        </w:tc>
        <w:tc>
          <w:tcPr>
            <w:tcW w:w="17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42341">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25000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97771">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元/年</w:t>
            </w:r>
          </w:p>
        </w:tc>
        <w:tc>
          <w:tcPr>
            <w:tcW w:w="6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4A596">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6E197">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26000</w:t>
            </w:r>
          </w:p>
        </w:tc>
      </w:tr>
    </w:tbl>
    <w:p w14:paraId="7859FED5">
      <w:pPr>
        <w:pStyle w:val="2"/>
        <w:spacing w:beforeLines="0" w:after="0" w:afterLines="0" w:line="20" w:lineRule="exact"/>
        <w:ind w:leftChars="0" w:firstLine="0" w:firstLineChars="0"/>
        <w:rPr>
          <w:rFonts w:hint="eastAsia" w:ascii="Times New Roman" w:hAnsi="Times New Roman" w:eastAsia="黑体" w:cs="黑体"/>
          <w:sz w:val="24"/>
          <w:szCs w:val="24"/>
        </w:rPr>
      </w:pPr>
      <w:r>
        <w:rPr>
          <w:rFonts w:hint="eastAsia" w:ascii="Times New Roman" w:hAnsi="Times New Roman" w:eastAsia="黑体" w:cs="黑体"/>
          <w:sz w:val="24"/>
          <w:szCs w:val="24"/>
        </w:rPr>
        <w:t xml:space="preserve">  </w:t>
      </w:r>
    </w:p>
    <w:p w14:paraId="3739DEE7">
      <w:pPr>
        <w:pStyle w:val="2"/>
        <w:ind w:left="0" w:leftChars="0" w:firstLine="0" w:firstLineChars="0"/>
        <w:rPr>
          <w:rFonts w:hint="default" w:ascii="Times New Roman" w:hAnsi="Times New Roman"/>
        </w:rPr>
      </w:pPr>
    </w:p>
    <w:p w14:paraId="0D23F2DA">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3AD685EB">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（免疫规划）</w:t>
      </w:r>
    </w:p>
    <w:p w14:paraId="72F4A91B">
      <w:pPr>
        <w:pStyle w:val="35"/>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color w:val="auto"/>
          <w:kern w:val="2"/>
          <w:sz w:val="32"/>
          <w:szCs w:val="32"/>
        </w:rPr>
      </w:pPr>
    </w:p>
    <w:p w14:paraId="2D47F32E">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default" w:ascii="Times New Roman" w:hAnsi="Times New Roman" w:eastAsia="黑体"/>
          <w:sz w:val="32"/>
          <w:szCs w:val="32"/>
          <w:lang w:val="zh-CN"/>
        </w:rPr>
      </w:pPr>
      <w:bookmarkStart w:id="252" w:name="_Toc590"/>
      <w:bookmarkStart w:id="253" w:name="_Toc27604"/>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52"/>
      <w:bookmarkEnd w:id="253"/>
    </w:p>
    <w:p w14:paraId="624AFCC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（一）设立背景及基本情况</w:t>
      </w:r>
    </w:p>
    <w:p w14:paraId="67D0F07D">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b w:val="0"/>
          <w:bCs/>
          <w:color w:val="auto"/>
          <w:sz w:val="32"/>
          <w:szCs w:val="32"/>
          <w:lang w:val="zh-CN"/>
        </w:rPr>
      </w:pPr>
      <w:r>
        <w:rPr>
          <w:rFonts w:hint="eastAsia" w:ascii="Times New Roman" w:hAnsi="Times New Roman" w:eastAsia="仿宋_GB2312" w:cs="仿宋_GB2312"/>
          <w:b w:val="0"/>
          <w:bCs/>
          <w:color w:val="auto"/>
          <w:kern w:val="0"/>
          <w:sz w:val="32"/>
          <w:szCs w:val="32"/>
          <w:shd w:val="clear" w:color="auto" w:fill="FFFFFF"/>
        </w:rPr>
        <w:t>项目设立原因及背景：</w:t>
      </w:r>
      <w:r>
        <w:rPr>
          <w:rFonts w:hint="eastAsia" w:ascii="Times New Roman" w:hAnsi="Times New Roman" w:eastAsia="仿宋_GB2312" w:cs="仿宋_GB2312"/>
          <w:b w:val="0"/>
          <w:bCs/>
          <w:color w:val="auto"/>
          <w:sz w:val="32"/>
          <w:szCs w:val="32"/>
        </w:rPr>
        <w:t>大竹县</w:t>
      </w:r>
      <w:r>
        <w:rPr>
          <w:rFonts w:hint="eastAsia" w:ascii="Times New Roman" w:hAnsi="Times New Roman" w:eastAsia="仿宋_GB2312" w:cs="仿宋_GB2312"/>
          <w:b w:val="0"/>
          <w:bCs/>
          <w:color w:val="auto"/>
          <w:sz w:val="32"/>
          <w:szCs w:val="32"/>
          <w:lang w:val="zh-CN"/>
        </w:rPr>
        <w:t>疾控中心免疫规划是</w:t>
      </w:r>
      <w:r>
        <w:rPr>
          <w:rFonts w:hint="eastAsia" w:ascii="Times New Roman" w:hAnsi="Times New Roman" w:eastAsia="仿宋_GB2312" w:cs="仿宋_GB2312"/>
          <w:b w:val="0"/>
          <w:bCs/>
          <w:color w:val="auto"/>
          <w:sz w:val="32"/>
          <w:szCs w:val="32"/>
        </w:rPr>
        <w:t>按照国家免疫规划工作要求，</w:t>
      </w:r>
      <w:r>
        <w:rPr>
          <w:rFonts w:hint="eastAsia" w:ascii="Times New Roman" w:hAnsi="Times New Roman" w:eastAsia="仿宋_GB2312" w:cs="仿宋_GB2312"/>
          <w:b w:val="0"/>
          <w:bCs/>
          <w:color w:val="auto"/>
          <w:sz w:val="32"/>
          <w:szCs w:val="32"/>
          <w:lang w:val="zh-CN"/>
        </w:rPr>
        <w:t>对全县辖区所有适龄儿童进行预防接种。</w:t>
      </w:r>
    </w:p>
    <w:p w14:paraId="7A06CE03">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b w:val="0"/>
          <w:bCs/>
          <w:color w:val="auto"/>
          <w:sz w:val="32"/>
          <w:szCs w:val="32"/>
          <w:lang w:val="zh-CN"/>
        </w:rPr>
      </w:pPr>
      <w:r>
        <w:rPr>
          <w:rFonts w:hint="eastAsia" w:ascii="Times New Roman" w:hAnsi="Times New Roman" w:eastAsia="仿宋_GB2312" w:cs="仿宋_GB2312"/>
          <w:b w:val="0"/>
          <w:bCs/>
          <w:color w:val="auto"/>
          <w:kern w:val="0"/>
          <w:sz w:val="32"/>
          <w:szCs w:val="32"/>
          <w:shd w:val="clear" w:color="auto" w:fill="FFFFFF"/>
          <w:lang w:val="zh-CN"/>
        </w:rPr>
        <w:t>项目立项、资金申报的依据：</w:t>
      </w:r>
      <w:r>
        <w:rPr>
          <w:rFonts w:hint="eastAsia" w:ascii="Times New Roman" w:hAnsi="Times New Roman" w:eastAsia="仿宋_GB2312" w:cs="仿宋_GB2312"/>
          <w:b w:val="0"/>
          <w:bCs/>
          <w:color w:val="auto"/>
          <w:sz w:val="32"/>
          <w:szCs w:val="32"/>
          <w:lang w:val="zh-CN"/>
        </w:rPr>
        <w:t>为继续落实扩大国家免疫规划任务,降低疫苗</w:t>
      </w:r>
      <w:r>
        <w:rPr>
          <w:rFonts w:hint="eastAsia" w:ascii="Times New Roman" w:hAnsi="Times New Roman" w:eastAsia="仿宋_GB2312" w:cs="仿宋_GB2312"/>
          <w:b w:val="0"/>
          <w:bCs/>
          <w:color w:val="auto"/>
          <w:sz w:val="32"/>
          <w:szCs w:val="32"/>
        </w:rPr>
        <w:t>针对性</w:t>
      </w:r>
      <w:r>
        <w:rPr>
          <w:rFonts w:hint="eastAsia" w:ascii="Times New Roman" w:hAnsi="Times New Roman" w:eastAsia="仿宋_GB2312" w:cs="仿宋_GB2312"/>
          <w:b w:val="0"/>
          <w:bCs/>
          <w:color w:val="auto"/>
          <w:sz w:val="32"/>
          <w:szCs w:val="32"/>
          <w:lang w:val="zh-CN"/>
        </w:rPr>
        <w:t>传染病的发病率，大竹县财政局安排专项资金支持扩大国家免疫规划工作。</w:t>
      </w:r>
    </w:p>
    <w:p w14:paraId="189EAB8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_GB2312" w:cs="仿宋_GB2312"/>
          <w:b w:val="0"/>
          <w:bCs/>
          <w:color w:val="auto"/>
          <w:sz w:val="32"/>
          <w:szCs w:val="32"/>
          <w:lang w:val="zh-CN"/>
        </w:rPr>
      </w:pPr>
      <w:r>
        <w:rPr>
          <w:rFonts w:hint="eastAsia" w:ascii="Times New Roman" w:hAnsi="Times New Roman" w:eastAsia="仿宋_GB2312" w:cs="仿宋_GB2312"/>
          <w:b w:val="0"/>
          <w:bCs/>
          <w:color w:val="auto"/>
          <w:kern w:val="0"/>
          <w:sz w:val="32"/>
          <w:szCs w:val="32"/>
          <w:shd w:val="clear" w:color="auto" w:fill="FFFFFF"/>
          <w:lang w:val="zh-CN"/>
        </w:rPr>
        <w:t>项目主要内容：</w:t>
      </w:r>
      <w:r>
        <w:rPr>
          <w:rFonts w:hint="eastAsia" w:ascii="Times New Roman" w:hAnsi="Times New Roman" w:eastAsia="仿宋_GB2312" w:cs="仿宋_GB2312"/>
          <w:b w:val="0"/>
          <w:bCs/>
          <w:color w:val="auto"/>
          <w:sz w:val="32"/>
          <w:szCs w:val="32"/>
          <w:lang w:val="zh-CN"/>
        </w:rPr>
        <w:t>继续使用乙肝疫苗、卡介苗、脊灰减毒活疫苗、百白破疫苗、白破疫苗、麻疹类疫苗(包括麻风疫苗、麻腮疫苗、麻腮风疫苗和麻疹疫苗)、甲肝减毒活疫苗、A群流脑疫苗、A+C群流脑疫苗、乙脑减毒活疫苗疫苗</w:t>
      </w:r>
      <w:r>
        <w:rPr>
          <w:rFonts w:hint="eastAsia" w:ascii="Times New Roman" w:hAnsi="Times New Roman" w:eastAsia="仿宋_GB2312" w:cs="仿宋_GB2312"/>
          <w:b w:val="0"/>
          <w:bCs/>
          <w:color w:val="auto"/>
          <w:sz w:val="32"/>
          <w:szCs w:val="32"/>
        </w:rPr>
        <w:t>等疫苗进行接种</w:t>
      </w:r>
      <w:r>
        <w:rPr>
          <w:rFonts w:hint="eastAsia" w:ascii="Times New Roman" w:hAnsi="Times New Roman" w:eastAsia="仿宋_GB2312" w:cs="仿宋_GB2312"/>
          <w:b w:val="0"/>
          <w:bCs/>
          <w:color w:val="auto"/>
          <w:sz w:val="32"/>
          <w:szCs w:val="32"/>
          <w:lang w:val="zh-CN"/>
        </w:rPr>
        <w:t>，</w:t>
      </w:r>
      <w:r>
        <w:rPr>
          <w:rFonts w:hint="eastAsia" w:ascii="Times New Roman" w:hAnsi="Times New Roman" w:eastAsia="仿宋_GB2312" w:cs="仿宋_GB2312"/>
          <w:b w:val="0"/>
          <w:bCs/>
          <w:color w:val="auto"/>
          <w:sz w:val="32"/>
          <w:szCs w:val="32"/>
        </w:rPr>
        <w:t>保障适龄儿童免受疫苗针对性疾病的侵害；做好接种后的监测工作</w:t>
      </w:r>
      <w:r>
        <w:rPr>
          <w:rFonts w:hint="eastAsia" w:ascii="Times New Roman" w:hAnsi="Times New Roman" w:eastAsia="仿宋_GB2312" w:cs="仿宋_GB2312"/>
          <w:b w:val="0"/>
          <w:bCs/>
          <w:color w:val="auto"/>
          <w:sz w:val="32"/>
          <w:szCs w:val="32"/>
          <w:lang w:val="zh-CN"/>
        </w:rPr>
        <w:t>；对乡镇、</w:t>
      </w:r>
      <w:r>
        <w:rPr>
          <w:rFonts w:hint="eastAsia" w:ascii="Times New Roman" w:hAnsi="Times New Roman" w:eastAsia="仿宋_GB2312" w:cs="仿宋_GB2312"/>
          <w:b w:val="0"/>
          <w:bCs/>
          <w:color w:val="auto"/>
          <w:sz w:val="32"/>
          <w:szCs w:val="32"/>
        </w:rPr>
        <w:t>街道这区卫生服务中心等接种单位进行技术指导、</w:t>
      </w:r>
      <w:r>
        <w:rPr>
          <w:rFonts w:hint="eastAsia" w:ascii="Times New Roman" w:hAnsi="Times New Roman" w:eastAsia="仿宋_GB2312" w:cs="仿宋_GB2312"/>
          <w:b w:val="0"/>
          <w:bCs/>
          <w:color w:val="auto"/>
          <w:sz w:val="32"/>
          <w:szCs w:val="32"/>
          <w:lang w:val="zh-CN"/>
        </w:rPr>
        <w:t>宣传资料等。</w:t>
      </w:r>
    </w:p>
    <w:p w14:paraId="06153B5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cs="仿宋_GB2312"/>
          <w:b w:val="0"/>
          <w:bCs/>
          <w:color w:val="auto"/>
          <w:kern w:val="0"/>
          <w:sz w:val="32"/>
          <w:szCs w:val="32"/>
          <w:shd w:val="clear" w:color="auto" w:fill="FFFFFF"/>
          <w:lang w:val="zh-CN"/>
        </w:rPr>
      </w:pPr>
      <w:r>
        <w:rPr>
          <w:rFonts w:hint="eastAsia" w:ascii="Times New Roman" w:hAnsi="Times New Roman" w:eastAsia="仿宋_GB2312" w:cs="仿宋_GB2312"/>
          <w:b w:val="0"/>
          <w:bCs/>
          <w:color w:val="auto"/>
          <w:kern w:val="0"/>
          <w:sz w:val="32"/>
          <w:szCs w:val="32"/>
          <w:shd w:val="clear" w:color="auto" w:fill="FFFFFF"/>
          <w:lang w:val="zh-CN"/>
        </w:rPr>
        <w:t>主管部门职能：免疫规划工作通常由政府主导，卫生、</w:t>
      </w:r>
      <w:r>
        <w:rPr>
          <w:rFonts w:hint="eastAsia" w:ascii="Times New Roman" w:hAnsi="Times New Roman" w:eastAsia="仿宋_GB2312" w:cs="仿宋_GB2312"/>
          <w:b w:val="0"/>
          <w:bCs/>
          <w:color w:val="auto"/>
          <w:kern w:val="0"/>
          <w:sz w:val="32"/>
          <w:szCs w:val="32"/>
          <w:shd w:val="clear" w:color="auto" w:fill="FFFFFF"/>
        </w:rPr>
        <w:t>教育、财政、民政、公安等多</w:t>
      </w:r>
      <w:r>
        <w:rPr>
          <w:rFonts w:hint="eastAsia" w:ascii="Times New Roman" w:hAnsi="Times New Roman" w:eastAsia="仿宋_GB2312" w:cs="仿宋_GB2312"/>
          <w:b w:val="0"/>
          <w:bCs/>
          <w:color w:val="auto"/>
          <w:kern w:val="0"/>
          <w:sz w:val="32"/>
          <w:szCs w:val="32"/>
          <w:shd w:val="clear" w:color="auto" w:fill="FFFFFF"/>
          <w:lang w:val="zh-CN"/>
        </w:rPr>
        <w:t>部门</w:t>
      </w:r>
      <w:r>
        <w:rPr>
          <w:rFonts w:hint="eastAsia" w:ascii="Times New Roman" w:hAnsi="Times New Roman" w:eastAsia="仿宋_GB2312" w:cs="仿宋_GB2312"/>
          <w:b w:val="0"/>
          <w:bCs/>
          <w:color w:val="auto"/>
          <w:kern w:val="0"/>
          <w:sz w:val="32"/>
          <w:szCs w:val="32"/>
          <w:shd w:val="clear" w:color="auto" w:fill="FFFFFF"/>
        </w:rPr>
        <w:t>协同落实</w:t>
      </w:r>
      <w:r>
        <w:rPr>
          <w:rFonts w:hint="eastAsia" w:ascii="Times New Roman" w:hAnsi="Times New Roman" w:eastAsia="仿宋_GB2312" w:cs="仿宋_GB2312"/>
          <w:b w:val="0"/>
          <w:bCs/>
          <w:color w:val="auto"/>
          <w:kern w:val="0"/>
          <w:sz w:val="32"/>
          <w:szCs w:val="32"/>
          <w:shd w:val="clear" w:color="auto" w:fill="FFFFFF"/>
          <w:lang w:val="zh-CN"/>
        </w:rPr>
        <w:t>，</w:t>
      </w:r>
      <w:r>
        <w:rPr>
          <w:rFonts w:hint="eastAsia" w:ascii="Times New Roman" w:hAnsi="Times New Roman" w:eastAsia="仿宋_GB2312" w:cs="仿宋_GB2312"/>
          <w:b w:val="0"/>
          <w:bCs/>
          <w:color w:val="auto"/>
          <w:kern w:val="0"/>
          <w:sz w:val="32"/>
          <w:szCs w:val="32"/>
          <w:shd w:val="clear" w:color="auto" w:fill="FFFFFF"/>
        </w:rPr>
        <w:t>全人群参与的社会性工作。</w:t>
      </w:r>
    </w:p>
    <w:p w14:paraId="1679485B">
      <w:pPr>
        <w:keepNext w:val="0"/>
        <w:keepLines w:val="0"/>
        <w:pageBreakBefore w:val="0"/>
        <w:numPr>
          <w:ilvl w:val="0"/>
          <w:numId w:val="8"/>
        </w:numPr>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实施目的及支持方向</w:t>
      </w:r>
    </w:p>
    <w:p w14:paraId="6E6D31E4">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b w:val="0"/>
          <w:bCs/>
          <w:color w:val="auto"/>
          <w:kern w:val="0"/>
          <w:sz w:val="32"/>
          <w:szCs w:val="32"/>
          <w:shd w:val="clear" w:color="auto" w:fill="FFFFFF"/>
        </w:rPr>
      </w:pPr>
      <w:r>
        <w:rPr>
          <w:rFonts w:hint="eastAsia" w:ascii="Times New Roman" w:hAnsi="Times New Roman" w:eastAsia="仿宋_GB2312" w:cs="仿宋_GB2312"/>
          <w:b w:val="0"/>
          <w:bCs/>
          <w:color w:val="auto"/>
          <w:kern w:val="0"/>
          <w:sz w:val="32"/>
          <w:szCs w:val="32"/>
          <w:shd w:val="clear" w:color="auto" w:fill="FFFFFF"/>
        </w:rPr>
        <w:t>项目资金</w:t>
      </w:r>
      <w:r>
        <w:rPr>
          <w:rFonts w:hint="eastAsia" w:ascii="Times New Roman" w:hAnsi="Times New Roman" w:eastAsia="仿宋_GB2312" w:cs="仿宋_GB2312"/>
          <w:b w:val="0"/>
          <w:bCs/>
          <w:color w:val="auto"/>
          <w:kern w:val="0"/>
          <w:sz w:val="32"/>
          <w:szCs w:val="32"/>
          <w:shd w:val="clear" w:color="auto" w:fill="FFFFFF"/>
          <w:lang w:val="zh-CN"/>
        </w:rPr>
        <w:t>管理办法制定情况：</w:t>
      </w:r>
      <w:r>
        <w:rPr>
          <w:rFonts w:hint="eastAsia" w:ascii="Times New Roman" w:hAnsi="Times New Roman" w:eastAsia="仿宋_GB2312" w:cs="仿宋_GB2312"/>
          <w:b w:val="0"/>
          <w:bCs/>
          <w:color w:val="auto"/>
          <w:kern w:val="0"/>
          <w:sz w:val="32"/>
          <w:szCs w:val="32"/>
          <w:shd w:val="clear" w:color="auto" w:fill="FFFFFF"/>
        </w:rPr>
        <w:t>免疫规划项目实施多年，项目资金管理办法制定完整，落实到位。</w:t>
      </w:r>
    </w:p>
    <w:p w14:paraId="04B2CFF8">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b w:val="0"/>
          <w:bCs/>
          <w:color w:val="auto"/>
          <w:kern w:val="0"/>
          <w:sz w:val="32"/>
          <w:szCs w:val="32"/>
          <w:shd w:val="clear" w:color="auto" w:fill="FFFFFF"/>
        </w:rPr>
      </w:pPr>
      <w:r>
        <w:rPr>
          <w:rFonts w:hint="eastAsia" w:ascii="Times New Roman" w:hAnsi="Times New Roman" w:eastAsia="仿宋_GB2312" w:cs="仿宋_GB2312"/>
          <w:b w:val="0"/>
          <w:bCs/>
          <w:color w:val="auto"/>
          <w:kern w:val="0"/>
          <w:sz w:val="32"/>
          <w:szCs w:val="32"/>
          <w:shd w:val="clear" w:color="auto" w:fill="FFFFFF"/>
          <w:lang w:val="zh-CN"/>
        </w:rPr>
        <w:t>项目实施目的和主要工作任务：</w:t>
      </w:r>
      <w:r>
        <w:rPr>
          <w:rFonts w:hint="eastAsia" w:ascii="Times New Roman" w:hAnsi="Times New Roman" w:eastAsia="仿宋_GB2312" w:cs="仿宋_GB2312"/>
          <w:b w:val="0"/>
          <w:bCs/>
          <w:color w:val="auto"/>
          <w:kern w:val="0"/>
          <w:sz w:val="32"/>
          <w:szCs w:val="32"/>
          <w:shd w:val="clear" w:color="auto" w:fill="FFFFFF"/>
        </w:rPr>
        <w:t>旨在为适龄儿童接种免疫规划疫苗，建立全人群的免疫屏障；为0-7岁儿童接种疫苗，维持适龄儿童免疫规划疫苗接种率达90%以上。</w:t>
      </w:r>
    </w:p>
    <w:p w14:paraId="59F93ACF">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textAlignment w:val="auto"/>
        <w:rPr>
          <w:rFonts w:hint="eastAsia" w:ascii="Times New Roman" w:hAnsi="Times New Roman" w:eastAsia="仿宋_GB2312" w:cs="仿宋_GB2312"/>
          <w:b/>
          <w:color w:val="auto"/>
          <w:sz w:val="32"/>
          <w:szCs w:val="32"/>
        </w:rPr>
      </w:pPr>
      <w:r>
        <w:rPr>
          <w:rFonts w:hint="eastAsia" w:ascii="Times New Roman" w:hAnsi="Times New Roman" w:eastAsia="仿宋_GB2312" w:cs="仿宋_GB2312"/>
          <w:b w:val="0"/>
          <w:bCs/>
          <w:color w:val="auto"/>
          <w:kern w:val="0"/>
          <w:sz w:val="32"/>
          <w:szCs w:val="32"/>
          <w:shd w:val="clear" w:color="auto" w:fill="FFFFFF"/>
          <w:lang w:val="zh-CN"/>
        </w:rPr>
        <w:t>项目支持方向：</w:t>
      </w:r>
      <w:r>
        <w:rPr>
          <w:rFonts w:hint="eastAsia" w:ascii="Times New Roman" w:hAnsi="Times New Roman" w:eastAsia="仿宋_GB2312" w:cs="仿宋_GB2312"/>
          <w:b w:val="0"/>
          <w:bCs/>
          <w:color w:val="auto"/>
          <w:kern w:val="0"/>
          <w:sz w:val="32"/>
          <w:szCs w:val="32"/>
          <w:shd w:val="clear" w:color="auto" w:fill="FFFFFF"/>
        </w:rPr>
        <w:t>为适龄儿童提供免疫规划疫苗接种服务。</w:t>
      </w:r>
    </w:p>
    <w:p w14:paraId="19135255">
      <w:pPr>
        <w:keepNext w:val="0"/>
        <w:keepLines w:val="0"/>
        <w:pageBreakBefore w:val="0"/>
        <w:widowControl/>
        <w:numPr>
          <w:ilvl w:val="0"/>
          <w:numId w:val="8"/>
        </w:numPr>
        <w:kinsoku/>
        <w:wordWrap/>
        <w:overflowPunct/>
        <w:topLinePunct w:val="0"/>
        <w:autoSpaceDE/>
        <w:autoSpaceDN/>
        <w:bidi w:val="0"/>
        <w:adjustRightInd w:val="0"/>
        <w:snapToGrid w:val="0"/>
        <w:spacing w:beforeLines="0" w:afterLines="0" w:line="578" w:lineRule="exact"/>
        <w:ind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预算安排及分配管理</w:t>
      </w:r>
    </w:p>
    <w:p w14:paraId="37356BCE">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仿宋_GB2312" w:hAnsi="仿宋_GB2312" w:eastAsia="仿宋_GB2312" w:cs="仿宋_GB2312"/>
          <w:b w:val="0"/>
          <w:bCs/>
          <w:color w:val="auto"/>
          <w:kern w:val="0"/>
          <w:sz w:val="32"/>
          <w:szCs w:val="32"/>
          <w:shd w:val="clear" w:color="auto" w:fill="FFFFFF"/>
        </w:rPr>
      </w:pPr>
      <w:r>
        <w:rPr>
          <w:rFonts w:hint="eastAsia" w:ascii="仿宋_GB2312" w:hAnsi="仿宋_GB2312" w:eastAsia="仿宋_GB2312" w:cs="仿宋_GB2312"/>
          <w:b w:val="0"/>
          <w:bCs/>
          <w:color w:val="auto"/>
          <w:kern w:val="0"/>
          <w:sz w:val="32"/>
          <w:szCs w:val="32"/>
          <w:shd w:val="clear" w:color="auto" w:fill="FFFFFF"/>
          <w:lang w:val="zh-CN"/>
        </w:rPr>
        <w:t>项目预算安排情况：</w:t>
      </w:r>
      <w:r>
        <w:rPr>
          <w:rFonts w:hint="eastAsia" w:ascii="仿宋_GB2312" w:hAnsi="仿宋_GB2312" w:eastAsia="仿宋_GB2312" w:cs="仿宋_GB2312"/>
          <w:b w:val="0"/>
          <w:bCs/>
          <w:color w:val="auto"/>
          <w:kern w:val="0"/>
          <w:sz w:val="32"/>
          <w:szCs w:val="32"/>
          <w:shd w:val="clear" w:color="auto" w:fill="FFFFFF"/>
        </w:rPr>
        <w:t>项目年初完成了预算安排。</w:t>
      </w:r>
    </w:p>
    <w:p w14:paraId="1677A2A1">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val="0"/>
          <w:bCs/>
          <w:color w:val="auto"/>
          <w:kern w:val="0"/>
          <w:sz w:val="32"/>
          <w:szCs w:val="32"/>
          <w:shd w:val="clear" w:color="auto" w:fill="FFFFFF"/>
          <w:lang w:val="zh-CN"/>
        </w:rPr>
        <w:t>项目资金分配原则及考虑因素：</w:t>
      </w:r>
      <w:r>
        <w:rPr>
          <w:rFonts w:hint="eastAsia" w:ascii="仿宋_GB2312" w:hAnsi="仿宋_GB2312" w:eastAsia="仿宋_GB2312" w:cs="仿宋_GB2312"/>
          <w:b w:val="0"/>
          <w:bCs/>
          <w:color w:val="auto"/>
          <w:kern w:val="0"/>
          <w:sz w:val="32"/>
          <w:szCs w:val="32"/>
          <w:shd w:val="clear" w:color="auto" w:fill="FFFFFF"/>
        </w:rPr>
        <w:t>项目资金</w:t>
      </w:r>
      <w:r>
        <w:rPr>
          <w:rFonts w:hint="eastAsia" w:ascii="仿宋_GB2312" w:hAnsi="仿宋_GB2312" w:eastAsia="仿宋_GB2312" w:cs="仿宋_GB2312"/>
          <w:color w:val="auto"/>
          <w:kern w:val="0"/>
          <w:sz w:val="32"/>
          <w:szCs w:val="32"/>
          <w:shd w:val="clear" w:color="auto" w:fill="FFFFFF"/>
        </w:rPr>
        <w:t>按照辖区出生儿童数分配，考虑儿童流动性，全县会同意调配。</w:t>
      </w:r>
    </w:p>
    <w:p w14:paraId="2AD58BF2">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firstLine="640" w:firstLineChars="200"/>
        <w:jc w:val="left"/>
        <w:textAlignment w:val="auto"/>
        <w:rPr>
          <w:rFonts w:hint="eastAsia" w:ascii="Times New Roman" w:hAnsi="Times New Roman" w:eastAsia="仿宋" w:cs="仿宋"/>
          <w:color w:val="auto"/>
          <w:kern w:val="0"/>
          <w:sz w:val="32"/>
          <w:szCs w:val="32"/>
          <w:shd w:val="clear" w:color="auto" w:fill="FFFFFF"/>
        </w:rPr>
      </w:pPr>
      <w:r>
        <w:rPr>
          <w:rFonts w:hint="eastAsia" w:ascii="仿宋_GB2312" w:hAnsi="仿宋_GB2312" w:eastAsia="仿宋_GB2312" w:cs="仿宋_GB2312"/>
          <w:b w:val="0"/>
          <w:bCs/>
          <w:color w:val="auto"/>
          <w:kern w:val="0"/>
          <w:sz w:val="32"/>
          <w:szCs w:val="32"/>
          <w:shd w:val="clear" w:color="auto" w:fill="FFFFFF"/>
          <w:lang w:val="zh-CN"/>
        </w:rPr>
        <w:t>项目资金分配情况：</w:t>
      </w:r>
      <w:r>
        <w:rPr>
          <w:rFonts w:hint="eastAsia" w:ascii="仿宋_GB2312" w:hAnsi="仿宋_GB2312" w:eastAsia="仿宋_GB2312" w:cs="仿宋_GB2312"/>
          <w:b w:val="0"/>
          <w:bCs/>
          <w:color w:val="auto"/>
          <w:kern w:val="0"/>
          <w:sz w:val="32"/>
          <w:szCs w:val="32"/>
          <w:shd w:val="clear" w:color="auto" w:fill="FFFFFF"/>
        </w:rPr>
        <w:t>严格按照现管儿童数落实分配</w:t>
      </w:r>
      <w:r>
        <w:rPr>
          <w:rFonts w:hint="eastAsia" w:ascii="仿宋_GB2312" w:hAnsi="仿宋_GB2312" w:eastAsia="仿宋_GB2312" w:cs="仿宋_GB2312"/>
          <w:color w:val="auto"/>
          <w:kern w:val="0"/>
          <w:sz w:val="32"/>
          <w:szCs w:val="32"/>
          <w:shd w:val="clear" w:color="auto" w:fill="FFFFFF"/>
        </w:rPr>
        <w:t>。</w:t>
      </w:r>
    </w:p>
    <w:p w14:paraId="3C363BCC">
      <w:pPr>
        <w:keepNext w:val="0"/>
        <w:keepLines w:val="0"/>
        <w:pageBreakBefore w:val="0"/>
        <w:numPr>
          <w:ilvl w:val="0"/>
          <w:numId w:val="8"/>
        </w:numPr>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项目绩效目标设置</w:t>
      </w:r>
    </w:p>
    <w:p w14:paraId="481518B4">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b w:val="0"/>
          <w:bCs/>
          <w:color w:val="auto"/>
          <w:kern w:val="0"/>
          <w:sz w:val="32"/>
          <w:szCs w:val="32"/>
          <w:shd w:val="clear" w:color="auto" w:fill="FFFFFF"/>
        </w:rPr>
      </w:pPr>
      <w:r>
        <w:rPr>
          <w:rFonts w:hint="eastAsia" w:ascii="Times New Roman" w:hAnsi="Times New Roman" w:eastAsia="仿宋_GB2312" w:cs="仿宋_GB2312"/>
          <w:b w:val="0"/>
          <w:bCs/>
          <w:color w:val="auto"/>
          <w:kern w:val="0"/>
          <w:sz w:val="32"/>
          <w:szCs w:val="32"/>
          <w:shd w:val="clear" w:color="auto" w:fill="FFFFFF"/>
          <w:lang w:val="zh-CN"/>
        </w:rPr>
        <w:t>项目整体、区域和具体绩效目标设置情况：</w:t>
      </w:r>
      <w:r>
        <w:rPr>
          <w:rFonts w:hint="eastAsia" w:ascii="Times New Roman" w:hAnsi="Times New Roman" w:eastAsia="仿宋_GB2312" w:cs="仿宋_GB2312"/>
          <w:b w:val="0"/>
          <w:bCs/>
          <w:color w:val="auto"/>
          <w:kern w:val="0"/>
          <w:sz w:val="32"/>
          <w:szCs w:val="32"/>
          <w:shd w:val="clear" w:color="auto" w:fill="FFFFFF"/>
        </w:rPr>
        <w:t>项目绩效设置按照全县目标、区域目标的先后顺序执行，确保全县项目</w:t>
      </w:r>
    </w:p>
    <w:p w14:paraId="659CEBA3">
      <w:pPr>
        <w:keepNext w:val="0"/>
        <w:keepLines w:val="0"/>
        <w:pageBreakBefore w:val="0"/>
        <w:numPr>
          <w:ilvl w:val="0"/>
          <w:numId w:val="0"/>
        </w:numPr>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b w:val="0"/>
          <w:bCs/>
          <w:color w:val="auto"/>
          <w:kern w:val="0"/>
          <w:sz w:val="32"/>
          <w:szCs w:val="32"/>
          <w:shd w:val="clear" w:color="auto" w:fill="FFFFFF"/>
        </w:rPr>
      </w:pPr>
      <w:r>
        <w:rPr>
          <w:rFonts w:hint="eastAsia" w:ascii="Times New Roman" w:hAnsi="Times New Roman" w:eastAsia="仿宋_GB2312" w:cs="仿宋_GB2312"/>
          <w:b w:val="0"/>
          <w:bCs/>
          <w:color w:val="auto"/>
          <w:kern w:val="0"/>
          <w:sz w:val="32"/>
          <w:szCs w:val="32"/>
          <w:shd w:val="clear" w:color="auto" w:fill="FFFFFF"/>
          <w:lang w:val="zh-CN"/>
        </w:rPr>
        <w:t>项目自评工作开展情况：</w:t>
      </w:r>
      <w:r>
        <w:rPr>
          <w:rFonts w:hint="eastAsia" w:ascii="Times New Roman" w:hAnsi="Times New Roman" w:eastAsia="仿宋_GB2312" w:cs="仿宋_GB2312"/>
          <w:b w:val="0"/>
          <w:bCs/>
          <w:color w:val="auto"/>
          <w:kern w:val="0"/>
          <w:sz w:val="32"/>
          <w:szCs w:val="32"/>
          <w:shd w:val="clear" w:color="auto" w:fill="FFFFFF"/>
        </w:rPr>
        <w:t>项目年初制定了目标、预算，年中进行了中期评估，年终进行了考核。</w:t>
      </w:r>
    </w:p>
    <w:p w14:paraId="68A16CA7">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eastAsia" w:ascii="Times New Roman" w:hAnsi="Times New Roman" w:eastAsia="黑体"/>
          <w:sz w:val="32"/>
          <w:szCs w:val="32"/>
        </w:rPr>
      </w:pPr>
      <w:bookmarkStart w:id="254" w:name="_Toc9782"/>
      <w:bookmarkStart w:id="255" w:name="_Toc13263"/>
      <w:r>
        <w:rPr>
          <w:rFonts w:hint="eastAsia" w:ascii="Times New Roman" w:hAnsi="Times New Roman" w:eastAsia="黑体"/>
          <w:sz w:val="32"/>
          <w:szCs w:val="32"/>
        </w:rPr>
        <w:t>二、评价实施</w:t>
      </w:r>
      <w:bookmarkEnd w:id="254"/>
      <w:bookmarkEnd w:id="255"/>
    </w:p>
    <w:p w14:paraId="2F5121D5">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（一）评价目的</w:t>
      </w:r>
    </w:p>
    <w:p w14:paraId="414CEB8A">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通过项目绩效自评，督促项目推进进度，落实民生保障。</w:t>
      </w:r>
    </w:p>
    <w:p w14:paraId="1301CD0D">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val="0"/>
          <w:bCs/>
          <w:color w:val="auto"/>
          <w:sz w:val="32"/>
          <w:szCs w:val="32"/>
          <w:lang w:val="zh-CN"/>
        </w:rPr>
      </w:pPr>
      <w:r>
        <w:rPr>
          <w:rFonts w:hint="eastAsia" w:ascii="Times New Roman" w:hAnsi="Times New Roman" w:eastAsia="楷体_GB2312"/>
          <w:b w:val="0"/>
          <w:bCs/>
          <w:color w:val="auto"/>
          <w:sz w:val="32"/>
          <w:szCs w:val="32"/>
          <w:lang w:val="zh-CN"/>
        </w:rPr>
        <w:t>（二）预设问题及评价重点</w:t>
      </w:r>
    </w:p>
    <w:p w14:paraId="17391834">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sz w:val="32"/>
          <w:szCs w:val="32"/>
        </w:rPr>
      </w:pPr>
      <w:r>
        <w:rPr>
          <w:rFonts w:hint="eastAsia" w:ascii="Times New Roman" w:hAnsi="Times New Roman" w:eastAsia="仿宋_GB2312" w:cs="仿宋_GB2312"/>
          <w:sz w:val="32"/>
          <w:szCs w:val="32"/>
        </w:rPr>
        <w:t>项目实施过程中，所有疫苗接种的相关事件、舆论都会影响整体目标的偏移，而执行项目中的规范化、期间进度尤为重要。</w:t>
      </w:r>
    </w:p>
    <w:p w14:paraId="3A997B39">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782D5FC4">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大竹县疾病预防控制中心。</w:t>
      </w:r>
    </w:p>
    <w:p w14:paraId="7086B150">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738F9D3A">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我中心根据年初预算项目绩效目标设定情况进行项目年终自评</w:t>
      </w:r>
      <w:r>
        <w:rPr>
          <w:rFonts w:hint="eastAsia" w:ascii="Times New Roman" w:hAnsi="Times New Roman" w:eastAsia="仿宋_GB2312" w:cs="仿宋_GB2312"/>
          <w:color w:val="auto"/>
          <w:sz w:val="32"/>
          <w:szCs w:val="32"/>
        </w:rPr>
        <w:t>。</w:t>
      </w:r>
    </w:p>
    <w:p w14:paraId="2365BA25">
      <w:pPr>
        <w:keepNext w:val="0"/>
        <w:keepLines w:val="0"/>
        <w:pageBreakBefore w:val="0"/>
        <w:numPr>
          <w:ilvl w:val="0"/>
          <w:numId w:val="8"/>
        </w:numPr>
        <w:kinsoku/>
        <w:wordWrap/>
        <w:overflowPunct/>
        <w:topLinePunct w:val="0"/>
        <w:autoSpaceDE/>
        <w:autoSpaceDN/>
        <w:bidi w:val="0"/>
        <w:spacing w:beforeLines="0" w:afterLines="0" w:line="578" w:lineRule="exact"/>
        <w:ind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评价组织</w:t>
      </w:r>
    </w:p>
    <w:p w14:paraId="1EA1AC2F">
      <w:pPr>
        <w:keepNext w:val="0"/>
        <w:keepLines w:val="0"/>
        <w:pageBreakBefore w:val="0"/>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以中心账务后勤科牵头，各科室自评为主，账务后勤科审核、汇总、上报。</w:t>
      </w:r>
    </w:p>
    <w:p w14:paraId="797B59BB">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outlineLvl w:val="1"/>
        <w:rPr>
          <w:rFonts w:hint="default" w:ascii="Times New Roman" w:hAnsi="Times New Roman"/>
          <w:color w:val="auto"/>
          <w:sz w:val="32"/>
          <w:szCs w:val="32"/>
          <w:lang w:val="zh-CN"/>
        </w:rPr>
      </w:pPr>
      <w:bookmarkStart w:id="256" w:name="_Toc20083"/>
      <w:bookmarkStart w:id="257" w:name="_Toc9753"/>
      <w:r>
        <w:rPr>
          <w:rFonts w:hint="eastAsia" w:ascii="Times New Roman" w:hAnsi="Times New Roman" w:eastAsia="黑体"/>
          <w:color w:val="auto"/>
          <w:sz w:val="32"/>
          <w:szCs w:val="32"/>
        </w:rPr>
        <w:t>三、绩效分析</w:t>
      </w:r>
      <w:bookmarkEnd w:id="256"/>
      <w:bookmarkEnd w:id="257"/>
      <w:r>
        <w:rPr>
          <w:rFonts w:hint="eastAsia" w:ascii="Times New Roman" w:hAnsi="Times New Roman"/>
          <w:color w:val="auto"/>
          <w:sz w:val="32"/>
          <w:szCs w:val="32"/>
          <w:lang w:val="zh-CN"/>
        </w:rPr>
        <w:tab/>
      </w:r>
    </w:p>
    <w:p w14:paraId="297AB479">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zh-CN"/>
        </w:rPr>
        <w:t>根据项目预算绩效评价指标体系“通用指标”“专用指标”“个性指标”涉及二、三级指标进行逐项绩效分析并评分</w:t>
      </w:r>
      <w:r>
        <w:rPr>
          <w:rFonts w:hint="eastAsia" w:ascii="Times New Roman" w:hAnsi="Times New Roman" w:eastAsia="仿宋_GB2312" w:cs="仿宋_GB2312"/>
          <w:sz w:val="32"/>
          <w:szCs w:val="32"/>
        </w:rPr>
        <w:t>。</w:t>
      </w:r>
    </w:p>
    <w:p w14:paraId="6AD69497">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eastAsia" w:ascii="Times New Roman" w:hAnsi="Times New Roman" w:eastAsia="楷体_GB2312"/>
          <w:b/>
          <w:color w:val="auto"/>
          <w:sz w:val="32"/>
          <w:szCs w:val="32"/>
        </w:rPr>
      </w:pPr>
      <w:r>
        <w:rPr>
          <w:rFonts w:hint="eastAsia" w:ascii="Times New Roman" w:hAnsi="Times New Roman" w:eastAsia="楷体_GB2312"/>
          <w:b w:val="0"/>
          <w:bCs/>
          <w:color w:val="auto"/>
          <w:sz w:val="32"/>
          <w:szCs w:val="32"/>
          <w:lang w:val="zh-CN"/>
        </w:rPr>
        <w:t>（一）通用指标绩效分析（54分）</w:t>
      </w:r>
    </w:p>
    <w:p w14:paraId="231551CC">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中心项目资金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74D0A4FE">
      <w:pPr>
        <w:keepNext w:val="0"/>
        <w:keepLines w:val="0"/>
        <w:pageBreakBefore w:val="0"/>
        <w:numPr>
          <w:ilvl w:val="0"/>
          <w:numId w:val="9"/>
        </w:numPr>
        <w:kinsoku/>
        <w:wordWrap/>
        <w:overflowPunct/>
        <w:topLinePunct w:val="0"/>
        <w:autoSpaceDE/>
        <w:autoSpaceDN/>
        <w:bidi w:val="0"/>
        <w:spacing w:beforeLines="0" w:afterLines="0" w:line="578" w:lineRule="exact"/>
        <w:ind w:firstLine="640" w:firstLineChars="20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专用指标绩效分析（29分）</w:t>
      </w:r>
    </w:p>
    <w:p w14:paraId="561B53E5">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县</w:t>
      </w:r>
      <w:r>
        <w:rPr>
          <w:rFonts w:hint="eastAsia" w:ascii="Times New Roman" w:hAnsi="Times New Roman" w:eastAsia="仿宋_GB2312" w:cs="仿宋_GB2312"/>
          <w:color w:val="auto"/>
          <w:sz w:val="32"/>
          <w:szCs w:val="32"/>
          <w:shd w:val="clear" w:color="auto" w:fill="FFFFFF"/>
          <w:lang w:val="zh-CN"/>
        </w:rPr>
        <w:t>疾控中心免疫规划项目</w:t>
      </w:r>
      <w:r>
        <w:rPr>
          <w:rFonts w:hint="eastAsia" w:ascii="Times New Roman" w:hAnsi="Times New Roman" w:eastAsia="仿宋_GB2312" w:cs="仿宋_GB2312"/>
          <w:color w:val="auto"/>
          <w:sz w:val="32"/>
          <w:szCs w:val="32"/>
          <w:shd w:val="clear" w:color="auto" w:fill="FFFFFF"/>
        </w:rPr>
        <w:t>主要</w:t>
      </w:r>
      <w:r>
        <w:rPr>
          <w:rFonts w:hint="eastAsia" w:ascii="Times New Roman" w:hAnsi="Times New Roman" w:eastAsia="仿宋_GB2312" w:cs="仿宋_GB2312"/>
          <w:color w:val="auto"/>
          <w:sz w:val="32"/>
          <w:szCs w:val="32"/>
          <w:shd w:val="clear" w:color="auto" w:fill="FFFFFF"/>
          <w:lang w:val="zh-CN"/>
        </w:rPr>
        <w:t>负责预防接种技术指导、人员培训、绩效考核、监测评估、疫苗运送等工作运转经费。</w:t>
      </w:r>
      <w:r>
        <w:rPr>
          <w:rFonts w:hint="eastAsia" w:ascii="Times New Roman" w:hAnsi="Times New Roman" w:eastAsia="仿宋_GB2312" w:cs="仿宋_GB2312"/>
          <w:color w:val="auto"/>
          <w:sz w:val="32"/>
          <w:szCs w:val="32"/>
          <w:shd w:val="clear" w:color="auto" w:fill="FFFFFF"/>
        </w:rPr>
        <w:t>针对</w:t>
      </w:r>
      <w:r>
        <w:rPr>
          <w:rFonts w:hint="eastAsia" w:ascii="Times New Roman" w:hAnsi="Times New Roman" w:eastAsia="仿宋_GB2312" w:cs="仿宋_GB2312"/>
          <w:color w:val="auto"/>
          <w:sz w:val="32"/>
          <w:szCs w:val="32"/>
          <w:shd w:val="clear" w:color="auto" w:fill="FFFFFF"/>
          <w:lang w:val="zh-CN"/>
        </w:rPr>
        <w:t>我县辖</w:t>
      </w:r>
      <w:r>
        <w:rPr>
          <w:rFonts w:hint="eastAsia" w:ascii="Times New Roman" w:hAnsi="Times New Roman" w:eastAsia="仿宋_GB2312" w:cs="仿宋_GB2312"/>
          <w:color w:val="auto"/>
          <w:sz w:val="32"/>
          <w:szCs w:val="32"/>
          <w:shd w:val="clear" w:color="auto" w:fill="FFFFFF"/>
        </w:rPr>
        <w:t>31个乡镇和街道办按照服务</w:t>
      </w:r>
      <w:r>
        <w:rPr>
          <w:rFonts w:hint="eastAsia" w:ascii="Times New Roman" w:hAnsi="Times New Roman" w:eastAsia="仿宋_GB2312" w:cs="仿宋_GB2312"/>
          <w:color w:val="auto"/>
          <w:sz w:val="32"/>
          <w:szCs w:val="32"/>
          <w:shd w:val="clear" w:color="auto" w:fill="FFFFFF"/>
          <w:lang w:val="zh-CN"/>
        </w:rPr>
        <w:t>人口</w:t>
      </w:r>
      <w:r>
        <w:rPr>
          <w:rFonts w:hint="eastAsia" w:ascii="Times New Roman" w:hAnsi="Times New Roman" w:eastAsia="仿宋_GB2312" w:cs="仿宋_GB2312"/>
          <w:color w:val="auto"/>
          <w:sz w:val="32"/>
          <w:szCs w:val="32"/>
          <w:shd w:val="clear" w:color="auto" w:fill="FFFFFF"/>
        </w:rPr>
        <w:t>合理分配</w:t>
      </w:r>
      <w:r>
        <w:rPr>
          <w:rFonts w:hint="eastAsia" w:ascii="Times New Roman" w:hAnsi="Times New Roman" w:eastAsia="仿宋_GB2312" w:cs="仿宋_GB2312"/>
          <w:color w:val="auto"/>
          <w:sz w:val="32"/>
          <w:szCs w:val="32"/>
          <w:shd w:val="clear" w:color="auto" w:fill="FFFFFF"/>
          <w:lang w:val="zh-CN"/>
        </w:rPr>
        <w:t>。</w:t>
      </w:r>
      <w:r>
        <w:rPr>
          <w:rFonts w:hint="eastAsia" w:ascii="Times New Roman" w:hAnsi="Times New Roman" w:eastAsia="仿宋_GB2312" w:cs="仿宋_GB2312"/>
          <w:color w:val="auto"/>
          <w:sz w:val="32"/>
          <w:szCs w:val="32"/>
          <w:shd w:val="clear" w:color="auto" w:fill="FFFFFF"/>
        </w:rPr>
        <w:t>针对流动儿童，适时进行疫苗调配，精准提供接种服务，有效的建立并巩固了我县的免疫屏障，降低了疫苗针对性传染病的发生率，满足了广大人民群众对预防接种的需求，保障了人民群众的身体健康。</w:t>
      </w:r>
    </w:p>
    <w:p w14:paraId="091905F4">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rPr>
        <w:t>县</w:t>
      </w:r>
      <w:r>
        <w:rPr>
          <w:rFonts w:hint="eastAsia" w:ascii="Times New Roman" w:hAnsi="Times New Roman" w:eastAsia="仿宋_GB2312" w:cs="仿宋_GB2312"/>
          <w:color w:val="auto"/>
          <w:sz w:val="32"/>
          <w:szCs w:val="32"/>
          <w:shd w:val="clear" w:color="auto" w:fill="FFFFFF"/>
          <w:lang w:val="zh-CN"/>
        </w:rPr>
        <w:t>疾控中心免疫规划项目申报</w:t>
      </w:r>
      <w:r>
        <w:rPr>
          <w:rFonts w:hint="eastAsia" w:ascii="Times New Roman" w:hAnsi="Times New Roman" w:eastAsia="仿宋_GB2312" w:cs="仿宋_GB2312"/>
          <w:color w:val="auto"/>
          <w:sz w:val="32"/>
          <w:szCs w:val="32"/>
          <w:shd w:val="clear" w:color="auto" w:fill="FFFFFF"/>
        </w:rPr>
        <w:t>涵</w:t>
      </w:r>
      <w:r>
        <w:rPr>
          <w:rFonts w:hint="eastAsia" w:ascii="Times New Roman" w:hAnsi="Times New Roman" w:eastAsia="仿宋_GB2312" w:cs="仿宋_GB2312"/>
          <w:color w:val="auto"/>
          <w:sz w:val="32"/>
          <w:szCs w:val="32"/>
          <w:shd w:val="clear" w:color="auto" w:fill="FFFFFF"/>
          <w:lang w:val="zh-CN"/>
        </w:rPr>
        <w:t>负责预防接种技术指导、人员培训、绩效考核、监测评估、疫苗运送等工作。</w:t>
      </w:r>
      <w:r>
        <w:rPr>
          <w:rFonts w:hint="eastAsia" w:ascii="Times New Roman" w:hAnsi="Times New Roman" w:eastAsia="仿宋_GB2312" w:cs="仿宋_GB2312"/>
          <w:color w:val="auto"/>
          <w:sz w:val="32"/>
          <w:szCs w:val="32"/>
          <w:shd w:val="clear" w:color="auto" w:fill="FFFFFF"/>
        </w:rPr>
        <w:t>全年行政运转流畅，项目资金执行</w:t>
      </w:r>
      <w:r>
        <w:rPr>
          <w:rFonts w:hint="eastAsia" w:ascii="Times New Roman" w:hAnsi="Times New Roman" w:eastAsia="仿宋_GB2312" w:cs="仿宋_GB2312"/>
          <w:color w:val="auto"/>
          <w:sz w:val="32"/>
          <w:szCs w:val="32"/>
          <w:shd w:val="clear" w:color="auto" w:fill="FFFFFF"/>
          <w:lang w:val="zh-CN"/>
        </w:rPr>
        <w:t>用途、程序、标准合规。</w:t>
      </w:r>
    </w:p>
    <w:p w14:paraId="770AD3E5">
      <w:pPr>
        <w:keepNext w:val="0"/>
        <w:keepLines w:val="0"/>
        <w:pageBreakBefore w:val="0"/>
        <w:kinsoku/>
        <w:wordWrap/>
        <w:overflowPunct/>
        <w:topLinePunct w:val="0"/>
        <w:autoSpaceDE/>
        <w:autoSpaceDN/>
        <w:bidi w:val="0"/>
        <w:spacing w:beforeLines="0" w:afterLines="0" w:line="578" w:lineRule="exact"/>
        <w:ind w:firstLine="640"/>
        <w:textAlignment w:val="auto"/>
        <w:outlineLvl w:val="2"/>
        <w:rPr>
          <w:rFonts w:hint="default" w:ascii="Times New Roman" w:hAnsi="Times New Roman" w:eastAsia="楷体_GB2312"/>
          <w:b/>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（三）个性指标绩效分析（15分）</w:t>
      </w:r>
    </w:p>
    <w:p w14:paraId="537539F2">
      <w:pPr>
        <w:keepNext w:val="0"/>
        <w:keepLines w:val="0"/>
        <w:pageBreakBefore w:val="0"/>
        <w:kinsoku/>
        <w:wordWrap/>
        <w:overflowPunct/>
        <w:topLinePunct w:val="0"/>
        <w:autoSpaceDE/>
        <w:autoSpaceDN/>
        <w:bidi w:val="0"/>
        <w:spacing w:beforeLines="0" w:afterLines="0" w:line="578" w:lineRule="exact"/>
        <w:ind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zh-CN"/>
        </w:rPr>
        <w:t>免疫规划项目的实施，主要普及疫苗接种，让群众自愿接种免疫规划疫苗，筑牢免疫屏障，提高免疫规划接种率，免疫规划疫苗接种率达国家考核标准。</w:t>
      </w:r>
    </w:p>
    <w:p w14:paraId="390BDCFA">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rPr>
      </w:pPr>
      <w:bookmarkStart w:id="258" w:name="_Toc7753"/>
      <w:bookmarkStart w:id="259" w:name="_Toc14650"/>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58"/>
      <w:bookmarkEnd w:id="259"/>
    </w:p>
    <w:p w14:paraId="773D8033">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2023年度免疫规划项目实施自评分98分。</w:t>
      </w:r>
    </w:p>
    <w:p w14:paraId="773122EC">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auto"/>
          <w:sz w:val="32"/>
          <w:szCs w:val="32"/>
          <w:shd w:val="clear" w:color="auto" w:fill="FFFFFF"/>
          <w:lang w:val="zh-CN"/>
        </w:rPr>
      </w:pPr>
      <w:r>
        <w:rPr>
          <w:rFonts w:hint="eastAsia" w:ascii="Times New Roman" w:hAnsi="Times New Roman" w:eastAsia="仿宋_GB2312" w:cs="仿宋_GB2312"/>
          <w:color w:val="auto"/>
          <w:sz w:val="32"/>
          <w:szCs w:val="32"/>
          <w:lang w:val="zh-CN"/>
        </w:rPr>
        <w:t>项目实施情况：</w:t>
      </w:r>
      <w:r>
        <w:rPr>
          <w:rFonts w:hint="eastAsia" w:ascii="Times New Roman" w:hAnsi="Times New Roman" w:eastAsia="仿宋_GB2312" w:cs="仿宋_GB2312"/>
          <w:color w:val="auto"/>
          <w:sz w:val="32"/>
          <w:szCs w:val="32"/>
          <w:shd w:val="clear" w:color="auto" w:fill="FFFFFF"/>
          <w:lang w:val="zh-CN"/>
        </w:rPr>
        <w:t>项目组织实施由免疫规划科负责,财务进行监督管理。</w:t>
      </w:r>
      <w:r>
        <w:rPr>
          <w:rFonts w:hint="eastAsia" w:ascii="Times New Roman" w:hAnsi="Times New Roman" w:eastAsia="仿宋_GB2312" w:cs="仿宋_GB2312"/>
          <w:color w:val="auto"/>
          <w:sz w:val="32"/>
          <w:szCs w:val="32"/>
          <w:shd w:val="clear" w:color="auto" w:fill="FFFFFF"/>
        </w:rPr>
        <w:t>疫苗供应</w:t>
      </w:r>
      <w:r>
        <w:rPr>
          <w:rFonts w:hint="eastAsia" w:ascii="Times New Roman" w:hAnsi="Times New Roman" w:eastAsia="仿宋_GB2312" w:cs="仿宋_GB2312"/>
          <w:color w:val="auto"/>
          <w:sz w:val="32"/>
          <w:szCs w:val="32"/>
          <w:shd w:val="clear" w:color="auto" w:fill="FFFFFF"/>
          <w:lang w:val="zh-CN"/>
        </w:rPr>
        <w:t>遵循“</w:t>
      </w:r>
      <w:r>
        <w:rPr>
          <w:rFonts w:hint="eastAsia" w:ascii="Times New Roman" w:hAnsi="Times New Roman" w:eastAsia="仿宋_GB2312" w:cs="仿宋_GB2312"/>
          <w:color w:val="auto"/>
          <w:sz w:val="32"/>
          <w:szCs w:val="32"/>
          <w:shd w:val="clear" w:color="auto" w:fill="FFFFFF"/>
        </w:rPr>
        <w:t>省</w:t>
      </w:r>
      <w:r>
        <w:rPr>
          <w:rFonts w:hint="eastAsia" w:ascii="Times New Roman" w:hAnsi="Times New Roman" w:eastAsia="仿宋_GB2312" w:cs="仿宋_GB2312"/>
          <w:color w:val="auto"/>
          <w:sz w:val="32"/>
          <w:szCs w:val="32"/>
          <w:shd w:val="clear" w:color="auto" w:fill="FFFFFF"/>
          <w:lang w:val="zh-CN"/>
        </w:rPr>
        <w:t>→</w:t>
      </w:r>
      <w:r>
        <w:rPr>
          <w:rFonts w:hint="eastAsia" w:ascii="Times New Roman" w:hAnsi="Times New Roman" w:eastAsia="仿宋_GB2312" w:cs="仿宋_GB2312"/>
          <w:color w:val="auto"/>
          <w:sz w:val="32"/>
          <w:szCs w:val="32"/>
          <w:shd w:val="clear" w:color="auto" w:fill="FFFFFF"/>
        </w:rPr>
        <w:t>市</w:t>
      </w:r>
      <w:r>
        <w:rPr>
          <w:rFonts w:hint="eastAsia" w:ascii="Times New Roman" w:hAnsi="Times New Roman" w:eastAsia="仿宋_GB2312" w:cs="仿宋_GB2312"/>
          <w:color w:val="auto"/>
          <w:sz w:val="32"/>
          <w:szCs w:val="32"/>
          <w:shd w:val="clear" w:color="auto" w:fill="FFFFFF"/>
          <w:lang w:val="zh-CN"/>
        </w:rPr>
        <w:t>→县→乡镇(接种单位)”的原则，在领取、接收</w:t>
      </w:r>
      <w:r>
        <w:rPr>
          <w:rFonts w:hint="eastAsia" w:ascii="Times New Roman" w:hAnsi="Times New Roman" w:eastAsia="仿宋_GB2312" w:cs="仿宋_GB2312"/>
          <w:color w:val="auto"/>
          <w:sz w:val="32"/>
          <w:szCs w:val="32"/>
          <w:shd w:val="clear" w:color="auto" w:fill="FFFFFF"/>
        </w:rPr>
        <w:t>免疫规划</w:t>
      </w:r>
      <w:r>
        <w:rPr>
          <w:rFonts w:hint="eastAsia" w:ascii="Times New Roman" w:hAnsi="Times New Roman" w:eastAsia="仿宋_GB2312" w:cs="仿宋_GB2312"/>
          <w:color w:val="auto"/>
          <w:sz w:val="32"/>
          <w:szCs w:val="32"/>
          <w:shd w:val="clear" w:color="auto" w:fill="FFFFFF"/>
          <w:lang w:val="zh-CN"/>
        </w:rPr>
        <w:t>疫苗或购进</w:t>
      </w:r>
      <w:r>
        <w:rPr>
          <w:rFonts w:hint="eastAsia" w:ascii="Times New Roman" w:hAnsi="Times New Roman" w:eastAsia="仿宋_GB2312" w:cs="仿宋_GB2312"/>
          <w:color w:val="auto"/>
          <w:sz w:val="32"/>
          <w:szCs w:val="32"/>
          <w:shd w:val="clear" w:color="auto" w:fill="FFFFFF"/>
        </w:rPr>
        <w:t>非免疫规划</w:t>
      </w:r>
      <w:r>
        <w:rPr>
          <w:rFonts w:hint="eastAsia" w:ascii="Times New Roman" w:hAnsi="Times New Roman" w:eastAsia="仿宋_GB2312" w:cs="仿宋_GB2312"/>
          <w:color w:val="auto"/>
          <w:sz w:val="32"/>
          <w:szCs w:val="32"/>
          <w:shd w:val="clear" w:color="auto" w:fill="FFFFFF"/>
          <w:lang w:val="zh-CN"/>
        </w:rPr>
        <w:t>疫苗时，</w:t>
      </w:r>
      <w:r>
        <w:rPr>
          <w:rFonts w:hint="eastAsia" w:ascii="Times New Roman" w:hAnsi="Times New Roman" w:eastAsia="仿宋_GB2312" w:cs="仿宋_GB2312"/>
          <w:color w:val="auto"/>
          <w:sz w:val="32"/>
          <w:szCs w:val="32"/>
          <w:shd w:val="clear" w:color="auto" w:fill="FFFFFF"/>
        </w:rPr>
        <w:t>落实</w:t>
      </w:r>
      <w:r>
        <w:rPr>
          <w:rFonts w:hint="eastAsia" w:ascii="Times New Roman" w:hAnsi="Times New Roman" w:eastAsia="仿宋_GB2312" w:cs="仿宋_GB2312"/>
          <w:color w:val="auto"/>
          <w:sz w:val="32"/>
          <w:szCs w:val="32"/>
          <w:shd w:val="clear" w:color="auto" w:fill="FFFFFF"/>
          <w:lang w:val="zh-CN"/>
        </w:rPr>
        <w:t>查验，审核疫苗生产企业、疫苗批发企业的资质，并索取由药品检验机构依法签发的疫苗每批检验合格或者审核批准。证明复印件(要有企业印章)；索取的上述证明文件，保存至超过疫苗有效期</w:t>
      </w:r>
      <w:r>
        <w:rPr>
          <w:rFonts w:hint="eastAsia" w:ascii="Times New Roman" w:hAnsi="Times New Roman" w:eastAsia="仿宋_GB2312" w:cs="仿宋_GB2312"/>
          <w:color w:val="auto"/>
          <w:sz w:val="32"/>
          <w:szCs w:val="32"/>
          <w:shd w:val="clear" w:color="auto" w:fill="FFFFFF"/>
        </w:rPr>
        <w:t>5</w:t>
      </w:r>
      <w:r>
        <w:rPr>
          <w:rFonts w:hint="eastAsia" w:ascii="Times New Roman" w:hAnsi="Times New Roman" w:eastAsia="仿宋_GB2312" w:cs="仿宋_GB2312"/>
          <w:color w:val="auto"/>
          <w:sz w:val="32"/>
          <w:szCs w:val="32"/>
          <w:shd w:val="clear" w:color="auto" w:fill="FFFFFF"/>
          <w:lang w:val="zh-CN"/>
        </w:rPr>
        <w:t>年备查。疫苗运输途中应有专人负责储存、管理，认真填写冷链运转运输记录，详细记录疫苗名称、厂家、数量、批号、效期和运输时间、储存温度、环境温度、冷链设备、运输人员签字。</w:t>
      </w:r>
    </w:p>
    <w:p w14:paraId="65C06BC2">
      <w:pPr>
        <w:keepNext w:val="0"/>
        <w:keepLines w:val="0"/>
        <w:pageBreakBefore w:val="0"/>
        <w:kinsoku/>
        <w:wordWrap/>
        <w:overflowPunct/>
        <w:topLinePunct w:val="0"/>
        <w:autoSpaceDE/>
        <w:autoSpaceDN/>
        <w:bidi w:val="0"/>
        <w:adjustRightInd w:val="0"/>
        <w:snapToGrid w:val="0"/>
        <w:spacing w:beforeLines="0" w:afterLines="0" w:line="578" w:lineRule="exact"/>
        <w:ind w:firstLine="640" w:firstLineChars="200"/>
        <w:textAlignment w:val="auto"/>
        <w:rPr>
          <w:rFonts w:hint="eastAsia" w:ascii="Times New Roman" w:hAnsi="Times New Roman" w:eastAsia="仿宋_GB2312" w:cs="仿宋_GB2312"/>
          <w:color w:val="FF0000"/>
          <w:sz w:val="32"/>
          <w:szCs w:val="32"/>
          <w:lang w:val="zh-CN"/>
        </w:rPr>
      </w:pPr>
      <w:r>
        <w:rPr>
          <w:rFonts w:hint="eastAsia" w:ascii="Times New Roman" w:hAnsi="Times New Roman" w:eastAsia="仿宋_GB2312" w:cs="仿宋_GB2312"/>
          <w:color w:val="auto"/>
          <w:sz w:val="32"/>
          <w:szCs w:val="32"/>
        </w:rPr>
        <w:t>全年按时</w:t>
      </w:r>
      <w:r>
        <w:rPr>
          <w:rFonts w:hint="eastAsia" w:ascii="Times New Roman" w:hAnsi="Times New Roman" w:eastAsia="仿宋_GB2312" w:cs="仿宋_GB2312"/>
          <w:color w:val="auto"/>
          <w:sz w:val="32"/>
          <w:szCs w:val="32"/>
          <w:lang w:val="zh-CN"/>
        </w:rPr>
        <w:t>完成</w:t>
      </w:r>
      <w:r>
        <w:rPr>
          <w:rFonts w:hint="eastAsia" w:ascii="Times New Roman" w:hAnsi="Times New Roman" w:eastAsia="仿宋_GB2312" w:cs="仿宋_GB2312"/>
          <w:color w:val="auto"/>
          <w:sz w:val="32"/>
          <w:szCs w:val="32"/>
        </w:rPr>
        <w:t>适龄儿童免疫规划疫苗接种</w:t>
      </w:r>
      <w:r>
        <w:rPr>
          <w:rFonts w:hint="eastAsia" w:ascii="Times New Roman" w:hAnsi="Times New Roman" w:eastAsia="仿宋_GB2312" w:cs="仿宋_GB2312"/>
          <w:color w:val="auto"/>
          <w:sz w:val="32"/>
          <w:szCs w:val="32"/>
          <w:lang w:val="zh-CN"/>
        </w:rPr>
        <w:t>，疫苗接种率以乡镇为单位达到90%以上。</w:t>
      </w:r>
      <w:r>
        <w:rPr>
          <w:rFonts w:hint="eastAsia" w:ascii="Times New Roman" w:hAnsi="Times New Roman" w:eastAsia="仿宋_GB2312" w:cs="仿宋_GB2312"/>
          <w:color w:val="auto"/>
          <w:sz w:val="32"/>
          <w:szCs w:val="32"/>
        </w:rPr>
        <w:t>做好了疫苗异常反应以及疫苗针对性传染病的发病率的监测。</w:t>
      </w:r>
      <w:r>
        <w:rPr>
          <w:rFonts w:hint="eastAsia" w:ascii="Times New Roman" w:hAnsi="Times New Roman" w:eastAsia="仿宋_GB2312" w:cs="仿宋_GB2312"/>
          <w:color w:val="auto"/>
          <w:sz w:val="32"/>
          <w:szCs w:val="32"/>
          <w:lang w:val="zh-CN"/>
        </w:rPr>
        <w:t>疾控中心免疫规划项目计划完成目标尚可，截止评价时点的任务量完成度高，质量好，进度计划跟得上，成本控制得好。</w:t>
      </w:r>
    </w:p>
    <w:p w14:paraId="719E1CDB">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eastAsia="zh-CN"/>
        </w:rPr>
      </w:pPr>
      <w:bookmarkStart w:id="260" w:name="_Toc2001"/>
      <w:bookmarkStart w:id="261" w:name="_Toc10182"/>
      <w:r>
        <w:rPr>
          <w:rFonts w:hint="eastAsia" w:ascii="Times New Roman" w:hAnsi="Times New Roman" w:eastAsia="黑体"/>
          <w:color w:val="auto"/>
          <w:sz w:val="32"/>
          <w:szCs w:val="32"/>
          <w:lang w:eastAsia="zh-CN"/>
        </w:rPr>
        <w:t>五、存在主要问题</w:t>
      </w:r>
      <w:bookmarkEnd w:id="260"/>
      <w:bookmarkEnd w:id="261"/>
    </w:p>
    <w:p w14:paraId="0EF2BAC1">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rPr>
          <w:rFonts w:hint="eastAsia" w:ascii="Times New Roman" w:hAnsi="Times New Roman" w:eastAsia="仿宋_GB2312" w:cs="仿宋_GB2312"/>
          <w:kern w:val="2"/>
          <w:sz w:val="32"/>
          <w:szCs w:val="32"/>
          <w:lang w:eastAsia="zh-CN"/>
        </w:rPr>
      </w:pPr>
      <w:r>
        <w:rPr>
          <w:rFonts w:hint="eastAsia" w:ascii="Times New Roman" w:hAnsi="Times New Roman" w:eastAsia="仿宋_GB2312" w:cs="仿宋_GB2312"/>
          <w:sz w:val="32"/>
          <w:szCs w:val="32"/>
          <w:lang w:eastAsia="zh-CN"/>
        </w:rPr>
        <w:t>无。</w:t>
      </w:r>
    </w:p>
    <w:p w14:paraId="0E8582EC">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firstLine="640" w:firstLineChars="200"/>
        <w:textAlignment w:val="auto"/>
        <w:outlineLvl w:val="1"/>
        <w:rPr>
          <w:rFonts w:hint="eastAsia" w:ascii="Times New Roman" w:hAnsi="Times New Roman" w:eastAsia="黑体"/>
          <w:color w:val="auto"/>
          <w:sz w:val="32"/>
          <w:szCs w:val="32"/>
          <w:lang w:val="zh-CN" w:eastAsia="zh-CN"/>
        </w:rPr>
      </w:pPr>
      <w:bookmarkStart w:id="262" w:name="_Toc26638"/>
      <w:bookmarkStart w:id="263" w:name="_Toc29321"/>
      <w:r>
        <w:rPr>
          <w:rFonts w:hint="eastAsia" w:ascii="Times New Roman" w:hAnsi="Times New Roman" w:eastAsia="黑体"/>
          <w:color w:val="auto"/>
          <w:sz w:val="32"/>
          <w:szCs w:val="32"/>
          <w:lang w:val="zh-CN" w:eastAsia="zh-CN"/>
        </w:rPr>
        <w:t>六、改进建议</w:t>
      </w:r>
      <w:bookmarkEnd w:id="262"/>
      <w:bookmarkEnd w:id="263"/>
    </w:p>
    <w:p w14:paraId="53A3E98A">
      <w:pPr>
        <w:keepNext w:val="0"/>
        <w:keepLines w:val="0"/>
        <w:pageBreakBefore w:val="0"/>
        <w:tabs>
          <w:tab w:val="left" w:pos="1911"/>
        </w:tabs>
        <w:kinsoku/>
        <w:wordWrap/>
        <w:overflowPunct/>
        <w:topLinePunct w:val="0"/>
        <w:autoSpaceDE/>
        <w:autoSpaceDN/>
        <w:bidi w:val="0"/>
        <w:spacing w:beforeLines="0" w:afterLines="0" w:line="578" w:lineRule="exact"/>
        <w:jc w:val="left"/>
        <w:textAlignment w:val="auto"/>
        <w:rPr>
          <w:rFonts w:hint="eastAsia" w:ascii="Times New Roman" w:hAnsi="Times New Roman" w:eastAsia="仿宋_GB2312" w:cs="仿宋_GB2312"/>
          <w:kern w:val="0"/>
          <w:sz w:val="32"/>
          <w:szCs w:val="32"/>
          <w:lang w:val="en"/>
        </w:rPr>
      </w:pPr>
      <w:r>
        <w:rPr>
          <w:rFonts w:hint="eastAsia" w:ascii="Times New Roman" w:hAnsi="Times New Roman" w:cs="仿宋_GB2312"/>
          <w:color w:val="auto"/>
          <w:kern w:val="0"/>
          <w:sz w:val="32"/>
          <w:szCs w:val="32"/>
          <w:shd w:val="clear" w:color="auto" w:fill="FFFFFF"/>
          <w:lang w:val="zh-CN"/>
        </w:rPr>
        <w:t xml:space="preserve"> </w:t>
      </w:r>
      <w:r>
        <w:rPr>
          <w:rFonts w:hint="eastAsia" w:ascii="Times New Roman" w:hAnsi="Times New Roman" w:cs="仿宋_GB2312"/>
          <w:kern w:val="0"/>
          <w:sz w:val="32"/>
          <w:szCs w:val="32"/>
        </w:rPr>
        <w:t xml:space="preserve"> </w:t>
      </w:r>
      <w:r>
        <w:rPr>
          <w:rFonts w:hint="eastAsia" w:ascii="Times New Roman" w:hAnsi="Times New Roman" w:eastAsia="仿宋_GB2312" w:cs="仿宋_GB2312"/>
          <w:kern w:val="0"/>
          <w:sz w:val="32"/>
          <w:szCs w:val="32"/>
        </w:rPr>
        <w:t xml:space="preserve">  无。</w:t>
      </w:r>
    </w:p>
    <w:p w14:paraId="1629FEC8">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1FDF398C">
      <w:pPr>
        <w:pStyle w:val="2"/>
        <w:rPr>
          <w:rFonts w:hint="eastAsia"/>
          <w:lang w:val="zh-CN"/>
        </w:rPr>
      </w:pPr>
    </w:p>
    <w:p w14:paraId="62B6C759">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7CA0E5B2">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738C154F">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lang w:val="zh-CN"/>
        </w:rPr>
      </w:pPr>
      <w:r>
        <w:rPr>
          <w:rFonts w:hint="eastAsia" w:ascii="Times New Roman" w:hAnsi="Times New Roman" w:eastAsia="仿宋_GB2312" w:cs="仿宋_GB2312"/>
          <w:color w:val="000000"/>
          <w:kern w:val="0"/>
          <w:sz w:val="32"/>
          <w:szCs w:val="32"/>
          <w:shd w:val="clear" w:color="auto" w:fill="FFFFFF"/>
          <w:lang w:val="zh-CN"/>
        </w:rPr>
        <w:br w:type="page"/>
      </w:r>
    </w:p>
    <w:p w14:paraId="4708C123">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42E7A248">
      <w:pPr>
        <w:spacing w:beforeLines="0" w:afterLines="0" w:line="578" w:lineRule="exact"/>
        <w:jc w:val="center"/>
        <w:outlineLvl w:val="1"/>
        <w:rPr>
          <w:rFonts w:hint="eastAsia" w:ascii="Times New Roman" w:hAnsi="Times New Roman" w:eastAsia="方正小标宋_GBK" w:cs="方正小标宋_GBK"/>
          <w:color w:val="auto"/>
          <w:sz w:val="40"/>
          <w:szCs w:val="40"/>
        </w:rPr>
      </w:pPr>
      <w:bookmarkStart w:id="264" w:name="_Toc14602"/>
      <w:bookmarkStart w:id="265" w:name="_Toc25724"/>
      <w:r>
        <w:rPr>
          <w:rFonts w:hint="eastAsia" w:ascii="Times New Roman" w:hAnsi="Times New Roman" w:eastAsia="方正小标宋_GBK" w:cs="方正小标宋_GBK"/>
          <w:color w:val="auto"/>
          <w:sz w:val="40"/>
          <w:szCs w:val="40"/>
        </w:rPr>
        <w:t>项目资金分配涉及所有点位自评得分情况表</w:t>
      </w:r>
      <w:bookmarkEnd w:id="264"/>
      <w:bookmarkEnd w:id="265"/>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C11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5EE9BBF5">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496E28F">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4478D35F">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28B9BE9E">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100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75E14AF">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3BBD77AD">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4EBDE2A0">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auto"/>
                <w:sz w:val="24"/>
                <w:szCs w:val="24"/>
              </w:rPr>
              <w:t>98分</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6FE1A806">
            <w:pPr>
              <w:spacing w:beforeLines="0" w:afterLines="0" w:line="300" w:lineRule="exact"/>
              <w:rPr>
                <w:rFonts w:hint="eastAsia" w:ascii="Times New Roman" w:hAnsi="Times New Roman" w:cs="宋体"/>
                <w:color w:val="auto"/>
                <w:sz w:val="24"/>
                <w:szCs w:val="24"/>
              </w:rPr>
            </w:pPr>
          </w:p>
        </w:tc>
      </w:tr>
    </w:tbl>
    <w:p w14:paraId="1DFC20D8">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0FD36AC9">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00C2DE82">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4628A5A7">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1420"/>
        <w:gridCol w:w="840"/>
        <w:gridCol w:w="710"/>
        <w:gridCol w:w="1841"/>
      </w:tblGrid>
      <w:tr w14:paraId="3362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5E16DA18">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3064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F39E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B4C7D">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免疫规划</w:t>
            </w:r>
          </w:p>
        </w:tc>
      </w:tr>
      <w:tr w14:paraId="01DD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C0B7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CDEF0">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4CA6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43E0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B5A19">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3A8C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445D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6F45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700D5">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2023年预算大本</w:t>
            </w:r>
          </w:p>
        </w:tc>
      </w:tr>
      <w:tr w14:paraId="3B26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8791F">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B39B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986A7">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川卫办疾控便函【2023】4号</w:t>
            </w:r>
          </w:p>
        </w:tc>
      </w:tr>
      <w:tr w14:paraId="1A38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0975C">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F005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E9FFD">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2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2CE1B">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07ECF">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FF531">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5F76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8D9FF">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529AF">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0091F">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县级配套资金</w:t>
            </w:r>
          </w:p>
        </w:tc>
      </w:tr>
      <w:tr w14:paraId="79E3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54CC7">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AD20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E6FBF">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用于免疫规划专项</w:t>
            </w:r>
          </w:p>
        </w:tc>
      </w:tr>
      <w:tr w14:paraId="7CD2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1D342">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50DB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70586">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5A9D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BA3FB">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E64C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909D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375C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F43B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6935419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C8801">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BE936">
            <w:pPr>
              <w:tabs>
                <w:tab w:val="left" w:pos="603"/>
              </w:tabs>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144</w:t>
            </w:r>
          </w:p>
        </w:tc>
      </w:tr>
      <w:tr w14:paraId="0AAA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640C3">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566E2">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7BEF7">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144</w:t>
            </w:r>
          </w:p>
        </w:tc>
      </w:tr>
      <w:tr w14:paraId="17F6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6644F">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1E672">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61DFA">
            <w:pPr>
              <w:spacing w:beforeLines="0" w:afterLines="0" w:line="300" w:lineRule="exact"/>
              <w:jc w:val="right"/>
              <w:rPr>
                <w:rFonts w:hint="eastAsia" w:ascii="Times New Roman" w:hAnsi="Times New Roman" w:eastAsia="宋体" w:cs="宋体"/>
                <w:color w:val="000000"/>
                <w:sz w:val="24"/>
                <w:szCs w:val="24"/>
              </w:rPr>
            </w:pPr>
          </w:p>
        </w:tc>
      </w:tr>
      <w:tr w14:paraId="018A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46D9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7AC52">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3CDB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62A57">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786A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实施国家扩大免疫，为0-6岁适龄儿童开展常规接种，保证新生儿童乙肝首剂接种率和及时率达国家标准。</w:t>
            </w:r>
          </w:p>
        </w:tc>
      </w:tr>
      <w:tr w14:paraId="067A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66504E6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338F578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70AECB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4CE2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E034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E37D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0E2F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793D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9C24D">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071F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0AC40F2">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053143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B8DAF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2EABF3C9">
            <w:pPr>
              <w:widowControl/>
              <w:spacing w:beforeLines="0" w:afterLines="0"/>
              <w:jc w:val="left"/>
              <w:textAlignment w:val="center"/>
              <w:rPr>
                <w:rFonts w:hint="eastAsia" w:ascii="Times New Roman" w:hAnsi="Times New Roman" w:eastAsia="宋体" w:cs="宋体"/>
                <w:color w:val="000000"/>
                <w:sz w:val="24"/>
                <w:szCs w:val="24"/>
              </w:rPr>
            </w:pPr>
            <w:r>
              <w:rPr>
                <w:rFonts w:hint="default" w:ascii="Times New Roman" w:hAnsi="Times New Roman" w:eastAsia="宋体" w:cs="Arial"/>
                <w:color w:val="000000"/>
                <w:kern w:val="0"/>
                <w:sz w:val="20"/>
                <w:szCs w:val="20"/>
                <w:lang w:bidi="ar"/>
              </w:rPr>
              <w:t>AEFI</w:t>
            </w:r>
            <w:r>
              <w:rPr>
                <w:rFonts w:hint="eastAsia" w:ascii="Times New Roman" w:hAnsi="Times New Roman" w:eastAsia="宋体" w:cs="Arial"/>
                <w:color w:val="000000"/>
                <w:kern w:val="0"/>
                <w:sz w:val="20"/>
                <w:szCs w:val="20"/>
                <w:lang w:bidi="ar"/>
              </w:rPr>
              <w:t>监测数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2CF56">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A33BF">
            <w:pPr>
              <w:widowControl/>
              <w:spacing w:beforeLines="0" w:afterLines="0"/>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olor w:val="000000"/>
                <w:kern w:val="0"/>
                <w:sz w:val="20"/>
                <w:szCs w:val="20"/>
                <w:lang w:bidi="ar"/>
              </w:rPr>
              <w:t>62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24ED3">
            <w:pPr>
              <w:widowControl/>
              <w:spacing w:beforeLines="0" w:afterLines="0"/>
              <w:jc w:val="center"/>
              <w:textAlignment w:val="center"/>
              <w:rPr>
                <w:rFonts w:hint="eastAsia" w:ascii="Times New Roman" w:hAnsi="Times New Roman" w:eastAsia="宋体" w:cs="宋体"/>
                <w:color w:val="000000"/>
                <w:sz w:val="24"/>
                <w:szCs w:val="24"/>
              </w:rPr>
            </w:pPr>
            <w:r>
              <w:rPr>
                <w:rStyle w:val="38"/>
                <w:rFonts w:hint="eastAsia" w:ascii="Times New Roman" w:hAnsi="Times New Roman"/>
                <w:sz w:val="20"/>
                <w:szCs w:val="20"/>
                <w:lang w:bidi="ar"/>
              </w:rPr>
              <w:t>每例</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BC512">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7BD7C">
            <w:pPr>
              <w:widowControl/>
              <w:spacing w:beforeLines="0" w:afterLines="0"/>
              <w:jc w:val="center"/>
              <w:textAlignment w:val="center"/>
              <w:rPr>
                <w:rFonts w:hint="default"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85</w:t>
            </w:r>
          </w:p>
        </w:tc>
      </w:tr>
      <w:tr w14:paraId="346F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7E3BB6C5">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7F68C2">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65973A">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383E432">
            <w:pPr>
              <w:widowControl/>
              <w:spacing w:beforeLines="0" w:afterLines="0"/>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0"/>
                <w:szCs w:val="20"/>
                <w:lang w:bidi="ar"/>
              </w:rPr>
              <w:t>AFP监测数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F8053">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B9590">
            <w:pPr>
              <w:widowControl/>
              <w:spacing w:beforeLines="0" w:afterLines="0"/>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olor w:val="000000"/>
                <w:kern w:val="0"/>
                <w:sz w:val="20"/>
                <w:szCs w:val="20"/>
                <w:lang w:bidi="ar"/>
              </w:rPr>
              <w:t>2</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466E2">
            <w:pPr>
              <w:widowControl/>
              <w:spacing w:beforeLines="0" w:afterLines="0"/>
              <w:jc w:val="center"/>
              <w:textAlignment w:val="center"/>
              <w:rPr>
                <w:rFonts w:hint="eastAsia" w:ascii="Times New Roman" w:hAnsi="Times New Roman" w:eastAsia="宋体" w:cs="宋体"/>
                <w:color w:val="000000"/>
                <w:sz w:val="24"/>
                <w:szCs w:val="24"/>
              </w:rPr>
            </w:pPr>
            <w:r>
              <w:rPr>
                <w:rStyle w:val="38"/>
                <w:rFonts w:hint="eastAsia" w:ascii="Times New Roman" w:hAnsi="Times New Roman"/>
                <w:sz w:val="20"/>
                <w:szCs w:val="20"/>
                <w:lang w:bidi="ar"/>
              </w:rPr>
              <w:t>每例</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E38CA">
            <w:pPr>
              <w:widowControl/>
              <w:spacing w:beforeLines="0" w:afterLines="0"/>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E2DE0">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4</w:t>
            </w:r>
          </w:p>
        </w:tc>
      </w:tr>
      <w:tr w14:paraId="311F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6229CFC7">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B23A77">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086CE9">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943B439">
            <w:pPr>
              <w:widowControl/>
              <w:spacing w:beforeLines="0" w:afterLines="0"/>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Arial"/>
                <w:color w:val="000000"/>
                <w:kern w:val="0"/>
                <w:sz w:val="20"/>
                <w:szCs w:val="20"/>
                <w:lang w:bidi="ar"/>
              </w:rPr>
              <w:t>免疫规划类疫苗接种率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F6E33">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2B71F">
            <w:pPr>
              <w:widowControl/>
              <w:spacing w:beforeLines="0" w:afterLines="0"/>
              <w:jc w:val="center"/>
              <w:textAlignment w:val="center"/>
              <w:rPr>
                <w:rFonts w:hint="default" w:ascii="Times New Roman" w:hAnsi="Times New Roman" w:eastAsia="宋体" w:cs="宋体"/>
                <w:color w:val="000000"/>
                <w:sz w:val="24"/>
                <w:szCs w:val="24"/>
              </w:rPr>
            </w:pPr>
            <w:r>
              <w:rPr>
                <w:rFonts w:hint="default" w:ascii="Times New Roman" w:hAnsi="Times New Roman" w:eastAsia="宋体"/>
                <w:color w:val="000000"/>
                <w:kern w:val="0"/>
                <w:sz w:val="20"/>
                <w:szCs w:val="20"/>
                <w:lang w:bidi="ar"/>
              </w:rPr>
              <w:t>90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96CDE">
            <w:pPr>
              <w:widowControl/>
              <w:spacing w:beforeLines="0" w:afterLines="0"/>
              <w:jc w:val="center"/>
              <w:textAlignment w:val="center"/>
              <w:rPr>
                <w:rFonts w:hint="eastAsia" w:ascii="Times New Roman" w:hAnsi="Times New Roman" w:eastAsia="宋体" w:cs="宋体"/>
                <w:color w:val="000000"/>
                <w:sz w:val="24"/>
                <w:szCs w:val="24"/>
              </w:rPr>
            </w:pPr>
            <w:r>
              <w:rPr>
                <w:rStyle w:val="38"/>
                <w:rFonts w:hint="eastAsia" w:ascii="Times New Roman" w:hAnsi="Times New Roman"/>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E766F">
            <w:pPr>
              <w:widowControl/>
              <w:spacing w:beforeLines="0" w:afterLines="0"/>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20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ACF72">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90.51</w:t>
            </w:r>
          </w:p>
        </w:tc>
      </w:tr>
      <w:tr w14:paraId="3889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1396EBB9">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5EFAC3">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E8FF27C">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0B0C4D4E">
            <w:pPr>
              <w:widowControl/>
              <w:spacing w:beforeLines="0" w:afterLines="0"/>
              <w:jc w:val="left"/>
              <w:textAlignment w:val="center"/>
              <w:rPr>
                <w:rFonts w:hint="default" w:ascii="Times New Roman" w:hAnsi="Times New Roman" w:eastAsia="宋体" w:cs="Arial"/>
                <w:color w:val="000000"/>
                <w:kern w:val="0"/>
                <w:sz w:val="20"/>
                <w:szCs w:val="20"/>
                <w:lang w:bidi="ar"/>
              </w:rPr>
            </w:pPr>
            <w:r>
              <w:rPr>
                <w:rFonts w:hint="eastAsia" w:ascii="Times New Roman" w:hAnsi="Times New Roman" w:eastAsia="宋体" w:cs="Arial"/>
                <w:color w:val="000000"/>
                <w:kern w:val="0"/>
                <w:sz w:val="20"/>
                <w:szCs w:val="20"/>
                <w:lang w:bidi="ar"/>
              </w:rPr>
              <w:t>脊灰疫苗接种率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BE852">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A0944">
            <w:pPr>
              <w:widowControl/>
              <w:spacing w:beforeLines="0" w:afterLines="0"/>
              <w:jc w:val="center"/>
              <w:textAlignment w:val="center"/>
              <w:rPr>
                <w:rFonts w:hint="default"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95</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1BFE0">
            <w:pPr>
              <w:widowControl/>
              <w:spacing w:beforeLines="0" w:afterLines="0"/>
              <w:jc w:val="center"/>
              <w:textAlignment w:val="center"/>
              <w:rPr>
                <w:rStyle w:val="38"/>
                <w:rFonts w:hint="eastAsia" w:ascii="Times New Roman" w:hAnsi="Times New Roman"/>
                <w:sz w:val="20"/>
                <w:szCs w:val="20"/>
                <w:lang w:bidi="ar"/>
              </w:rPr>
            </w:pPr>
            <w:r>
              <w:rPr>
                <w:rStyle w:val="38"/>
                <w:rFonts w:hint="eastAsia" w:ascii="Times New Roman" w:hAnsi="Times New Roman"/>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21BE6">
            <w:pPr>
              <w:widowControl/>
              <w:spacing w:beforeLines="0" w:afterLines="0"/>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8A018">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96.81</w:t>
            </w:r>
          </w:p>
        </w:tc>
      </w:tr>
      <w:tr w14:paraId="2DEE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F975B46">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3B92CC">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FB4797">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5EB2B3A">
            <w:pPr>
              <w:widowControl/>
              <w:spacing w:beforeLines="0" w:afterLines="0"/>
              <w:jc w:val="left"/>
              <w:textAlignment w:val="center"/>
              <w:rPr>
                <w:rFonts w:hint="default" w:ascii="Times New Roman" w:hAnsi="Times New Roman" w:eastAsia="宋体" w:cs="Arial"/>
                <w:color w:val="000000"/>
                <w:kern w:val="0"/>
                <w:sz w:val="20"/>
                <w:szCs w:val="20"/>
                <w:lang w:bidi="ar"/>
              </w:rPr>
            </w:pPr>
            <w:r>
              <w:rPr>
                <w:rFonts w:hint="eastAsia" w:ascii="Times New Roman" w:hAnsi="Times New Roman" w:eastAsia="宋体" w:cs="Arial"/>
                <w:color w:val="000000"/>
                <w:kern w:val="0"/>
                <w:sz w:val="20"/>
                <w:szCs w:val="20"/>
                <w:lang w:bidi="ar"/>
              </w:rPr>
              <w:t>麻腮风疫苗接种率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633B3">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63DBA">
            <w:pPr>
              <w:widowControl/>
              <w:spacing w:beforeLines="0" w:afterLines="0"/>
              <w:jc w:val="center"/>
              <w:textAlignment w:val="center"/>
              <w:rPr>
                <w:rFonts w:hint="default"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95</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9DF39">
            <w:pPr>
              <w:widowControl/>
              <w:spacing w:beforeLines="0" w:afterLines="0"/>
              <w:jc w:val="center"/>
              <w:textAlignment w:val="center"/>
              <w:rPr>
                <w:rStyle w:val="38"/>
                <w:rFonts w:hint="eastAsia" w:ascii="Times New Roman" w:hAnsi="Times New Roman"/>
                <w:sz w:val="20"/>
                <w:szCs w:val="20"/>
                <w:lang w:bidi="ar"/>
              </w:rPr>
            </w:pPr>
            <w:r>
              <w:rPr>
                <w:rStyle w:val="38"/>
                <w:rFonts w:hint="eastAsia" w:ascii="Times New Roman" w:hAnsi="Times New Roman"/>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12EE3">
            <w:pPr>
              <w:widowControl/>
              <w:spacing w:beforeLines="0" w:afterLines="0"/>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2A796">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95.32</w:t>
            </w:r>
          </w:p>
        </w:tc>
      </w:tr>
      <w:tr w14:paraId="3E47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555ACBAE">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933C5C">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7059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质量指标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33016A2">
            <w:pPr>
              <w:widowControl/>
              <w:spacing w:beforeLines="0" w:afterLines="0"/>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0"/>
                <w:szCs w:val="20"/>
                <w:lang w:bidi="ar"/>
              </w:rPr>
              <w:t>全年疫苗针对性传染病的爆发次数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AB8DD">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FFB80">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0"/>
                <w:szCs w:val="20"/>
                <w:lang w:bidi="ar"/>
              </w:rPr>
              <w:t>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814EE">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次/年</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30E60">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9B0DA">
            <w:pPr>
              <w:widowControl/>
              <w:spacing w:beforeLines="0" w:afterLines="0"/>
              <w:jc w:val="center"/>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0"/>
                <w:szCs w:val="20"/>
                <w:lang w:bidi="ar"/>
              </w:rPr>
              <w:t>0</w:t>
            </w:r>
          </w:p>
        </w:tc>
      </w:tr>
      <w:tr w14:paraId="4F6F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086AD655">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1CD376">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D22C5">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C01D49A">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以乡镇为单位，免疫规划类疫苗接种率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5E742">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3399C">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91A6A">
            <w:pPr>
              <w:spacing w:beforeLines="0" w:afterLines="0" w:line="300" w:lineRule="exact"/>
              <w:jc w:val="center"/>
              <w:rPr>
                <w:rFonts w:hint="eastAsia" w:ascii="Times New Roman" w:hAnsi="Times New Roman" w:eastAsia="宋体" w:cs="宋体"/>
                <w:color w:val="000000"/>
                <w:sz w:val="24"/>
                <w:szCs w:val="24"/>
              </w:rPr>
            </w:pPr>
            <w:r>
              <w:rPr>
                <w:rStyle w:val="38"/>
                <w:rFonts w:hint="eastAsia" w:ascii="Times New Roman" w:hAnsi="Times New Roman"/>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50409">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F3205">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96.77</w:t>
            </w:r>
          </w:p>
        </w:tc>
      </w:tr>
      <w:tr w14:paraId="2687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1C0BDD4F">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C696A9">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8BE3D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可持续影响指标</w:t>
            </w:r>
          </w:p>
          <w:p w14:paraId="5DBC27A9">
            <w:pPr>
              <w:widowControl/>
              <w:spacing w:beforeLines="0" w:afterLines="0" w:line="300" w:lineRule="exact"/>
              <w:jc w:val="center"/>
              <w:textAlignment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2FDB06A4">
            <w:pPr>
              <w:widowControl/>
              <w:spacing w:beforeLines="0" w:afterLines="0"/>
              <w:jc w:val="left"/>
              <w:textAlignment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kern w:val="0"/>
                <w:sz w:val="20"/>
                <w:szCs w:val="20"/>
                <w:lang w:bidi="ar"/>
              </w:rPr>
              <w:t>增加了群众对“疫苗是防治传染病最有效，最经济的一种方式”的认同感性</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3BD48">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D2182">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BFC9D">
            <w:pPr>
              <w:spacing w:beforeLines="0" w:afterLines="0" w:line="300" w:lineRule="exact"/>
              <w:jc w:val="center"/>
              <w:rPr>
                <w:rFonts w:hint="eastAsia" w:ascii="Times New Roman" w:hAnsi="Times New Roman" w:eastAsia="宋体" w:cs="宋体"/>
                <w:color w:val="000000"/>
                <w:sz w:val="24"/>
                <w:szCs w:val="24"/>
              </w:rPr>
            </w:pPr>
            <w:r>
              <w:rPr>
                <w:rStyle w:val="38"/>
                <w:rFonts w:hint="eastAsia" w:ascii="Times New Roman" w:hAnsi="Times New Roman"/>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A9842">
            <w:pPr>
              <w:spacing w:beforeLines="0" w:afterLines="0" w:line="300" w:lineRule="exact"/>
              <w:jc w:val="center"/>
              <w:rPr>
                <w:rFonts w:hint="default" w:ascii="Times New Roman" w:hAnsi="Times New Roman" w:eastAsia="宋体" w:cs="宋体"/>
                <w:color w:val="000000"/>
                <w:sz w:val="24"/>
                <w:szCs w:val="24"/>
              </w:rPr>
            </w:pPr>
            <w:r>
              <w:rPr>
                <w:rFonts w:hint="eastAsia" w:ascii="Times New Roman" w:hAnsi="Times New Roman" w:eastAsia="宋体"/>
                <w:color w:val="000000"/>
                <w:kern w:val="0"/>
                <w:sz w:val="20"/>
                <w:szCs w:val="20"/>
                <w:lang w:bidi="ar"/>
              </w:rPr>
              <w:t>20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EF9E8">
            <w:pPr>
              <w:widowControl/>
              <w:spacing w:beforeLines="0" w:afterLines="0"/>
              <w:jc w:val="center"/>
              <w:textAlignment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98.4</w:t>
            </w:r>
          </w:p>
        </w:tc>
      </w:tr>
      <w:tr w14:paraId="0E44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1DDE8F18">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auto" w:sz="4" w:space="0"/>
              <w:left w:val="single" w:color="000000" w:sz="4" w:space="0"/>
              <w:bottom w:val="nil"/>
              <w:right w:val="single" w:color="000000" w:sz="4" w:space="0"/>
              <w:tl2br w:val="nil"/>
              <w:tr2bl w:val="nil"/>
            </w:tcBorders>
            <w:noWrap w:val="0"/>
            <w:vAlign w:val="center"/>
          </w:tcPr>
          <w:p w14:paraId="3BF357F2">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7C73E75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250" w:type="dxa"/>
            <w:tcBorders>
              <w:top w:val="single" w:color="auto" w:sz="4" w:space="0"/>
              <w:left w:val="single" w:color="000000" w:sz="4" w:space="0"/>
              <w:bottom w:val="nil"/>
              <w:right w:val="single" w:color="000000" w:sz="4" w:space="0"/>
              <w:tl2br w:val="nil"/>
              <w:tr2bl w:val="nil"/>
            </w:tcBorders>
            <w:noWrap w:val="0"/>
            <w:vAlign w:val="center"/>
          </w:tcPr>
          <w:p w14:paraId="79F82A5B">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5653D85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98A2F">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群众对预防接种的满意度调查满意度</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07DF3">
            <w:pPr>
              <w:spacing w:beforeLines="0" w:afterLines="0" w:line="300" w:lineRule="exact"/>
              <w:jc w:val="center"/>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B6C4A">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90</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C9E04">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06DA9">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9669E">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96.52</w:t>
            </w:r>
          </w:p>
        </w:tc>
      </w:tr>
      <w:tr w14:paraId="0420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4847DE43">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6AD1F">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BAF8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w:t>
            </w:r>
          </w:p>
          <w:p w14:paraId="74CA589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144D5E82">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保障全年冷链运转，疫苗报废率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736D0">
            <w:pPr>
              <w:widowControl/>
              <w:spacing w:beforeLines="0" w:afterLines="0"/>
              <w:jc w:val="center"/>
              <w:textAlignment w:val="center"/>
              <w:rPr>
                <w:rFonts w:hint="eastAsia" w:ascii="Times New Roman" w:hAnsi="Times New Roman" w:eastAsia="宋体" w:cs="宋体"/>
                <w:color w:val="000000"/>
                <w:sz w:val="18"/>
                <w:szCs w:val="18"/>
              </w:rPr>
            </w:pPr>
            <w:r>
              <w:rPr>
                <w:rFonts w:hint="eastAsia" w:ascii="Times New Roman" w:hAnsi="Times New Roman" w:eastAsia="宋体" w:cs="宋体"/>
                <w:color w:val="000000"/>
                <w:kern w:val="0"/>
                <w:sz w:val="18"/>
                <w:szCs w:val="18"/>
                <w:lang w:bidi="ar"/>
              </w:rPr>
              <w:t>≤</w:t>
            </w:r>
          </w:p>
        </w:tc>
        <w:tc>
          <w:tcPr>
            <w:tcW w:w="14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7FE6C">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5</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04FE3">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w:t>
            </w:r>
          </w:p>
        </w:tc>
        <w:tc>
          <w:tcPr>
            <w:tcW w:w="7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6B035">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6DD4E">
            <w:pPr>
              <w:spacing w:beforeLines="0" w:afterLines="0" w:line="300" w:lineRule="exact"/>
              <w:jc w:val="center"/>
              <w:rPr>
                <w:rFonts w:hint="eastAsia" w:ascii="Times New Roman" w:hAnsi="Times New Roman" w:eastAsia="宋体"/>
                <w:color w:val="000000"/>
                <w:kern w:val="0"/>
                <w:sz w:val="20"/>
                <w:szCs w:val="20"/>
                <w:lang w:bidi="ar"/>
              </w:rPr>
            </w:pPr>
            <w:r>
              <w:rPr>
                <w:rFonts w:hint="eastAsia" w:ascii="Times New Roman" w:hAnsi="Times New Roman" w:eastAsia="宋体"/>
                <w:color w:val="000000"/>
                <w:kern w:val="0"/>
                <w:sz w:val="20"/>
                <w:szCs w:val="20"/>
                <w:lang w:bidi="ar"/>
              </w:rPr>
              <w:t>6</w:t>
            </w:r>
          </w:p>
        </w:tc>
      </w:tr>
    </w:tbl>
    <w:p w14:paraId="284CEDF0">
      <w:pPr>
        <w:rPr>
          <w:rFonts w:hint="default" w:ascii="Times New Roman" w:hAnsi="Times New Roman" w:eastAsia="黑体" w:cs="黑体"/>
          <w:sz w:val="24"/>
          <w:szCs w:val="24"/>
        </w:rPr>
      </w:pPr>
      <w:r>
        <w:rPr>
          <w:rFonts w:hint="default" w:ascii="Times New Roman" w:hAnsi="Times New Roman" w:eastAsia="黑体" w:cs="黑体"/>
          <w:sz w:val="24"/>
          <w:szCs w:val="24"/>
        </w:rPr>
        <w:br w:type="page"/>
      </w:r>
    </w:p>
    <w:p w14:paraId="50C9F1E7">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26519377">
      <w:pPr>
        <w:pStyle w:val="35"/>
        <w:spacing w:beforeLines="0" w:afterLines="0"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32"/>
          <w:szCs w:val="32"/>
          <w:lang w:val="en-US"/>
        </w:rPr>
        <w:t>（新冠防控经费）</w:t>
      </w:r>
    </w:p>
    <w:p w14:paraId="5487FC3B">
      <w:pPr>
        <w:pStyle w:val="35"/>
        <w:keepNext w:val="0"/>
        <w:keepLines w:val="0"/>
        <w:pageBreakBefore w:val="0"/>
        <w:kinsoku/>
        <w:wordWrap/>
        <w:overflowPunct/>
        <w:topLinePunct w:val="0"/>
        <w:autoSpaceDE/>
        <w:autoSpaceDN/>
        <w:bidi w:val="0"/>
        <w:spacing w:beforeLines="0" w:afterLines="0" w:line="578" w:lineRule="exact"/>
        <w:ind w:left="0" w:leftChars="0" w:firstLine="640"/>
        <w:jc w:val="center"/>
        <w:textAlignment w:val="auto"/>
        <w:rPr>
          <w:rFonts w:hint="default" w:ascii="Times New Roman" w:hAnsi="Times New Roman"/>
          <w:color w:val="auto"/>
          <w:kern w:val="2"/>
          <w:sz w:val="32"/>
          <w:szCs w:val="32"/>
        </w:rPr>
      </w:pPr>
    </w:p>
    <w:p w14:paraId="2174EDA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eastAsia="黑体"/>
          <w:sz w:val="32"/>
          <w:szCs w:val="32"/>
          <w:lang w:val="zh-CN"/>
        </w:rPr>
      </w:pPr>
      <w:bookmarkStart w:id="266" w:name="_Toc22638"/>
      <w:bookmarkStart w:id="267" w:name="_Toc6047"/>
      <w:r>
        <w:rPr>
          <w:rFonts w:hint="eastAsia" w:ascii="Times New Roman" w:hAnsi="Times New Roman" w:eastAsia="黑体"/>
          <w:sz w:val="32"/>
          <w:szCs w:val="32"/>
        </w:rPr>
        <w:t>一、</w:t>
      </w:r>
      <w:r>
        <w:rPr>
          <w:rFonts w:hint="eastAsia" w:ascii="Times New Roman" w:hAnsi="Times New Roman" w:eastAsia="黑体"/>
          <w:sz w:val="32"/>
          <w:szCs w:val="32"/>
          <w:lang w:val="zh-CN"/>
        </w:rPr>
        <w:t>项目概况</w:t>
      </w:r>
      <w:bookmarkEnd w:id="266"/>
      <w:bookmarkEnd w:id="267"/>
    </w:p>
    <w:p w14:paraId="037DE47A">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（一）设立背景及基本情况</w:t>
      </w:r>
    </w:p>
    <w:p w14:paraId="31F5C69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2020年1月,突发而来的新冠肺炎疫情在全国各地扩散蔓延，为遏制疫情蔓延势头，实时根据国家要求，坚持常态化防控和应急处置相结合，坚持科学精准从严从紧做好疫情防控，强化疫情源头管控、强化人员安全有序流动、强化多渠道监测预警、强化重点环节疫情防控、强化疫情应急处置能力、强化督导检查和责任落实，最大限度减少对人民群众生产生活的影响，确保社会安定和谐。</w:t>
      </w:r>
      <w:r>
        <w:rPr>
          <w:rFonts w:hint="eastAsia" w:ascii="Times New Roman" w:hAnsi="Times New Roman" w:eastAsia="仿宋_GB2312" w:cs="仿宋_GB2312"/>
          <w:sz w:val="32"/>
          <w:szCs w:val="32"/>
        </w:rPr>
        <w:t>为此，</w:t>
      </w:r>
      <w:r>
        <w:rPr>
          <w:rFonts w:hint="eastAsia" w:ascii="Times New Roman" w:hAnsi="Times New Roman" w:eastAsia="仿宋_GB2312" w:cs="仿宋_GB2312"/>
          <w:sz w:val="32"/>
          <w:szCs w:val="32"/>
          <w:lang w:val="zh-CN"/>
        </w:rPr>
        <w:t>县财政下达、拨付了新冠肺炎疫情防控工作资金，</w:t>
      </w:r>
      <w:r>
        <w:rPr>
          <w:rFonts w:hint="eastAsia" w:ascii="Times New Roman" w:hAnsi="Times New Roman" w:eastAsia="仿宋_GB2312" w:cs="仿宋_GB2312"/>
          <w:sz w:val="32"/>
          <w:szCs w:val="32"/>
        </w:rPr>
        <w:t>用于新冠监测和疫情防控</w:t>
      </w:r>
      <w:r>
        <w:rPr>
          <w:rFonts w:hint="eastAsia" w:ascii="Times New Roman" w:hAnsi="Times New Roman" w:eastAsia="仿宋_GB2312" w:cs="仿宋_GB2312"/>
          <w:sz w:val="32"/>
          <w:szCs w:val="32"/>
          <w:lang w:val="zh-CN"/>
        </w:rPr>
        <w:t>。</w:t>
      </w:r>
    </w:p>
    <w:p w14:paraId="61FA9B74">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（二）实施目的及支持方向</w:t>
      </w:r>
    </w:p>
    <w:p w14:paraId="0EA35C8F">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项目实施目的：及时发现</w:t>
      </w:r>
      <w:r>
        <w:rPr>
          <w:rFonts w:hint="eastAsia" w:ascii="Times New Roman" w:hAnsi="Times New Roman" w:eastAsia="仿宋_GB2312" w:cs="仿宋_GB2312"/>
          <w:sz w:val="32"/>
          <w:szCs w:val="32"/>
        </w:rPr>
        <w:t>新冠病毒感染</w:t>
      </w:r>
      <w:r>
        <w:rPr>
          <w:rFonts w:hint="eastAsia" w:ascii="Times New Roman" w:hAnsi="Times New Roman" w:eastAsia="仿宋_GB2312" w:cs="仿宋_GB2312"/>
          <w:sz w:val="32"/>
          <w:szCs w:val="32"/>
          <w:lang w:val="zh-CN"/>
        </w:rPr>
        <w:t>病例，早期识别暴发疫情，加强流行病学调查与处置工作，防止疫情扩散；掌握</w:t>
      </w:r>
      <w:r>
        <w:rPr>
          <w:rFonts w:hint="eastAsia" w:ascii="Times New Roman" w:hAnsi="Times New Roman" w:eastAsia="仿宋_GB2312" w:cs="仿宋_GB2312"/>
          <w:sz w:val="32"/>
          <w:szCs w:val="32"/>
        </w:rPr>
        <w:t>新冠病毒毒株变异情况、</w:t>
      </w:r>
      <w:r>
        <w:rPr>
          <w:rFonts w:hint="eastAsia" w:ascii="Times New Roman" w:hAnsi="Times New Roman" w:eastAsia="仿宋_GB2312" w:cs="仿宋_GB2312"/>
          <w:sz w:val="32"/>
          <w:szCs w:val="32"/>
          <w:lang w:val="zh-CN"/>
        </w:rPr>
        <w:t>病例的发病情况、病原构成及临床特征，指导</w:t>
      </w:r>
      <w:r>
        <w:rPr>
          <w:rFonts w:hint="eastAsia" w:ascii="Times New Roman" w:hAnsi="Times New Roman" w:eastAsia="仿宋_GB2312" w:cs="仿宋_GB2312"/>
          <w:sz w:val="32"/>
          <w:szCs w:val="32"/>
        </w:rPr>
        <w:t>新冠病毒感染</w:t>
      </w:r>
      <w:r>
        <w:rPr>
          <w:rFonts w:hint="eastAsia" w:ascii="Times New Roman" w:hAnsi="Times New Roman" w:eastAsia="仿宋_GB2312" w:cs="仿宋_GB2312"/>
          <w:sz w:val="32"/>
          <w:szCs w:val="32"/>
          <w:lang w:val="zh-CN"/>
        </w:rPr>
        <w:t>的防治工作，为制定有针对性的公共卫生防控措施提供依据。</w:t>
      </w:r>
    </w:p>
    <w:p w14:paraId="73469D1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项目主要内容是：一是病例报告，对发现的病例2</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zh-CN"/>
        </w:rPr>
        <w:t>小时内进行报告；二是暴发疫情，对暴发疫情在2小时内报告，并进行规范调查和处理；三是重点人群集中场所</w:t>
      </w:r>
      <w:r>
        <w:rPr>
          <w:rFonts w:hint="eastAsia" w:ascii="Times New Roman" w:hAnsi="Times New Roman" w:eastAsia="仿宋_GB2312" w:cs="仿宋_GB2312"/>
          <w:sz w:val="32"/>
          <w:szCs w:val="32"/>
        </w:rPr>
        <w:t>新冠病毒感染情况监测；四是开展新冠病毒感染发热门诊及住院相关信息监测填报工作；五是开展新冠病毒变异株</w:t>
      </w:r>
      <w:r>
        <w:rPr>
          <w:rFonts w:hint="eastAsia" w:ascii="Times New Roman" w:hAnsi="Times New Roman" w:eastAsia="仿宋_GB2312" w:cs="仿宋_GB2312"/>
          <w:sz w:val="32"/>
          <w:szCs w:val="32"/>
          <w:lang w:val="zh-CN"/>
        </w:rPr>
        <w:t>监测；</w:t>
      </w:r>
      <w:r>
        <w:rPr>
          <w:rFonts w:hint="eastAsia" w:ascii="Times New Roman" w:hAnsi="Times New Roman" w:eastAsia="仿宋_GB2312" w:cs="仿宋_GB2312"/>
          <w:sz w:val="32"/>
          <w:szCs w:val="32"/>
        </w:rPr>
        <w:t>六</w:t>
      </w:r>
      <w:r>
        <w:rPr>
          <w:rFonts w:hint="eastAsia" w:ascii="Times New Roman" w:hAnsi="Times New Roman" w:eastAsia="仿宋_GB2312" w:cs="仿宋_GB2312"/>
          <w:sz w:val="32"/>
          <w:szCs w:val="32"/>
          <w:lang w:val="zh-CN"/>
        </w:rPr>
        <w:t>是应急物资储备。</w:t>
      </w:r>
    </w:p>
    <w:p w14:paraId="1CA4F95A">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78" w:lineRule="exact"/>
        <w:ind w:left="0" w:leftChars="0" w:firstLine="640" w:firstLineChars="200"/>
        <w:jc w:val="left"/>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（三）预算安排及分配管理</w:t>
      </w:r>
    </w:p>
    <w:p w14:paraId="424541E3">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专项资金的分配、使用、由专项资金管理科室对照项目资金管理办法负责实施。</w:t>
      </w:r>
    </w:p>
    <w:p w14:paraId="483D6481">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cs="仿宋_GB2312"/>
          <w:color w:val="auto"/>
          <w:kern w:val="0"/>
          <w:sz w:val="32"/>
          <w:szCs w:val="32"/>
          <w:shd w:val="clear" w:color="auto" w:fill="FFFFFF"/>
          <w:lang w:val="zh-CN"/>
        </w:rPr>
      </w:pPr>
      <w:r>
        <w:rPr>
          <w:rFonts w:hint="eastAsia" w:ascii="Times New Roman" w:hAnsi="Times New Roman" w:eastAsia="楷体_GB2312"/>
          <w:b w:val="0"/>
          <w:bCs/>
          <w:color w:val="auto"/>
          <w:sz w:val="32"/>
          <w:szCs w:val="32"/>
          <w:lang w:val="zh-CN"/>
        </w:rPr>
        <w:t>（四）项目绩效目标设置</w:t>
      </w:r>
    </w:p>
    <w:p w14:paraId="658761E1">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按照项目要求，设通用指标、专用指标、个性指标三个分层指标，需根据项目特性自行插行设定数量指标、质量指标，按项目要求及时开展自评工作。</w:t>
      </w:r>
    </w:p>
    <w:p w14:paraId="38A908C7">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eastAsia" w:ascii="Times New Roman" w:hAnsi="Times New Roman" w:eastAsia="黑体"/>
          <w:sz w:val="32"/>
          <w:szCs w:val="32"/>
        </w:rPr>
      </w:pPr>
      <w:bookmarkStart w:id="268" w:name="_Toc19693"/>
      <w:bookmarkStart w:id="269" w:name="_Toc9266"/>
      <w:r>
        <w:rPr>
          <w:rFonts w:hint="eastAsia" w:ascii="Times New Roman" w:hAnsi="Times New Roman" w:eastAsia="黑体"/>
          <w:sz w:val="32"/>
          <w:szCs w:val="32"/>
        </w:rPr>
        <w:t>二、评价实施</w:t>
      </w:r>
      <w:bookmarkEnd w:id="268"/>
      <w:bookmarkEnd w:id="269"/>
    </w:p>
    <w:p w14:paraId="3862EDF9">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（一）评价目的</w:t>
      </w:r>
    </w:p>
    <w:p w14:paraId="6FF0CCEB">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通过评价，了解项目进展情况，判定项目是否按要求开展；了解项目资金到位、使用情况，判定是否符合项目规定；及时发现项目实施过程中存在的问题，以便及时整改，为后续项目实施提供科学依据。</w:t>
      </w:r>
    </w:p>
    <w:p w14:paraId="36E002A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（二）预设问题及评价重点</w:t>
      </w:r>
    </w:p>
    <w:p w14:paraId="5568A97C">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监测任务完成情况、疫情报告及处置情况及应急物资储备情况；评价重点是监测任务完成情况。</w:t>
      </w:r>
    </w:p>
    <w:p w14:paraId="41B5667C">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（三）评价选点</w:t>
      </w:r>
    </w:p>
    <w:p w14:paraId="21ACF2C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大竹县疾病预防控制中心。</w:t>
      </w:r>
    </w:p>
    <w:p w14:paraId="3F2A0B11">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eastAsia="楷体_GB2312"/>
          <w:b/>
          <w:color w:val="auto"/>
          <w:sz w:val="32"/>
          <w:szCs w:val="32"/>
          <w:lang w:val="zh-CN"/>
        </w:rPr>
      </w:pPr>
      <w:r>
        <w:rPr>
          <w:rFonts w:hint="eastAsia" w:ascii="Times New Roman" w:hAnsi="Times New Roman" w:eastAsia="楷体_GB2312"/>
          <w:b w:val="0"/>
          <w:bCs/>
          <w:color w:val="auto"/>
          <w:sz w:val="32"/>
          <w:szCs w:val="32"/>
          <w:lang w:val="zh-CN"/>
        </w:rPr>
        <w:t>（四）评价方法</w:t>
      </w:r>
    </w:p>
    <w:p w14:paraId="0141867A">
      <w:pPr>
        <w:keepNext w:val="0"/>
        <w:keepLines w:val="0"/>
        <w:pageBreakBefore w:val="0"/>
        <w:kinsoku/>
        <w:wordWrap/>
        <w:overflowPunct/>
        <w:topLinePunct w:val="0"/>
        <w:autoSpaceDE/>
        <w:autoSpaceDN/>
        <w:bidi w:val="0"/>
        <w:spacing w:beforeLines="0" w:afterLines="0" w:line="578" w:lineRule="exact"/>
        <w:ind w:left="0" w:leftChars="0" w:firstLine="64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我中心根据年初预算项目绩效目标设定情况进行项目年终自评。</w:t>
      </w:r>
    </w:p>
    <w:p w14:paraId="176908CE">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sz w:val="32"/>
          <w:szCs w:val="32"/>
        </w:rPr>
      </w:pPr>
      <w:r>
        <w:rPr>
          <w:rFonts w:hint="eastAsia" w:ascii="Times New Roman" w:hAnsi="Times New Roman" w:eastAsia="楷体_GB2312"/>
          <w:b w:val="0"/>
          <w:bCs/>
          <w:color w:val="auto"/>
          <w:sz w:val="32"/>
          <w:szCs w:val="32"/>
          <w:lang w:val="zh-CN"/>
        </w:rPr>
        <w:t>（五）评价组织</w:t>
      </w:r>
    </w:p>
    <w:p w14:paraId="25AF0A31">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以中心账务后勤科牵头，各科室自评为主，账务后勤科审核、汇总、上报。</w:t>
      </w:r>
    </w:p>
    <w:p w14:paraId="22919E1A">
      <w:pPr>
        <w:keepNext w:val="0"/>
        <w:keepLines w:val="0"/>
        <w:pageBreakBefore w:val="0"/>
        <w:kinsoku/>
        <w:wordWrap/>
        <w:overflowPunct/>
        <w:topLinePunct w:val="0"/>
        <w:autoSpaceDE/>
        <w:autoSpaceDN/>
        <w:bidi w:val="0"/>
        <w:adjustRightInd w:val="0"/>
        <w:snapToGrid w:val="0"/>
        <w:spacing w:beforeLines="0" w:afterLines="0" w:line="578" w:lineRule="exact"/>
        <w:ind w:left="0" w:leftChars="0" w:firstLine="640" w:firstLineChars="200"/>
        <w:textAlignment w:val="auto"/>
        <w:outlineLvl w:val="1"/>
        <w:rPr>
          <w:rFonts w:hint="default" w:ascii="Times New Roman" w:hAnsi="Times New Roman"/>
          <w:color w:val="auto"/>
          <w:sz w:val="32"/>
          <w:szCs w:val="32"/>
          <w:lang w:val="zh-CN"/>
        </w:rPr>
      </w:pPr>
      <w:bookmarkStart w:id="270" w:name="_Toc6748"/>
      <w:bookmarkStart w:id="271" w:name="_Toc2480"/>
      <w:r>
        <w:rPr>
          <w:rFonts w:hint="eastAsia" w:ascii="Times New Roman" w:hAnsi="Times New Roman" w:eastAsia="黑体"/>
          <w:color w:val="auto"/>
          <w:sz w:val="32"/>
          <w:szCs w:val="32"/>
        </w:rPr>
        <w:t>三、绩效分析</w:t>
      </w:r>
      <w:bookmarkEnd w:id="270"/>
      <w:bookmarkEnd w:id="271"/>
    </w:p>
    <w:p w14:paraId="104A9244">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default" w:ascii="Times New Roman" w:hAnsi="Times New Roman" w:eastAsia="楷体_GB2312"/>
          <w:b/>
          <w:color w:val="000000"/>
          <w:kern w:val="0"/>
          <w:sz w:val="32"/>
          <w:szCs w:val="32"/>
          <w:shd w:val="clear" w:color="auto" w:fill="FFFFFF"/>
          <w:lang w:val="zh-CN"/>
        </w:rPr>
      </w:pPr>
      <w:r>
        <w:rPr>
          <w:rFonts w:hint="eastAsia" w:ascii="Times New Roman" w:hAnsi="Times New Roman" w:eastAsia="楷体_GB2312"/>
          <w:b w:val="0"/>
          <w:bCs/>
          <w:color w:val="auto"/>
          <w:sz w:val="32"/>
          <w:szCs w:val="32"/>
          <w:lang w:val="zh-CN"/>
        </w:rPr>
        <w:t>（一）通用指标绩效分析（54分）</w:t>
      </w:r>
    </w:p>
    <w:p w14:paraId="399724FE">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1.项目决策</w:t>
      </w:r>
    </w:p>
    <w:p w14:paraId="527EB38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sz w:val="32"/>
          <w:szCs w:val="32"/>
          <w:lang w:val="zh-CN"/>
        </w:rPr>
      </w:pPr>
      <w:r>
        <w:rPr>
          <w:rFonts w:hint="eastAsia" w:ascii="Times New Roman" w:hAnsi="Times New Roman" w:eastAsia="仿宋_GB2312" w:cs="仿宋_GB2312"/>
          <w:sz w:val="32"/>
          <w:szCs w:val="32"/>
          <w:lang w:val="zh-CN"/>
        </w:rPr>
        <w:t>中心项目资金设立、审批、资金投向等方面严格按照法律、法规、规章制度和上级要求执行，符合资金管理基本规范和决策程序要求。</w:t>
      </w:r>
    </w:p>
    <w:p w14:paraId="617F6DC2">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2.项目管理</w:t>
      </w:r>
    </w:p>
    <w:p w14:paraId="045AED4A">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管理遵循科学设立、规范管理，严格审批、权责明确原则。项目资金按照政府会计制度设专账进行核算，并做到账务处理及时，会计核算规范。专项资金的分配、使用、由专项资金管理科室对照项目资金管理办法负责实施，资金使用和支付，需按中心支付程序进行会签。项目财务管理严格依法依规，做到公开公平公正，按规定使用资金，资金实际使用情况与预算数基本一致。</w:t>
      </w:r>
    </w:p>
    <w:p w14:paraId="13BA1784">
      <w:pPr>
        <w:keepNext w:val="0"/>
        <w:keepLines w:val="0"/>
        <w:pageBreakBefore w:val="0"/>
        <w:widowControl w:val="0"/>
        <w:kinsoku/>
        <w:wordWrap/>
        <w:overflowPunct/>
        <w:topLinePunct w:val="0"/>
        <w:autoSpaceDE/>
        <w:autoSpaceDN/>
        <w:bidi w:val="0"/>
        <w:adjustRightInd/>
        <w:snapToGrid/>
        <w:spacing w:beforeLines="0" w:afterLines="0" w:line="578" w:lineRule="exact"/>
        <w:ind w:left="0" w:leftChars="0" w:firstLine="640" w:firstLineChars="200"/>
        <w:textAlignment w:val="auto"/>
        <w:outlineLvl w:val="3"/>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3.项目实施</w:t>
      </w:r>
    </w:p>
    <w:p w14:paraId="147C0A7C">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项目资金计划</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zh-CN"/>
        </w:rPr>
        <w:t>0万，主要用于疫情规范调查和处理、重点人群集中场所新冠病毒感染情况监测、发热门诊及住院相关信息监测填报、新冠病毒变异株监测，</w:t>
      </w:r>
      <w:r>
        <w:rPr>
          <w:rFonts w:hint="eastAsia" w:ascii="Times New Roman" w:hAnsi="Times New Roman" w:eastAsia="仿宋_GB2312" w:cs="仿宋_GB2312"/>
          <w:sz w:val="32"/>
          <w:szCs w:val="32"/>
        </w:rPr>
        <w:t>以及</w:t>
      </w:r>
      <w:r>
        <w:rPr>
          <w:rFonts w:hint="eastAsia" w:ascii="Times New Roman" w:hAnsi="Times New Roman" w:eastAsia="仿宋_GB2312" w:cs="仿宋_GB2312"/>
          <w:sz w:val="32"/>
          <w:szCs w:val="32"/>
          <w:lang w:val="zh-CN"/>
        </w:rPr>
        <w:t>应急物资储备</w:t>
      </w:r>
      <w:r>
        <w:rPr>
          <w:rFonts w:hint="eastAsia" w:ascii="Times New Roman" w:hAnsi="Times New Roman" w:eastAsia="仿宋_GB2312" w:cs="仿宋_GB2312"/>
          <w:sz w:val="32"/>
          <w:szCs w:val="32"/>
        </w:rPr>
        <w:t>等。</w:t>
      </w:r>
      <w:r>
        <w:rPr>
          <w:rFonts w:hint="eastAsia" w:ascii="Times New Roman" w:hAnsi="Times New Roman" w:eastAsia="仿宋_GB2312" w:cs="仿宋_GB2312"/>
          <w:sz w:val="32"/>
          <w:szCs w:val="32"/>
          <w:lang w:val="zh-CN"/>
        </w:rPr>
        <w:t>支付依据合规合法，资金支付与预算相符。</w:t>
      </w:r>
    </w:p>
    <w:p w14:paraId="70202482">
      <w:pPr>
        <w:keepNext w:val="0"/>
        <w:keepLines w:val="0"/>
        <w:pageBreakBefore w:val="0"/>
        <w:widowControl w:val="0"/>
        <w:kinsoku/>
        <w:wordWrap/>
        <w:overflowPunct/>
        <w:topLinePunct w:val="0"/>
        <w:autoSpaceDE/>
        <w:autoSpaceDN/>
        <w:bidi w:val="0"/>
        <w:adjustRightInd/>
        <w:snapToGrid/>
        <w:spacing w:beforeLines="0" w:afterLines="0" w:line="578" w:lineRule="exact"/>
        <w:ind w:left="0" w:leftChars="0" w:firstLine="640" w:firstLineChars="200"/>
        <w:textAlignment w:val="auto"/>
        <w:outlineLvl w:val="3"/>
        <w:rPr>
          <w:rFonts w:hint="eastAsia" w:ascii="Times New Roman" w:hAnsi="Times New Roman"/>
          <w:color w:val="auto"/>
          <w:sz w:val="32"/>
          <w:szCs w:val="32"/>
        </w:rPr>
      </w:pPr>
      <w:r>
        <w:rPr>
          <w:rFonts w:hint="eastAsia" w:ascii="仿宋_GB2312" w:hAnsi="仿宋_GB2312" w:eastAsia="仿宋_GB2312" w:cs="仿宋_GB2312"/>
          <w:color w:val="auto"/>
          <w:sz w:val="32"/>
          <w:szCs w:val="32"/>
        </w:rPr>
        <w:t>4.项目结果</w:t>
      </w:r>
    </w:p>
    <w:p w14:paraId="3E7FA891">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项目按月完成预期目标，实施结果与绩效目标相匹配。</w:t>
      </w:r>
    </w:p>
    <w:p w14:paraId="4E4E947D">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outlineLvl w:val="2"/>
        <w:rPr>
          <w:rFonts w:hint="eastAsia" w:ascii="Times New Roman" w:hAnsi="Times New Roman" w:eastAsia="楷体_GB2312" w:cs="楷体_GB2312"/>
          <w:color w:val="auto"/>
          <w:sz w:val="32"/>
          <w:szCs w:val="32"/>
          <w:lang w:val="zh-CN"/>
        </w:rPr>
      </w:pPr>
      <w:r>
        <w:rPr>
          <w:rFonts w:hint="eastAsia" w:ascii="Times New Roman" w:hAnsi="Times New Roman" w:eastAsia="楷体_GB2312"/>
          <w:b w:val="0"/>
          <w:bCs/>
          <w:color w:val="auto"/>
          <w:sz w:val="32"/>
          <w:szCs w:val="32"/>
          <w:lang w:val="zh-CN"/>
        </w:rPr>
        <w:t>（二）专用指标绩效分析（30分）</w:t>
      </w:r>
    </w:p>
    <w:p w14:paraId="32AE1E6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资金分配科学合理、均衡公平；支持新冠病毒感染监测及疫情处置符合管理要求；项目开展可以及时发现病例，早期识别暴发疫情，早期处置，防止疫情扩散，减少感染病例，降低治疗费用，减少社会恐慌，促进经济平稳健康发展；同时掌握我县新冠病毒毒株变迁规律、发病情况、指导防治工作，为制定有针对性的公共卫生防控措施提供依据。</w:t>
      </w:r>
    </w:p>
    <w:p w14:paraId="0C971FD5">
      <w:pPr>
        <w:keepNext w:val="0"/>
        <w:keepLines w:val="0"/>
        <w:pageBreakBefore w:val="0"/>
        <w:kinsoku/>
        <w:wordWrap/>
        <w:overflowPunct/>
        <w:topLinePunct w:val="0"/>
        <w:autoSpaceDE/>
        <w:autoSpaceDN/>
        <w:bidi w:val="0"/>
        <w:spacing w:beforeLines="0" w:afterLines="0" w:line="578" w:lineRule="exact"/>
        <w:ind w:left="0" w:leftChars="0" w:firstLine="640"/>
        <w:textAlignment w:val="auto"/>
        <w:outlineLvl w:val="2"/>
        <w:rPr>
          <w:rFonts w:hint="eastAsia" w:ascii="Times New Roman" w:hAnsi="Times New Roman"/>
          <w:color w:val="auto"/>
          <w:sz w:val="32"/>
          <w:szCs w:val="32"/>
          <w:lang w:val="zh-CN"/>
        </w:rPr>
      </w:pPr>
      <w:r>
        <w:rPr>
          <w:rFonts w:hint="eastAsia" w:ascii="Times New Roman" w:hAnsi="Times New Roman" w:eastAsia="楷体_GB2312"/>
          <w:b w:val="0"/>
          <w:bCs/>
          <w:color w:val="auto"/>
          <w:sz w:val="32"/>
          <w:szCs w:val="32"/>
          <w:lang w:val="zh-CN"/>
        </w:rPr>
        <w:t>（三）个性指标绩效分析（16分）</w:t>
      </w:r>
    </w:p>
    <w:p w14:paraId="6AF39BEE">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2023年全年共发现和报告新冠病毒感染确诊病例234例，阳性检测25例。送检测序标本中发现2例为新发变异株，分别为奥密克戎XBB.1.9.1变异株、奥密克戎变异株FY.3分支，均及时规范处置，未造成疫情扩散。</w:t>
      </w:r>
    </w:p>
    <w:p w14:paraId="3B34EED7">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养老机构监测：2023年1月-2月，在杨家、石河2个养老机构共采样检测926份，全部阴性。</w:t>
      </w:r>
    </w:p>
    <w:p w14:paraId="30D75DC4">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冠病毒感染发热门诊相关信息填报工作：全年安排专人审核，每天10点前督促填报，全年达到上级要求的单位填报率每天大于90%。每日对辖区内病毒变异情况、聚集性疫情发生情况、发热门诊就诊人数较前日增长率、发热门诊就诊人群核酸和抗原阳性率较前日增长率进行评估，每天按时上报日评估表，对连续3天发热门诊就诊人数较前日增长率超过10%的撰写3期专题评估。</w:t>
      </w:r>
    </w:p>
    <w:p w14:paraId="23482EE2">
      <w:pPr>
        <w:keepNext w:val="0"/>
        <w:keepLines w:val="0"/>
        <w:pageBreakBefore w:val="0"/>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采取实物和合同储备相结合的方式，储备了满足30天满负荷运转需要的应急物资。</w:t>
      </w:r>
    </w:p>
    <w:p w14:paraId="7EA94720">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rPr>
      </w:pPr>
      <w:bookmarkStart w:id="272" w:name="_Toc2170"/>
      <w:bookmarkStart w:id="273" w:name="_Toc2"/>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、评价结论</w:t>
      </w:r>
      <w:bookmarkEnd w:id="272"/>
      <w:bookmarkEnd w:id="273"/>
    </w:p>
    <w:p w14:paraId="51E71EB2">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 w:cs="仿宋"/>
          <w:sz w:val="20"/>
          <w:szCs w:val="20"/>
          <w:lang w:eastAsia="zh-CN"/>
        </w:rPr>
      </w:pPr>
      <w:r>
        <w:rPr>
          <w:rFonts w:hint="eastAsia" w:ascii="Times New Roman" w:hAnsi="Times New Roman" w:eastAsia="仿宋" w:cs="仿宋"/>
          <w:sz w:val="32"/>
          <w:szCs w:val="32"/>
          <w:lang w:eastAsia="zh-CN"/>
        </w:rPr>
        <w:t>项目专项资金使用规范，按月有序开展工作，按质按量地完成了监测任务，自评分100分。</w:t>
      </w:r>
    </w:p>
    <w:p w14:paraId="56A659F0">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eastAsia="zh-CN"/>
        </w:rPr>
      </w:pPr>
      <w:bookmarkStart w:id="274" w:name="_Toc30030"/>
      <w:bookmarkStart w:id="275" w:name="_Toc3935"/>
      <w:r>
        <w:rPr>
          <w:rFonts w:hint="eastAsia" w:ascii="Times New Roman" w:hAnsi="Times New Roman" w:eastAsia="黑体"/>
          <w:color w:val="auto"/>
          <w:sz w:val="32"/>
          <w:szCs w:val="32"/>
          <w:lang w:eastAsia="zh-CN"/>
        </w:rPr>
        <w:t>五、存在主要问题</w:t>
      </w:r>
      <w:bookmarkEnd w:id="274"/>
      <w:bookmarkEnd w:id="275"/>
    </w:p>
    <w:p w14:paraId="7904D7B0">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32"/>
          <w:szCs w:val="32"/>
          <w:lang w:eastAsia="zh-CN"/>
        </w:rPr>
        <w:t>无。</w:t>
      </w:r>
    </w:p>
    <w:p w14:paraId="437B2411">
      <w:pPr>
        <w:pStyle w:val="8"/>
        <w:keepNext w:val="0"/>
        <w:keepLines w:val="0"/>
        <w:pageBreakBefore w:val="0"/>
        <w:numPr>
          <w:ilvl w:val="0"/>
          <w:numId w:val="0"/>
        </w:numPr>
        <w:tabs>
          <w:tab w:val="left" w:pos="2160"/>
        </w:tabs>
        <w:kinsoku/>
        <w:wordWrap/>
        <w:overflowPunct/>
        <w:topLinePunct w:val="0"/>
        <w:autoSpaceDE/>
        <w:autoSpaceDN/>
        <w:bidi w:val="0"/>
        <w:spacing w:beforeLines="0" w:afterLines="0" w:line="578" w:lineRule="exact"/>
        <w:ind w:left="0" w:leftChars="0" w:firstLine="640" w:firstLineChars="200"/>
        <w:textAlignment w:val="auto"/>
        <w:outlineLvl w:val="1"/>
        <w:rPr>
          <w:rFonts w:hint="eastAsia" w:ascii="Times New Roman" w:hAnsi="Times New Roman" w:eastAsia="黑体"/>
          <w:color w:val="auto"/>
          <w:sz w:val="32"/>
          <w:szCs w:val="32"/>
          <w:lang w:val="zh-CN" w:eastAsia="zh-CN"/>
        </w:rPr>
      </w:pPr>
      <w:bookmarkStart w:id="276" w:name="_Toc6650"/>
      <w:bookmarkStart w:id="277" w:name="_Toc32481"/>
      <w:r>
        <w:rPr>
          <w:rFonts w:hint="eastAsia" w:ascii="Times New Roman" w:hAnsi="Times New Roman" w:eastAsia="黑体"/>
          <w:color w:val="auto"/>
          <w:sz w:val="32"/>
          <w:szCs w:val="32"/>
          <w:lang w:val="zh-CN" w:eastAsia="zh-CN"/>
        </w:rPr>
        <w:t>六、改进建议</w:t>
      </w:r>
      <w:bookmarkEnd w:id="276"/>
      <w:bookmarkEnd w:id="277"/>
    </w:p>
    <w:p w14:paraId="17778177">
      <w:pPr>
        <w:keepNext w:val="0"/>
        <w:keepLines w:val="0"/>
        <w:pageBreakBefore w:val="0"/>
        <w:tabs>
          <w:tab w:val="left" w:pos="1911"/>
        </w:tabs>
        <w:kinsoku/>
        <w:wordWrap/>
        <w:overflowPunct/>
        <w:topLinePunct w:val="0"/>
        <w:autoSpaceDE/>
        <w:autoSpaceDN/>
        <w:bidi w:val="0"/>
        <w:spacing w:beforeLines="0" w:afterLines="0" w:line="578" w:lineRule="exact"/>
        <w:ind w:left="0" w:leftChars="0" w:firstLine="640"/>
        <w:jc w:val="left"/>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继续做好新型冠状病毒感染“乙类乙管”防控措施。</w:t>
      </w:r>
    </w:p>
    <w:p w14:paraId="471D3A3A">
      <w:pPr>
        <w:spacing w:beforeLines="0" w:afterLines="0"/>
        <w:ind w:firstLine="640" w:firstLineChars="200"/>
        <w:rPr>
          <w:rFonts w:hint="eastAsia" w:ascii="Times New Roman" w:hAnsi="Times New Roman" w:eastAsia="仿宋_GB2312" w:cs="仿宋_GB2312"/>
          <w:sz w:val="32"/>
          <w:szCs w:val="32"/>
          <w:lang w:val="en"/>
        </w:rPr>
      </w:pPr>
    </w:p>
    <w:p w14:paraId="072E7B4D">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p>
    <w:p w14:paraId="417A8193">
      <w:pPr>
        <w:snapToGrid w:val="0"/>
        <w:spacing w:beforeLines="0" w:afterLines="0" w:line="578" w:lineRule="exact"/>
        <w:ind w:firstLine="640" w:firstLineChars="200"/>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附表：1.项目资金分配涉及所有点位自评得分情况表</w:t>
      </w:r>
    </w:p>
    <w:p w14:paraId="658242BF">
      <w:pPr>
        <w:snapToGrid w:val="0"/>
        <w:spacing w:beforeLines="0" w:afterLines="0" w:line="578" w:lineRule="exact"/>
        <w:ind w:firstLine="1600" w:firstLineChars="500"/>
        <w:outlineLvl w:val="2"/>
        <w:rPr>
          <w:rFonts w:hint="eastAsia" w:ascii="Times New Roman" w:hAnsi="Times New Roman" w:eastAsia="仿宋_GB2312" w:cs="仿宋_GB2312"/>
          <w:color w:val="000000"/>
          <w:kern w:val="0"/>
          <w:sz w:val="32"/>
          <w:szCs w:val="32"/>
          <w:shd w:val="clear" w:color="auto" w:fill="FFFFFF"/>
        </w:rPr>
      </w:pPr>
      <w:r>
        <w:rPr>
          <w:rFonts w:hint="eastAsia" w:ascii="Times New Roman" w:hAnsi="Times New Roman" w:eastAsia="仿宋_GB2312" w:cs="仿宋_GB2312"/>
          <w:color w:val="000000"/>
          <w:kern w:val="0"/>
          <w:sz w:val="32"/>
          <w:szCs w:val="32"/>
          <w:shd w:val="clear" w:color="auto" w:fill="FFFFFF"/>
        </w:rPr>
        <w:t>2.专项预算项目绩效目标完成情况自评表</w:t>
      </w:r>
    </w:p>
    <w:p w14:paraId="7E08B96B">
      <w:pPr>
        <w:snapToGrid w:val="0"/>
        <w:spacing w:beforeLines="0" w:afterLines="0" w:line="578" w:lineRule="exact"/>
        <w:ind w:firstLine="640" w:firstLineChars="200"/>
        <w:rPr>
          <w:rFonts w:hint="eastAsia" w:ascii="Times New Roman" w:hAnsi="Times New Roman"/>
          <w:color w:val="000000"/>
          <w:kern w:val="0"/>
          <w:sz w:val="32"/>
          <w:szCs w:val="32"/>
          <w:shd w:val="clear" w:color="auto" w:fill="FFFFFF"/>
          <w:lang w:val="zh-CN"/>
        </w:rPr>
      </w:pPr>
      <w:r>
        <w:rPr>
          <w:rFonts w:hint="eastAsia" w:ascii="Times New Roman" w:hAnsi="Times New Roman"/>
          <w:color w:val="000000"/>
          <w:kern w:val="0"/>
          <w:sz w:val="32"/>
          <w:szCs w:val="32"/>
          <w:shd w:val="clear" w:color="auto" w:fill="FFFFFF"/>
          <w:lang w:val="zh-CN"/>
        </w:rPr>
        <w:br w:type="page"/>
      </w:r>
    </w:p>
    <w:p w14:paraId="1E736DF2">
      <w:pPr>
        <w:widowControl/>
        <w:numPr>
          <w:ilvl w:val="0"/>
          <w:numId w:val="0"/>
        </w:numPr>
        <w:adjustRightInd w:val="0"/>
        <w:snapToGrid w:val="0"/>
        <w:spacing w:beforeLines="0" w:afterLines="0" w:line="578" w:lineRule="exact"/>
        <w:jc w:val="left"/>
        <w:rPr>
          <w:rFonts w:hint="eastAsia" w:ascii="Times New Roman" w:hAnsi="Times New Roman" w:eastAsia="黑体" w:cs="黑体"/>
          <w:color w:val="auto"/>
          <w:kern w:val="0"/>
          <w:sz w:val="32"/>
          <w:szCs w:val="32"/>
          <w:shd w:val="clear" w:color="auto" w:fill="FFFFFF"/>
          <w:lang w:val="zh-CN"/>
        </w:rPr>
      </w:pPr>
      <w:r>
        <w:rPr>
          <w:rFonts w:hint="eastAsia" w:ascii="Times New Roman" w:hAnsi="Times New Roman" w:eastAsia="黑体" w:cs="黑体"/>
          <w:color w:val="auto"/>
          <w:kern w:val="0"/>
          <w:sz w:val="32"/>
          <w:szCs w:val="32"/>
          <w:shd w:val="clear" w:color="auto" w:fill="FFFFFF"/>
          <w:lang w:val="zh-CN"/>
        </w:rPr>
        <w:t>附表</w:t>
      </w:r>
      <w:r>
        <w:rPr>
          <w:rFonts w:hint="eastAsia" w:ascii="Times New Roman" w:hAnsi="Times New Roman" w:eastAsia="黑体" w:cs="黑体"/>
          <w:color w:val="auto"/>
          <w:kern w:val="0"/>
          <w:sz w:val="32"/>
          <w:szCs w:val="32"/>
          <w:shd w:val="clear" w:color="auto" w:fill="FFFFFF"/>
        </w:rPr>
        <w:t>1</w:t>
      </w:r>
    </w:p>
    <w:p w14:paraId="0F6C6DD7">
      <w:pPr>
        <w:spacing w:beforeLines="0" w:afterLines="0" w:line="578" w:lineRule="exact"/>
        <w:jc w:val="center"/>
        <w:outlineLvl w:val="0"/>
        <w:rPr>
          <w:rFonts w:hint="eastAsia" w:ascii="Times New Roman" w:hAnsi="Times New Roman" w:eastAsia="方正小标宋_GBK" w:cs="方正小标宋_GBK"/>
          <w:color w:val="auto"/>
          <w:sz w:val="40"/>
          <w:szCs w:val="40"/>
        </w:rPr>
      </w:pPr>
      <w:bookmarkStart w:id="278" w:name="_Toc30823"/>
      <w:bookmarkStart w:id="279" w:name="_Toc14497"/>
      <w:r>
        <w:rPr>
          <w:rFonts w:hint="eastAsia" w:ascii="Times New Roman" w:hAnsi="Times New Roman" w:eastAsia="方正小标宋_GBK" w:cs="方正小标宋_GBK"/>
          <w:color w:val="auto"/>
          <w:sz w:val="40"/>
          <w:szCs w:val="40"/>
        </w:rPr>
        <w:t>项目资金分配涉及所有点位自评得分情况表</w:t>
      </w:r>
      <w:bookmarkEnd w:id="278"/>
      <w:bookmarkEnd w:id="279"/>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20E7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F5F586D">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序号</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3C44516A">
            <w:pPr>
              <w:spacing w:beforeLines="0" w:afterLines="0" w:line="300" w:lineRule="exact"/>
              <w:jc w:val="center"/>
              <w:rPr>
                <w:rFonts w:hint="eastAsia" w:ascii="Times New Roman" w:hAnsi="Times New Roman" w:eastAsia="黑体" w:cs="黑体"/>
                <w:color w:val="auto"/>
                <w:sz w:val="24"/>
                <w:szCs w:val="24"/>
                <w:lang w:val="en"/>
              </w:rPr>
            </w:pPr>
            <w:r>
              <w:rPr>
                <w:rFonts w:hint="eastAsia" w:ascii="Times New Roman" w:hAnsi="Times New Roman" w:eastAsia="黑体" w:cs="黑体"/>
                <w:color w:val="auto"/>
                <w:sz w:val="24"/>
                <w:szCs w:val="24"/>
              </w:rPr>
              <w:t>项目资金末端分配点位</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221A5AB8">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lang w:val="en"/>
              </w:rPr>
              <w:t>自评得分（百分制）</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53BAE758">
            <w:pPr>
              <w:spacing w:beforeLines="0" w:afterLines="0" w:line="300" w:lineRule="exact"/>
              <w:jc w:val="center"/>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备注</w:t>
            </w:r>
          </w:p>
        </w:tc>
      </w:tr>
      <w:tr w14:paraId="0106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Borders>
              <w:top w:val="single" w:color="auto" w:sz="4" w:space="0"/>
              <w:left w:val="single" w:color="auto" w:sz="4" w:space="0"/>
              <w:bottom w:val="single" w:color="auto" w:sz="4" w:space="0"/>
              <w:right w:val="single" w:color="auto" w:sz="4" w:space="0"/>
              <w:tl2br w:val="nil"/>
              <w:tr2bl w:val="nil"/>
            </w:tcBorders>
            <w:noWrap w:val="0"/>
            <w:vAlign w:val="top"/>
          </w:tcPr>
          <w:p w14:paraId="73363576">
            <w:pPr>
              <w:spacing w:beforeLines="0" w:afterLines="0" w:line="300" w:lineRule="exact"/>
              <w:jc w:val="center"/>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3843" w:type="dxa"/>
            <w:tcBorders>
              <w:top w:val="single" w:color="auto" w:sz="4" w:space="0"/>
              <w:left w:val="single" w:color="auto" w:sz="4" w:space="0"/>
              <w:bottom w:val="single" w:color="auto" w:sz="4" w:space="0"/>
              <w:right w:val="single" w:color="auto" w:sz="4" w:space="0"/>
              <w:tl2br w:val="nil"/>
              <w:tr2bl w:val="nil"/>
            </w:tcBorders>
            <w:noWrap w:val="0"/>
            <w:vAlign w:val="top"/>
          </w:tcPr>
          <w:p w14:paraId="10CBA663">
            <w:pPr>
              <w:spacing w:beforeLines="0" w:afterLines="0" w:line="300" w:lineRule="exact"/>
              <w:jc w:val="center"/>
              <w:rPr>
                <w:rFonts w:hint="eastAsia" w:ascii="Times New Roman" w:hAnsi="Times New Roman" w:cs="宋体"/>
                <w:color w:val="auto"/>
                <w:sz w:val="24"/>
                <w:szCs w:val="24"/>
                <w:lang w:val="en"/>
              </w:rPr>
            </w:pPr>
            <w:r>
              <w:rPr>
                <w:rFonts w:hint="eastAsia" w:ascii="Times New Roman" w:hAnsi="Times New Roman" w:cs="宋体"/>
                <w:color w:val="auto"/>
                <w:sz w:val="24"/>
                <w:szCs w:val="24"/>
                <w:lang w:val="en"/>
              </w:rPr>
              <w:t>大竹县疾病预防控制中心</w:t>
            </w:r>
          </w:p>
        </w:tc>
        <w:tc>
          <w:tcPr>
            <w:tcW w:w="2861" w:type="dxa"/>
            <w:tcBorders>
              <w:top w:val="single" w:color="auto" w:sz="4" w:space="0"/>
              <w:left w:val="single" w:color="auto" w:sz="4" w:space="0"/>
              <w:bottom w:val="single" w:color="auto" w:sz="4" w:space="0"/>
              <w:right w:val="single" w:color="auto" w:sz="4" w:space="0"/>
              <w:tl2br w:val="nil"/>
              <w:tr2bl w:val="nil"/>
            </w:tcBorders>
            <w:noWrap w:val="0"/>
            <w:vAlign w:val="top"/>
          </w:tcPr>
          <w:p w14:paraId="146F2F22">
            <w:pPr>
              <w:spacing w:beforeLines="0" w:afterLines="0" w:line="300" w:lineRule="exact"/>
              <w:jc w:val="center"/>
              <w:rPr>
                <w:rFonts w:hint="default" w:ascii="Times New Roman" w:hAnsi="Times New Roman" w:cs="宋体"/>
                <w:color w:val="auto"/>
                <w:sz w:val="24"/>
                <w:szCs w:val="24"/>
              </w:rPr>
            </w:pPr>
            <w:r>
              <w:rPr>
                <w:rFonts w:hint="eastAsia" w:ascii="Times New Roman" w:hAnsi="Times New Roman" w:cs="宋体"/>
                <w:color w:val="auto"/>
                <w:sz w:val="24"/>
                <w:szCs w:val="24"/>
              </w:rPr>
              <w:t>100</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top"/>
          </w:tcPr>
          <w:p w14:paraId="4977CA91">
            <w:pPr>
              <w:spacing w:beforeLines="0" w:afterLines="0" w:line="300" w:lineRule="exact"/>
              <w:rPr>
                <w:rFonts w:hint="eastAsia" w:ascii="Times New Roman" w:hAnsi="Times New Roman" w:cs="宋体"/>
                <w:color w:val="auto"/>
                <w:sz w:val="24"/>
                <w:szCs w:val="24"/>
              </w:rPr>
            </w:pPr>
          </w:p>
        </w:tc>
      </w:tr>
    </w:tbl>
    <w:p w14:paraId="3728491A">
      <w:pPr>
        <w:spacing w:beforeLines="0" w:afterLines="0" w:line="400" w:lineRule="exact"/>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备注：1.项目资金末端分配点位包括市（州）本级、县（市、区）、省级部门下属单位及一次性单位等。</w:t>
      </w:r>
    </w:p>
    <w:p w14:paraId="241A687F">
      <w:pPr>
        <w:numPr>
          <w:ilvl w:val="0"/>
          <w:numId w:val="0"/>
        </w:numPr>
        <w:spacing w:beforeLines="0" w:afterLines="0" w:line="400" w:lineRule="exact"/>
        <w:ind w:firstLine="630" w:firstLineChars="300"/>
        <w:jc w:val="lef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2.自评得分（百分制）从高到低划分为优、良、中、差四个档次，各个档次数量占比分别为20%、20%、55%、5%，且不同档次间得分分值应体现差异化，同档次得分分值相同的比例不超过该档次总数量的10%。</w:t>
      </w:r>
    </w:p>
    <w:p w14:paraId="520350B3">
      <w:pPr>
        <w:spacing w:beforeLines="0" w:afterLines="0"/>
        <w:rPr>
          <w:rFonts w:hint="eastAsia" w:ascii="Times New Roman" w:hAnsi="Times New Roman"/>
          <w:sz w:val="32"/>
          <w:szCs w:val="24"/>
        </w:rPr>
      </w:pPr>
      <w:r>
        <w:rPr>
          <w:rFonts w:hint="eastAsia" w:ascii="Times New Roman" w:hAnsi="Times New Roman"/>
          <w:sz w:val="32"/>
          <w:szCs w:val="24"/>
        </w:rPr>
        <w:br w:type="page"/>
      </w:r>
    </w:p>
    <w:p w14:paraId="73A4A56F">
      <w:pPr>
        <w:pStyle w:val="2"/>
        <w:spacing w:beforeLines="0" w:after="0" w:afterLines="0" w:line="578" w:lineRule="exact"/>
        <w:ind w:leftChars="0" w:firstLine="0" w:firstLineChars="0"/>
        <w:rPr>
          <w:rFonts w:hint="default" w:ascii="Times New Roman" w:hAnsi="Times New Roman" w:eastAsia="黑体"/>
          <w:sz w:val="32"/>
          <w:szCs w:val="24"/>
        </w:rPr>
      </w:pPr>
      <w:r>
        <w:rPr>
          <w:rFonts w:hint="eastAsia" w:ascii="Times New Roman" w:hAnsi="Times New Roman" w:eastAsia="黑体"/>
          <w:sz w:val="32"/>
          <w:szCs w:val="24"/>
        </w:rPr>
        <w:t>附表2</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3D0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l2br w:val="nil"/>
              <w:tr2bl w:val="nil"/>
            </w:tcBorders>
            <w:noWrap w:val="0"/>
            <w:vAlign w:val="center"/>
          </w:tcPr>
          <w:p w14:paraId="59A89395">
            <w:pPr>
              <w:widowControl/>
              <w:spacing w:beforeLines="0" w:afterLines="0" w:line="600" w:lineRule="exact"/>
              <w:jc w:val="center"/>
              <w:textAlignment w:val="center"/>
              <w:rPr>
                <w:rFonts w:hint="default" w:ascii="Times New Roman" w:hAnsi="Times New Roman" w:eastAsia="黑体" w:cs="黑体"/>
                <w:color w:val="000000"/>
                <w:sz w:val="30"/>
                <w:szCs w:val="30"/>
              </w:rPr>
            </w:pPr>
            <w:r>
              <w:rPr>
                <w:rFonts w:hint="eastAsia" w:ascii="Times New Roman" w:hAnsi="Times New Roman" w:eastAsia="方正小标宋简体" w:cs="方正小标宋简体"/>
                <w:color w:val="000000"/>
                <w:kern w:val="0"/>
                <w:sz w:val="40"/>
                <w:szCs w:val="40"/>
                <w:lang w:bidi="ar"/>
              </w:rPr>
              <w:t>专项预算项目绩效目标完成情况自评表</w:t>
            </w:r>
          </w:p>
        </w:tc>
      </w:tr>
      <w:tr w14:paraId="03CC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EE24D">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3E4CA">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新冠防控经费</w:t>
            </w:r>
          </w:p>
        </w:tc>
      </w:tr>
      <w:tr w14:paraId="4010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2550A">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89B3A">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大竹县疾病预防控制中心</w:t>
            </w:r>
          </w:p>
        </w:tc>
      </w:tr>
      <w:tr w14:paraId="18AE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90588">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8A1C0">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医疗卫生类</w:t>
            </w:r>
          </w:p>
        </w:tc>
      </w:tr>
      <w:tr w14:paraId="23A2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7995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43154">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中长期规划</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376FF">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竹财预【2023】8号</w:t>
            </w:r>
          </w:p>
        </w:tc>
      </w:tr>
      <w:tr w14:paraId="2103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4895B">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3027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资金管理办法</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55878">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按项目预算法管理</w:t>
            </w:r>
          </w:p>
        </w:tc>
      </w:tr>
      <w:tr w14:paraId="77E9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FE312">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9979E">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D1E86">
            <w:pPr>
              <w:widowControl/>
              <w:spacing w:beforeLines="0" w:afterLines="0" w:line="300" w:lineRule="exact"/>
              <w:jc w:val="left"/>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2D546">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sym w:font="Wingdings 2" w:char="0052"/>
            </w:r>
            <w:r>
              <w:rPr>
                <w:rFonts w:hint="default" w:ascii="Times New Roman" w:hAnsi="Times New Roman"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FD6CA">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DE9D">
            <w:pPr>
              <w:widowControl/>
              <w:spacing w:beforeLines="0" w:afterLines="0" w:line="300" w:lineRule="exact"/>
              <w:jc w:val="center"/>
              <w:textAlignment w:val="center"/>
              <w:rPr>
                <w:rFonts w:hint="default" w:ascii="Times New Roman" w:hAnsi="Times New Roman" w:eastAsia="Wingdings 2" w:cs="Wingdings 2"/>
                <w:color w:val="000000"/>
                <w:sz w:val="24"/>
                <w:szCs w:val="24"/>
              </w:rPr>
            </w:pPr>
            <w:r>
              <w:rPr>
                <w:rFonts w:hint="default" w:ascii="Times New Roman" w:hAnsi="Times New Roman" w:eastAsia="Wingdings 2" w:cs="Wingdings 2"/>
                <w:color w:val="000000"/>
                <w:kern w:val="0"/>
                <w:sz w:val="24"/>
                <w:szCs w:val="24"/>
                <w:lang w:bidi="ar"/>
              </w:rPr>
              <w:t>£</w:t>
            </w:r>
            <w:r>
              <w:rPr>
                <w:rFonts w:hint="eastAsia" w:ascii="Times New Roman" w:hAnsi="Times New Roman" w:eastAsia="宋体" w:cs="宋体"/>
                <w:color w:val="000000"/>
                <w:kern w:val="0"/>
                <w:sz w:val="24"/>
                <w:szCs w:val="24"/>
                <w:lang w:bidi="ar"/>
              </w:rPr>
              <w:t>因素法与项目法相结合</w:t>
            </w:r>
          </w:p>
        </w:tc>
      </w:tr>
      <w:tr w14:paraId="0DA2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CEE11">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244A7">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3973D">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县级配套资金</w:t>
            </w:r>
          </w:p>
        </w:tc>
      </w:tr>
      <w:tr w14:paraId="1E0D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767B9">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0CCEF">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B0734">
            <w:pPr>
              <w:spacing w:beforeLines="0" w:afterLines="0" w:line="300" w:lineRule="exact"/>
              <w:jc w:val="left"/>
              <w:rPr>
                <w:rFonts w:hint="default" w:ascii="Times New Roman" w:hAnsi="Times New Roman" w:eastAsia="宋体" w:cs="宋体"/>
                <w:color w:val="000000"/>
                <w:sz w:val="24"/>
                <w:szCs w:val="24"/>
              </w:rPr>
            </w:pPr>
            <w:r>
              <w:rPr>
                <w:rFonts w:hint="eastAsia" w:ascii="Times New Roman" w:hAnsi="Times New Roman" w:eastAsia="宋体" w:cs="宋体"/>
                <w:color w:val="000000"/>
                <w:sz w:val="24"/>
                <w:szCs w:val="24"/>
              </w:rPr>
              <w:t>新冠监测及防控</w:t>
            </w:r>
          </w:p>
        </w:tc>
      </w:tr>
      <w:tr w14:paraId="52A8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77118">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FBD6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BE185">
            <w:pPr>
              <w:spacing w:beforeLines="0" w:afterLines="0" w:line="300" w:lineRule="exact"/>
              <w:jc w:val="lef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按财政要求进行申报</w:t>
            </w:r>
          </w:p>
        </w:tc>
      </w:tr>
      <w:tr w14:paraId="5F99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D4779">
            <w:pPr>
              <w:spacing w:beforeLines="0" w:afterLines="0" w:line="300" w:lineRule="exact"/>
              <w:rPr>
                <w:rFonts w:hint="eastAsia" w:ascii="Times New Roman" w:hAnsi="Times New Roman" w:eastAsia="宋体" w:cs="宋体"/>
                <w:color w:val="000000"/>
                <w:sz w:val="24"/>
                <w:szCs w:val="24"/>
              </w:rPr>
            </w:pPr>
          </w:p>
        </w:tc>
        <w:tc>
          <w:tcPr>
            <w:tcW w:w="36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629E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C9828">
            <w:pPr>
              <w:spacing w:beforeLines="0" w:afterLines="0" w:line="300" w:lineRule="exact"/>
              <w:rPr>
                <w:rFonts w:hint="eastAsia" w:ascii="Times New Roman" w:hAnsi="Times New Roman" w:eastAsia="宋体" w:cs="宋体"/>
                <w:color w:val="000000"/>
                <w:sz w:val="24"/>
                <w:szCs w:val="24"/>
              </w:rPr>
            </w:pPr>
            <w:r>
              <w:rPr>
                <w:rFonts w:hint="eastAsia" w:ascii="Times New Roman" w:hAnsi="Times New Roman" w:eastAsia="宋体" w:cs="宋体"/>
                <w:color w:val="000000"/>
                <w:sz w:val="24"/>
                <w:szCs w:val="24"/>
              </w:rPr>
              <w:t>长期性</w:t>
            </w:r>
          </w:p>
        </w:tc>
      </w:tr>
      <w:tr w14:paraId="0057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A68D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项目资金</w:t>
            </w:r>
          </w:p>
          <w:p w14:paraId="11B0E1E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750A0">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年度资金总额：</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A73B6">
            <w:pPr>
              <w:tabs>
                <w:tab w:val="left" w:pos="603"/>
              </w:tabs>
              <w:spacing w:beforeLines="0" w:afterLines="0" w:line="300" w:lineRule="exact"/>
              <w:jc w:val="left"/>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3,263.07</w:t>
            </w:r>
          </w:p>
        </w:tc>
      </w:tr>
      <w:tr w14:paraId="5547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73C2D">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6B2DC">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7C0E1">
            <w:pPr>
              <w:spacing w:beforeLines="0" w:afterLines="0" w:line="300" w:lineRule="exact"/>
              <w:jc w:val="left"/>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3,263.07</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ab/>
            </w:r>
          </w:p>
        </w:tc>
      </w:tr>
      <w:tr w14:paraId="7492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ECCDE">
            <w:pPr>
              <w:spacing w:beforeLines="0" w:afterLines="0" w:line="300" w:lineRule="exact"/>
              <w:rPr>
                <w:rFonts w:hint="eastAsia" w:ascii="Times New Roman" w:hAnsi="Times New Roman" w:eastAsia="宋体" w:cs="宋体"/>
                <w:color w:val="000000"/>
                <w:sz w:val="24"/>
                <w:szCs w:val="24"/>
              </w:rPr>
            </w:pPr>
          </w:p>
        </w:tc>
        <w:tc>
          <w:tcPr>
            <w:tcW w:w="25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30155">
            <w:pPr>
              <w:widowControl/>
              <w:spacing w:beforeLines="0" w:afterLines="0" w:line="300" w:lineRule="exact"/>
              <w:jc w:val="left"/>
              <w:textAlignment w:val="center"/>
              <w:rPr>
                <w:rFonts w:hint="default" w:ascii="Times New Roman" w:hAnsi="Times New Roman" w:eastAsia="宋体" w:cs="宋体"/>
                <w:color w:val="000000"/>
                <w:sz w:val="24"/>
                <w:szCs w:val="24"/>
              </w:rPr>
            </w:pPr>
            <w:r>
              <w:rPr>
                <w:rFonts w:hint="default" w:ascii="Times New Roman" w:hAnsi="Times New Roman" w:eastAsia="宋体" w:cs="宋体"/>
                <w:color w:val="000000"/>
                <w:kern w:val="0"/>
                <w:sz w:val="24"/>
                <w:szCs w:val="24"/>
                <w:lang w:bidi="ar"/>
              </w:rPr>
              <w:t xml:space="preserve">            </w:t>
            </w:r>
            <w:r>
              <w:rPr>
                <w:rFonts w:hint="eastAsia" w:ascii="Times New Roman" w:hAnsi="Times New Roman" w:eastAsia="宋体" w:cs="宋体"/>
                <w:color w:val="000000"/>
                <w:kern w:val="0"/>
                <w:sz w:val="24"/>
                <w:szCs w:val="24"/>
                <w:lang w:bidi="ar"/>
              </w:rPr>
              <w:t>其他资金</w:t>
            </w:r>
          </w:p>
        </w:tc>
        <w:tc>
          <w:tcPr>
            <w:tcW w:w="593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8336F">
            <w:pPr>
              <w:spacing w:beforeLines="0" w:afterLines="0" w:line="300" w:lineRule="exact"/>
              <w:jc w:val="right"/>
              <w:rPr>
                <w:rFonts w:hint="eastAsia" w:ascii="Times New Roman" w:hAnsi="Times New Roman" w:eastAsia="宋体" w:cs="宋体"/>
                <w:color w:val="000000"/>
                <w:sz w:val="24"/>
                <w:szCs w:val="24"/>
              </w:rPr>
            </w:pPr>
          </w:p>
        </w:tc>
      </w:tr>
      <w:tr w14:paraId="6DAC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024E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3B988">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年度目标</w:t>
            </w:r>
          </w:p>
        </w:tc>
      </w:tr>
      <w:tr w14:paraId="33CD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404F6">
            <w:pPr>
              <w:spacing w:beforeLines="0" w:afterLines="0" w:line="300" w:lineRule="exact"/>
              <w:rPr>
                <w:rFonts w:hint="eastAsia" w:ascii="Times New Roman" w:hAnsi="Times New Roman" w:eastAsia="宋体" w:cs="宋体"/>
                <w:color w:val="000000"/>
                <w:sz w:val="24"/>
                <w:szCs w:val="24"/>
              </w:rPr>
            </w:pPr>
          </w:p>
        </w:tc>
        <w:tc>
          <w:tcPr>
            <w:tcW w:w="958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2C507">
            <w:pPr>
              <w:spacing w:beforeLines="0" w:afterLines="0" w:line="300" w:lineRule="exact"/>
              <w:rPr>
                <w:rFonts w:hint="eastAsia" w:ascii="Times New Roman" w:hAnsi="Times New Roman" w:eastAsia="宋体" w:cs="宋体"/>
                <w:color w:val="000000"/>
                <w:sz w:val="24"/>
                <w:szCs w:val="24"/>
                <w:highlight w:val="yellow"/>
              </w:rPr>
            </w:pPr>
            <w:r>
              <w:rPr>
                <w:rFonts w:hint="eastAsia" w:ascii="Times New Roman" w:hAnsi="Times New Roman" w:eastAsia="宋体" w:cs="宋体"/>
                <w:color w:val="000000"/>
                <w:sz w:val="24"/>
                <w:szCs w:val="24"/>
              </w:rPr>
              <w:t>应用于2023年新冠疫情防控工作，达到早期识别疫情，有效控制疫情，防制疫情蔓延，避免恐慌，持续保障人民身体健康的目标。</w:t>
            </w:r>
          </w:p>
        </w:tc>
      </w:tr>
      <w:tr w14:paraId="278C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l2br w:val="nil"/>
              <w:tr2bl w:val="nil"/>
            </w:tcBorders>
            <w:noWrap w:val="0"/>
            <w:vAlign w:val="center"/>
          </w:tcPr>
          <w:p w14:paraId="245DC8FA">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6DE404F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一级指标</w:t>
            </w:r>
          </w:p>
        </w:tc>
        <w:tc>
          <w:tcPr>
            <w:tcW w:w="125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20EF1A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二级指标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89E49">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三级指标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357D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A1DB1">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3D013">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BA05B">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A760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实际完成指标值</w:t>
            </w:r>
          </w:p>
        </w:tc>
      </w:tr>
      <w:tr w14:paraId="446A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8D1E550">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2B7AF4">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产出指标</w:t>
            </w: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F682FC0">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数量指标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897862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应急物资储备量满足天数</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3C05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B2A4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30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FE868">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天</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7490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701A6">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30</w:t>
            </w:r>
          </w:p>
        </w:tc>
      </w:tr>
      <w:tr w14:paraId="6C1B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7249B373">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018160">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DF8A6B">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3E7932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新冠肺炎监测覆盖率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9A24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B8E0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8BEE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F0D6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EA66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526D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21BF9C6C">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87710D">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7AA74D">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080EFA1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初检阳性报告规范程度</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6C3E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DE49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A416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63EB8">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D7EC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w:t>
            </w:r>
          </w:p>
        </w:tc>
      </w:tr>
      <w:tr w14:paraId="537D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8A1B6A6">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26587">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2BD67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时效指标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2B7ED22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发现病例的报告及时性</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3859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6CDF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24</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4A6FA">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小时</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829CB">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8A08B">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＜24小时</w:t>
            </w:r>
          </w:p>
        </w:tc>
      </w:tr>
      <w:tr w14:paraId="417B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4A1E610B">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EF79D6">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48EDD2">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57E0EA3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初检阳性报告及时性</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189F3">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88E4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24</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09062">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小时</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717BD">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0C086">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＜24小时</w:t>
            </w:r>
          </w:p>
        </w:tc>
      </w:tr>
      <w:tr w14:paraId="6CDE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7433946B">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107190">
            <w:pPr>
              <w:spacing w:beforeLines="0" w:afterLines="0" w:line="300" w:lineRule="exact"/>
              <w:jc w:val="center"/>
              <w:rPr>
                <w:rFonts w:hint="eastAsia" w:ascii="Times New Roman" w:hAnsi="Times New Roman" w:eastAsia="宋体" w:cs="宋体"/>
                <w:color w:val="000000"/>
                <w:sz w:val="24"/>
                <w:szCs w:val="24"/>
              </w:rPr>
            </w:pPr>
          </w:p>
        </w:tc>
        <w:tc>
          <w:tcPr>
            <w:tcW w:w="12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E66397">
            <w:pPr>
              <w:spacing w:beforeLines="0" w:afterLines="0" w:line="300" w:lineRule="exact"/>
              <w:jc w:val="center"/>
              <w:rPr>
                <w:rFonts w:hint="eastAsia" w:ascii="Times New Roman" w:hAnsi="Times New Roman" w:eastAsia="宋体" w:cs="宋体"/>
                <w:color w:val="000000"/>
                <w:sz w:val="24"/>
                <w:szCs w:val="24"/>
              </w:rPr>
            </w:pP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2DB0276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经济效益指标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B510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是否能及时发现并减少病例，减少治疗费用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DD3F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C916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2BC3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0C3B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70E7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l2br w:val="nil"/>
              <w:tr2bl w:val="nil"/>
            </w:tcBorders>
            <w:noWrap w:val="0"/>
            <w:vAlign w:val="center"/>
          </w:tcPr>
          <w:p w14:paraId="356E2994">
            <w:pPr>
              <w:spacing w:beforeLines="0" w:afterLines="0" w:line="300" w:lineRule="exact"/>
              <w:jc w:val="center"/>
              <w:rPr>
                <w:rFonts w:hint="eastAsia" w:ascii="Times New Roman" w:hAnsi="Times New Roman" w:eastAsia="宋体" w:cs="宋体"/>
                <w:color w:val="000000"/>
                <w:sz w:val="24"/>
                <w:szCs w:val="24"/>
              </w:rPr>
            </w:pPr>
          </w:p>
        </w:tc>
        <w:tc>
          <w:tcPr>
            <w:tcW w:w="10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951718">
            <w:pPr>
              <w:spacing w:beforeLines="0" w:afterLines="0" w:line="300" w:lineRule="exact"/>
              <w:jc w:val="center"/>
              <w:rPr>
                <w:rFonts w:hint="eastAsia" w:ascii="Times New Roman" w:hAnsi="Times New Roman" w:eastAsia="宋体" w:cs="宋体"/>
                <w:color w:val="000000"/>
                <w:sz w:val="24"/>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185F49">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w:t>
            </w:r>
          </w:p>
          <w:p w14:paraId="209BDE7C">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7A56A73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社会效益指标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EA47E">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是否能早期识别疫情，防制疫情蔓延，避免恐慌</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72E0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4A3EB">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8417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21F51">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2B67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74DFCEEB">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auto" w:sz="4" w:space="0"/>
              <w:left w:val="single" w:color="000000" w:sz="4" w:space="0"/>
              <w:bottom w:val="nil"/>
              <w:right w:val="single" w:color="000000" w:sz="4" w:space="0"/>
              <w:tl2br w:val="nil"/>
              <w:tr2bl w:val="nil"/>
            </w:tcBorders>
            <w:noWrap w:val="0"/>
            <w:vAlign w:val="center"/>
          </w:tcPr>
          <w:p w14:paraId="255294D5">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w:t>
            </w:r>
          </w:p>
          <w:p w14:paraId="22A6562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250" w:type="dxa"/>
            <w:tcBorders>
              <w:top w:val="single" w:color="auto" w:sz="4" w:space="0"/>
              <w:left w:val="single" w:color="000000" w:sz="4" w:space="0"/>
              <w:bottom w:val="nil"/>
              <w:right w:val="single" w:color="000000" w:sz="4" w:space="0"/>
              <w:tl2br w:val="nil"/>
              <w:tr2bl w:val="nil"/>
            </w:tcBorders>
            <w:noWrap w:val="0"/>
            <w:vAlign w:val="center"/>
          </w:tcPr>
          <w:p w14:paraId="2A9D3BC1">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服务对象</w:t>
            </w:r>
          </w:p>
          <w:p w14:paraId="5ECD09E6">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5AD8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满意度指标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8B55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县区域群众满意度</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D17E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定性</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5034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为县区群众带来区域社会稳定</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5BE0A">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70575">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r w14:paraId="3589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l2br w:val="nil"/>
              <w:tr2bl w:val="nil"/>
            </w:tcBorders>
            <w:noWrap w:val="0"/>
            <w:vAlign w:val="center"/>
          </w:tcPr>
          <w:p w14:paraId="61FC191D">
            <w:pPr>
              <w:spacing w:beforeLines="0" w:afterLines="0" w:line="300" w:lineRule="exact"/>
              <w:jc w:val="center"/>
              <w:rPr>
                <w:rFonts w:hint="eastAsia" w:ascii="Times New Roman" w:hAnsi="Times New Roman" w:eastAsia="宋体" w:cs="宋体"/>
                <w:color w:val="000000"/>
                <w:sz w:val="24"/>
                <w:szCs w:val="24"/>
              </w:rPr>
            </w:pPr>
          </w:p>
        </w:tc>
        <w:tc>
          <w:tcPr>
            <w:tcW w:w="10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51548">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AA0F2">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w:t>
            </w:r>
          </w:p>
          <w:p w14:paraId="5BD73FA7">
            <w:pPr>
              <w:widowControl/>
              <w:spacing w:beforeLines="0" w:afterLines="0" w:line="300" w:lineRule="exact"/>
              <w:jc w:val="center"/>
              <w:textAlignment w:val="center"/>
              <w:rPr>
                <w:rFonts w:hint="default" w:ascii="Times New Roman" w:hAnsi="Times New Roman" w:eastAsia="宋体" w:cs="宋体"/>
                <w:color w:val="000000"/>
                <w:sz w:val="24"/>
                <w:szCs w:val="24"/>
              </w:rPr>
            </w:pPr>
            <w:r>
              <w:rPr>
                <w:rFonts w:hint="eastAsia" w:ascii="Times New Roman" w:hAnsi="Times New Roman" w:eastAsia="宋体" w:cs="宋体"/>
                <w:color w:val="000000"/>
                <w:kern w:val="0"/>
                <w:sz w:val="24"/>
                <w:szCs w:val="24"/>
                <w:lang w:bidi="ar"/>
              </w:rPr>
              <w:t>指标</w:t>
            </w:r>
          </w:p>
        </w:tc>
        <w:tc>
          <w:tcPr>
            <w:tcW w:w="1312" w:type="dxa"/>
            <w:tcBorders>
              <w:top w:val="single" w:color="000000" w:sz="4" w:space="0"/>
              <w:left w:val="nil"/>
              <w:bottom w:val="single" w:color="000000" w:sz="4" w:space="0"/>
              <w:right w:val="single" w:color="000000" w:sz="4" w:space="0"/>
              <w:tl2br w:val="nil"/>
              <w:tr2bl w:val="nil"/>
            </w:tcBorders>
            <w:noWrap w:val="0"/>
            <w:vAlign w:val="center"/>
          </w:tcPr>
          <w:p w14:paraId="2CD05647">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经济成本指标</w:t>
            </w:r>
          </w:p>
        </w:tc>
        <w:tc>
          <w:tcPr>
            <w:tcW w:w="11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C1BDF">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疫情处置相关费用</w:t>
            </w:r>
          </w:p>
        </w:tc>
        <w:tc>
          <w:tcPr>
            <w:tcW w:w="9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DA4CC">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w:t>
            </w:r>
          </w:p>
        </w:tc>
        <w:tc>
          <w:tcPr>
            <w:tcW w:w="1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C7930">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100000</w:t>
            </w:r>
          </w:p>
        </w:tc>
        <w:tc>
          <w:tcPr>
            <w:tcW w:w="9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C2180">
            <w:pPr>
              <w:widowControl/>
              <w:spacing w:beforeLines="0" w:afterLines="0" w:line="300" w:lineRule="exact"/>
              <w:jc w:val="center"/>
              <w:textAlignment w:val="center"/>
              <w:rPr>
                <w:rFonts w:hint="default"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93AFD">
            <w:pPr>
              <w:widowControl/>
              <w:spacing w:beforeLines="0" w:afterLines="0" w:line="300" w:lineRule="exact"/>
              <w:jc w:val="center"/>
              <w:textAlignment w:val="center"/>
              <w:rPr>
                <w:rFonts w:hint="eastAsia" w:ascii="Times New Roman" w:hAnsi="Times New Roman" w:eastAsia="宋体" w:cs="宋体"/>
                <w:color w:val="000000"/>
                <w:kern w:val="0"/>
                <w:sz w:val="24"/>
                <w:szCs w:val="24"/>
                <w:lang w:bidi="ar"/>
              </w:rPr>
            </w:pPr>
            <w:r>
              <w:rPr>
                <w:rFonts w:hint="eastAsia" w:ascii="Times New Roman" w:hAnsi="Times New Roman" w:eastAsia="宋体" w:cs="宋体"/>
                <w:color w:val="000000"/>
                <w:kern w:val="0"/>
                <w:sz w:val="24"/>
                <w:szCs w:val="24"/>
                <w:lang w:bidi="ar"/>
              </w:rPr>
              <w:t>完成</w:t>
            </w:r>
          </w:p>
        </w:tc>
      </w:tr>
    </w:tbl>
    <w:p w14:paraId="3C03F6B4">
      <w:pPr>
        <w:rPr>
          <w:rFonts w:hint="eastAsia" w:ascii="Times New Roman" w:hAnsi="Times New Roman" w:eastAsia="黑体"/>
        </w:rPr>
      </w:pPr>
      <w:r>
        <w:rPr>
          <w:rFonts w:hint="default" w:ascii="Times New Roman" w:hAnsi="Times New Roman" w:eastAsia="黑体" w:cs="黑体"/>
          <w:sz w:val="24"/>
          <w:szCs w:val="24"/>
        </w:rPr>
        <w:br w:type="page"/>
      </w:r>
    </w:p>
    <w:p w14:paraId="4ABDFCD4">
      <w:pPr>
        <w:pStyle w:val="4"/>
        <w:jc w:val="center"/>
        <w:rPr>
          <w:rFonts w:ascii="Times New Roman" w:hAnsi="Times New Roman" w:eastAsia="黑体"/>
        </w:rPr>
      </w:pPr>
      <w:bookmarkStart w:id="280" w:name="_Toc11815"/>
      <w:r>
        <w:rPr>
          <w:rFonts w:hint="eastAsia" w:ascii="Times New Roman" w:hAnsi="Times New Roman" w:eastAsia="黑体"/>
        </w:rPr>
        <w:t>第五部分 附表</w:t>
      </w:r>
      <w:bookmarkEnd w:id="280"/>
    </w:p>
    <w:p w14:paraId="5C2348D9">
      <w:pPr>
        <w:pStyle w:val="5"/>
        <w:numPr>
          <w:ilvl w:val="0"/>
          <w:numId w:val="0"/>
        </w:numPr>
        <w:ind w:firstLine="640" w:firstLineChars="200"/>
        <w:rPr>
          <w:rFonts w:hint="eastAsia" w:ascii="Times New Roman" w:hAnsi="Times New Roman" w:eastAsia="黑体"/>
          <w:b w:val="0"/>
          <w:lang w:eastAsia="zh-CN"/>
        </w:rPr>
      </w:pPr>
      <w:bookmarkStart w:id="281" w:name="_Toc11317"/>
      <w:r>
        <w:rPr>
          <w:rFonts w:hint="eastAsia" w:ascii="Times New Roman" w:hAnsi="Times New Roman" w:eastAsia="黑体"/>
          <w:b w:val="0"/>
          <w:lang w:eastAsia="zh-CN"/>
        </w:rPr>
        <w:t>一、收入支出决算总表</w:t>
      </w:r>
      <w:bookmarkEnd w:id="281"/>
    </w:p>
    <w:p w14:paraId="783D4932">
      <w:pPr>
        <w:pStyle w:val="5"/>
        <w:numPr>
          <w:ilvl w:val="0"/>
          <w:numId w:val="0"/>
        </w:numPr>
        <w:ind w:firstLine="640" w:firstLineChars="200"/>
        <w:rPr>
          <w:rFonts w:hint="eastAsia" w:ascii="Times New Roman" w:hAnsi="Times New Roman" w:eastAsia="黑体"/>
          <w:b w:val="0"/>
          <w:lang w:eastAsia="zh-CN"/>
        </w:rPr>
      </w:pPr>
      <w:bookmarkStart w:id="282" w:name="_Toc343"/>
      <w:r>
        <w:rPr>
          <w:rFonts w:hint="eastAsia" w:ascii="Times New Roman" w:hAnsi="Times New Roman" w:eastAsia="黑体"/>
          <w:b w:val="0"/>
          <w:lang w:eastAsia="zh-CN"/>
        </w:rPr>
        <w:t>二、收入决算表</w:t>
      </w:r>
      <w:bookmarkEnd w:id="282"/>
    </w:p>
    <w:p w14:paraId="0ADE4E7C">
      <w:pPr>
        <w:pStyle w:val="5"/>
        <w:numPr>
          <w:ilvl w:val="0"/>
          <w:numId w:val="0"/>
        </w:numPr>
        <w:ind w:firstLine="640" w:firstLineChars="200"/>
        <w:rPr>
          <w:rFonts w:hint="eastAsia" w:ascii="Times New Roman" w:hAnsi="Times New Roman" w:eastAsia="黑体"/>
          <w:b w:val="0"/>
          <w:lang w:eastAsia="zh-CN"/>
        </w:rPr>
      </w:pPr>
      <w:bookmarkStart w:id="283" w:name="_Toc4731"/>
      <w:r>
        <w:rPr>
          <w:rFonts w:hint="eastAsia" w:ascii="Times New Roman" w:hAnsi="Times New Roman" w:eastAsia="黑体"/>
          <w:b w:val="0"/>
          <w:lang w:eastAsia="zh-CN"/>
        </w:rPr>
        <w:t>三、支出决算表</w:t>
      </w:r>
      <w:bookmarkEnd w:id="283"/>
    </w:p>
    <w:p w14:paraId="61B9A4C2">
      <w:pPr>
        <w:pStyle w:val="5"/>
        <w:numPr>
          <w:ilvl w:val="0"/>
          <w:numId w:val="0"/>
        </w:numPr>
        <w:ind w:firstLine="640" w:firstLineChars="200"/>
        <w:rPr>
          <w:rFonts w:hint="eastAsia" w:ascii="Times New Roman" w:hAnsi="Times New Roman" w:eastAsia="黑体"/>
          <w:b w:val="0"/>
          <w:lang w:eastAsia="zh-CN"/>
        </w:rPr>
      </w:pPr>
      <w:bookmarkStart w:id="284" w:name="_Toc29219"/>
      <w:r>
        <w:rPr>
          <w:rFonts w:hint="eastAsia" w:ascii="Times New Roman" w:hAnsi="Times New Roman" w:eastAsia="黑体"/>
          <w:b w:val="0"/>
          <w:lang w:eastAsia="zh-CN"/>
        </w:rPr>
        <w:t>四、财政拨款收入支出决算总表</w:t>
      </w:r>
      <w:bookmarkEnd w:id="284"/>
    </w:p>
    <w:p w14:paraId="6CBB3D93">
      <w:pPr>
        <w:pStyle w:val="5"/>
        <w:numPr>
          <w:ilvl w:val="0"/>
          <w:numId w:val="0"/>
        </w:numPr>
        <w:ind w:firstLine="640" w:firstLineChars="200"/>
        <w:rPr>
          <w:rFonts w:hint="eastAsia" w:ascii="Times New Roman" w:hAnsi="Times New Roman" w:eastAsia="黑体"/>
          <w:b w:val="0"/>
          <w:lang w:eastAsia="zh-CN"/>
        </w:rPr>
      </w:pPr>
      <w:bookmarkStart w:id="285" w:name="_Toc3040"/>
      <w:r>
        <w:rPr>
          <w:rFonts w:hint="eastAsia" w:ascii="Times New Roman" w:hAnsi="Times New Roman" w:eastAsia="黑体"/>
          <w:b w:val="0"/>
          <w:lang w:eastAsia="zh-CN"/>
        </w:rPr>
        <w:t>五、财政拨款支出决算明细表</w:t>
      </w:r>
      <w:bookmarkEnd w:id="285"/>
    </w:p>
    <w:p w14:paraId="6277ABE0">
      <w:pPr>
        <w:pStyle w:val="5"/>
        <w:numPr>
          <w:ilvl w:val="0"/>
          <w:numId w:val="0"/>
        </w:numPr>
        <w:ind w:firstLine="640" w:firstLineChars="200"/>
        <w:rPr>
          <w:rFonts w:hint="eastAsia" w:ascii="Times New Roman" w:hAnsi="Times New Roman" w:eastAsia="黑体"/>
          <w:b w:val="0"/>
          <w:lang w:eastAsia="zh-CN"/>
        </w:rPr>
      </w:pPr>
      <w:bookmarkStart w:id="286" w:name="_Toc32444"/>
      <w:r>
        <w:rPr>
          <w:rFonts w:hint="eastAsia" w:ascii="Times New Roman" w:hAnsi="Times New Roman" w:eastAsia="黑体"/>
          <w:b w:val="0"/>
          <w:lang w:eastAsia="zh-CN"/>
        </w:rPr>
        <w:t>六、一般公共预算财政拨款支出决算表</w:t>
      </w:r>
      <w:bookmarkEnd w:id="286"/>
    </w:p>
    <w:p w14:paraId="4852611A">
      <w:pPr>
        <w:pStyle w:val="5"/>
        <w:numPr>
          <w:ilvl w:val="0"/>
          <w:numId w:val="0"/>
        </w:numPr>
        <w:ind w:firstLine="640" w:firstLineChars="200"/>
        <w:rPr>
          <w:rFonts w:hint="eastAsia" w:ascii="Times New Roman" w:hAnsi="Times New Roman" w:eastAsia="黑体"/>
          <w:b w:val="0"/>
          <w:lang w:eastAsia="zh-CN"/>
        </w:rPr>
      </w:pPr>
      <w:bookmarkStart w:id="287" w:name="_Toc26465"/>
      <w:r>
        <w:rPr>
          <w:rFonts w:hint="eastAsia" w:ascii="Times New Roman" w:hAnsi="Times New Roman" w:eastAsia="黑体"/>
          <w:b w:val="0"/>
          <w:lang w:eastAsia="zh-CN"/>
        </w:rPr>
        <w:t>七、一般公共预算财政拨款支出决算明细表</w:t>
      </w:r>
      <w:bookmarkEnd w:id="287"/>
    </w:p>
    <w:p w14:paraId="5E41FD03">
      <w:pPr>
        <w:pStyle w:val="5"/>
        <w:numPr>
          <w:ilvl w:val="0"/>
          <w:numId w:val="0"/>
        </w:numPr>
        <w:ind w:firstLine="640" w:firstLineChars="200"/>
        <w:rPr>
          <w:rFonts w:hint="eastAsia" w:ascii="Times New Roman" w:hAnsi="Times New Roman" w:eastAsia="黑体"/>
          <w:b w:val="0"/>
          <w:lang w:eastAsia="zh-CN"/>
        </w:rPr>
      </w:pPr>
      <w:bookmarkStart w:id="288" w:name="_Toc9586"/>
      <w:r>
        <w:rPr>
          <w:rFonts w:hint="eastAsia" w:ascii="Times New Roman" w:hAnsi="Times New Roman" w:eastAsia="黑体"/>
          <w:b w:val="0"/>
          <w:lang w:eastAsia="zh-CN"/>
        </w:rPr>
        <w:t>八、一般公共预算财政拨款基本支出决算表</w:t>
      </w:r>
      <w:bookmarkEnd w:id="288"/>
    </w:p>
    <w:p w14:paraId="7401BDF0">
      <w:pPr>
        <w:pStyle w:val="5"/>
        <w:numPr>
          <w:ilvl w:val="0"/>
          <w:numId w:val="0"/>
        </w:numPr>
        <w:ind w:firstLine="640" w:firstLineChars="200"/>
        <w:rPr>
          <w:rFonts w:hint="eastAsia" w:ascii="Times New Roman" w:hAnsi="Times New Roman" w:eastAsia="黑体"/>
          <w:b w:val="0"/>
          <w:lang w:eastAsia="zh-CN"/>
        </w:rPr>
      </w:pPr>
      <w:bookmarkStart w:id="289" w:name="_Toc4148"/>
      <w:r>
        <w:rPr>
          <w:rFonts w:hint="eastAsia" w:ascii="Times New Roman" w:hAnsi="Times New Roman" w:eastAsia="黑体"/>
          <w:b w:val="0"/>
          <w:lang w:eastAsia="zh-CN"/>
        </w:rPr>
        <w:t>九、一般公共预算财政拨款项目支出决算表</w:t>
      </w:r>
      <w:bookmarkEnd w:id="289"/>
    </w:p>
    <w:p w14:paraId="4B94A1BA">
      <w:pPr>
        <w:pStyle w:val="5"/>
        <w:numPr>
          <w:ilvl w:val="0"/>
          <w:numId w:val="0"/>
        </w:numPr>
        <w:ind w:firstLine="640" w:firstLineChars="200"/>
        <w:rPr>
          <w:rFonts w:hint="eastAsia" w:ascii="Times New Roman" w:hAnsi="Times New Roman" w:eastAsia="黑体"/>
          <w:b w:val="0"/>
          <w:lang w:eastAsia="zh-CN"/>
        </w:rPr>
      </w:pPr>
      <w:bookmarkStart w:id="290" w:name="_Toc31295"/>
      <w:r>
        <w:rPr>
          <w:rFonts w:hint="eastAsia" w:ascii="Times New Roman" w:hAnsi="Times New Roman" w:eastAsia="黑体"/>
          <w:b w:val="0"/>
          <w:lang w:eastAsia="zh-CN"/>
        </w:rPr>
        <w:t>十、政府性基金预算财政拨款收入支出决算表</w:t>
      </w:r>
      <w:bookmarkEnd w:id="290"/>
    </w:p>
    <w:p w14:paraId="028D7CDF">
      <w:pPr>
        <w:pStyle w:val="5"/>
        <w:numPr>
          <w:ilvl w:val="0"/>
          <w:numId w:val="0"/>
        </w:numPr>
        <w:ind w:firstLine="640" w:firstLineChars="200"/>
        <w:rPr>
          <w:rFonts w:hint="eastAsia" w:ascii="Times New Roman" w:hAnsi="Times New Roman" w:eastAsia="黑体"/>
          <w:b w:val="0"/>
          <w:lang w:eastAsia="zh-CN"/>
        </w:rPr>
      </w:pPr>
      <w:bookmarkStart w:id="291" w:name="_Toc12694"/>
      <w:r>
        <w:rPr>
          <w:rFonts w:hint="eastAsia" w:ascii="Times New Roman" w:hAnsi="Times New Roman" w:eastAsia="黑体"/>
          <w:b w:val="0"/>
          <w:lang w:eastAsia="zh-CN"/>
        </w:rPr>
        <w:t>十一、国有资本经营预算财政拨款收入支出决算表</w:t>
      </w:r>
      <w:bookmarkEnd w:id="291"/>
    </w:p>
    <w:p w14:paraId="4BEBAA31">
      <w:pPr>
        <w:pStyle w:val="5"/>
        <w:numPr>
          <w:ilvl w:val="0"/>
          <w:numId w:val="0"/>
        </w:numPr>
        <w:ind w:firstLine="640" w:firstLineChars="200"/>
        <w:rPr>
          <w:rFonts w:hint="eastAsia" w:ascii="Times New Roman" w:hAnsi="Times New Roman" w:eastAsia="黑体"/>
          <w:b w:val="0"/>
          <w:lang w:eastAsia="zh-CN"/>
        </w:rPr>
      </w:pPr>
      <w:bookmarkStart w:id="292" w:name="_Toc3543"/>
      <w:r>
        <w:rPr>
          <w:rFonts w:hint="eastAsia" w:ascii="Times New Roman" w:hAnsi="Times New Roman" w:eastAsia="黑体"/>
          <w:b w:val="0"/>
          <w:lang w:eastAsia="zh-CN"/>
        </w:rPr>
        <w:t>十二、国有资本经营预算财政拨款支出决算表</w:t>
      </w:r>
      <w:bookmarkEnd w:id="292"/>
    </w:p>
    <w:p w14:paraId="0725FC1B">
      <w:pPr>
        <w:pStyle w:val="5"/>
        <w:numPr>
          <w:ilvl w:val="0"/>
          <w:numId w:val="0"/>
        </w:numPr>
        <w:ind w:firstLine="640" w:firstLineChars="200"/>
        <w:rPr>
          <w:rFonts w:hint="eastAsia" w:ascii="Times New Roman" w:hAnsi="Times New Roman" w:eastAsia="黑体"/>
          <w:b w:val="0"/>
          <w:lang w:eastAsia="zh-CN"/>
        </w:rPr>
      </w:pPr>
      <w:bookmarkStart w:id="293" w:name="_Toc2614"/>
      <w:r>
        <w:rPr>
          <w:rFonts w:hint="eastAsia" w:ascii="Times New Roman" w:hAnsi="Times New Roman" w:eastAsia="黑体"/>
          <w:b w:val="0"/>
          <w:lang w:eastAsia="zh-CN"/>
        </w:rPr>
        <w:t>十三、财政拨款“三公”经费支出决算表</w:t>
      </w:r>
      <w:bookmarkEnd w:id="293"/>
    </w:p>
    <w:sectPr>
      <w:footerReference r:id="rId17" w:type="first"/>
      <w:footerReference r:id="rId16" w:type="default"/>
      <w:pgSz w:w="11906" w:h="16838"/>
      <w:pgMar w:top="1440" w:right="1800" w:bottom="1440" w:left="1800" w:header="992"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21E037-960A-4A95-A0AA-EDCA0DB3327E}"/>
  </w:font>
  <w:font w:name="黑体">
    <w:panose1 w:val="02010609060101010101"/>
    <w:charset w:val="86"/>
    <w:family w:val="auto"/>
    <w:pitch w:val="default"/>
    <w:sig w:usb0="800002BF" w:usb1="38CF7CFA" w:usb2="00000016" w:usb3="00000000" w:csb0="00040001" w:csb1="00000000"/>
    <w:embedRegular r:id="rId2" w:fontKey="{27F446DA-CFEA-46F8-9037-8060DBC98F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E65916F-EF13-45D4-9B8B-84428EF3053A}"/>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embedRegular r:id="rId4" w:fontKey="{B47A50D5-D560-4A34-AE98-E6ADCA3FAE0F}"/>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5" w:fontKey="{25FF2794-5607-4C06-8626-D0B36C7CB790}"/>
  </w:font>
  <w:font w:name="仿宋_GB2312">
    <w:panose1 w:val="02010609030101010101"/>
    <w:charset w:val="86"/>
    <w:family w:val="modern"/>
    <w:pitch w:val="default"/>
    <w:sig w:usb0="00000001" w:usb1="080E0000" w:usb2="00000000" w:usb3="00000000" w:csb0="00040000" w:csb1="00000000"/>
    <w:embedRegular r:id="rId6" w:fontKey="{4EB10415-3E65-4720-B8EE-E12FEDF40AC9}"/>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7" w:fontKey="{800565BF-7B05-4308-B05E-0FA7A0B6C428}"/>
  </w:font>
  <w:font w:name="方正小标宋_GBK">
    <w:panose1 w:val="02000000000000000000"/>
    <w:charset w:val="86"/>
    <w:family w:val="auto"/>
    <w:pitch w:val="default"/>
    <w:sig w:usb0="A00002BF" w:usb1="38CF7CFA" w:usb2="00082016" w:usb3="00000000" w:csb0="00040001" w:csb1="00000000"/>
    <w:embedRegular r:id="rId8" w:fontKey="{380235AB-24A8-4ADB-866D-7EE6FA6A05A2}"/>
  </w:font>
  <w:font w:name="Wingdings 2">
    <w:panose1 w:val="05020102010507070707"/>
    <w:charset w:val="00"/>
    <w:family w:val="auto"/>
    <w:pitch w:val="default"/>
    <w:sig w:usb0="00000000" w:usb1="00000000" w:usb2="00000000" w:usb3="00000000" w:csb0="80000000" w:csb1="00000000"/>
    <w:embedRegular r:id="rId9" w:fontKey="{C106BE00-70EE-4D88-A9A4-C0EF21E2FAC8}"/>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国潮简宋">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1E0E">
    <w:pPr>
      <w:pStyle w:val="11"/>
      <w:spacing w:beforeLines="0" w:afterLines="0"/>
      <w:rPr>
        <w:rFonts w:hint="default"/>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F1BEE">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B7414">
                          <w:pPr>
                            <w:pStyle w:val="11"/>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87B7414">
                    <w:pPr>
                      <w:pStyle w:val="11"/>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4DAE">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9BC7">
                          <w:pPr>
                            <w:pStyle w:val="11"/>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02C9BC7">
                    <w:pPr>
                      <w:pStyle w:val="11"/>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AB1B">
    <w:pPr>
      <w:pStyle w:val="11"/>
      <w:spacing w:beforeLines="0" w:afterLines="0"/>
      <w:rPr>
        <w:rFonts w:hint="default"/>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CBAEA">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93CBAEA">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5A2D">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6B056">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136B056">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E98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5760085</wp:posOffset>
              </wp:positionH>
              <wp:positionV relativeFrom="paragraph">
                <wp:posOffset>20320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AD03B">
                          <w:pPr>
                            <w:pStyle w:val="11"/>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3.55pt;margin-top:1.6pt;height:144pt;width:144pt;mso-position-horizontal-relative:margin;mso-wrap-style:none;z-index:251659264;mso-width-relative:page;mso-height-relative:page;" filled="f" stroked="f" coordsize="21600,21600" o:gfxdata="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h8QTXAAAACgEAAA8AAAAAAAAAAQAgAAAAIgAAAGRycy9kb3ducmV2Lnht&#10;bFBLAQIUABQAAAAIAIdO4kBhrYRyMwIAAGMEAAAOAAAAAAAAAAEAIAAAACYBAABkcnMvZTJvRG9j&#10;LnhtbFBLBQYAAAAABgAGAFkBAADLBQAAAAA=&#10;">
              <v:fill on="f" focussize="0,0"/>
              <v:stroke on="f" weight="0.5pt"/>
              <v:imagedata o:title=""/>
              <o:lock v:ext="edit" aspectratio="f"/>
              <v:textbox inset="0mm,0mm,0mm,0mm" style="mso-fit-shape-to-text:t;">
                <w:txbxContent>
                  <w:p w14:paraId="64BAD03B">
                    <w:pPr>
                      <w:pStyle w:val="11"/>
                      <w:rPr>
                        <w:rFonts w:hint="eastAsia" w:ascii="宋体" w:hAnsi="宋体" w:eastAsia="宋体" w:cs="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39AF">
    <w:pPr>
      <w:pStyle w:val="11"/>
      <w:spacing w:beforeLines="0" w:afterLines="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6DFB9">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4F6DFB9">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7B3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3091A">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1C3091A">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5760085</wp:posOffset>
              </wp:positionH>
              <wp:positionV relativeFrom="paragraph">
                <wp:posOffset>20320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F61B4">
                          <w:pPr>
                            <w:pStyle w:val="11"/>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3.55pt;margin-top:1.6pt;height:144pt;width:144pt;mso-position-horizontal-relative:margin;mso-wrap-style:none;z-index:251660288;mso-width-relative:page;mso-height-relative:page;" filled="f" stroked="f" coordsize="21600,21600" o:gfxdata="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h8QTXAAAACgEAAA8AAAAAAAAAAQAgAAAAIgAAAGRycy9kb3ducmV2Lnht&#10;bFBLAQIUABQAAAAIAIdO4kA6ko4RMwIAAGMEAAAOAAAAAAAAAAEAIAAAACYBAABkcnMvZTJvRG9j&#10;LnhtbFBLBQYAAAAABgAGAFkBAADLBQAAAAA=&#10;">
              <v:fill on="f" focussize="0,0"/>
              <v:stroke on="f" weight="0.5pt"/>
              <v:imagedata o:title=""/>
              <o:lock v:ext="edit" aspectratio="f"/>
              <v:textbox inset="0mm,0mm,0mm,0mm" style="mso-fit-shape-to-text:t;">
                <w:txbxContent>
                  <w:p w14:paraId="5FAF61B4">
                    <w:pPr>
                      <w:pStyle w:val="11"/>
                      <w:rPr>
                        <w:rFonts w:hint="eastAsia" w:ascii="宋体" w:hAnsi="宋体" w:eastAsia="宋体" w:cs="宋体"/>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38A7">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52710">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C152710">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290A1">
    <w:pPr>
      <w:pStyle w:val="11"/>
      <w:spacing w:beforeLines="0" w:afterLines="0"/>
      <w:rPr>
        <w:rFonts w:hint="default"/>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00675">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2E00675">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717D">
    <w:pPr>
      <w:pStyle w:val="11"/>
      <w:jc w:val="both"/>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AEFFB">
                          <w:pPr>
                            <w:pStyle w:val="11"/>
                            <w:jc w:val="both"/>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CAAEFFB">
                    <w:pPr>
                      <w:pStyle w:val="11"/>
                      <w:jc w:val="both"/>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posOffset>5760085</wp:posOffset>
              </wp:positionH>
              <wp:positionV relativeFrom="paragraph">
                <wp:posOffset>20320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CB3AE">
                          <w:pPr>
                            <w:pStyle w:val="11"/>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3.55pt;margin-top:1.6pt;height:144pt;width:144pt;mso-position-horizontal-relative:margin;mso-wrap-style:none;z-index:251670528;mso-width-relative:page;mso-height-relative:page;" filled="f" stroked="f" coordsize="21600,21600" o:gfxdata="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h8QTXAAAACgEAAA8AAAAAAAAAAQAgAAAAIgAAAGRycy9kb3ducmV2Lnht&#10;bFBLAQIUABQAAAAIAIdO4kCbE+uUMwIAAGMEAAAOAAAAAAAAAAEAIAAAACYBAABkcnMvZTJvRG9j&#10;LnhtbFBLBQYAAAAABgAGAFkBAADLBQAAAAA=&#10;">
              <v:fill on="f" focussize="0,0"/>
              <v:stroke on="f" weight="0.5pt"/>
              <v:imagedata o:title=""/>
              <o:lock v:ext="edit" aspectratio="f"/>
              <v:textbox inset="0mm,0mm,0mm,0mm" style="mso-fit-shape-to-text:t;">
                <w:txbxContent>
                  <w:p w14:paraId="351CB3AE">
                    <w:pPr>
                      <w:pStyle w:val="11"/>
                      <w:rPr>
                        <w:rFonts w:hint="eastAsia" w:ascii="宋体" w:hAnsi="宋体" w:eastAsia="宋体" w:cs="宋体"/>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6ED2">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5CBFB">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005CBFB">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F2BF5">
    <w:pPr>
      <w:pStyle w:val="11"/>
      <w:spacing w:beforeLines="0" w:afterLines="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5DA9">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4255DA9">
                    <w:pPr>
                      <w:pStyle w:val="11"/>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CB1B">
    <w:pPr>
      <w:pStyle w:val="12"/>
      <w:pBdr>
        <w:bottom w:val="none" w:color="auto" w:sz="0" w:space="0"/>
      </w:pBdr>
      <w:spacing w:beforeLines="0" w:afterLines="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4F42">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7A739"/>
    <w:multiLevelType w:val="multilevel"/>
    <w:tmpl w:val="BAE7A739"/>
    <w:lvl w:ilvl="0" w:tentative="0">
      <w:start w:val="1"/>
      <w:numFmt w:val="japaneseCounting"/>
      <w:suff w:val="nothing"/>
      <w:lvlText w:val="%1、"/>
      <w:lvlJc w:val="left"/>
      <w:pPr>
        <w:ind w:left="1360" w:hanging="720"/>
      </w:pPr>
      <w:rPr>
        <w:rFonts w:hint="eastAsia"/>
        <w:b w:val="0"/>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
    <w:nsid w:val="C3B0B7EA"/>
    <w:multiLevelType w:val="multilevel"/>
    <w:tmpl w:val="C3B0B7EA"/>
    <w:lvl w:ilvl="0" w:tentative="0">
      <w:start w:val="2"/>
      <w:numFmt w:val="chineseCounting"/>
      <w:suff w:val="nothing"/>
      <w:lvlText w:val="（%1）"/>
      <w:lvlJc w:val="left"/>
      <w:rPr>
        <w:rFonts w:hint="eastAsia" w:ascii="楷体_GB2312" w:hAnsi="楷体_GB2312" w:eastAsia="楷体_GB2312" w:cs="楷体_GB2312"/>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14B0932"/>
    <w:multiLevelType w:val="multilevel"/>
    <w:tmpl w:val="D14B0932"/>
    <w:lvl w:ilvl="0" w:tentative="0">
      <w:start w:val="2"/>
      <w:numFmt w:val="chineseCounting"/>
      <w:suff w:val="nothing"/>
      <w:lvlText w:val="（%1）"/>
      <w:lvlJc w:val="left"/>
      <w:rPr>
        <w:rFonts w:hint="eastAsia" w:ascii="楷体_GB2312" w:hAnsi="楷体_GB2312" w:eastAsia="楷体_GB2312" w:cs="楷体_GB2312"/>
        <w:b w:val="0"/>
        <w:bCs w:val="0"/>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ABA47B8"/>
    <w:multiLevelType w:val="multilevel"/>
    <w:tmpl w:val="DABA47B8"/>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DF06B232"/>
    <w:multiLevelType w:val="multilevel"/>
    <w:tmpl w:val="DF06B232"/>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25E87D57"/>
    <w:multiLevelType w:val="multilevel"/>
    <w:tmpl w:val="25E87D57"/>
    <w:lvl w:ilvl="0" w:tentative="0">
      <w:start w:val="5"/>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50147605"/>
    <w:multiLevelType w:val="multilevel"/>
    <w:tmpl w:val="50147605"/>
    <w:lvl w:ilvl="0" w:tentative="0">
      <w:start w:val="2"/>
      <w:numFmt w:val="chineseCounting"/>
      <w:suff w:val="nothing"/>
      <w:lvlText w:val="（%1）"/>
      <w:lvlJc w:val="left"/>
      <w:rPr>
        <w:rFonts w:hint="eastAsia" w:ascii="楷体_GB2312" w:hAnsi="楷体_GB2312" w:eastAsia="楷体_GB2312" w:cs="楷体_GB2312"/>
        <w:b w:val="0"/>
        <w:bCs w:val="0"/>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64E3BA0D"/>
    <w:multiLevelType w:val="multilevel"/>
    <w:tmpl w:val="64E3BA0D"/>
    <w:lvl w:ilvl="0" w:tentative="0">
      <w:start w:val="1"/>
      <w:numFmt w:val="decimal"/>
      <w:suff w:val="nothing"/>
      <w:lvlText w:val="（%1）"/>
      <w:lvlJc w:val="left"/>
      <w:rPr>
        <w:rFonts w:hint="default" w:ascii="仿宋_GB2312" w:hAnsi="仿宋_GB2312" w:eastAsia="仿宋_GB2312" w:cs="仿宋_GB2312"/>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8"/>
  </w:num>
  <w:num w:numId="4">
    <w:abstractNumId w:val="5"/>
  </w:num>
  <w:num w:numId="5">
    <w:abstractNumId w:val="1"/>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4ZGMyMmEyMGNmZWE4MTRmMjFiYjQzMGQ2MGQ5MmUifQ=="/>
  </w:docVars>
  <w:rsids>
    <w:rsidRoot w:val="00172A27"/>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2F52"/>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A3406"/>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4F67"/>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720839"/>
    <w:rsid w:val="02FEBE30"/>
    <w:rsid w:val="036F8141"/>
    <w:rsid w:val="03BC7892"/>
    <w:rsid w:val="066E0107"/>
    <w:rsid w:val="07996F6E"/>
    <w:rsid w:val="07DFD8BA"/>
    <w:rsid w:val="0A2032A3"/>
    <w:rsid w:val="0CE916F8"/>
    <w:rsid w:val="0D191DB6"/>
    <w:rsid w:val="0D35B1ED"/>
    <w:rsid w:val="0E7ED1F5"/>
    <w:rsid w:val="0F98263C"/>
    <w:rsid w:val="101860EC"/>
    <w:rsid w:val="103C6A70"/>
    <w:rsid w:val="10480E2B"/>
    <w:rsid w:val="10C055FF"/>
    <w:rsid w:val="10E741A0"/>
    <w:rsid w:val="118107EC"/>
    <w:rsid w:val="12B63E2B"/>
    <w:rsid w:val="13D50BC4"/>
    <w:rsid w:val="13F5616D"/>
    <w:rsid w:val="161B0DAF"/>
    <w:rsid w:val="163836F0"/>
    <w:rsid w:val="16BB723D"/>
    <w:rsid w:val="17F9714D"/>
    <w:rsid w:val="1918F934"/>
    <w:rsid w:val="19CD414F"/>
    <w:rsid w:val="1ADA6E80"/>
    <w:rsid w:val="1B6D7998"/>
    <w:rsid w:val="1BB235FD"/>
    <w:rsid w:val="1BE8440E"/>
    <w:rsid w:val="1C654B13"/>
    <w:rsid w:val="1D155CEE"/>
    <w:rsid w:val="1D6923E1"/>
    <w:rsid w:val="1DFBC4B3"/>
    <w:rsid w:val="1E740ACF"/>
    <w:rsid w:val="1F19C781"/>
    <w:rsid w:val="1F33FCE5"/>
    <w:rsid w:val="1F7F7398"/>
    <w:rsid w:val="1F902A02"/>
    <w:rsid w:val="1FD2DB6F"/>
    <w:rsid w:val="1FF35744"/>
    <w:rsid w:val="1FF6BC77"/>
    <w:rsid w:val="1FF9236D"/>
    <w:rsid w:val="2333840E"/>
    <w:rsid w:val="23860B96"/>
    <w:rsid w:val="23EB3B50"/>
    <w:rsid w:val="240371BF"/>
    <w:rsid w:val="257C638F"/>
    <w:rsid w:val="280F0250"/>
    <w:rsid w:val="282B46F8"/>
    <w:rsid w:val="29FD04D3"/>
    <w:rsid w:val="2A1C2CB5"/>
    <w:rsid w:val="2A585CB7"/>
    <w:rsid w:val="2BFF7BC6"/>
    <w:rsid w:val="2C8A61B5"/>
    <w:rsid w:val="2CD59C95"/>
    <w:rsid w:val="2D074EE0"/>
    <w:rsid w:val="2D872B3B"/>
    <w:rsid w:val="2DDB01F0"/>
    <w:rsid w:val="2DF04E50"/>
    <w:rsid w:val="2EBB49EE"/>
    <w:rsid w:val="2EFD05E5"/>
    <w:rsid w:val="2F040D46"/>
    <w:rsid w:val="2F4F95CE"/>
    <w:rsid w:val="2FACAFDD"/>
    <w:rsid w:val="2FAE5751"/>
    <w:rsid w:val="2FB1A395"/>
    <w:rsid w:val="2FCF0B76"/>
    <w:rsid w:val="2FD9A7D8"/>
    <w:rsid w:val="307E270D"/>
    <w:rsid w:val="313F7193"/>
    <w:rsid w:val="319F7F4E"/>
    <w:rsid w:val="3304709D"/>
    <w:rsid w:val="34BB2123"/>
    <w:rsid w:val="35DA3A24"/>
    <w:rsid w:val="367E7DC3"/>
    <w:rsid w:val="36AA5135"/>
    <w:rsid w:val="36BE0DA7"/>
    <w:rsid w:val="36DF359F"/>
    <w:rsid w:val="373553B6"/>
    <w:rsid w:val="3748158D"/>
    <w:rsid w:val="376B6AA6"/>
    <w:rsid w:val="376D39B2"/>
    <w:rsid w:val="37E16F03"/>
    <w:rsid w:val="37F53A3B"/>
    <w:rsid w:val="38BF2926"/>
    <w:rsid w:val="38D469F0"/>
    <w:rsid w:val="38F78389"/>
    <w:rsid w:val="397BAF1F"/>
    <w:rsid w:val="39E7B272"/>
    <w:rsid w:val="39F7642F"/>
    <w:rsid w:val="39FF7B37"/>
    <w:rsid w:val="3AB79AF3"/>
    <w:rsid w:val="3AFDCB77"/>
    <w:rsid w:val="3B7EF35A"/>
    <w:rsid w:val="3B9FDB6C"/>
    <w:rsid w:val="3BF5BC2F"/>
    <w:rsid w:val="3BF7C23A"/>
    <w:rsid w:val="3BFF223E"/>
    <w:rsid w:val="3C6EC0A1"/>
    <w:rsid w:val="3CCC056A"/>
    <w:rsid w:val="3CDB0824"/>
    <w:rsid w:val="3CEBA265"/>
    <w:rsid w:val="3D6A7F9F"/>
    <w:rsid w:val="3D7E7F4D"/>
    <w:rsid w:val="3D98207C"/>
    <w:rsid w:val="3D9CF30A"/>
    <w:rsid w:val="3DFF5A3E"/>
    <w:rsid w:val="3E497999"/>
    <w:rsid w:val="3E78745D"/>
    <w:rsid w:val="3EEE77E9"/>
    <w:rsid w:val="3F394AF5"/>
    <w:rsid w:val="3F6C1B91"/>
    <w:rsid w:val="3FBE5714"/>
    <w:rsid w:val="3FDD8615"/>
    <w:rsid w:val="3FDFB2FF"/>
    <w:rsid w:val="3FF4CAE0"/>
    <w:rsid w:val="3FF7137F"/>
    <w:rsid w:val="3FF75FAF"/>
    <w:rsid w:val="3FF7B227"/>
    <w:rsid w:val="40DA57F1"/>
    <w:rsid w:val="415A01F3"/>
    <w:rsid w:val="430B16C1"/>
    <w:rsid w:val="44E268DA"/>
    <w:rsid w:val="457F4F6B"/>
    <w:rsid w:val="45B20519"/>
    <w:rsid w:val="45FC1DFE"/>
    <w:rsid w:val="4737FB58"/>
    <w:rsid w:val="47ECCB02"/>
    <w:rsid w:val="47FA6A3F"/>
    <w:rsid w:val="49D7AE48"/>
    <w:rsid w:val="4A3F6C7E"/>
    <w:rsid w:val="4A627F82"/>
    <w:rsid w:val="4B0E749A"/>
    <w:rsid w:val="4B4F25DA"/>
    <w:rsid w:val="4B670046"/>
    <w:rsid w:val="4B9304A5"/>
    <w:rsid w:val="4B9B7997"/>
    <w:rsid w:val="4BBB4781"/>
    <w:rsid w:val="4BD709A5"/>
    <w:rsid w:val="4BDD9BFF"/>
    <w:rsid w:val="4BE068DB"/>
    <w:rsid w:val="4D577224"/>
    <w:rsid w:val="4DB63E04"/>
    <w:rsid w:val="4DBF1CEB"/>
    <w:rsid w:val="4DBF6A6B"/>
    <w:rsid w:val="4DF6A672"/>
    <w:rsid w:val="4EAB630A"/>
    <w:rsid w:val="4ECE2238"/>
    <w:rsid w:val="4F3C5978"/>
    <w:rsid w:val="4F7EA413"/>
    <w:rsid w:val="4FAB812F"/>
    <w:rsid w:val="4FE9BD67"/>
    <w:rsid w:val="4FEE4C07"/>
    <w:rsid w:val="4FFB052F"/>
    <w:rsid w:val="5043007E"/>
    <w:rsid w:val="50526B81"/>
    <w:rsid w:val="52BA32C7"/>
    <w:rsid w:val="537E6D0A"/>
    <w:rsid w:val="53AB6B88"/>
    <w:rsid w:val="53F74C96"/>
    <w:rsid w:val="5583522D"/>
    <w:rsid w:val="55943798"/>
    <w:rsid w:val="5664316A"/>
    <w:rsid w:val="57452F9B"/>
    <w:rsid w:val="57BD3DD4"/>
    <w:rsid w:val="57F9CD1E"/>
    <w:rsid w:val="58B0753F"/>
    <w:rsid w:val="5AF92295"/>
    <w:rsid w:val="5AF9D8E9"/>
    <w:rsid w:val="5BDD38BD"/>
    <w:rsid w:val="5BDD79E6"/>
    <w:rsid w:val="5BEFC772"/>
    <w:rsid w:val="5BFF5DFC"/>
    <w:rsid w:val="5CD71FC4"/>
    <w:rsid w:val="5D1F11B5"/>
    <w:rsid w:val="5D3647F9"/>
    <w:rsid w:val="5D641CA2"/>
    <w:rsid w:val="5DA644D4"/>
    <w:rsid w:val="5DAE1B18"/>
    <w:rsid w:val="5DE7D9E5"/>
    <w:rsid w:val="5ECEC941"/>
    <w:rsid w:val="5EEF2AC7"/>
    <w:rsid w:val="5EFF8FC6"/>
    <w:rsid w:val="5F5BA39A"/>
    <w:rsid w:val="5F7D3B79"/>
    <w:rsid w:val="5F7F4610"/>
    <w:rsid w:val="5FBF9FF3"/>
    <w:rsid w:val="5FCD4E2C"/>
    <w:rsid w:val="5FEF394A"/>
    <w:rsid w:val="5FF67715"/>
    <w:rsid w:val="6030716F"/>
    <w:rsid w:val="61CA71D5"/>
    <w:rsid w:val="62572235"/>
    <w:rsid w:val="627EE9EA"/>
    <w:rsid w:val="631841B8"/>
    <w:rsid w:val="63B23AA5"/>
    <w:rsid w:val="647F5392"/>
    <w:rsid w:val="64E322C4"/>
    <w:rsid w:val="65FB93B9"/>
    <w:rsid w:val="6633C463"/>
    <w:rsid w:val="66A275FA"/>
    <w:rsid w:val="67896CB9"/>
    <w:rsid w:val="67CE1DFA"/>
    <w:rsid w:val="67D55B77"/>
    <w:rsid w:val="67EE7F84"/>
    <w:rsid w:val="686F5F53"/>
    <w:rsid w:val="6AFFCEAF"/>
    <w:rsid w:val="6B4E646B"/>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814DD9"/>
    <w:rsid w:val="73AD73D5"/>
    <w:rsid w:val="73B6EB34"/>
    <w:rsid w:val="73FA497D"/>
    <w:rsid w:val="744731E5"/>
    <w:rsid w:val="74BBD01D"/>
    <w:rsid w:val="74ED5379"/>
    <w:rsid w:val="75333710"/>
    <w:rsid w:val="75DEEEC2"/>
    <w:rsid w:val="767F479D"/>
    <w:rsid w:val="76BC56ED"/>
    <w:rsid w:val="76E3355F"/>
    <w:rsid w:val="76F742AF"/>
    <w:rsid w:val="76F7BE7D"/>
    <w:rsid w:val="76FF5125"/>
    <w:rsid w:val="773570D3"/>
    <w:rsid w:val="77597F31"/>
    <w:rsid w:val="776F6FFA"/>
    <w:rsid w:val="7777A522"/>
    <w:rsid w:val="77858688"/>
    <w:rsid w:val="778769C8"/>
    <w:rsid w:val="77CB741A"/>
    <w:rsid w:val="77D7BE3A"/>
    <w:rsid w:val="77DC22F5"/>
    <w:rsid w:val="78B95140"/>
    <w:rsid w:val="78F477F3"/>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index 8"/>
    <w:basedOn w:val="1"/>
    <w:next w:val="1"/>
    <w:qFormat/>
    <w:uiPriority w:val="99"/>
    <w:pPr>
      <w:ind w:left="2940"/>
    </w:pPr>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3 字符"/>
    <w:basedOn w:val="16"/>
    <w:link w:val="6"/>
    <w:qFormat/>
    <w:uiPriority w:val="9"/>
    <w:rPr>
      <w:rFonts w:ascii="Times New Roman" w:hAnsi="Times New Roman"/>
      <w:b/>
      <w:bCs/>
      <w:kern w:val="2"/>
      <w:sz w:val="32"/>
      <w:szCs w:val="32"/>
    </w:rPr>
  </w:style>
  <w:style w:type="character" w:customStyle="1" w:styleId="20">
    <w:name w:val="标题 2 字符"/>
    <w:basedOn w:val="16"/>
    <w:link w:val="5"/>
    <w:qFormat/>
    <w:uiPriority w:val="9"/>
    <w:rPr>
      <w:rFonts w:asciiTheme="majorHAnsi" w:hAnsiTheme="majorHAnsi" w:eastAsiaTheme="majorEastAsia" w:cstheme="majorBidi"/>
      <w:b/>
      <w:bCs/>
      <w:kern w:val="2"/>
      <w:sz w:val="32"/>
      <w:szCs w:val="32"/>
    </w:rPr>
  </w:style>
  <w:style w:type="character" w:customStyle="1" w:styleId="21">
    <w:name w:val="标题 1 字符"/>
    <w:basedOn w:val="16"/>
    <w:link w:val="4"/>
    <w:qFormat/>
    <w:uiPriority w:val="9"/>
    <w:rPr>
      <w:rFonts w:ascii="Times New Roman" w:hAnsi="Times New Roman"/>
      <w:b/>
      <w:bCs/>
      <w:kern w:val="44"/>
      <w:sz w:val="44"/>
      <w:szCs w:val="44"/>
    </w:rPr>
  </w:style>
  <w:style w:type="paragraph" w:customStyle="1" w:styleId="22">
    <w:name w:val="一级"/>
    <w:basedOn w:val="1"/>
    <w:next w:val="1"/>
    <w:qFormat/>
    <w:uiPriority w:val="0"/>
    <w:pPr>
      <w:keepNext/>
      <w:keepLines/>
      <w:spacing w:before="260" w:after="260" w:line="416" w:lineRule="auto"/>
      <w:outlineLvl w:val="1"/>
    </w:pPr>
    <w:rPr>
      <w:rFonts w:eastAsia="方正小标宋简体" w:asciiTheme="majorAscii" w:hAnsiTheme="majorAscii" w:cstheme="majorBidi"/>
      <w:b/>
      <w:bCs/>
      <w:sz w:val="44"/>
      <w:szCs w:val="32"/>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6"/>
    <w:semiHidden/>
    <w:qFormat/>
    <w:uiPriority w:val="99"/>
    <w:rPr>
      <w:rFonts w:ascii="Times New Roman" w:hAnsi="Times New Roman"/>
      <w:sz w:val="18"/>
      <w:szCs w:val="18"/>
    </w:rPr>
  </w:style>
  <w:style w:type="character" w:customStyle="1" w:styleId="25">
    <w:name w:val="页眉 字符"/>
    <w:link w:val="12"/>
    <w:semiHidden/>
    <w:qFormat/>
    <w:locked/>
    <w:uiPriority w:val="99"/>
    <w:rPr>
      <w:sz w:val="18"/>
    </w:rPr>
  </w:style>
  <w:style w:type="character" w:customStyle="1" w:styleId="26">
    <w:name w:val="Footer Char"/>
    <w:basedOn w:val="16"/>
    <w:semiHidden/>
    <w:qFormat/>
    <w:uiPriority w:val="99"/>
    <w:rPr>
      <w:rFonts w:ascii="Times New Roman" w:hAnsi="Times New Roman"/>
      <w:sz w:val="18"/>
      <w:szCs w:val="18"/>
    </w:rPr>
  </w:style>
  <w:style w:type="character" w:customStyle="1" w:styleId="27">
    <w:name w:val="页脚 字符"/>
    <w:link w:val="11"/>
    <w:qFormat/>
    <w:locked/>
    <w:uiPriority w:val="99"/>
    <w:rPr>
      <w:sz w:val="18"/>
    </w:rPr>
  </w:style>
  <w:style w:type="character" w:customStyle="1" w:styleId="28">
    <w:name w:val="Body Text Char"/>
    <w:basedOn w:val="16"/>
    <w:semiHidden/>
    <w:qFormat/>
    <w:uiPriority w:val="99"/>
    <w:rPr>
      <w:rFonts w:ascii="Times New Roman" w:hAnsi="Times New Roman"/>
      <w:szCs w:val="24"/>
    </w:rPr>
  </w:style>
  <w:style w:type="character" w:customStyle="1" w:styleId="29">
    <w:name w:val="正文文本 字符"/>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6"/>
    <w:link w:val="10"/>
    <w:semiHidden/>
    <w:qFormat/>
    <w:uiPriority w:val="99"/>
    <w:rPr>
      <w:rFonts w:ascii="Times New Roman" w:hAnsi="Times New Roman"/>
      <w:kern w:val="2"/>
      <w:sz w:val="18"/>
      <w:szCs w:val="18"/>
    </w:rPr>
  </w:style>
  <w:style w:type="paragraph" w:customStyle="1" w:styleId="34">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Heading2"/>
    <w:basedOn w:val="1"/>
    <w:next w:val="1"/>
    <w:unhideWhenUsed/>
    <w:qFormat/>
    <w:uiPriority w:val="0"/>
    <w:pPr>
      <w:spacing w:beforeLines="0" w:afterLines="0"/>
      <w:jc w:val="left"/>
    </w:pPr>
    <w:rPr>
      <w:rFonts w:hint="eastAsia" w:ascii="宋体" w:hAnsi="宋体" w:eastAsia="宋体"/>
      <w:b/>
      <w:kern w:val="0"/>
      <w:sz w:val="36"/>
      <w:szCs w:val="36"/>
    </w:rPr>
  </w:style>
  <w:style w:type="paragraph" w:customStyle="1" w:styleId="37">
    <w:name w:val="Body text|1"/>
    <w:basedOn w:val="1"/>
    <w:unhideWhenUsed/>
    <w:qFormat/>
    <w:uiPriority w:val="0"/>
    <w:pPr>
      <w:spacing w:beforeLines="0" w:afterLines="0" w:line="403" w:lineRule="auto"/>
      <w:ind w:firstLine="400"/>
    </w:pPr>
    <w:rPr>
      <w:rFonts w:hint="eastAsia" w:ascii="宋体" w:hAnsi="宋体" w:eastAsia="宋体" w:cs="宋体"/>
      <w:color w:val="auto"/>
      <w:sz w:val="30"/>
      <w:szCs w:val="30"/>
      <w:lang w:val="zh-TW" w:eastAsia="zh-TW" w:bidi="zh-TW"/>
    </w:rPr>
  </w:style>
  <w:style w:type="character" w:customStyle="1" w:styleId="38">
    <w:name w:val="font51"/>
    <w:basedOn w:val="16"/>
    <w:unhideWhenUsed/>
    <w:qFormat/>
    <w:uiPriority w:val="0"/>
    <w:rPr>
      <w:rFonts w:hint="eastAsia" w:ascii="宋体" w:hAnsi="宋体" w:eastAsia="宋体" w:cs="宋体"/>
      <w:color w:val="000000"/>
      <w:sz w:val="20"/>
      <w:szCs w:val="20"/>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chart" Target="charts/chart7.xml"/><Relationship Id="rId24" Type="http://schemas.openxmlformats.org/officeDocument/2006/relationships/chart" Target="charts/chart6.xml"/><Relationship Id="rId23" Type="http://schemas.openxmlformats.org/officeDocument/2006/relationships/chart" Target="charts/chart5.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2023&#24180;&#20915;&#31639;&#20844;&#24320;&#19979;&#21457;&#36164;&#26009;\2022-2023&#24180;&#20915;&#31639;&#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C:\Users\dell\Desktop\2023&#24180;&#20915;&#31639;&#20844;&#24320;&#19979;&#21457;&#36164;&#26009;\2022-2023&#24180;&#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ell\Desktop\2023&#24180;&#20915;&#31639;&#20844;&#24320;&#19979;&#21457;&#36164;&#26009;\2022-2023&#24180;&#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dell\Desktop\2023&#24180;&#20915;&#31639;&#20844;&#24320;&#19979;&#21457;&#36164;&#26009;\2022-2023&#24180;&#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dell\Desktop\2023&#24180;&#20915;&#31639;&#20844;&#24320;&#19979;&#21457;&#36164;&#26009;\2022-2023&#24180;&#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ell\Desktop\2023&#24180;&#20915;&#31639;&#20844;&#24320;&#19979;&#21457;&#36164;&#26009;\2022-2023&#24180;&#20915;&#31639;&#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dell\Desktop\2023&#24180;&#20915;&#31639;&#20844;&#24320;&#19979;&#21457;&#36164;&#26009;\2022-2023&#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图1：收、支决算总计变动情况表</a:t>
            </a:r>
          </a:p>
        </c:rich>
      </c:tx>
      <c:layout/>
      <c:overlay val="0"/>
      <c:spPr>
        <a:noFill/>
        <a:ln>
          <a:noFill/>
        </a:ln>
        <a:effectLst/>
      </c:spPr>
    </c:title>
    <c:autoTitleDeleted val="0"/>
    <c:plotArea>
      <c:layout/>
      <c:barChart>
        <c:barDir val="col"/>
        <c:grouping val="clustered"/>
        <c:varyColors val="0"/>
        <c:ser>
          <c:idx val="0"/>
          <c:order val="0"/>
          <c:tx>
            <c:strRef>
              <c:f>'[2022-2023年决算图表.xlsx]2023年'!$A$5</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'[2022-2023年决算图表.xlsx]2023年'!$B$4:$C$4</c:f>
              <c:strCache>
                <c:ptCount val="2"/>
                <c:pt idx="0">
                  <c:v>收入总计</c:v>
                </c:pt>
                <c:pt idx="1">
                  <c:v>支出总计</c:v>
                </c:pt>
              </c:strCache>
            </c:strRef>
          </c:cat>
          <c:val>
            <c:numRef>
              <c:f>'[2022-2023年决算图表.xlsx]2023年'!$B$5:$C$5</c:f>
              <c:numCache>
                <c:formatCode>General</c:formatCode>
                <c:ptCount val="2"/>
                <c:pt idx="0">
                  <c:v>7967.44</c:v>
                </c:pt>
                <c:pt idx="1">
                  <c:v>7967.44</c:v>
                </c:pt>
              </c:numCache>
            </c:numRef>
          </c:val>
        </c:ser>
        <c:ser>
          <c:idx val="1"/>
          <c:order val="1"/>
          <c:tx>
            <c:strRef>
              <c:f>'[2022-2023年决算图表.xlsx]2023年'!$A$6</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'[2022-2023年决算图表.xlsx]2023年'!$B$4:$C$4</c:f>
              <c:strCache>
                <c:ptCount val="2"/>
                <c:pt idx="0">
                  <c:v>收入总计</c:v>
                </c:pt>
                <c:pt idx="1">
                  <c:v>支出总计</c:v>
                </c:pt>
              </c:strCache>
            </c:strRef>
          </c:cat>
          <c:val>
            <c:numRef>
              <c:f>'[2022-2023年决算图表.xlsx]2023年'!$B$6:$C$6</c:f>
              <c:numCache>
                <c:formatCode>General</c:formatCode>
                <c:ptCount val="2"/>
                <c:pt idx="0">
                  <c:v>15212.91</c:v>
                </c:pt>
                <c:pt idx="1">
                  <c:v>12410.76</c:v>
                </c:pt>
              </c:numCache>
            </c:numRef>
          </c:val>
        </c:ser>
        <c:dLbls>
          <c:showLegendKey val="0"/>
          <c:showVal val="1"/>
          <c:showCatName val="0"/>
          <c:showSerName val="0"/>
          <c:showPercent val="0"/>
          <c:showBubbleSize val="0"/>
        </c:dLbls>
        <c:gapWidth val="246"/>
        <c:overlap val="-28"/>
        <c:axId val="173096400"/>
        <c:axId val="915377760"/>
      </c:barChart>
      <c:catAx>
        <c:axId val="173096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5377760"/>
        <c:crosses val="autoZero"/>
        <c:auto val="1"/>
        <c:lblAlgn val="ctr"/>
        <c:lblOffset val="100"/>
        <c:noMultiLvlLbl val="0"/>
      </c:catAx>
      <c:valAx>
        <c:axId val="91537776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30964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4b2707-2078-420d-b54c-2180d20f51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图2 : 收入决算结构图</a:t>
            </a:r>
          </a:p>
        </c:rich>
      </c:tx>
      <c:layout>
        <c:manualLayout>
          <c:xMode val="edge"/>
          <c:yMode val="edge"/>
          <c:x val="0.284013157894737"/>
          <c:y val="0.00734126984126984"/>
        </c:manualLayout>
      </c:layout>
      <c:overlay val="0"/>
      <c:spPr>
        <a:noFill/>
        <a:ln>
          <a:noFill/>
        </a:ln>
        <a:effectLst/>
      </c:spPr>
    </c:title>
    <c:autoTitleDeleted val="0"/>
    <c:plotArea>
      <c:layout>
        <c:manualLayout>
          <c:layoutTarget val="inner"/>
          <c:xMode val="edge"/>
          <c:yMode val="edge"/>
          <c:x val="0.336710526315789"/>
          <c:y val="0.157671957671958"/>
          <c:w val="0.305263157894737"/>
          <c:h val="0.491005291005291"/>
        </c:manualLayout>
      </c:layout>
      <c:pieChart>
        <c:varyColors val="1"/>
        <c:ser>
          <c:idx val="0"/>
          <c:order val="0"/>
          <c:spPr/>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Lbls>
            <c:dLbl>
              <c:idx val="0"/>
              <c:layout>
                <c:manualLayout>
                  <c:x val="0.0370813532919105"/>
                  <c:y val="0.0066180852763456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75000"/>
                            <a:lumOff val="25000"/>
                          </a:sysClr>
                        </a:solidFill>
                        <a:latin typeface="+mn-lt"/>
                        <a:ea typeface="+mn-ea"/>
                        <a:cs typeface="+mn-cs"/>
                      </a:defRPr>
                    </a:pPr>
                    <a:r>
                      <a:t>46.</a:t>
                    </a:r>
                    <a:r>
                      <a:rPr lang="en-US" altLang="zh-CN"/>
                      <a:t>5</a:t>
                    </a:r>
                    <a:r>
                      <a:t>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11111111111111"/>
                      <c:h val="0.0952023988005996"/>
                    </c:manualLayout>
                  </c15:layout>
                </c:ext>
              </c:extLst>
            </c:dLbl>
            <c:dLbl>
              <c:idx val="1"/>
              <c:layout>
                <c:manualLayout>
                  <c:x val="-0.01093693036821"/>
                  <c:y val="-0.030801934276414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ysClr val="windowText" lastClr="000000">
                            <a:lumMod val="75000"/>
                            <a:lumOff val="25000"/>
                          </a:sysClr>
                        </a:solidFill>
                        <a:latin typeface="+mn-lt"/>
                        <a:ea typeface="+mn-ea"/>
                        <a:cs typeface="+mn-cs"/>
                      </a:defRPr>
                    </a:pPr>
                    <a:r>
                      <a:t> 53</a:t>
                    </a:r>
                    <a:r>
                      <a:rPr lang="en-US" altLang="zh-CN"/>
                      <a:t>.50</a:t>
                    </a:r>
                    <a:r>
                      <a:t>%</a:t>
                    </a:r>
                  </a:p>
                </c:rich>
              </c:tx>
              <c:dLblPos val="bestFit"/>
              <c:showLegendKey val="1"/>
              <c:showVal val="1"/>
              <c:showCatName val="1"/>
              <c:showSerName val="1"/>
              <c:showPercent val="1"/>
              <c:showBubbleSize val="1"/>
              <c:extLst>
                <c:ext xmlns:c15="http://schemas.microsoft.com/office/drawing/2012/chart" uri="{CE6537A1-D6FC-4f65-9D91-7224C49458BB}">
                  <c15:layout>
                    <c:manualLayout>
                      <c:w val="0.170376332516439"/>
                      <c:h val="0.0753709105332721"/>
                    </c:manualLayout>
                  </c15:layout>
                </c:ext>
              </c:extLst>
            </c:dLbl>
            <c:spPr>
              <a:noFill/>
              <a:ln w="12700" cmpd="sng">
                <a:noFill/>
                <a:prstDash val="solid"/>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'[2022-2023年决算图表.xlsx]2023年'!$L$3:$L$4</c:f>
              <c:strCache>
                <c:ptCount val="2"/>
                <c:pt idx="0">
                  <c:v>一般公共预算财政拨款收入</c:v>
                </c:pt>
                <c:pt idx="1">
                  <c:v>事业收入</c:v>
                </c:pt>
              </c:strCache>
            </c:strRef>
          </c:cat>
          <c:val>
            <c:numRef>
              <c:f>'[2022-2023年决算图表.xlsx]2023年'!$M$3:$M$4</c:f>
              <c:numCache>
                <c:formatCode>0.00%</c:formatCode>
                <c:ptCount val="2"/>
                <c:pt idx="0">
                  <c:v>0.465</c:v>
                </c:pt>
                <c:pt idx="1">
                  <c:v>0.535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29736842105263"/>
          <c:y val="0.69037037037037"/>
          <c:w val="0.769078947368421"/>
          <c:h val="0.30328042328042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7fb76334-89b2-4b39-949a-6e6524dcc83e}"/>
      </c:ext>
    </c:extLst>
  </c:chart>
  <c:spPr>
    <a:solidFill>
      <a:sysClr val="window" lastClr="FFFFFF"/>
    </a:solidFill>
    <a:ln w="9525" cap="flat" cmpd="sng" algn="ctr">
      <a:solidFill>
        <a:sysClr val="window" lastClr="FFFFFF">
          <a:lumMod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图3: 支出决算结构图</a:t>
            </a:r>
          </a:p>
        </c:rich>
      </c:tx>
      <c:layout>
        <c:manualLayout>
          <c:xMode val="edge"/>
          <c:yMode val="edge"/>
          <c:x val="0.366366707210019"/>
          <c:y val="0.0602737418916086"/>
        </c:manualLayout>
      </c:layout>
      <c:overlay val="0"/>
      <c:spPr>
        <a:noFill/>
        <a:ln>
          <a:noFill/>
        </a:ln>
        <a:effectLst/>
      </c:spPr>
    </c:title>
    <c:autoTitleDeleted val="0"/>
    <c:plotArea>
      <c:layout>
        <c:manualLayout>
          <c:layoutTarget val="inner"/>
          <c:xMode val="edge"/>
          <c:yMode val="edge"/>
          <c:x val="0.357548554092319"/>
          <c:y val="0.18297140399914"/>
          <c:w val="0.331956123754526"/>
          <c:h val="0.450506784162237"/>
        </c:manualLayout>
      </c:layout>
      <c:pieChart>
        <c:varyColors val="1"/>
        <c:ser>
          <c:idx val="0"/>
          <c:order val="0"/>
          <c:spPr>
            <a:ln>
              <a:solidFill>
                <a:schemeClr val="bg1">
                  <a:alpha val="97000"/>
                </a:schemeClr>
              </a:solidFill>
            </a:ln>
          </c:spPr>
          <c:explosion val="0"/>
          <c:dPt>
            <c:idx val="0"/>
            <c:bubble3D val="0"/>
            <c:spPr>
              <a:solidFill>
                <a:schemeClr val="accent1"/>
              </a:solidFill>
              <a:ln>
                <a:solidFill>
                  <a:schemeClr val="bg1">
                    <a:alpha val="97000"/>
                  </a:schemeClr>
                </a:solidFill>
              </a:ln>
              <a:effectLst/>
            </c:spPr>
          </c:dPt>
          <c:dPt>
            <c:idx val="1"/>
            <c:bubble3D val="0"/>
            <c:spPr>
              <a:solidFill>
                <a:schemeClr val="accent2"/>
              </a:solidFill>
              <a:ln>
                <a:solidFill>
                  <a:schemeClr val="bg1">
                    <a:alpha val="97000"/>
                  </a:schemeClr>
                </a:solidFill>
              </a:ln>
              <a:effectLst/>
            </c:spPr>
          </c:dPt>
          <c:dLbls>
            <c:dLbl>
              <c:idx val="0"/>
              <c:layout>
                <c:manualLayout>
                  <c:x val="0.060670352123506"/>
                  <c:y val="0.0651720938609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922492796226158"/>
                  <c:y val="-0.15892207534905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'[2022-2023年决算图表.xlsx]2023年'!$B$29:$B$30</c:f>
              <c:strCache>
                <c:ptCount val="2"/>
                <c:pt idx="0">
                  <c:v>基本支出</c:v>
                </c:pt>
                <c:pt idx="1">
                  <c:v>项目支出</c:v>
                </c:pt>
              </c:strCache>
            </c:strRef>
          </c:cat>
          <c:val>
            <c:numRef>
              <c:f>'[2022-2023年决算图表.xlsx]2023年'!$C$29:$C$30</c:f>
              <c:numCache>
                <c:formatCode>0.00%</c:formatCode>
                <c:ptCount val="2"/>
                <c:pt idx="0">
                  <c:v>0.1819</c:v>
                </c:pt>
                <c:pt idx="1">
                  <c:v>0.8181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5958047599839"/>
          <c:y val="0.736577181208054"/>
          <c:w val="0.291649858814038"/>
          <c:h val="0.1397411313518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dd8eba-4b67-4f4c-a32d-70ee0f3a7a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'[2022-2023年决算图表.xlsx]2023年'!$K$35</c:f>
              <c:strCache>
                <c:ptCount val="1"/>
                <c:pt idx="0">
                  <c:v>2023年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7106.6</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7106.6</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'[2022-2023年决算图表.xlsx]2023年'!$L$34:$M$34</c:f>
              <c:strCache>
                <c:ptCount val="2"/>
                <c:pt idx="0">
                  <c:v>收入总计</c:v>
                </c:pt>
                <c:pt idx="1">
                  <c:v>支出总计</c:v>
                </c:pt>
              </c:strCache>
            </c:strRef>
          </c:cat>
          <c:val>
            <c:numRef>
              <c:f>'[2022-2023年决算图表.xlsx]2023年'!$L$35:$M$35</c:f>
              <c:numCache>
                <c:formatCode>General</c:formatCode>
                <c:ptCount val="2"/>
                <c:pt idx="0">
                  <c:v>7106.64</c:v>
                </c:pt>
                <c:pt idx="1">
                  <c:v>7106.64</c:v>
                </c:pt>
              </c:numCache>
            </c:numRef>
          </c:val>
        </c:ser>
        <c:ser>
          <c:idx val="1"/>
          <c:order val="1"/>
          <c:tx>
            <c:strRef>
              <c:f>'[2022-2023年决算图表.xlsx]2023年'!$K$36</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'[2022-2023年决算图表.xlsx]2023年'!$L$34:$M$34</c:f>
              <c:strCache>
                <c:ptCount val="2"/>
                <c:pt idx="0">
                  <c:v>收入总计</c:v>
                </c:pt>
                <c:pt idx="1">
                  <c:v>支出总计</c:v>
                </c:pt>
              </c:strCache>
            </c:strRef>
          </c:cat>
          <c:val>
            <c:numRef>
              <c:f>'[2022-2023年决算图表.xlsx]2023年'!$L$36:$M$36</c:f>
              <c:numCache>
                <c:formatCode>General</c:formatCode>
                <c:ptCount val="2"/>
                <c:pt idx="0">
                  <c:v>3814.96</c:v>
                </c:pt>
                <c:pt idx="1">
                  <c:v>3814.96</c:v>
                </c:pt>
              </c:numCache>
            </c:numRef>
          </c:val>
        </c:ser>
        <c:dLbls>
          <c:showLegendKey val="0"/>
          <c:showVal val="1"/>
          <c:showCatName val="0"/>
          <c:showSerName val="0"/>
          <c:showPercent val="0"/>
          <c:showBubbleSize val="0"/>
        </c:dLbls>
        <c:gapWidth val="246"/>
        <c:overlap val="-28"/>
        <c:axId val="675227474"/>
        <c:axId val="254620608"/>
      </c:barChart>
      <c:catAx>
        <c:axId val="6752274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620608"/>
        <c:crosses val="autoZero"/>
        <c:auto val="1"/>
        <c:lblAlgn val="ctr"/>
        <c:lblOffset val="100"/>
        <c:noMultiLvlLbl val="0"/>
      </c:catAx>
      <c:valAx>
        <c:axId val="25462060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52274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f84fd5-34bc-4868-ba56-47292ac8b9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图5：一般公共预算财政拨款支出决算变动情况</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7106.6</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'[2022-2023年决算图表.xlsx]2023年'!$C$56:$D$56</c:f>
              <c:strCache>
                <c:ptCount val="2"/>
                <c:pt idx="0">
                  <c:v>2023年</c:v>
                </c:pt>
                <c:pt idx="1">
                  <c:v>2022年</c:v>
                </c:pt>
              </c:strCache>
            </c:strRef>
          </c:cat>
          <c:val>
            <c:numRef>
              <c:f>'[2022-2023年决算图表.xlsx]2023年'!$C$57:$D$57</c:f>
              <c:numCache>
                <c:formatCode>General</c:formatCode>
                <c:ptCount val="2"/>
                <c:pt idx="0">
                  <c:v>7106.64</c:v>
                </c:pt>
                <c:pt idx="1">
                  <c:v>3814.96</c:v>
                </c:pt>
              </c:numCache>
            </c:numRef>
          </c:val>
        </c:ser>
        <c:dLbls>
          <c:showLegendKey val="0"/>
          <c:showVal val="1"/>
          <c:showCatName val="0"/>
          <c:showSerName val="0"/>
          <c:showPercent val="0"/>
          <c:showBubbleSize val="0"/>
        </c:dLbls>
        <c:gapWidth val="246"/>
        <c:overlap val="-28"/>
        <c:axId val="957258199"/>
        <c:axId val="758045394"/>
      </c:barChart>
      <c:catAx>
        <c:axId val="9572581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045394"/>
        <c:crosses val="autoZero"/>
        <c:auto val="1"/>
        <c:lblAlgn val="ctr"/>
        <c:lblOffset val="100"/>
        <c:noMultiLvlLbl val="0"/>
      </c:catAx>
      <c:valAx>
        <c:axId val="75804539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7258199"/>
        <c:crosses val="autoZero"/>
        <c:crossBetween val="between"/>
      </c:valAx>
      <c:spPr>
        <a:noFill/>
        <a:ln>
          <a:noFill/>
        </a:ln>
        <a:effectLst/>
      </c:spPr>
    </c:plotArea>
    <c:plotVisOnly val="1"/>
    <c:dispBlanksAs val="gap"/>
    <c:showDLblsOverMax val="0"/>
    <c:extLst>
      <c:ext uri="{0b15fc19-7d7d-44ad-8c2d-2c3a37ce22c3}">
        <chartProps xmlns="https://web.wps.cn/et/2018/main" chartId="{c0a6c585-01af-4a9b-a877-74642166ddc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图6：一般公共预算财政拨款支出决算结构</a:t>
            </a:r>
          </a:p>
        </c:rich>
      </c:tx>
      <c:layout>
        <c:manualLayout>
          <c:xMode val="edge"/>
          <c:yMode val="edge"/>
          <c:x val="0.127329352306933"/>
          <c:y val="0.0222016341971884"/>
        </c:manualLayout>
      </c:layout>
      <c:overlay val="0"/>
      <c:spPr>
        <a:noFill/>
        <a:ln>
          <a:noFill/>
        </a:ln>
        <a:effectLst/>
      </c:spPr>
    </c:title>
    <c:autoTitleDeleted val="0"/>
    <c:plotArea>
      <c:layout>
        <c:manualLayout>
          <c:layoutTarget val="inner"/>
          <c:xMode val="edge"/>
          <c:yMode val="edge"/>
          <c:x val="0.325301606248329"/>
          <c:y val="0.291774442012428"/>
          <c:w val="0.286447368421053"/>
          <c:h val="0.51271785209609"/>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37375951618102"/>
                  <c:y val="0.02206002746483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 3.70%</a:t>
                    </a:r>
                  </a:p>
                </c:rich>
              </c:tx>
              <c:dLblPos val="bestFit"/>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213345616476831"/>
                  <c:y val="-0.2368914909883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 91.31%</a:t>
                    </a:r>
                  </a:p>
                </c:rich>
              </c:tx>
              <c:dLblPos val="bestFit"/>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0.00396248844274204"/>
                  <c:y val="-0.1041009463722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1.99%</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'[2022-2023年决算图表.xlsx]2023年'!$K$60:$K$62</c:f>
              <c:strCache>
                <c:ptCount val="3"/>
                <c:pt idx="0">
                  <c:v>社会保障和就业支出</c:v>
                </c:pt>
                <c:pt idx="1">
                  <c:v>卫生健康支出</c:v>
                </c:pt>
                <c:pt idx="2">
                  <c:v>住房保障支出</c:v>
                </c:pt>
              </c:strCache>
            </c:strRef>
          </c:cat>
          <c:val>
            <c:numRef>
              <c:f>'[2022-2023年决算图表.xlsx]2023年'!$L$60:$L$62</c:f>
              <c:numCache>
                <c:formatCode>0.00%</c:formatCode>
                <c:ptCount val="3"/>
                <c:pt idx="0">
                  <c:v>0.037</c:v>
                </c:pt>
                <c:pt idx="1">
                  <c:v>0.9131</c:v>
                </c:pt>
                <c:pt idx="2">
                  <c:v>0.0199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55982975203164"/>
          <c:y val="0.7849740932642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78ff94-630c-4172-9098-67fa37ec1f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图7：“三公”经费财政拨款支出结构</a:t>
            </a:r>
          </a:p>
        </c:rich>
      </c:tx>
      <c:layout>
        <c:manualLayout>
          <c:xMode val="edge"/>
          <c:yMode val="edge"/>
          <c:x val="0.186377451998482"/>
          <c:y val="0.0569620253164557"/>
        </c:manualLayout>
      </c:layout>
      <c:overlay val="0"/>
      <c:spPr>
        <a:noFill/>
        <a:ln>
          <a:noFill/>
        </a:ln>
        <a:effectLst/>
      </c:spPr>
    </c:title>
    <c:autoTitleDeleted val="0"/>
    <c:plotArea>
      <c:layout>
        <c:manualLayout>
          <c:layoutTarget val="inner"/>
          <c:xMode val="edge"/>
          <c:yMode val="edge"/>
          <c:x val="0.298355263157895"/>
          <c:y val="0.194573370839194"/>
          <c:w val="0.3575"/>
          <c:h val="0.62893518518518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delete val="1"/>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89.</a:t>
                    </a:r>
                    <a:r>
                      <a:rPr lang="en-US" altLang="zh-CN"/>
                      <a:t>89</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222711453362641"/>
                  <c:y val="0.10488601371523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10.</a:t>
                    </a:r>
                    <a:r>
                      <a:rPr lang="en-US" altLang="zh-CN"/>
                      <a:t>11</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'[2022-2023年决算图表.xlsx]2023年'!$B$79:$B$81</c:f>
              <c:strCache>
                <c:ptCount val="3"/>
                <c:pt idx="0">
                  <c:v>因公出国（境）经费支出</c:v>
                </c:pt>
                <c:pt idx="1">
                  <c:v>公务用车购置及运行维护费支出</c:v>
                </c:pt>
                <c:pt idx="2">
                  <c:v>公务接待费支出</c:v>
                </c:pt>
              </c:strCache>
            </c:strRef>
          </c:cat>
          <c:val>
            <c:numRef>
              <c:f>'[2022-2023年决算图表.xlsx]2023年'!$C$79:$C$81</c:f>
              <c:numCache>
                <c:formatCode>General</c:formatCode>
                <c:ptCount val="3"/>
                <c:pt idx="0">
                  <c:v>0</c:v>
                </c:pt>
                <c:pt idx="1" c:formatCode="0.00%">
                  <c:v>0.8993</c:v>
                </c:pt>
                <c:pt idx="2" c:formatCode="0.00%">
                  <c:v>0.1007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626315789473684"/>
          <c:y val="0.82320675105485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05a0749-d450-4289-8f45-de736d5e771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112</Pages>
  <Words>31</Words>
  <Characters>39</Characters>
  <Lines>72</Lines>
  <Paragraphs>20</Paragraphs>
  <TotalTime>131</TotalTime>
  <ScaleCrop>false</ScaleCrop>
  <LinksUpToDate>false</LinksUpToDate>
  <CharactersWithSpaces>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sen</cp:lastModifiedBy>
  <cp:lastPrinted>2024-10-23T02:25:00Z</cp:lastPrinted>
  <dcterms:modified xsi:type="dcterms:W3CDTF">2024-10-25T04:28:18Z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80618EA6687647FAB51DB85D85073717_13</vt:lpwstr>
  </property>
</Properties>
</file>