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7D171">
      <w:pPr>
        <w:spacing w:line="600" w:lineRule="exact"/>
        <w:jc w:val="center"/>
        <w:outlineLvl w:val="0"/>
        <w:rPr>
          <w:rFonts w:ascii="方正小标宋简体" w:hAnsi="宋体" w:eastAsia="方正小标宋简体"/>
          <w:color w:val="auto"/>
          <w:sz w:val="72"/>
          <w:szCs w:val="72"/>
          <w:highlight w:val="none"/>
        </w:rPr>
      </w:pPr>
      <w:bookmarkStart w:id="0" w:name="_Toc15377425"/>
      <w:bookmarkStart w:id="1" w:name="_Toc15377193"/>
      <w:bookmarkStart w:id="2" w:name="_Toc15396475"/>
      <w:bookmarkStart w:id="3" w:name="_Toc15378441"/>
      <w:bookmarkStart w:id="4" w:name="_Toc15396597"/>
      <w:bookmarkStart w:id="5" w:name="_Toc15306267"/>
    </w:p>
    <w:p w14:paraId="57EA8373">
      <w:pPr>
        <w:spacing w:line="600" w:lineRule="exact"/>
        <w:jc w:val="center"/>
        <w:outlineLvl w:val="0"/>
        <w:rPr>
          <w:rFonts w:ascii="方正小标宋简体" w:hAnsi="宋体" w:eastAsia="方正小标宋简体"/>
          <w:color w:val="auto"/>
          <w:sz w:val="72"/>
          <w:szCs w:val="72"/>
          <w:highlight w:val="none"/>
        </w:rPr>
      </w:pPr>
    </w:p>
    <w:p w14:paraId="5DC925E6">
      <w:pPr>
        <w:spacing w:line="600" w:lineRule="exact"/>
        <w:jc w:val="center"/>
        <w:outlineLvl w:val="0"/>
        <w:rPr>
          <w:rFonts w:ascii="方正小标宋简体" w:hAnsi="宋体" w:eastAsia="方正小标宋简体"/>
          <w:color w:val="auto"/>
          <w:sz w:val="72"/>
          <w:szCs w:val="72"/>
          <w:highlight w:val="none"/>
        </w:rPr>
      </w:pPr>
    </w:p>
    <w:p w14:paraId="13D6AC6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14:paraId="0B251B6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96598"/>
      <w:bookmarkStart w:id="8" w:name="_Toc15377194"/>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四合镇中心小学</w:t>
      </w:r>
    </w:p>
    <w:p w14:paraId="06550FB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000000" w:themeColor="text1"/>
          <w:sz w:val="72"/>
          <w:szCs w:val="72"/>
          <w:highlight w:val="none"/>
          <w:lang w:eastAsia="zh-CN"/>
          <w14:textFill>
            <w14:solidFill>
              <w14:schemeClr w14:val="tx1"/>
            </w14:solidFill>
          </w14:textFill>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78F8A354">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78AB7AB">
      <w:pPr>
        <w:widowControl/>
        <w:jc w:val="center"/>
        <w:rPr>
          <w:rFonts w:ascii="黑体" w:hAnsi="黑体" w:eastAsia="黑体" w:cstheme="minorBidi"/>
          <w:color w:val="auto"/>
          <w:sz w:val="28"/>
          <w:szCs w:val="28"/>
          <w:highlight w:val="none"/>
        </w:rPr>
      </w:pPr>
    </w:p>
    <w:p w14:paraId="6922179F">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554A8337">
      <w:pPr>
        <w:rPr>
          <w:color w:val="auto"/>
          <w:highlight w:val="none"/>
        </w:rPr>
      </w:pPr>
    </w:p>
    <w:p w14:paraId="26674F94">
      <w:pPr>
        <w:pStyle w:val="10"/>
        <w:bidi w:val="0"/>
        <w:jc w:val="left"/>
        <w:rPr>
          <w:rStyle w:val="34"/>
          <w:rFonts w:hint="default" w:eastAsia="宋体"/>
          <w:sz w:val="24"/>
          <w:szCs w:val="24"/>
          <w:lang w:val="en-US" w:eastAsia="zh-CN"/>
        </w:rPr>
      </w:pPr>
      <w:r>
        <w:rPr>
          <w:rStyle w:val="34"/>
          <w:rFonts w:hint="eastAsia"/>
          <w:sz w:val="24"/>
          <w:szCs w:val="24"/>
        </w:rPr>
        <w:t>第一部分</w:t>
      </w:r>
      <w:r>
        <w:rPr>
          <w:rStyle w:val="34"/>
          <w:sz w:val="24"/>
          <w:szCs w:val="24"/>
        </w:rPr>
        <w:t xml:space="preserve"> </w:t>
      </w:r>
      <w:r>
        <w:rPr>
          <w:rStyle w:val="34"/>
          <w:sz w:val="24"/>
          <w:szCs w:val="24"/>
          <w:lang w:eastAsia="zh-CN"/>
        </w:rPr>
        <w:t>单位</w:t>
      </w:r>
      <w:r>
        <w:rPr>
          <w:rStyle w:val="34"/>
          <w:rFonts w:hint="eastAsia"/>
          <w:sz w:val="24"/>
          <w:szCs w:val="24"/>
        </w:rPr>
        <w:t>概况</w:t>
      </w:r>
      <w:r>
        <w:rPr>
          <w:rStyle w:val="34"/>
          <w:rFonts w:hint="eastAsia" w:eastAsia="宋体"/>
          <w:sz w:val="24"/>
          <w:szCs w:val="24"/>
          <w:lang w:val="en-US" w:eastAsia="zh-CN"/>
        </w:rPr>
        <w:t xml:space="preserve"> ................................................3</w:t>
      </w:r>
    </w:p>
    <w:p w14:paraId="5B909902">
      <w:pPr>
        <w:pStyle w:val="10"/>
        <w:bidi w:val="0"/>
        <w:jc w:val="left"/>
        <w:rPr>
          <w:rStyle w:val="34"/>
          <w:rFonts w:hint="default"/>
          <w:sz w:val="24"/>
          <w:szCs w:val="24"/>
          <w:lang w:val="en-US"/>
        </w:rPr>
      </w:pPr>
      <w:r>
        <w:rPr>
          <w:rStyle w:val="34"/>
          <w:rFonts w:hint="eastAsia"/>
          <w:sz w:val="24"/>
          <w:szCs w:val="24"/>
        </w:rPr>
        <w:t>一、</w:t>
      </w:r>
      <w:r>
        <w:rPr>
          <w:rStyle w:val="34"/>
          <w:rFonts w:hint="eastAsia"/>
          <w:sz w:val="24"/>
          <w:szCs w:val="24"/>
          <w:lang w:eastAsia="zh-CN"/>
        </w:rPr>
        <w:t>主要职责</w:t>
      </w:r>
      <w:r>
        <w:rPr>
          <w:rStyle w:val="34"/>
          <w:rFonts w:hint="eastAsia"/>
          <w:sz w:val="24"/>
          <w:szCs w:val="24"/>
          <w:lang w:val="en-US" w:eastAsia="zh-CN"/>
        </w:rPr>
        <w:t xml:space="preserve"> .....................................................3</w:t>
      </w:r>
    </w:p>
    <w:p w14:paraId="72BFFC91">
      <w:pPr>
        <w:pStyle w:val="10"/>
        <w:bidi w:val="0"/>
        <w:jc w:val="left"/>
        <w:rPr>
          <w:rStyle w:val="34"/>
          <w:rFonts w:hint="eastAsia" w:eastAsia="宋体"/>
          <w:sz w:val="24"/>
          <w:szCs w:val="24"/>
          <w:lang w:val="en-US" w:eastAsia="zh-CN"/>
        </w:rPr>
      </w:pPr>
      <w:r>
        <w:rPr>
          <w:rStyle w:val="34"/>
          <w:rFonts w:hint="eastAsia"/>
          <w:sz w:val="24"/>
          <w:szCs w:val="24"/>
        </w:rPr>
        <w:t>二、机构设置</w:t>
      </w:r>
      <w:r>
        <w:rPr>
          <w:rStyle w:val="34"/>
          <w:rFonts w:hint="eastAsia" w:eastAsia="宋体"/>
          <w:sz w:val="24"/>
          <w:szCs w:val="24"/>
          <w:lang w:val="en-US" w:eastAsia="zh-CN"/>
        </w:rPr>
        <w:t xml:space="preserve"> .....................................................3</w:t>
      </w:r>
    </w:p>
    <w:p w14:paraId="520218AB">
      <w:pPr>
        <w:pStyle w:val="10"/>
        <w:bidi w:val="0"/>
        <w:jc w:val="left"/>
        <w:rPr>
          <w:rStyle w:val="34"/>
          <w:rFonts w:hint="default" w:eastAsia="宋体"/>
          <w:sz w:val="24"/>
          <w:szCs w:val="24"/>
          <w:lang w:val="en-US" w:eastAsia="zh-CN"/>
        </w:rPr>
      </w:pPr>
      <w:r>
        <w:rPr>
          <w:rStyle w:val="34"/>
          <w:rFonts w:hint="eastAsia"/>
          <w:sz w:val="24"/>
          <w:szCs w:val="24"/>
        </w:rPr>
        <w:t>第二部分</w:t>
      </w:r>
      <w:r>
        <w:rPr>
          <w:rStyle w:val="34"/>
          <w:rFonts w:hint="eastAsia"/>
          <w:sz w:val="24"/>
          <w:szCs w:val="24"/>
          <w:lang w:val="en-US" w:eastAsia="zh-CN"/>
        </w:rPr>
        <w:t xml:space="preserve"> 2023年度单位</w:t>
      </w:r>
      <w:r>
        <w:rPr>
          <w:rStyle w:val="34"/>
          <w:rFonts w:hint="eastAsia"/>
          <w:sz w:val="24"/>
          <w:szCs w:val="24"/>
        </w:rPr>
        <w:t>决算情况说明</w:t>
      </w:r>
      <w:r>
        <w:rPr>
          <w:rStyle w:val="34"/>
          <w:rFonts w:hint="eastAsia" w:eastAsia="宋体"/>
          <w:sz w:val="24"/>
          <w:szCs w:val="24"/>
          <w:lang w:val="en-US" w:eastAsia="zh-CN"/>
        </w:rPr>
        <w:t xml:space="preserve">  ..............................4</w:t>
      </w:r>
    </w:p>
    <w:p w14:paraId="2D0ECE80">
      <w:pPr>
        <w:pStyle w:val="10"/>
        <w:bidi w:val="0"/>
        <w:jc w:val="left"/>
        <w:rPr>
          <w:rStyle w:val="34"/>
          <w:rFonts w:hint="default" w:eastAsia="宋体"/>
          <w:sz w:val="24"/>
          <w:szCs w:val="24"/>
          <w:lang w:val="en-US" w:eastAsia="zh-CN"/>
        </w:rPr>
      </w:pPr>
      <w:r>
        <w:rPr>
          <w:rStyle w:val="34"/>
          <w:rFonts w:hint="eastAsia"/>
          <w:sz w:val="24"/>
          <w:szCs w:val="24"/>
        </w:rPr>
        <w:t>一、收入支出决算总体情况说明</w:t>
      </w:r>
      <w:r>
        <w:rPr>
          <w:rStyle w:val="34"/>
          <w:rFonts w:hint="eastAsia" w:eastAsia="宋体"/>
          <w:sz w:val="24"/>
          <w:szCs w:val="24"/>
          <w:lang w:val="en-US" w:eastAsia="zh-CN"/>
        </w:rPr>
        <w:t>. ....................................4</w:t>
      </w:r>
    </w:p>
    <w:p w14:paraId="2B339C1D">
      <w:pPr>
        <w:pStyle w:val="10"/>
        <w:bidi w:val="0"/>
        <w:jc w:val="left"/>
        <w:rPr>
          <w:rStyle w:val="34"/>
          <w:rFonts w:hint="default" w:eastAsia="宋体"/>
          <w:sz w:val="24"/>
          <w:szCs w:val="24"/>
          <w:lang w:val="en-US" w:eastAsia="zh-CN"/>
        </w:rPr>
      </w:pPr>
      <w:r>
        <w:rPr>
          <w:rStyle w:val="34"/>
          <w:rFonts w:hint="eastAsia"/>
          <w:sz w:val="24"/>
          <w:szCs w:val="24"/>
        </w:rPr>
        <w:t>二、收入决算情况说明</w:t>
      </w:r>
      <w:r>
        <w:rPr>
          <w:rStyle w:val="34"/>
          <w:rFonts w:hint="eastAsia" w:eastAsia="宋体"/>
          <w:sz w:val="24"/>
          <w:szCs w:val="24"/>
          <w:lang w:val="en-US" w:eastAsia="zh-CN"/>
        </w:rPr>
        <w:t xml:space="preserve"> .............................................4</w:t>
      </w:r>
    </w:p>
    <w:p w14:paraId="0E982B5E">
      <w:pPr>
        <w:pStyle w:val="10"/>
        <w:bidi w:val="0"/>
        <w:jc w:val="left"/>
        <w:rPr>
          <w:rStyle w:val="34"/>
          <w:rFonts w:hint="default" w:eastAsia="宋体"/>
          <w:sz w:val="24"/>
          <w:szCs w:val="24"/>
          <w:lang w:val="en-US" w:eastAsia="zh-CN"/>
        </w:rPr>
      </w:pPr>
      <w:r>
        <w:rPr>
          <w:rStyle w:val="34"/>
          <w:rFonts w:hint="eastAsia"/>
          <w:sz w:val="24"/>
          <w:szCs w:val="24"/>
        </w:rPr>
        <w:t>三、支出决算情况说明</w:t>
      </w:r>
      <w:r>
        <w:rPr>
          <w:rStyle w:val="34"/>
          <w:rFonts w:hint="eastAsia" w:eastAsia="宋体"/>
          <w:sz w:val="24"/>
          <w:szCs w:val="24"/>
          <w:lang w:val="en-US" w:eastAsia="zh-CN"/>
        </w:rPr>
        <w:t>..............................................5</w:t>
      </w:r>
    </w:p>
    <w:p w14:paraId="2A7A55CB">
      <w:pPr>
        <w:pStyle w:val="10"/>
        <w:bidi w:val="0"/>
        <w:jc w:val="left"/>
        <w:rPr>
          <w:rStyle w:val="34"/>
          <w:rFonts w:hint="default" w:eastAsia="宋体"/>
          <w:sz w:val="24"/>
          <w:szCs w:val="24"/>
          <w:lang w:val="en-US" w:eastAsia="zh-CN"/>
        </w:rPr>
      </w:pPr>
      <w:r>
        <w:rPr>
          <w:rStyle w:val="34"/>
          <w:rFonts w:hint="eastAsia"/>
          <w:sz w:val="24"/>
          <w:szCs w:val="24"/>
        </w:rPr>
        <w:t>四、财政拨款收入支出决算总体情况说明</w:t>
      </w:r>
      <w:r>
        <w:rPr>
          <w:rStyle w:val="34"/>
          <w:rFonts w:hint="eastAsia" w:eastAsia="宋体"/>
          <w:sz w:val="24"/>
          <w:szCs w:val="24"/>
          <w:lang w:val="en-US" w:eastAsia="zh-CN"/>
        </w:rPr>
        <w:t>..............................6</w:t>
      </w:r>
    </w:p>
    <w:p w14:paraId="7D0746D6">
      <w:pPr>
        <w:pStyle w:val="10"/>
        <w:bidi w:val="0"/>
        <w:jc w:val="left"/>
        <w:rPr>
          <w:rStyle w:val="34"/>
          <w:rFonts w:hint="default" w:eastAsia="宋体"/>
          <w:sz w:val="24"/>
          <w:szCs w:val="24"/>
          <w:lang w:val="en-US" w:eastAsia="zh-CN"/>
        </w:rPr>
      </w:pPr>
      <w:r>
        <w:rPr>
          <w:rStyle w:val="34"/>
          <w:rFonts w:hint="eastAsia"/>
          <w:sz w:val="24"/>
          <w:szCs w:val="24"/>
        </w:rPr>
        <w:t>五、一般公共预算财政拨款支出决算情况说明</w:t>
      </w:r>
      <w:r>
        <w:rPr>
          <w:rStyle w:val="34"/>
          <w:rFonts w:hint="eastAsia" w:eastAsia="宋体"/>
          <w:sz w:val="24"/>
          <w:szCs w:val="24"/>
          <w:lang w:val="en-US" w:eastAsia="zh-CN"/>
        </w:rPr>
        <w:t>..........................6</w:t>
      </w:r>
    </w:p>
    <w:p w14:paraId="47E570ED">
      <w:pPr>
        <w:pStyle w:val="10"/>
        <w:bidi w:val="0"/>
        <w:jc w:val="left"/>
        <w:rPr>
          <w:rStyle w:val="34"/>
          <w:rFonts w:hint="default" w:eastAsia="宋体"/>
          <w:sz w:val="24"/>
          <w:szCs w:val="24"/>
          <w:lang w:val="en-US" w:eastAsia="zh-CN"/>
        </w:rPr>
      </w:pPr>
      <w:r>
        <w:rPr>
          <w:rStyle w:val="34"/>
          <w:rFonts w:hint="eastAsia"/>
          <w:sz w:val="24"/>
          <w:szCs w:val="24"/>
        </w:rPr>
        <w:t>六、一般公共预算财政拨款基本支出决算情况说明</w:t>
      </w:r>
      <w:r>
        <w:rPr>
          <w:rStyle w:val="34"/>
          <w:rFonts w:hint="eastAsia" w:eastAsia="宋体"/>
          <w:sz w:val="24"/>
          <w:szCs w:val="24"/>
          <w:lang w:val="en-US" w:eastAsia="zh-CN"/>
        </w:rPr>
        <w:t>......................9</w:t>
      </w:r>
    </w:p>
    <w:p w14:paraId="193656CC">
      <w:pPr>
        <w:pStyle w:val="10"/>
        <w:bidi w:val="0"/>
        <w:jc w:val="left"/>
        <w:rPr>
          <w:rStyle w:val="34"/>
          <w:rFonts w:hint="default" w:eastAsia="宋体"/>
          <w:sz w:val="24"/>
          <w:szCs w:val="24"/>
          <w:lang w:val="en-US" w:eastAsia="zh-CN"/>
        </w:rPr>
      </w:pPr>
      <w:r>
        <w:rPr>
          <w:rStyle w:val="34"/>
          <w:rFonts w:hint="eastAsia"/>
          <w:sz w:val="24"/>
          <w:szCs w:val="24"/>
        </w:rPr>
        <w:t>七、财政拨款</w:t>
      </w:r>
      <w:r>
        <w:rPr>
          <w:rStyle w:val="34"/>
          <w:rFonts w:hint="eastAsia"/>
          <w:sz w:val="24"/>
          <w:szCs w:val="24"/>
          <w:lang w:eastAsia="zh-CN"/>
        </w:rPr>
        <w:t>“</w:t>
      </w:r>
      <w:r>
        <w:rPr>
          <w:rStyle w:val="34"/>
          <w:rFonts w:hint="eastAsia"/>
          <w:sz w:val="24"/>
          <w:szCs w:val="24"/>
        </w:rPr>
        <w:t>三公”经费支出决算情况说明</w:t>
      </w:r>
      <w:r>
        <w:rPr>
          <w:rStyle w:val="34"/>
          <w:rFonts w:hint="eastAsia" w:eastAsia="宋体"/>
          <w:sz w:val="24"/>
          <w:szCs w:val="24"/>
          <w:lang w:val="en-US" w:eastAsia="zh-CN"/>
        </w:rPr>
        <w:t>..........................9</w:t>
      </w:r>
    </w:p>
    <w:p w14:paraId="5A665E21">
      <w:pPr>
        <w:pStyle w:val="10"/>
        <w:bidi w:val="0"/>
        <w:jc w:val="left"/>
        <w:rPr>
          <w:rStyle w:val="34"/>
          <w:rFonts w:hint="default" w:eastAsia="宋体"/>
          <w:sz w:val="24"/>
          <w:szCs w:val="24"/>
          <w:lang w:val="en-US" w:eastAsia="zh-CN"/>
        </w:rPr>
      </w:pPr>
      <w:r>
        <w:rPr>
          <w:rStyle w:val="34"/>
          <w:rFonts w:hint="eastAsia"/>
          <w:sz w:val="24"/>
          <w:szCs w:val="24"/>
        </w:rPr>
        <w:t>八、政府性基金预算支出决算情况说明</w:t>
      </w:r>
      <w:r>
        <w:rPr>
          <w:rStyle w:val="34"/>
          <w:rFonts w:hint="eastAsia" w:eastAsia="宋体"/>
          <w:sz w:val="24"/>
          <w:szCs w:val="24"/>
          <w:lang w:val="en-US" w:eastAsia="zh-CN"/>
        </w:rPr>
        <w:t>...............................11</w:t>
      </w:r>
    </w:p>
    <w:p w14:paraId="338A27D0">
      <w:pPr>
        <w:pStyle w:val="10"/>
        <w:bidi w:val="0"/>
        <w:jc w:val="left"/>
        <w:rPr>
          <w:rStyle w:val="34"/>
          <w:rFonts w:hint="default" w:eastAsia="宋体"/>
          <w:sz w:val="24"/>
          <w:szCs w:val="24"/>
          <w:lang w:val="en-US" w:eastAsia="zh-CN"/>
        </w:rPr>
      </w:pPr>
      <w:r>
        <w:rPr>
          <w:rStyle w:val="34"/>
          <w:rFonts w:hint="eastAsia"/>
          <w:sz w:val="24"/>
          <w:szCs w:val="24"/>
        </w:rPr>
        <w:t>九、</w:t>
      </w:r>
      <w:r>
        <w:rPr>
          <w:rStyle w:val="34"/>
          <w:rFonts w:hint="eastAsia"/>
          <w:sz w:val="24"/>
          <w:szCs w:val="24"/>
          <w:lang w:eastAsia="zh-CN"/>
        </w:rPr>
        <w:t>国</w:t>
      </w:r>
      <w:r>
        <w:rPr>
          <w:rStyle w:val="34"/>
          <w:rFonts w:hint="eastAsia"/>
          <w:sz w:val="24"/>
          <w:szCs w:val="24"/>
        </w:rPr>
        <w:t>有资本经营预算支出决算情况说明</w:t>
      </w:r>
      <w:r>
        <w:rPr>
          <w:rStyle w:val="34"/>
          <w:rFonts w:hint="eastAsia" w:eastAsia="宋体"/>
          <w:sz w:val="24"/>
          <w:szCs w:val="24"/>
          <w:lang w:val="en-US" w:eastAsia="zh-CN"/>
        </w:rPr>
        <w:t>.............................11</w:t>
      </w:r>
    </w:p>
    <w:p w14:paraId="76E1FDE1">
      <w:pPr>
        <w:pStyle w:val="10"/>
        <w:bidi w:val="0"/>
        <w:jc w:val="left"/>
        <w:rPr>
          <w:rStyle w:val="34"/>
          <w:rFonts w:hint="eastAsia"/>
          <w:sz w:val="24"/>
          <w:szCs w:val="24"/>
        </w:rPr>
      </w:pPr>
      <w:r>
        <w:rPr>
          <w:rStyle w:val="34"/>
          <w:rFonts w:hint="eastAsia"/>
          <w:sz w:val="24"/>
          <w:szCs w:val="24"/>
          <w:lang w:eastAsia="zh-CN"/>
        </w:rPr>
        <w:t>十</w:t>
      </w:r>
      <w:r>
        <w:rPr>
          <w:rStyle w:val="34"/>
          <w:rFonts w:hint="eastAsia"/>
          <w:sz w:val="24"/>
          <w:szCs w:val="24"/>
        </w:rPr>
        <w:t>、其他重要事项的情况说明</w:t>
      </w:r>
      <w:r>
        <w:rPr>
          <w:rStyle w:val="34"/>
          <w:rFonts w:hint="eastAsia" w:eastAsia="宋体"/>
          <w:sz w:val="24"/>
          <w:szCs w:val="24"/>
          <w:lang w:val="en-US" w:eastAsia="zh-CN"/>
        </w:rPr>
        <w:t>.......................................11</w:t>
      </w:r>
      <w:r>
        <w:rPr>
          <w:rStyle w:val="34"/>
          <w:rFonts w:hint="eastAsia"/>
          <w:sz w:val="24"/>
          <w:szCs w:val="24"/>
        </w:rPr>
        <w:tab/>
      </w:r>
    </w:p>
    <w:p w14:paraId="4316BDD6">
      <w:pPr>
        <w:pStyle w:val="10"/>
        <w:bidi w:val="0"/>
        <w:jc w:val="left"/>
        <w:rPr>
          <w:rStyle w:val="34"/>
          <w:rFonts w:hint="default" w:eastAsia="宋体"/>
          <w:sz w:val="24"/>
          <w:szCs w:val="24"/>
          <w:lang w:val="en-US" w:eastAsia="zh-CN"/>
        </w:rPr>
      </w:pPr>
      <w:r>
        <w:rPr>
          <w:rStyle w:val="34"/>
          <w:rFonts w:hint="eastAsia"/>
          <w:sz w:val="24"/>
          <w:szCs w:val="24"/>
        </w:rPr>
        <w:t>第三部分</w:t>
      </w:r>
      <w:r>
        <w:rPr>
          <w:rStyle w:val="34"/>
          <w:sz w:val="24"/>
          <w:szCs w:val="24"/>
        </w:rPr>
        <w:t xml:space="preserve"> </w:t>
      </w:r>
      <w:r>
        <w:rPr>
          <w:rStyle w:val="34"/>
          <w:rFonts w:hint="eastAsia"/>
          <w:sz w:val="24"/>
          <w:szCs w:val="24"/>
        </w:rPr>
        <w:t>名词解释</w:t>
      </w:r>
      <w:r>
        <w:rPr>
          <w:rStyle w:val="34"/>
          <w:rFonts w:hint="eastAsia" w:eastAsia="宋体"/>
          <w:sz w:val="24"/>
          <w:szCs w:val="24"/>
          <w:lang w:val="en-US" w:eastAsia="zh-CN"/>
        </w:rPr>
        <w:t>................................................13</w:t>
      </w:r>
    </w:p>
    <w:p w14:paraId="359F67D2">
      <w:pPr>
        <w:pStyle w:val="10"/>
        <w:bidi w:val="0"/>
        <w:jc w:val="left"/>
        <w:rPr>
          <w:rStyle w:val="34"/>
          <w:rFonts w:hint="default" w:eastAsia="宋体"/>
          <w:sz w:val="24"/>
          <w:szCs w:val="24"/>
          <w:lang w:val="en-US" w:eastAsia="zh-CN"/>
        </w:rPr>
      </w:pPr>
      <w:r>
        <w:rPr>
          <w:rStyle w:val="34"/>
          <w:rFonts w:hint="eastAsia"/>
          <w:sz w:val="24"/>
          <w:szCs w:val="24"/>
        </w:rPr>
        <w:t>第四部分</w:t>
      </w:r>
      <w:r>
        <w:rPr>
          <w:rStyle w:val="34"/>
          <w:sz w:val="24"/>
          <w:szCs w:val="24"/>
        </w:rPr>
        <w:t xml:space="preserve"> </w:t>
      </w:r>
      <w:r>
        <w:rPr>
          <w:rStyle w:val="34"/>
          <w:rFonts w:hint="eastAsia"/>
          <w:sz w:val="24"/>
          <w:szCs w:val="24"/>
        </w:rPr>
        <w:t>附件</w:t>
      </w:r>
      <w:r>
        <w:rPr>
          <w:rStyle w:val="34"/>
          <w:rFonts w:hint="eastAsia" w:eastAsia="宋体"/>
          <w:sz w:val="24"/>
          <w:szCs w:val="24"/>
          <w:lang w:val="en-US" w:eastAsia="zh-CN"/>
        </w:rPr>
        <w:t>....................................................16</w:t>
      </w:r>
    </w:p>
    <w:p w14:paraId="6135F466">
      <w:pPr>
        <w:pStyle w:val="10"/>
        <w:bidi w:val="0"/>
        <w:jc w:val="left"/>
        <w:rPr>
          <w:rStyle w:val="34"/>
          <w:rFonts w:hint="default"/>
          <w:sz w:val="24"/>
          <w:szCs w:val="24"/>
          <w:lang w:val="en-US"/>
        </w:rPr>
      </w:pPr>
      <w:r>
        <w:rPr>
          <w:rStyle w:val="34"/>
          <w:rFonts w:hint="eastAsia"/>
          <w:sz w:val="24"/>
          <w:szCs w:val="24"/>
        </w:rPr>
        <w:t>第五部分</w:t>
      </w:r>
      <w:r>
        <w:rPr>
          <w:rStyle w:val="34"/>
          <w:sz w:val="24"/>
          <w:szCs w:val="24"/>
        </w:rPr>
        <w:t xml:space="preserve"> </w:t>
      </w:r>
      <w:r>
        <w:rPr>
          <w:rStyle w:val="34"/>
          <w:rFonts w:hint="eastAsia"/>
          <w:sz w:val="24"/>
          <w:szCs w:val="24"/>
        </w:rPr>
        <w:t>附表</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一、收入支出决算总表</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二、收入决算表</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三、支出决算表</w:t>
      </w:r>
      <w:r>
        <w:rPr>
          <w:rStyle w:val="34"/>
          <w:rFonts w:hint="eastAsia" w:eastAsia="宋体"/>
          <w:sz w:val="24"/>
          <w:szCs w:val="24"/>
          <w:lang w:val="en-US" w:eastAsia="zh-CN"/>
        </w:rPr>
        <w:t>.</w:t>
      </w:r>
      <w:r>
        <w:rPr>
          <w:rStyle w:val="34"/>
          <w:rFonts w:hint="eastAsia"/>
          <w:sz w:val="24"/>
          <w:szCs w:val="24"/>
          <w:lang w:val="en-US" w:eastAsia="zh-CN"/>
        </w:rPr>
        <w:t>......</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四、财政拨款收入支出决算总表</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五、财政拨款支出决算明细表</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六、一般公共预算财政拨款支出决算表</w:t>
      </w:r>
      <w:r>
        <w:rPr>
          <w:rStyle w:val="34"/>
          <w:rFonts w:hint="eastAsia" w:eastAsia="宋体"/>
          <w:sz w:val="24"/>
          <w:szCs w:val="24"/>
          <w:lang w:val="en-US" w:eastAsia="zh-CN"/>
        </w:rPr>
        <w:t>...</w:t>
      </w:r>
      <w:r>
        <w:rPr>
          <w:rStyle w:val="34"/>
          <w:rFonts w:hint="eastAsia"/>
          <w:sz w:val="24"/>
          <w:szCs w:val="24"/>
          <w:lang w:val="en-US" w:eastAsia="zh-CN"/>
        </w:rPr>
        <w:t>...</w:t>
      </w:r>
      <w:r>
        <w:rPr>
          <w:rStyle w:val="34"/>
          <w:rFonts w:hint="eastAsia" w:eastAsia="宋体"/>
          <w:sz w:val="24"/>
          <w:szCs w:val="24"/>
          <w:lang w:val="en-US" w:eastAsia="zh-CN"/>
        </w:rPr>
        <w:t>.........................</w:t>
      </w:r>
      <w:r>
        <w:rPr>
          <w:rStyle w:val="34"/>
          <w:rFonts w:hint="eastAsia"/>
          <w:sz w:val="24"/>
          <w:szCs w:val="24"/>
          <w:lang w:val="en-US" w:eastAsia="zh-CN"/>
        </w:rPr>
        <w:t>19</w:t>
      </w:r>
    </w:p>
    <w:p w14:paraId="11FABD5D">
      <w:pPr>
        <w:pStyle w:val="10"/>
        <w:bidi w:val="0"/>
        <w:jc w:val="left"/>
        <w:rPr>
          <w:rStyle w:val="34"/>
          <w:rFonts w:hint="default"/>
          <w:sz w:val="24"/>
          <w:szCs w:val="24"/>
          <w:lang w:val="en-US"/>
        </w:rPr>
      </w:pPr>
      <w:r>
        <w:rPr>
          <w:rStyle w:val="34"/>
          <w:rFonts w:hint="eastAsia"/>
          <w:sz w:val="24"/>
          <w:szCs w:val="24"/>
        </w:rPr>
        <w:t>七、一般公共预算财政拨款支出决算明细表</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八、一般公共预算财政拨款基本支出决算</w:t>
      </w:r>
      <w:r>
        <w:rPr>
          <w:rStyle w:val="34"/>
          <w:rFonts w:hint="eastAsia"/>
          <w:sz w:val="24"/>
          <w:szCs w:val="24"/>
          <w:lang w:eastAsia="zh-CN"/>
        </w:rPr>
        <w:t>明细</w:t>
      </w:r>
      <w:r>
        <w:rPr>
          <w:rStyle w:val="34"/>
          <w:rFonts w:hint="eastAsia"/>
          <w:sz w:val="24"/>
          <w:szCs w:val="24"/>
        </w:rPr>
        <w:t>表</w:t>
      </w:r>
      <w:r>
        <w:rPr>
          <w:rStyle w:val="34"/>
          <w:rFonts w:hint="eastAsia" w:eastAsia="宋体"/>
          <w:sz w:val="24"/>
          <w:szCs w:val="24"/>
          <w:lang w:val="en-US" w:eastAsia="zh-CN"/>
        </w:rPr>
        <w:t>.......................</w:t>
      </w:r>
      <w:r>
        <w:rPr>
          <w:rStyle w:val="34"/>
          <w:rFonts w:hint="eastAsia"/>
          <w:sz w:val="24"/>
          <w:szCs w:val="24"/>
          <w:lang w:val="en-US" w:eastAsia="zh-CN"/>
        </w:rPr>
        <w:t>19</w:t>
      </w:r>
    </w:p>
    <w:p w14:paraId="17FBB3C6">
      <w:pPr>
        <w:pStyle w:val="10"/>
        <w:bidi w:val="0"/>
        <w:jc w:val="left"/>
        <w:rPr>
          <w:rStyle w:val="34"/>
          <w:rFonts w:hint="default"/>
          <w:sz w:val="24"/>
          <w:szCs w:val="24"/>
          <w:lang w:val="en-US"/>
        </w:rPr>
      </w:pPr>
      <w:r>
        <w:rPr>
          <w:rStyle w:val="34"/>
          <w:rFonts w:hint="eastAsia"/>
          <w:sz w:val="24"/>
          <w:szCs w:val="24"/>
        </w:rPr>
        <w:t>九、一般公共预算财政拨款项目支出决算表</w:t>
      </w:r>
      <w:r>
        <w:rPr>
          <w:rStyle w:val="34"/>
          <w:rFonts w:hint="eastAsia" w:eastAsia="宋体"/>
          <w:sz w:val="24"/>
          <w:szCs w:val="24"/>
          <w:lang w:val="en-US" w:eastAsia="zh-CN"/>
        </w:rPr>
        <w:t>...............</w:t>
      </w:r>
      <w:r>
        <w:rPr>
          <w:rStyle w:val="34"/>
          <w:rFonts w:hint="eastAsia"/>
          <w:sz w:val="24"/>
          <w:szCs w:val="24"/>
          <w:lang w:val="en-US" w:eastAsia="zh-CN"/>
        </w:rPr>
        <w:t>....</w:t>
      </w:r>
      <w:r>
        <w:rPr>
          <w:rStyle w:val="34"/>
          <w:rFonts w:hint="eastAsia" w:eastAsia="宋体"/>
          <w:sz w:val="24"/>
          <w:szCs w:val="24"/>
          <w:lang w:val="en-US" w:eastAsia="zh-CN"/>
        </w:rPr>
        <w:t>........</w:t>
      </w:r>
      <w:r>
        <w:rPr>
          <w:rStyle w:val="34"/>
          <w:rFonts w:hint="eastAsia"/>
          <w:sz w:val="24"/>
          <w:szCs w:val="24"/>
          <w:lang w:val="en-US" w:eastAsia="zh-CN"/>
        </w:rPr>
        <w:t>19</w:t>
      </w:r>
      <w:r>
        <w:rPr>
          <w:rStyle w:val="34"/>
          <w:rFonts w:hint="eastAsia"/>
          <w:sz w:val="24"/>
          <w:szCs w:val="24"/>
        </w:rPr>
        <w:t>十、政府性基金预算财政拨款收入支出决算表</w:t>
      </w:r>
      <w:r>
        <w:rPr>
          <w:rStyle w:val="34"/>
          <w:rFonts w:hint="eastAsia" w:eastAsia="宋体"/>
          <w:sz w:val="24"/>
          <w:szCs w:val="24"/>
          <w:lang w:val="en-US" w:eastAsia="zh-CN"/>
        </w:rPr>
        <w:t>.........................</w:t>
      </w:r>
      <w:r>
        <w:rPr>
          <w:rStyle w:val="34"/>
          <w:rFonts w:hint="eastAsia"/>
          <w:sz w:val="24"/>
          <w:szCs w:val="24"/>
          <w:lang w:val="en-US" w:eastAsia="zh-CN"/>
        </w:rPr>
        <w:t>19</w:t>
      </w:r>
    </w:p>
    <w:p w14:paraId="4F0AD6A7">
      <w:pPr>
        <w:pStyle w:val="10"/>
        <w:bidi w:val="0"/>
        <w:jc w:val="left"/>
        <w:rPr>
          <w:rStyle w:val="34"/>
          <w:rFonts w:hint="eastAsia"/>
          <w:sz w:val="24"/>
          <w:szCs w:val="24"/>
          <w:lang w:val="en-US" w:eastAsia="zh-CN"/>
        </w:rPr>
      </w:pPr>
      <w:r>
        <w:rPr>
          <w:rStyle w:val="34"/>
          <w:rFonts w:hint="eastAsia"/>
          <w:sz w:val="24"/>
          <w:szCs w:val="24"/>
        </w:rPr>
        <w:t>十一、国有资本经营预算财政拨款收入支出决算表</w:t>
      </w:r>
      <w:r>
        <w:rPr>
          <w:rStyle w:val="34"/>
          <w:rFonts w:hint="eastAsia" w:eastAsia="宋体"/>
          <w:sz w:val="24"/>
          <w:szCs w:val="24"/>
          <w:lang w:val="en-US" w:eastAsia="zh-CN"/>
        </w:rPr>
        <w:t>.....................</w:t>
      </w:r>
      <w:r>
        <w:rPr>
          <w:rStyle w:val="34"/>
          <w:rFonts w:hint="eastAsia"/>
          <w:sz w:val="24"/>
          <w:szCs w:val="24"/>
          <w:lang w:val="en-US" w:eastAsia="zh-CN"/>
        </w:rPr>
        <w:t>19</w:t>
      </w:r>
    </w:p>
    <w:p w14:paraId="057DC851">
      <w:pPr>
        <w:pStyle w:val="10"/>
        <w:bidi w:val="0"/>
        <w:jc w:val="left"/>
        <w:rPr>
          <w:rStyle w:val="34"/>
          <w:rFonts w:hint="eastAsia"/>
          <w:sz w:val="24"/>
          <w:szCs w:val="24"/>
          <w:lang w:val="en-US" w:eastAsia="zh-CN"/>
        </w:rPr>
      </w:pPr>
      <w:r>
        <w:rPr>
          <w:rStyle w:val="34"/>
          <w:rFonts w:hint="eastAsia"/>
          <w:sz w:val="24"/>
          <w:szCs w:val="24"/>
          <w:lang w:val="en-US" w:eastAsia="zh-CN"/>
        </w:rPr>
        <w:t>十</w:t>
      </w:r>
      <w:r>
        <w:rPr>
          <w:rStyle w:val="34"/>
          <w:rFonts w:hint="eastAsia"/>
          <w:sz w:val="24"/>
          <w:szCs w:val="24"/>
        </w:rPr>
        <w:t>二、</w:t>
      </w:r>
      <w:r>
        <w:rPr>
          <w:rStyle w:val="34"/>
          <w:rFonts w:hint="eastAsia"/>
          <w:sz w:val="24"/>
          <w:szCs w:val="24"/>
          <w:lang w:val="en-US" w:eastAsia="zh-CN"/>
        </w:rPr>
        <w:t>国有资本经营预算财政拨款支出决算表</w:t>
      </w:r>
      <w:r>
        <w:rPr>
          <w:rStyle w:val="34"/>
          <w:rFonts w:hint="eastAsia" w:eastAsia="宋体"/>
          <w:sz w:val="24"/>
          <w:szCs w:val="24"/>
          <w:lang w:val="en-US" w:eastAsia="zh-CN"/>
        </w:rPr>
        <w:t>...........</w:t>
      </w:r>
      <w:r>
        <w:rPr>
          <w:rStyle w:val="34"/>
          <w:rFonts w:hint="eastAsia"/>
          <w:sz w:val="24"/>
          <w:szCs w:val="24"/>
          <w:lang w:val="en-US" w:eastAsia="zh-CN"/>
        </w:rPr>
        <w:t>........</w:t>
      </w:r>
      <w:r>
        <w:rPr>
          <w:rStyle w:val="34"/>
          <w:rFonts w:hint="eastAsia" w:eastAsia="宋体"/>
          <w:sz w:val="24"/>
          <w:szCs w:val="24"/>
          <w:lang w:val="en-US" w:eastAsia="zh-CN"/>
        </w:rPr>
        <w:t>..</w:t>
      </w:r>
      <w:r>
        <w:rPr>
          <w:rStyle w:val="34"/>
          <w:rFonts w:hint="eastAsia"/>
          <w:sz w:val="24"/>
          <w:szCs w:val="24"/>
          <w:lang w:val="en-US" w:eastAsia="zh-CN"/>
        </w:rPr>
        <w:t>.</w:t>
      </w:r>
      <w:r>
        <w:rPr>
          <w:rStyle w:val="34"/>
          <w:rFonts w:hint="eastAsia" w:eastAsia="宋体"/>
          <w:sz w:val="24"/>
          <w:szCs w:val="24"/>
          <w:lang w:val="en-US" w:eastAsia="zh-CN"/>
        </w:rPr>
        <w:t>...</w:t>
      </w:r>
      <w:r>
        <w:rPr>
          <w:rStyle w:val="34"/>
          <w:rFonts w:hint="eastAsia"/>
          <w:sz w:val="24"/>
          <w:szCs w:val="24"/>
          <w:lang w:val="en-US" w:eastAsia="zh-CN"/>
        </w:rPr>
        <w:t>19</w:t>
      </w:r>
    </w:p>
    <w:p w14:paraId="663DC875">
      <w:pPr>
        <w:pStyle w:val="10"/>
        <w:bidi w:val="0"/>
        <w:jc w:val="left"/>
        <w:rPr>
          <w:rStyle w:val="34"/>
          <w:rFonts w:hint="default"/>
          <w:sz w:val="24"/>
          <w:szCs w:val="24"/>
          <w:lang w:val="en-US" w:eastAsia="zh-CN"/>
        </w:rPr>
      </w:pPr>
      <w:r>
        <w:rPr>
          <w:rStyle w:val="34"/>
          <w:rFonts w:hint="eastAsia"/>
          <w:sz w:val="24"/>
          <w:szCs w:val="24"/>
        </w:rPr>
        <w:t>十三、财政拨款“三公”经费支出决算表</w:t>
      </w:r>
      <w:r>
        <w:rPr>
          <w:rStyle w:val="34"/>
          <w:rFonts w:hint="eastAsia" w:eastAsia="宋体"/>
          <w:sz w:val="24"/>
          <w:szCs w:val="24"/>
          <w:lang w:val="en-US" w:eastAsia="zh-CN"/>
        </w:rPr>
        <w:t>................</w:t>
      </w:r>
      <w:r>
        <w:rPr>
          <w:rStyle w:val="34"/>
          <w:rFonts w:hint="eastAsia"/>
          <w:sz w:val="24"/>
          <w:szCs w:val="24"/>
          <w:lang w:val="en-US" w:eastAsia="zh-CN"/>
        </w:rPr>
        <w:t>........</w:t>
      </w:r>
      <w:r>
        <w:rPr>
          <w:rStyle w:val="34"/>
          <w:rFonts w:hint="eastAsia" w:eastAsia="宋体"/>
          <w:sz w:val="24"/>
          <w:szCs w:val="24"/>
          <w:lang w:val="en-US" w:eastAsia="zh-CN"/>
        </w:rPr>
        <w:t>.....</w:t>
      </w:r>
      <w:r>
        <w:rPr>
          <w:rStyle w:val="34"/>
          <w:rFonts w:hint="eastAsia"/>
          <w:sz w:val="24"/>
          <w:szCs w:val="24"/>
          <w:lang w:val="en-US" w:eastAsia="zh-CN"/>
        </w:rPr>
        <w:t>19</w:t>
      </w:r>
    </w:p>
    <w:p w14:paraId="470821AF">
      <w:pPr>
        <w:pStyle w:val="10"/>
        <w:bidi w:val="0"/>
        <w:jc w:val="left"/>
        <w:rPr>
          <w:rStyle w:val="34"/>
          <w:rFonts w:hint="eastAsia"/>
          <w:sz w:val="24"/>
          <w:szCs w:val="24"/>
        </w:rPr>
      </w:pPr>
      <w:r>
        <w:rPr>
          <w:rStyle w:val="34"/>
          <w:sz w:val="24"/>
          <w:szCs w:val="24"/>
        </w:rPr>
        <w:br w:type="page"/>
      </w:r>
    </w:p>
    <w:p w14:paraId="40649B8E">
      <w:pPr>
        <w:pStyle w:val="3"/>
        <w:jc w:val="center"/>
        <w:rPr>
          <w:rStyle w:val="27"/>
          <w:rFonts w:ascii="黑体" w:hAnsi="黑体" w:eastAsia="黑体"/>
          <w:b/>
          <w:bCs w:val="0"/>
          <w:color w:val="auto"/>
          <w:highlight w:val="none"/>
        </w:rPr>
      </w:pPr>
      <w:bookmarkStart w:id="12" w:name="_Toc15396599"/>
      <w:bookmarkStart w:id="13" w:name="_Toc15377196"/>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14:paraId="35CF62EB">
      <w:pPr>
        <w:widowControl/>
        <w:jc w:val="left"/>
        <w:rPr>
          <w:rFonts w:ascii="黑体" w:eastAsia="黑体"/>
          <w:color w:val="auto"/>
          <w:sz w:val="32"/>
          <w:szCs w:val="32"/>
          <w:highlight w:val="none"/>
        </w:rPr>
      </w:pPr>
    </w:p>
    <w:p w14:paraId="1E07FCC4">
      <w:pPr>
        <w:pStyle w:val="4"/>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单位职责</w:t>
      </w:r>
    </w:p>
    <w:p w14:paraId="60B5A7F0">
      <w:pPr>
        <w:pStyle w:val="4"/>
        <w:ind w:firstLine="640" w:firstLineChars="200"/>
        <w:rPr>
          <w:rFonts w:hint="eastAsia"/>
          <w:lang w:eastAsia="zh-CN"/>
        </w:rPr>
      </w:pPr>
      <w:bookmarkStart w:id="14" w:name="_Toc113542904"/>
      <w:r>
        <w:rPr>
          <w:rFonts w:hint="eastAsia" w:ascii="仿宋" w:hAnsi="仿宋" w:eastAsia="仿宋" w:cs="仿宋"/>
          <w:b w:val="0"/>
          <w:lang w:eastAsia="zh-CN"/>
        </w:rPr>
        <w:t>大竹县四合镇中心小学是一所义务教育九年一贯学校，本校</w:t>
      </w:r>
      <w:r>
        <w:rPr>
          <w:rFonts w:hint="eastAsia" w:ascii="仿宋" w:hAnsi="仿宋" w:eastAsia="仿宋" w:cs="仿宋"/>
          <w:b w:val="0"/>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小学义务教育，巩固提高教育成果。按照上级有关部门的规定，负责对学校教育的财务和基建进行管理。按照小学义务教育课程计划开齐课程开足课时，认真实施中小学的教育教学管理，全面推进素质教育，全面提高教育教学质量。</w:t>
      </w:r>
      <w:bookmarkEnd w:id="14"/>
    </w:p>
    <w:p w14:paraId="7D7410C8">
      <w:pPr>
        <w:pStyle w:val="4"/>
        <w:rPr>
          <w:rStyle w:val="28"/>
          <w:b w:val="0"/>
          <w:bCs w:val="0"/>
          <w:color w:val="auto"/>
          <w:highlight w:val="none"/>
        </w:rPr>
      </w:pPr>
      <w:bookmarkStart w:id="15" w:name="_Toc15396601"/>
      <w:bookmarkStart w:id="16"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15"/>
      <w:bookmarkEnd w:id="16"/>
    </w:p>
    <w:p w14:paraId="60E97D93">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大竹县四合镇中心小学</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14:paraId="299B38D1">
      <w:pPr>
        <w:pStyle w:val="2"/>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大竹县四合镇中心小学</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单位</w:t>
      </w:r>
      <w:r>
        <w:rPr>
          <w:rFonts w:hint="eastAsia" w:ascii="仿宋" w:hAnsi="仿宋" w:eastAsia="仿宋"/>
          <w:color w:val="auto"/>
          <w:sz w:val="32"/>
          <w:szCs w:val="32"/>
          <w:highlight w:val="none"/>
        </w:rPr>
        <w:t>决算编制范围的二级预算单位</w:t>
      </w:r>
      <w:r>
        <w:rPr>
          <w:rFonts w:hint="eastAsia" w:ascii="仿宋" w:hAnsi="仿宋" w:eastAsia="仿宋"/>
          <w:color w:val="auto"/>
          <w:sz w:val="32"/>
          <w:szCs w:val="32"/>
          <w:highlight w:val="none"/>
          <w:lang w:val="en-US" w:eastAsia="zh-CN"/>
        </w:rPr>
        <w:t>0个。</w:t>
      </w:r>
    </w:p>
    <w:p w14:paraId="57E9C31B">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0F5F6CA0">
      <w:pPr>
        <w:pStyle w:val="3"/>
        <w:ind w:right="440"/>
        <w:jc w:val="center"/>
        <w:rPr>
          <w:rStyle w:val="27"/>
          <w:rFonts w:ascii="黑体" w:hAnsi="黑体" w:eastAsia="黑体"/>
          <w:b w:val="0"/>
          <w:bCs/>
          <w:color w:val="auto"/>
          <w:highlight w:val="none"/>
        </w:rPr>
      </w:pPr>
      <w:bookmarkStart w:id="17" w:name="_Toc15396602"/>
      <w:bookmarkStart w:id="18"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2023年度单位</w:t>
      </w:r>
      <w:r>
        <w:rPr>
          <w:rStyle w:val="27"/>
          <w:rFonts w:hint="eastAsia" w:ascii="黑体" w:hAnsi="黑体" w:eastAsia="黑体"/>
          <w:b w:val="0"/>
          <w:bCs/>
          <w:color w:val="auto"/>
          <w:highlight w:val="none"/>
        </w:rPr>
        <w:t>决算情况说明</w:t>
      </w:r>
      <w:bookmarkEnd w:id="17"/>
      <w:bookmarkEnd w:id="18"/>
    </w:p>
    <w:p w14:paraId="041193A1">
      <w:pPr>
        <w:rPr>
          <w:color w:val="auto"/>
          <w:highlight w:val="none"/>
        </w:rPr>
      </w:pPr>
    </w:p>
    <w:p w14:paraId="1FC0E106">
      <w:pPr>
        <w:pStyle w:val="26"/>
        <w:numPr>
          <w:ilvl w:val="0"/>
          <w:numId w:val="2"/>
        </w:numPr>
        <w:spacing w:line="600" w:lineRule="exact"/>
        <w:ind w:firstLineChars="0"/>
        <w:outlineLvl w:val="1"/>
        <w:rPr>
          <w:rStyle w:val="28"/>
          <w:rFonts w:ascii="黑体" w:hAnsi="黑体" w:eastAsia="黑体"/>
          <w:b w:val="0"/>
          <w:color w:val="auto"/>
          <w:highlight w:val="none"/>
        </w:rPr>
      </w:pPr>
      <w:bookmarkStart w:id="19" w:name="_Toc15377205"/>
      <w:bookmarkStart w:id="20"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9"/>
      <w:bookmarkEnd w:id="20"/>
    </w:p>
    <w:p w14:paraId="3B7A0A34">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933.86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19.98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上升</w:t>
      </w:r>
      <w:r>
        <w:rPr>
          <w:rFonts w:hint="eastAsia" w:ascii="仿宋" w:hAnsi="仿宋" w:eastAsia="仿宋"/>
          <w:color w:val="auto"/>
          <w:sz w:val="32"/>
          <w:szCs w:val="32"/>
          <w:highlight w:val="none"/>
          <w:lang w:val="en-US" w:eastAsia="zh-CN"/>
        </w:rPr>
        <w:t>2.18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14:paraId="66E901E8">
      <w:pPr>
        <w:pStyle w:val="2"/>
        <w:rPr>
          <w:rFonts w:hint="eastAsia"/>
          <w:lang w:eastAsia="zh-CN"/>
        </w:rPr>
      </w:pPr>
      <w:r>
        <w:drawing>
          <wp:inline distT="0" distB="0" distL="0" distR="0">
            <wp:extent cx="5140960" cy="2624455"/>
            <wp:effectExtent l="4445" t="4445" r="571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63B9FF">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2BD12C88">
      <w:pPr>
        <w:spacing w:line="600" w:lineRule="exact"/>
        <w:ind w:firstLine="640" w:firstLineChars="200"/>
        <w:jc w:val="left"/>
        <w:rPr>
          <w:rFonts w:ascii="仿宋_GB2312" w:eastAsia="仿宋_GB2312"/>
          <w:color w:val="auto"/>
          <w:sz w:val="32"/>
          <w:szCs w:val="32"/>
          <w:highlight w:val="none"/>
        </w:rPr>
      </w:pPr>
    </w:p>
    <w:p w14:paraId="6FFE9270">
      <w:pPr>
        <w:pStyle w:val="26"/>
        <w:numPr>
          <w:ilvl w:val="0"/>
          <w:numId w:val="2"/>
        </w:numPr>
        <w:spacing w:line="600" w:lineRule="exact"/>
        <w:ind w:firstLineChars="0"/>
        <w:outlineLvl w:val="1"/>
        <w:rPr>
          <w:rStyle w:val="28"/>
          <w:rFonts w:ascii="黑体" w:hAnsi="黑体" w:eastAsia="黑体"/>
          <w:b w:val="0"/>
          <w:color w:val="auto"/>
          <w:highlight w:val="none"/>
        </w:rPr>
      </w:pPr>
      <w:bookmarkStart w:id="21" w:name="_Toc15396604"/>
      <w:bookmarkStart w:id="22"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1"/>
      <w:bookmarkEnd w:id="22"/>
    </w:p>
    <w:p w14:paraId="0908FF0D">
      <w:pPr>
        <w:spacing w:line="600" w:lineRule="exact"/>
        <w:ind w:firstLine="640" w:firstLineChars="200"/>
        <w:outlineLvl w:val="1"/>
        <w:rPr>
          <w:rFonts w:hint="eastAsia" w:eastAsia="仿宋"/>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933.86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933.86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26EC93FF">
      <w:pPr>
        <w:pStyle w:val="2"/>
      </w:pPr>
      <w:r>
        <w:drawing>
          <wp:inline distT="0" distB="0" distL="0" distR="0">
            <wp:extent cx="5073015" cy="2658110"/>
            <wp:effectExtent l="4445" t="4445" r="12700" b="19685"/>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98E3AD">
      <w:pPr>
        <w:spacing w:line="600" w:lineRule="exact"/>
        <w:ind w:firstLine="960" w:firstLineChars="3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14:paraId="0BCAA49E">
      <w:pPr>
        <w:pStyle w:val="26"/>
        <w:numPr>
          <w:ilvl w:val="0"/>
          <w:numId w:val="2"/>
        </w:numPr>
        <w:spacing w:line="600" w:lineRule="exact"/>
        <w:ind w:firstLineChars="0"/>
        <w:outlineLvl w:val="1"/>
        <w:rPr>
          <w:rStyle w:val="28"/>
          <w:rFonts w:ascii="黑体" w:hAnsi="黑体" w:eastAsia="黑体"/>
          <w:b w:val="0"/>
          <w:color w:val="auto"/>
          <w:highlight w:val="none"/>
        </w:rPr>
      </w:pPr>
      <w:bookmarkStart w:id="23" w:name="_Toc15396605"/>
      <w:bookmarkStart w:id="24"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3"/>
      <w:bookmarkEnd w:id="24"/>
    </w:p>
    <w:p w14:paraId="7C1A57AA">
      <w:pPr>
        <w:spacing w:line="600" w:lineRule="exact"/>
        <w:ind w:firstLine="640" w:firstLineChars="200"/>
        <w:outlineLvl w:val="1"/>
        <w:rPr>
          <w:rFonts w:hint="eastAsia" w:ascii="仿宋" w:hAnsi="仿宋" w:eastAsia="仿宋"/>
          <w:color w:val="auto"/>
          <w:sz w:val="32"/>
          <w:szCs w:val="32"/>
          <w:highlight w:val="none"/>
          <w:shd w:val="pct10" w:color="auto" w:fill="FFFFFF"/>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933.85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892.75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95.60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125ED8F4">
      <w:pPr>
        <w:pStyle w:val="2"/>
        <w:rPr>
          <w:rFonts w:ascii="仿宋" w:hAnsi="仿宋" w:eastAsia="仿宋"/>
          <w:color w:val="auto"/>
          <w:sz w:val="32"/>
          <w:szCs w:val="32"/>
          <w:highlight w:val="none"/>
          <w:shd w:val="pct10" w:color="auto" w:fill="FFFFFF"/>
        </w:rPr>
      </w:pPr>
      <w:r>
        <w:rPr>
          <w:highlight w:val="black"/>
        </w:rPr>
        <w:drawing>
          <wp:inline distT="0" distB="0" distL="0" distR="0">
            <wp:extent cx="5277485" cy="2960370"/>
            <wp:effectExtent l="4445" t="4445" r="6350" b="6985"/>
            <wp:docPr id="1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5BDEB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68F1B068">
      <w:pPr>
        <w:spacing w:line="600" w:lineRule="exact"/>
        <w:ind w:firstLine="640" w:firstLineChars="200"/>
        <w:rPr>
          <w:rFonts w:ascii="仿宋_GB2312" w:eastAsia="仿宋_GB2312"/>
          <w:color w:val="auto"/>
          <w:sz w:val="32"/>
          <w:szCs w:val="32"/>
          <w:highlight w:val="none"/>
        </w:rPr>
      </w:pPr>
    </w:p>
    <w:p w14:paraId="5F2FA882">
      <w:pPr>
        <w:spacing w:line="600" w:lineRule="exact"/>
        <w:ind w:firstLine="640" w:firstLineChars="200"/>
        <w:outlineLvl w:val="1"/>
        <w:rPr>
          <w:rStyle w:val="28"/>
          <w:rFonts w:ascii="黑体" w:hAnsi="黑体" w:eastAsia="黑体"/>
          <w:b w:val="0"/>
          <w:color w:val="auto"/>
          <w:highlight w:val="none"/>
        </w:rPr>
      </w:pPr>
      <w:bookmarkStart w:id="25" w:name="_Toc15396606"/>
      <w:bookmarkStart w:id="26"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5"/>
      <w:bookmarkEnd w:id="26"/>
    </w:p>
    <w:p w14:paraId="1104611E">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933.86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19.98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上升</w:t>
      </w:r>
      <w:r>
        <w:rPr>
          <w:rFonts w:hint="eastAsia" w:ascii="仿宋" w:hAnsi="仿宋" w:eastAsia="仿宋"/>
          <w:color w:val="auto"/>
          <w:sz w:val="32"/>
          <w:szCs w:val="32"/>
          <w:highlight w:val="none"/>
          <w:lang w:val="en-US" w:eastAsia="zh-CN"/>
        </w:rPr>
        <w:t>2.18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14:paraId="342967BE">
      <w:pPr>
        <w:pStyle w:val="2"/>
        <w:rPr>
          <w:rFonts w:hint="eastAsia" w:ascii="仿宋" w:hAnsi="仿宋" w:eastAsia="仿宋"/>
          <w:color w:val="auto"/>
          <w:sz w:val="32"/>
          <w:szCs w:val="32"/>
          <w:highlight w:val="none"/>
        </w:rPr>
      </w:pPr>
      <w:r>
        <w:drawing>
          <wp:inline distT="0" distB="0" distL="0" distR="0">
            <wp:extent cx="5346700" cy="3858260"/>
            <wp:effectExtent l="5080" t="4445" r="12700" b="8255"/>
            <wp:docPr id="9"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7D31B">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58D38B01">
      <w:pPr>
        <w:spacing w:line="600" w:lineRule="exact"/>
        <w:ind w:firstLine="640"/>
        <w:rPr>
          <w:rFonts w:ascii="仿宋" w:hAnsi="仿宋" w:eastAsia="仿宋"/>
          <w:b/>
          <w:color w:val="auto"/>
          <w:sz w:val="32"/>
          <w:szCs w:val="32"/>
          <w:highlight w:val="none"/>
        </w:rPr>
      </w:pPr>
    </w:p>
    <w:p w14:paraId="04688B7D">
      <w:pPr>
        <w:spacing w:line="600" w:lineRule="exact"/>
        <w:ind w:firstLine="640" w:firstLineChars="200"/>
        <w:outlineLvl w:val="1"/>
        <w:rPr>
          <w:rStyle w:val="28"/>
          <w:rFonts w:ascii="黑体" w:hAnsi="黑体" w:eastAsia="黑体"/>
          <w:b w:val="0"/>
          <w:color w:val="auto"/>
          <w:highlight w:val="none"/>
        </w:rPr>
      </w:pPr>
      <w:bookmarkStart w:id="27" w:name="_Toc15377209"/>
      <w:bookmarkStart w:id="28"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7"/>
      <w:bookmarkEnd w:id="28"/>
    </w:p>
    <w:p w14:paraId="6B423BC7">
      <w:pPr>
        <w:spacing w:line="600" w:lineRule="exact"/>
        <w:ind w:firstLine="643" w:firstLineChars="200"/>
        <w:outlineLvl w:val="2"/>
        <w:rPr>
          <w:rFonts w:ascii="仿宋" w:hAnsi="仿宋" w:eastAsia="仿宋"/>
          <w:b/>
          <w:color w:val="auto"/>
          <w:sz w:val="32"/>
          <w:szCs w:val="32"/>
          <w:highlight w:val="none"/>
        </w:rPr>
      </w:pPr>
      <w:bookmarkStart w:id="29" w:name="_Toc15377210"/>
      <w:r>
        <w:rPr>
          <w:rFonts w:hint="eastAsia" w:ascii="仿宋" w:hAnsi="仿宋" w:eastAsia="仿宋"/>
          <w:b/>
          <w:color w:val="auto"/>
          <w:sz w:val="32"/>
          <w:szCs w:val="32"/>
          <w:highlight w:val="none"/>
        </w:rPr>
        <w:t>（一）一般公共预算财政拨款支出决算总体情况</w:t>
      </w:r>
      <w:bookmarkEnd w:id="29"/>
    </w:p>
    <w:p w14:paraId="64AE0B1E">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933.85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19.98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上升</w:t>
      </w:r>
      <w:r>
        <w:rPr>
          <w:rFonts w:hint="eastAsia" w:ascii="仿宋" w:hAnsi="仿宋" w:eastAsia="仿宋"/>
          <w:color w:val="auto"/>
          <w:sz w:val="32"/>
          <w:szCs w:val="32"/>
          <w:highlight w:val="none"/>
          <w:lang w:val="en-US" w:eastAsia="zh-CN"/>
        </w:rPr>
        <w:t>2.18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14:paraId="58DF968A">
      <w:pPr>
        <w:pStyle w:val="2"/>
        <w:rPr>
          <w:rFonts w:ascii="仿宋" w:hAnsi="仿宋" w:eastAsia="仿宋"/>
          <w:color w:val="auto"/>
          <w:sz w:val="32"/>
          <w:szCs w:val="32"/>
          <w:highlight w:val="none"/>
        </w:rPr>
      </w:pPr>
      <w:r>
        <w:rPr>
          <w:rFonts w:hint="eastAsia"/>
        </w:rPr>
        <w:drawing>
          <wp:inline distT="0" distB="0" distL="0" distR="0">
            <wp:extent cx="5351780" cy="2675255"/>
            <wp:effectExtent l="4445" t="4445" r="8255" b="1778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D7F2F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6755F449">
      <w:pPr>
        <w:spacing w:line="600" w:lineRule="exact"/>
        <w:ind w:firstLine="643" w:firstLineChars="200"/>
        <w:outlineLvl w:val="2"/>
        <w:rPr>
          <w:rFonts w:hint="eastAsia" w:ascii="仿宋" w:hAnsi="仿宋" w:eastAsia="仿宋"/>
          <w:b/>
          <w:color w:val="auto"/>
          <w:sz w:val="32"/>
          <w:szCs w:val="32"/>
          <w:highlight w:val="none"/>
        </w:rPr>
      </w:pPr>
      <w:bookmarkStart w:id="30" w:name="_Toc15377211"/>
    </w:p>
    <w:p w14:paraId="4F0BFCCE">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0"/>
    </w:p>
    <w:p w14:paraId="20999D0F">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933.85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sz w:val="32"/>
          <w:szCs w:val="32"/>
        </w:rPr>
        <w:t>（205）</w:t>
      </w:r>
      <w:r>
        <w:rPr>
          <w:rFonts w:hint="eastAsia" w:ascii="仿宋" w:hAnsi="仿宋" w:eastAsia="仿宋"/>
          <w:sz w:val="32"/>
          <w:szCs w:val="32"/>
          <w:lang w:val="en-US" w:eastAsia="zh-CN"/>
        </w:rPr>
        <w:t>733.82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78.58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sz w:val="32"/>
          <w:szCs w:val="32"/>
        </w:rPr>
        <w:t>（208）</w:t>
      </w:r>
      <w:r>
        <w:rPr>
          <w:rFonts w:hint="eastAsia" w:ascii="仿宋" w:hAnsi="仿宋" w:eastAsia="仿宋"/>
          <w:sz w:val="32"/>
          <w:szCs w:val="32"/>
          <w:lang w:val="en-US" w:eastAsia="zh-CN"/>
        </w:rPr>
        <w:t>152.72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Cs/>
          <w:sz w:val="32"/>
          <w:szCs w:val="32"/>
        </w:rPr>
        <w:t>（210）</w:t>
      </w:r>
      <w:r>
        <w:rPr>
          <w:rFonts w:hint="eastAsia" w:ascii="仿宋" w:hAnsi="仿宋" w:eastAsia="仿宋"/>
          <w:bCs/>
          <w:sz w:val="32"/>
          <w:szCs w:val="32"/>
          <w:lang w:val="en-US" w:eastAsia="zh-CN"/>
        </w:rPr>
        <w:t>31.22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16.09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08428E0">
      <w:pPr>
        <w:pStyle w:val="2"/>
        <w:rPr>
          <w:rFonts w:hint="eastAsia" w:ascii="仿宋" w:hAnsi="仿宋" w:eastAsia="仿宋"/>
          <w:color w:val="auto"/>
          <w:sz w:val="32"/>
          <w:szCs w:val="32"/>
          <w:highlight w:val="none"/>
        </w:rPr>
      </w:pPr>
      <w:r>
        <w:drawing>
          <wp:inline distT="0" distB="0" distL="0" distR="0">
            <wp:extent cx="5287010" cy="2256155"/>
            <wp:effectExtent l="4445" t="4445" r="12065" b="10160"/>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9D03AC">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3802CF51">
      <w:pPr>
        <w:spacing w:line="600" w:lineRule="exact"/>
        <w:ind w:firstLine="643" w:firstLineChars="200"/>
        <w:outlineLvl w:val="2"/>
        <w:rPr>
          <w:rFonts w:ascii="仿宋" w:hAnsi="仿宋" w:eastAsia="仿宋"/>
          <w:b/>
          <w:color w:val="auto"/>
          <w:sz w:val="32"/>
          <w:szCs w:val="32"/>
          <w:highlight w:val="none"/>
        </w:rPr>
      </w:pPr>
      <w:bookmarkStart w:id="31" w:name="_Toc15377212"/>
      <w:r>
        <w:rPr>
          <w:rFonts w:hint="eastAsia" w:ascii="仿宋" w:hAnsi="仿宋" w:eastAsia="仿宋"/>
          <w:b/>
          <w:color w:val="auto"/>
          <w:sz w:val="32"/>
          <w:szCs w:val="32"/>
          <w:highlight w:val="none"/>
        </w:rPr>
        <w:t>（三）一般公共预算财政拨款支出决算具体情况</w:t>
      </w:r>
      <w:bookmarkEnd w:id="31"/>
    </w:p>
    <w:p w14:paraId="244515A6">
      <w:pPr>
        <w:spacing w:line="600" w:lineRule="exact"/>
        <w:ind w:firstLine="643" w:firstLineChars="200"/>
        <w:outlineLvl w:val="2"/>
        <w:rPr>
          <w:rFonts w:ascii="仿宋" w:hAnsi="仿宋" w:eastAsia="仿宋"/>
          <w:color w:val="auto"/>
          <w:sz w:val="32"/>
          <w:szCs w:val="32"/>
          <w:highlight w:val="none"/>
        </w:rPr>
      </w:pPr>
      <w:bookmarkStart w:id="32" w:name="_Toc15377213"/>
      <w:bookmarkStart w:id="33" w:name="_Toc15378460"/>
      <w:bookmarkStart w:id="34"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933.85万元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99.99</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。原因是年末结转结余资金支出</w:t>
      </w:r>
      <w:r>
        <w:rPr>
          <w:rStyle w:val="16"/>
          <w:rFonts w:hint="eastAsia" w:ascii="仿宋" w:hAnsi="仿宋" w:eastAsia="仿宋"/>
          <w:bCs/>
          <w:color w:val="auto"/>
          <w:sz w:val="32"/>
          <w:szCs w:val="32"/>
          <w:highlight w:val="none"/>
          <w:lang w:val="en-US" w:eastAsia="zh-CN"/>
        </w:rPr>
        <w:t>0.01万元</w:t>
      </w:r>
      <w:r>
        <w:rPr>
          <w:rStyle w:val="16"/>
          <w:rFonts w:hint="eastAsia" w:ascii="仿宋" w:hAnsi="仿宋" w:eastAsia="仿宋"/>
          <w:bCs/>
          <w:color w:val="auto"/>
          <w:sz w:val="32"/>
          <w:szCs w:val="32"/>
          <w:highlight w:val="none"/>
        </w:rPr>
        <w:t>。其中：</w:t>
      </w:r>
      <w:bookmarkEnd w:id="32"/>
      <w:bookmarkEnd w:id="33"/>
      <w:bookmarkEnd w:id="34"/>
    </w:p>
    <w:p w14:paraId="13C41FD1">
      <w:pPr>
        <w:numPr>
          <w:ilvl w:val="0"/>
          <w:numId w:val="3"/>
        </w:num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rPr>
        <w:t>教育支出（205）</w:t>
      </w:r>
      <w:r>
        <w:rPr>
          <w:rStyle w:val="16"/>
          <w:rFonts w:ascii="仿宋" w:hAnsi="仿宋" w:eastAsia="仿宋"/>
          <w:bCs/>
          <w:sz w:val="32"/>
          <w:szCs w:val="32"/>
        </w:rPr>
        <w:t>普通教育</w:t>
      </w:r>
      <w:r>
        <w:rPr>
          <w:rStyle w:val="16"/>
          <w:rFonts w:hint="eastAsia" w:ascii="仿宋" w:hAnsi="仿宋" w:eastAsia="仿宋"/>
          <w:bCs/>
          <w:sz w:val="32"/>
          <w:szCs w:val="32"/>
        </w:rPr>
        <w:t>（02）</w:t>
      </w:r>
      <w:r>
        <w:rPr>
          <w:rStyle w:val="16"/>
          <w:rFonts w:hint="eastAsia" w:ascii="仿宋" w:hAnsi="仿宋" w:eastAsia="仿宋"/>
          <w:bCs/>
          <w:sz w:val="32"/>
          <w:szCs w:val="32"/>
          <w:lang w:eastAsia="zh-CN"/>
        </w:rPr>
        <w:t>学前</w:t>
      </w:r>
      <w:r>
        <w:rPr>
          <w:rStyle w:val="16"/>
          <w:rFonts w:ascii="仿宋" w:hAnsi="仿宋" w:eastAsia="仿宋"/>
          <w:bCs/>
          <w:sz w:val="32"/>
          <w:szCs w:val="32"/>
        </w:rPr>
        <w:t>教育</w:t>
      </w:r>
      <w:r>
        <w:rPr>
          <w:rStyle w:val="16"/>
          <w:rFonts w:hint="eastAsia" w:ascii="仿宋" w:hAnsi="仿宋" w:eastAsia="仿宋"/>
          <w:bCs/>
          <w:sz w:val="32"/>
          <w:szCs w:val="32"/>
        </w:rPr>
        <w:t>（0</w:t>
      </w:r>
      <w:r>
        <w:rPr>
          <w:rStyle w:val="16"/>
          <w:rFonts w:hint="eastAsia" w:ascii="仿宋" w:hAnsi="仿宋" w:eastAsia="仿宋"/>
          <w:bCs/>
          <w:sz w:val="32"/>
          <w:szCs w:val="32"/>
          <w:lang w:val="en-US" w:eastAsia="zh-CN"/>
        </w:rPr>
        <w:t>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5.89</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A1A2C22">
      <w:pPr>
        <w:numPr>
          <w:ilvl w:val="0"/>
          <w:numId w:val="3"/>
        </w:num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教育支出（205）</w:t>
      </w:r>
      <w:r>
        <w:rPr>
          <w:rStyle w:val="16"/>
          <w:rFonts w:ascii="仿宋" w:hAnsi="仿宋" w:eastAsia="仿宋"/>
          <w:bCs/>
          <w:sz w:val="32"/>
          <w:szCs w:val="32"/>
        </w:rPr>
        <w:t>普通教育</w:t>
      </w:r>
      <w:r>
        <w:rPr>
          <w:rStyle w:val="16"/>
          <w:rFonts w:hint="eastAsia" w:ascii="仿宋" w:hAnsi="仿宋" w:eastAsia="仿宋"/>
          <w:bCs/>
          <w:sz w:val="32"/>
          <w:szCs w:val="32"/>
        </w:rPr>
        <w:t>（02）</w:t>
      </w:r>
      <w:r>
        <w:rPr>
          <w:rStyle w:val="16"/>
          <w:rFonts w:ascii="仿宋" w:hAnsi="仿宋" w:eastAsia="仿宋"/>
          <w:bCs/>
          <w:sz w:val="32"/>
          <w:szCs w:val="32"/>
        </w:rPr>
        <w:t>小学教育</w:t>
      </w:r>
      <w:r>
        <w:rPr>
          <w:rStyle w:val="16"/>
          <w:rFonts w:hint="eastAsia" w:ascii="仿宋" w:hAnsi="仿宋" w:eastAsia="仿宋"/>
          <w:bCs/>
          <w:sz w:val="32"/>
          <w:szCs w:val="32"/>
        </w:rPr>
        <w:t>（02）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32.62</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AF318B2">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sz w:val="32"/>
          <w:szCs w:val="32"/>
        </w:rPr>
        <w:t>教育支出（205）</w:t>
      </w:r>
      <w:r>
        <w:rPr>
          <w:rStyle w:val="16"/>
          <w:rFonts w:ascii="仿宋" w:hAnsi="仿宋" w:eastAsia="仿宋"/>
          <w:bCs/>
          <w:sz w:val="32"/>
          <w:szCs w:val="32"/>
        </w:rPr>
        <w:t>普通教育</w:t>
      </w:r>
      <w:r>
        <w:rPr>
          <w:rStyle w:val="16"/>
          <w:rFonts w:hint="eastAsia" w:ascii="仿宋" w:hAnsi="仿宋" w:eastAsia="仿宋"/>
          <w:bCs/>
          <w:sz w:val="32"/>
          <w:szCs w:val="32"/>
        </w:rPr>
        <w:t>（02）</w:t>
      </w:r>
      <w:r>
        <w:rPr>
          <w:rStyle w:val="16"/>
          <w:rFonts w:hint="eastAsia" w:ascii="仿宋" w:hAnsi="仿宋" w:eastAsia="仿宋"/>
          <w:bCs/>
          <w:sz w:val="32"/>
          <w:szCs w:val="32"/>
          <w:lang w:eastAsia="zh-CN"/>
        </w:rPr>
        <w:t>初中</w:t>
      </w:r>
      <w:r>
        <w:rPr>
          <w:rStyle w:val="16"/>
          <w:rFonts w:ascii="仿宋" w:hAnsi="仿宋" w:eastAsia="仿宋"/>
          <w:bCs/>
          <w:sz w:val="32"/>
          <w:szCs w:val="32"/>
        </w:rPr>
        <w:t>教育</w:t>
      </w:r>
      <w:r>
        <w:rPr>
          <w:rStyle w:val="16"/>
          <w:rFonts w:hint="eastAsia" w:ascii="仿宋" w:hAnsi="仿宋" w:eastAsia="仿宋"/>
          <w:bCs/>
          <w:sz w:val="32"/>
          <w:szCs w:val="32"/>
        </w:rPr>
        <w:t>（0</w:t>
      </w:r>
      <w:r>
        <w:rPr>
          <w:rStyle w:val="16"/>
          <w:rFonts w:hint="eastAsia" w:ascii="仿宋" w:hAnsi="仿宋" w:eastAsia="仿宋"/>
          <w:bCs/>
          <w:sz w:val="32"/>
          <w:szCs w:val="32"/>
          <w:lang w:val="en-US" w:eastAsia="zh-CN"/>
        </w:rPr>
        <w:t>3</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654.21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99.99</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8048931">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Fonts w:hint="eastAsia" w:cs="仿宋_GB2312" w:asciiTheme="minorEastAsia" w:hAnsiTheme="minorEastAsia" w:eastAsiaTheme="minorEastAsia"/>
          <w:sz w:val="32"/>
          <w:szCs w:val="32"/>
        </w:rPr>
        <w:t>（</w:t>
      </w:r>
      <w:r>
        <w:rPr>
          <w:rStyle w:val="16"/>
          <w:rFonts w:hint="eastAsia" w:ascii="仿宋" w:hAnsi="仿宋" w:eastAsia="仿宋"/>
          <w:bCs/>
          <w:sz w:val="32"/>
          <w:szCs w:val="32"/>
        </w:rPr>
        <w:t>208）行政事业单位养老（05）</w:t>
      </w:r>
      <w:r>
        <w:rPr>
          <w:rStyle w:val="16"/>
          <w:rFonts w:hint="eastAsia" w:ascii="仿宋" w:hAnsi="仿宋" w:eastAsia="仿宋"/>
          <w:bCs/>
          <w:sz w:val="32"/>
          <w:szCs w:val="32"/>
          <w:lang w:eastAsia="zh-CN"/>
        </w:rPr>
        <w:t>事业单位离退休</w:t>
      </w:r>
      <w:r>
        <w:rPr>
          <w:rStyle w:val="16"/>
          <w:rFonts w:hint="eastAsia" w:ascii="仿宋" w:hAnsi="仿宋" w:eastAsia="仿宋"/>
          <w:bCs/>
          <w:sz w:val="32"/>
          <w:szCs w:val="32"/>
        </w:rPr>
        <w:t>（0</w:t>
      </w:r>
      <w:r>
        <w:rPr>
          <w:rStyle w:val="16"/>
          <w:rFonts w:hint="eastAsia" w:ascii="仿宋" w:hAnsi="仿宋" w:eastAsia="仿宋"/>
          <w:bCs/>
          <w:sz w:val="32"/>
          <w:szCs w:val="32"/>
          <w:lang w:val="en-US" w:eastAsia="zh-CN"/>
        </w:rPr>
        <w:t>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23.09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99E495A">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Fonts w:hint="eastAsia" w:cs="仿宋_GB2312" w:asciiTheme="minorEastAsia" w:hAnsiTheme="minorEastAsia" w:eastAsiaTheme="minorEastAsia"/>
          <w:sz w:val="32"/>
          <w:szCs w:val="32"/>
        </w:rPr>
        <w:t>（</w:t>
      </w:r>
      <w:r>
        <w:rPr>
          <w:rStyle w:val="16"/>
          <w:rFonts w:hint="eastAsia" w:ascii="仿宋" w:hAnsi="仿宋" w:eastAsia="仿宋"/>
          <w:bCs/>
          <w:sz w:val="32"/>
          <w:szCs w:val="32"/>
        </w:rPr>
        <w:t>208）行政事业单位养老（05）机关事业单位基本养老保险缴费（05）</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9.51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F2A6545">
      <w:pPr>
        <w:spacing w:line="600" w:lineRule="exact"/>
        <w:ind w:firstLine="643" w:firstLineChars="200"/>
        <w:rPr>
          <w:rFonts w:hint="eastAsia"/>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Fonts w:hint="eastAsia" w:cs="仿宋_GB2312" w:asciiTheme="minorEastAsia" w:hAnsiTheme="minorEastAsia" w:eastAsiaTheme="minorEastAsia"/>
          <w:sz w:val="32"/>
          <w:szCs w:val="32"/>
        </w:rPr>
        <w:t>（</w:t>
      </w:r>
      <w:r>
        <w:rPr>
          <w:rStyle w:val="16"/>
          <w:rFonts w:hint="eastAsia" w:ascii="仿宋" w:hAnsi="仿宋" w:eastAsia="仿宋"/>
          <w:bCs/>
          <w:sz w:val="32"/>
          <w:szCs w:val="32"/>
        </w:rPr>
        <w:t>208）行政事业单位养老（05）机关事业单位职业年金缴费支出（0</w:t>
      </w:r>
      <w:r>
        <w:rPr>
          <w:rStyle w:val="16"/>
          <w:rFonts w:hint="eastAsia" w:ascii="仿宋" w:hAnsi="仿宋" w:eastAsia="仿宋"/>
          <w:bCs/>
          <w:sz w:val="32"/>
          <w:szCs w:val="32"/>
          <w:lang w:val="en-US" w:eastAsia="zh-CN"/>
        </w:rPr>
        <w:t>6</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35.53</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1E08FB0">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Fonts w:hint="eastAsia" w:cs="仿宋_GB2312" w:asciiTheme="minorEastAsia" w:hAnsiTheme="minorEastAsia" w:eastAsiaTheme="minorEastAsia"/>
          <w:sz w:val="32"/>
          <w:szCs w:val="32"/>
        </w:rPr>
        <w:t>（</w:t>
      </w:r>
      <w:r>
        <w:rPr>
          <w:rStyle w:val="16"/>
          <w:rFonts w:hint="eastAsia" w:ascii="仿宋" w:hAnsi="仿宋" w:eastAsia="仿宋"/>
          <w:bCs/>
          <w:sz w:val="32"/>
          <w:szCs w:val="32"/>
        </w:rPr>
        <w:t>208）行政事业单位养老（05）</w:t>
      </w:r>
      <w:r>
        <w:rPr>
          <w:rStyle w:val="16"/>
          <w:rFonts w:hint="eastAsia" w:ascii="仿宋" w:hAnsi="仿宋" w:eastAsia="仿宋"/>
          <w:bCs/>
          <w:sz w:val="32"/>
          <w:szCs w:val="32"/>
          <w:lang w:eastAsia="zh-CN"/>
        </w:rPr>
        <w:t>其他行政事业单位养老</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80.96</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B3C61FD">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Fonts w:hint="eastAsia" w:cs="仿宋_GB2312" w:asciiTheme="minorEastAsia" w:hAnsiTheme="minorEastAsia" w:eastAsiaTheme="minorEastAsia"/>
          <w:sz w:val="32"/>
          <w:szCs w:val="32"/>
        </w:rPr>
        <w:t>（</w:t>
      </w:r>
      <w:r>
        <w:rPr>
          <w:rStyle w:val="16"/>
          <w:rFonts w:hint="eastAsia" w:ascii="仿宋" w:hAnsi="仿宋" w:eastAsia="仿宋"/>
          <w:bCs/>
          <w:sz w:val="32"/>
          <w:szCs w:val="32"/>
        </w:rPr>
        <w:t>208）</w:t>
      </w:r>
      <w:r>
        <w:rPr>
          <w:rStyle w:val="16"/>
          <w:rFonts w:hint="eastAsia" w:ascii="仿宋" w:hAnsi="仿宋" w:eastAsia="仿宋"/>
          <w:bCs/>
          <w:sz w:val="32"/>
          <w:szCs w:val="32"/>
          <w:lang w:eastAsia="zh-CN"/>
        </w:rPr>
        <w:t>抚恤</w:t>
      </w:r>
      <w:r>
        <w:rPr>
          <w:rStyle w:val="16"/>
          <w:rFonts w:hint="eastAsia" w:ascii="仿宋" w:hAnsi="仿宋" w:eastAsia="仿宋"/>
          <w:bCs/>
          <w:sz w:val="32"/>
          <w:szCs w:val="32"/>
        </w:rPr>
        <w:t>（0</w:t>
      </w:r>
      <w:r>
        <w:rPr>
          <w:rStyle w:val="16"/>
          <w:rFonts w:hint="eastAsia" w:ascii="仿宋" w:hAnsi="仿宋" w:eastAsia="仿宋"/>
          <w:bCs/>
          <w:sz w:val="32"/>
          <w:szCs w:val="32"/>
          <w:lang w:val="en-US" w:eastAsia="zh-CN"/>
        </w:rPr>
        <w:t>8</w:t>
      </w:r>
      <w:r>
        <w:rPr>
          <w:rStyle w:val="16"/>
          <w:rFonts w:hint="eastAsia" w:ascii="仿宋" w:hAnsi="仿宋" w:eastAsia="仿宋"/>
          <w:bCs/>
          <w:sz w:val="32"/>
          <w:szCs w:val="32"/>
        </w:rPr>
        <w:t>）</w:t>
      </w:r>
      <w:r>
        <w:rPr>
          <w:rStyle w:val="16"/>
          <w:rFonts w:hint="eastAsia" w:ascii="仿宋" w:hAnsi="仿宋" w:eastAsia="仿宋"/>
          <w:bCs/>
          <w:sz w:val="32"/>
          <w:szCs w:val="32"/>
          <w:lang w:eastAsia="zh-CN"/>
        </w:rPr>
        <w:t>死亡抚恤</w:t>
      </w:r>
      <w:r>
        <w:rPr>
          <w:rStyle w:val="16"/>
          <w:rFonts w:hint="eastAsia" w:ascii="仿宋" w:hAnsi="仿宋" w:eastAsia="仿宋"/>
          <w:bCs/>
          <w:sz w:val="32"/>
          <w:szCs w:val="32"/>
        </w:rPr>
        <w:t>（0</w:t>
      </w:r>
      <w:r>
        <w:rPr>
          <w:rStyle w:val="16"/>
          <w:rFonts w:hint="eastAsia" w:ascii="仿宋" w:hAnsi="仿宋" w:eastAsia="仿宋"/>
          <w:bCs/>
          <w:sz w:val="32"/>
          <w:szCs w:val="32"/>
          <w:lang w:val="en-US" w:eastAsia="zh-CN"/>
        </w:rPr>
        <w:t>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3.20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B4B9FC3">
      <w:pPr>
        <w:spacing w:line="600" w:lineRule="exact"/>
        <w:ind w:firstLine="643" w:firstLineChars="200"/>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Fonts w:hint="eastAsia" w:cs="仿宋_GB2312" w:asciiTheme="minorEastAsia" w:hAnsiTheme="minorEastAsia" w:eastAsiaTheme="minorEastAsia"/>
          <w:sz w:val="32"/>
          <w:szCs w:val="32"/>
        </w:rPr>
        <w:t>（</w:t>
      </w:r>
      <w:r>
        <w:rPr>
          <w:rStyle w:val="16"/>
          <w:rFonts w:hint="eastAsia" w:ascii="仿宋" w:hAnsi="仿宋" w:eastAsia="仿宋"/>
          <w:bCs/>
          <w:sz w:val="32"/>
          <w:szCs w:val="32"/>
        </w:rPr>
        <w:t>208）</w:t>
      </w:r>
      <w:r>
        <w:rPr>
          <w:rStyle w:val="16"/>
          <w:rFonts w:hint="eastAsia" w:ascii="仿宋" w:hAnsi="仿宋" w:eastAsia="仿宋"/>
          <w:bCs/>
          <w:sz w:val="32"/>
          <w:szCs w:val="32"/>
          <w:lang w:eastAsia="zh-CN"/>
        </w:rPr>
        <w:t>其他社会保障和就业支出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Cs/>
          <w:sz w:val="32"/>
          <w:szCs w:val="32"/>
          <w:lang w:eastAsia="zh-CN"/>
        </w:rPr>
        <w:t>其他社会保障和就业支出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0.44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453AC7C">
      <w:pPr>
        <w:spacing w:line="600" w:lineRule="exact"/>
        <w:ind w:firstLine="640" w:firstLineChars="200"/>
        <w:rPr>
          <w:rStyle w:val="16"/>
          <w:rFonts w:hint="eastAsia" w:ascii="仿宋" w:hAnsi="仿宋" w:eastAsia="仿宋"/>
          <w:b w:val="0"/>
          <w:bCs/>
          <w:sz w:val="32"/>
          <w:szCs w:val="32"/>
          <w:lang w:val="en-US" w:eastAsia="zh-CN"/>
        </w:rPr>
      </w:pPr>
      <w:r>
        <w:rPr>
          <w:rStyle w:val="16"/>
          <w:rFonts w:hint="eastAsia" w:ascii="仿宋" w:hAnsi="仿宋" w:eastAsia="仿宋"/>
          <w:b w:val="0"/>
          <w:bCs/>
          <w:sz w:val="32"/>
          <w:szCs w:val="32"/>
          <w:lang w:val="en-US" w:eastAsia="zh-CN"/>
        </w:rPr>
        <w:t>10</w:t>
      </w:r>
      <w:r>
        <w:rPr>
          <w:rStyle w:val="16"/>
          <w:rFonts w:ascii="仿宋" w:hAnsi="仿宋" w:eastAsia="仿宋"/>
          <w:b w:val="0"/>
          <w:bCs/>
          <w:sz w:val="32"/>
          <w:szCs w:val="32"/>
        </w:rPr>
        <w:t>.</w:t>
      </w:r>
      <w:r>
        <w:rPr>
          <w:rFonts w:hint="eastAsia" w:ascii="仿宋" w:hAnsi="仿宋" w:eastAsia="仿宋" w:cs="仿宋_GB2312"/>
          <w:b/>
          <w:sz w:val="32"/>
          <w:szCs w:val="32"/>
        </w:rPr>
        <w:t xml:space="preserve"> 卫生健康支出（210）行政事业单位医疗（11）事业单位医疗（02）：</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31.22</w:t>
      </w:r>
      <w:r>
        <w:rPr>
          <w:rStyle w:val="16"/>
          <w:rFonts w:hint="eastAsia" w:ascii="仿宋" w:hAnsi="仿宋" w:eastAsia="仿宋"/>
          <w:b w:val="0"/>
          <w:bCs/>
          <w:sz w:val="32"/>
          <w:szCs w:val="32"/>
        </w:rPr>
        <w:t>万元</w:t>
      </w:r>
      <w:r>
        <w:rPr>
          <w:rStyle w:val="16"/>
          <w:rFonts w:hint="eastAsia" w:ascii="仿宋" w:hAnsi="仿宋" w:eastAsia="仿宋"/>
          <w:bCs/>
          <w:sz w:val="32"/>
          <w:szCs w:val="32"/>
        </w:rPr>
        <w:t>，</w:t>
      </w:r>
      <w:r>
        <w:rPr>
          <w:rFonts w:hint="eastAsia" w:ascii="仿宋" w:hAnsi="仿宋" w:eastAsia="仿宋" w:cs="仿宋_GB2312"/>
          <w:sz w:val="32"/>
          <w:szCs w:val="32"/>
        </w:rPr>
        <w:t>完成预算</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w:t>
      </w:r>
      <w:r>
        <w:rPr>
          <w:rFonts w:hint="eastAsia" w:ascii="仿宋" w:hAnsi="仿宋" w:eastAsia="仿宋" w:cs="仿宋_GB2312"/>
          <w:sz w:val="32"/>
          <w:szCs w:val="32"/>
          <w:lang w:eastAsia="zh-CN"/>
        </w:rPr>
        <w:t>。</w:t>
      </w:r>
    </w:p>
    <w:p w14:paraId="27B0B50F">
      <w:pPr>
        <w:spacing w:line="600" w:lineRule="exact"/>
        <w:ind w:firstLine="643" w:firstLineChars="200"/>
        <w:rPr>
          <w:rFonts w:ascii="仿宋" w:hAnsi="仿宋" w:eastAsia="仿宋"/>
          <w:b/>
          <w:color w:val="auto"/>
          <w:sz w:val="32"/>
          <w:szCs w:val="32"/>
          <w:highlight w:val="none"/>
        </w:rPr>
      </w:pPr>
      <w:bookmarkStart w:id="35" w:name="_Toc113542918"/>
      <w:r>
        <w:rPr>
          <w:rFonts w:hint="eastAsia" w:ascii="仿宋" w:hAnsi="仿宋" w:eastAsia="仿宋" w:cs="仿宋_GB2312"/>
          <w:b/>
          <w:sz w:val="32"/>
          <w:szCs w:val="32"/>
          <w:lang w:val="en-US" w:eastAsia="zh-CN"/>
        </w:rPr>
        <w:t>9</w:t>
      </w:r>
      <w:r>
        <w:rPr>
          <w:rFonts w:hint="eastAsia" w:ascii="仿宋" w:hAnsi="仿宋" w:eastAsia="仿宋" w:cs="仿宋_GB2312"/>
          <w:b/>
          <w:sz w:val="32"/>
          <w:szCs w:val="32"/>
        </w:rPr>
        <w:t>.住房保障支出（221）住房改革支出（02）住房公积金（01）</w:t>
      </w:r>
      <w:r>
        <w:rPr>
          <w:rFonts w:hint="eastAsia" w:ascii="仿宋" w:hAnsi="仿宋" w:eastAsia="仿宋" w:cs="仿宋_GB2312"/>
          <w:sz w:val="32"/>
          <w:szCs w:val="32"/>
        </w:rPr>
        <w:t>:支出决算为</w:t>
      </w:r>
      <w:r>
        <w:rPr>
          <w:rFonts w:hint="eastAsia" w:ascii="仿宋" w:hAnsi="仿宋" w:eastAsia="仿宋" w:cs="仿宋_GB2312"/>
          <w:sz w:val="32"/>
          <w:szCs w:val="32"/>
          <w:lang w:val="en-US" w:eastAsia="zh-CN"/>
        </w:rPr>
        <w:t>16.09</w:t>
      </w:r>
      <w:r>
        <w:rPr>
          <w:rFonts w:hint="eastAsia" w:ascii="仿宋" w:hAnsi="仿宋" w:eastAsia="仿宋" w:cs="仿宋_GB2312"/>
          <w:sz w:val="32"/>
          <w:szCs w:val="32"/>
        </w:rPr>
        <w:t>万元，完成预算100%。</w:t>
      </w:r>
      <w:bookmarkEnd w:id="35"/>
    </w:p>
    <w:p w14:paraId="6CA64BC1">
      <w:pPr>
        <w:tabs>
          <w:tab w:val="right" w:pos="8306"/>
        </w:tabs>
        <w:spacing w:line="600" w:lineRule="exact"/>
        <w:ind w:firstLine="640"/>
        <w:outlineLvl w:val="1"/>
        <w:rPr>
          <w:rStyle w:val="28"/>
          <w:color w:val="auto"/>
          <w:highlight w:val="none"/>
        </w:rPr>
      </w:pPr>
      <w:bookmarkStart w:id="36" w:name="_Toc15396608"/>
      <w:bookmarkStart w:id="37"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6"/>
      <w:bookmarkEnd w:id="37"/>
      <w:r>
        <w:rPr>
          <w:rStyle w:val="28"/>
          <w:rFonts w:ascii="黑体" w:hAnsi="黑体" w:eastAsia="黑体"/>
          <w:b w:val="0"/>
          <w:color w:val="auto"/>
          <w:highlight w:val="none"/>
        </w:rPr>
        <w:tab/>
      </w:r>
    </w:p>
    <w:p w14:paraId="43FA28B0">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892.75</w:t>
      </w:r>
      <w:r>
        <w:rPr>
          <w:rFonts w:hint="eastAsia" w:ascii="仿宋" w:hAnsi="仿宋" w:eastAsia="仿宋"/>
          <w:color w:val="auto"/>
          <w:sz w:val="32"/>
          <w:szCs w:val="32"/>
          <w:highlight w:val="none"/>
        </w:rPr>
        <w:t>万元，其中：</w:t>
      </w:r>
    </w:p>
    <w:p w14:paraId="5762618D">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809.45</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233.43万元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44.16万元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161.55万元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9.51万元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35.53万元、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29.04</w:t>
      </w:r>
      <w:r>
        <w:rPr>
          <w:rFonts w:hint="eastAsia" w:ascii="仿宋" w:hAnsi="仿宋" w:eastAsia="仿宋"/>
          <w:sz w:val="32"/>
          <w:szCs w:val="32"/>
        </w:rPr>
        <w:t>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2.62万元、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16.09万元、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170.29万元</w:t>
      </w:r>
      <w:r>
        <w:rPr>
          <w:rFonts w:hint="eastAsia" w:ascii="仿宋" w:hAnsi="仿宋" w:eastAsia="仿宋"/>
          <w:color w:val="auto"/>
          <w:sz w:val="32"/>
          <w:szCs w:val="32"/>
          <w:highlight w:val="none"/>
        </w:rPr>
        <w:t>、退休费</w:t>
      </w:r>
      <w:r>
        <w:rPr>
          <w:rFonts w:hint="eastAsia" w:ascii="仿宋" w:hAnsi="仿宋" w:eastAsia="仿宋"/>
          <w:color w:val="auto"/>
          <w:sz w:val="32"/>
          <w:szCs w:val="32"/>
          <w:highlight w:val="none"/>
          <w:lang w:val="en-US" w:eastAsia="zh-CN"/>
        </w:rPr>
        <w:t>23.09万元、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3.20万元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80.96万元。</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81.23</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3.88万元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2.3万元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5.43万元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3万元、维修（护）费7.88万元、会议费3.1万元、培训费3.1万元、劳务费7.77万元、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11.10万元、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16.08万元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19.59万元</w:t>
      </w:r>
      <w:r>
        <w:rPr>
          <w:rFonts w:hint="eastAsia" w:ascii="仿宋" w:hAnsi="仿宋" w:eastAsia="仿宋"/>
          <w:color w:val="auto"/>
          <w:sz w:val="32"/>
          <w:szCs w:val="32"/>
          <w:highlight w:val="none"/>
        </w:rPr>
        <w:t>。</w:t>
      </w:r>
    </w:p>
    <w:p w14:paraId="6889316C">
      <w:pPr>
        <w:spacing w:line="600" w:lineRule="exact"/>
        <w:ind w:firstLine="640"/>
        <w:outlineLvl w:val="1"/>
        <w:rPr>
          <w:rStyle w:val="28"/>
          <w:rFonts w:ascii="黑体" w:hAnsi="黑体" w:eastAsia="黑体"/>
          <w:b w:val="0"/>
          <w:color w:val="auto"/>
          <w:highlight w:val="none"/>
        </w:rPr>
      </w:pPr>
      <w:bookmarkStart w:id="38" w:name="_Toc15396609"/>
      <w:bookmarkStart w:id="39" w:name="_Toc15377215"/>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38"/>
      <w:bookmarkEnd w:id="39"/>
    </w:p>
    <w:p w14:paraId="7E087EEB">
      <w:pPr>
        <w:spacing w:line="60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14:paraId="1CBFCC1E">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94CC6DA">
      <w:pPr>
        <w:spacing w:line="600" w:lineRule="exact"/>
        <w:ind w:firstLine="640"/>
        <w:outlineLvl w:val="2"/>
        <w:rPr>
          <w:rFonts w:ascii="仿宋" w:hAnsi="仿宋" w:eastAsia="仿宋"/>
          <w:b/>
          <w:color w:val="auto"/>
          <w:sz w:val="32"/>
          <w:szCs w:val="32"/>
          <w:highlight w:val="none"/>
        </w:rPr>
      </w:pPr>
      <w:bookmarkStart w:id="41" w:name="_Toc15377217"/>
      <w:r>
        <w:rPr>
          <w:rFonts w:hint="eastAsia" w:ascii="仿宋" w:hAnsi="仿宋" w:eastAsia="仿宋"/>
          <w:b/>
          <w:color w:val="auto"/>
          <w:sz w:val="32"/>
          <w:szCs w:val="32"/>
          <w:highlight w:val="none"/>
        </w:rPr>
        <w:t>（二）“三公”经费财政拨款支出决算具体情况说明</w:t>
      </w:r>
      <w:bookmarkEnd w:id="41"/>
    </w:p>
    <w:p w14:paraId="0D00650D">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7F9E471D">
      <w:pPr>
        <w:pStyle w:val="2"/>
        <w:rPr>
          <w:rFonts w:hint="eastAsia" w:ascii="仿宋" w:hAnsi="仿宋" w:eastAsia="仿宋"/>
          <w:color w:val="auto"/>
          <w:sz w:val="32"/>
          <w:szCs w:val="32"/>
          <w:highlight w:val="none"/>
        </w:rPr>
      </w:pPr>
      <w:r>
        <w:drawing>
          <wp:inline distT="0" distB="0" distL="0" distR="0">
            <wp:extent cx="5274310" cy="3076575"/>
            <wp:effectExtent l="5080" t="4445" r="8890"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049C3E">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2D169F6D">
      <w:pPr>
        <w:numPr>
          <w:ilvl w:val="0"/>
          <w:numId w:val="4"/>
        </w:num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决算数持平。</w:t>
      </w:r>
    </w:p>
    <w:p w14:paraId="7097EFB3">
      <w:pPr>
        <w:numPr>
          <w:ilvl w:val="0"/>
          <w:numId w:val="0"/>
        </w:numPr>
        <w:spacing w:line="600" w:lineRule="exact"/>
        <w:ind w:firstLine="643" w:firstLineChars="20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决算数持平。</w:t>
      </w:r>
    </w:p>
    <w:p w14:paraId="4E80653D">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B794719">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37F4C977">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决算书持平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我校控制接待标准，厉行节约</w:t>
      </w:r>
      <w:r>
        <w:rPr>
          <w:rFonts w:hint="eastAsia" w:ascii="仿宋_GB2312" w:eastAsia="仿宋_GB2312"/>
          <w:color w:val="auto"/>
          <w:sz w:val="32"/>
          <w:szCs w:val="32"/>
          <w:highlight w:val="none"/>
        </w:rPr>
        <w:t>。其中：</w:t>
      </w:r>
    </w:p>
    <w:p w14:paraId="096B1FEA">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p>
    <w:p w14:paraId="0D50548B">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bookmarkStart w:id="42" w:name="_Toc15396610"/>
      <w:bookmarkStart w:id="43" w:name="_Toc15377218"/>
    </w:p>
    <w:p w14:paraId="37E0B448">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2"/>
      <w:bookmarkEnd w:id="43"/>
    </w:p>
    <w:p w14:paraId="5FABEE75">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A3AF52B">
      <w:pPr>
        <w:numPr>
          <w:ilvl w:val="0"/>
          <w:numId w:val="5"/>
        </w:numPr>
        <w:spacing w:line="600" w:lineRule="exact"/>
        <w:ind w:firstLine="640"/>
        <w:outlineLvl w:val="1"/>
        <w:rPr>
          <w:rStyle w:val="28"/>
          <w:rFonts w:ascii="黑体" w:hAnsi="黑体" w:eastAsia="黑体"/>
          <w:b w:val="0"/>
          <w:color w:val="auto"/>
          <w:highlight w:val="none"/>
        </w:rPr>
      </w:pPr>
      <w:bookmarkStart w:id="44" w:name="_Toc15377219"/>
      <w:bookmarkStart w:id="45" w:name="_Toc15396611"/>
      <w:r>
        <w:rPr>
          <w:rStyle w:val="28"/>
          <w:rFonts w:hint="eastAsia" w:ascii="黑体" w:hAnsi="黑体" w:eastAsia="黑体"/>
          <w:b w:val="0"/>
          <w:color w:val="auto"/>
          <w:highlight w:val="none"/>
        </w:rPr>
        <w:t>国有资本经营预算支出决算情况说明</w:t>
      </w:r>
      <w:bookmarkEnd w:id="44"/>
      <w:bookmarkEnd w:id="45"/>
    </w:p>
    <w:p w14:paraId="5C5B83C8">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033C177">
      <w:pPr>
        <w:numPr>
          <w:ilvl w:val="0"/>
          <w:numId w:val="5"/>
        </w:numPr>
        <w:spacing w:line="600" w:lineRule="exact"/>
        <w:ind w:firstLine="640"/>
        <w:outlineLvl w:val="1"/>
        <w:rPr>
          <w:rStyle w:val="28"/>
          <w:rFonts w:hint="eastAsia" w:ascii="黑体" w:hAnsi="黑体" w:eastAsia="黑体"/>
          <w:b w:val="0"/>
          <w:color w:val="auto"/>
          <w:highlight w:val="none"/>
        </w:rPr>
      </w:pPr>
      <w:bookmarkStart w:id="46" w:name="_Toc15377221"/>
      <w:bookmarkStart w:id="47" w:name="_Toc15396612"/>
      <w:r>
        <w:rPr>
          <w:rStyle w:val="28"/>
          <w:rFonts w:hint="eastAsia" w:ascii="黑体" w:hAnsi="黑体" w:eastAsia="黑体"/>
          <w:b w:val="0"/>
          <w:color w:val="auto"/>
          <w:highlight w:val="none"/>
        </w:rPr>
        <w:t>其他重要事项的情况说明</w:t>
      </w:r>
      <w:bookmarkEnd w:id="46"/>
      <w:bookmarkEnd w:id="47"/>
    </w:p>
    <w:p w14:paraId="3469F1FC">
      <w:pPr>
        <w:spacing w:line="60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14:paraId="2F0DCCD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年，大竹县四合镇中心小学执行</w:t>
      </w:r>
      <w:r>
        <w:rPr>
          <w:rFonts w:hint="eastAsia" w:ascii="仿宋_GB2312" w:eastAsia="仿宋_GB2312"/>
          <w:color w:val="auto"/>
          <w:sz w:val="32"/>
          <w:szCs w:val="32"/>
          <w:highlight w:val="none"/>
          <w:lang w:eastAsia="zh-CN"/>
        </w:rPr>
        <w:t>政府</w:t>
      </w:r>
      <w:r>
        <w:rPr>
          <w:rFonts w:hint="eastAsia" w:ascii="仿宋_GB2312" w:eastAsia="仿宋_GB2312"/>
          <w:color w:val="auto"/>
          <w:sz w:val="32"/>
          <w:szCs w:val="32"/>
          <w:highlight w:val="none"/>
        </w:rPr>
        <w:t>会计制度，无机关运行经费支出。</w:t>
      </w:r>
    </w:p>
    <w:p w14:paraId="2CE8C77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14:paraId="49EDAF07">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年，大竹县四合镇中心小学无政府采购支出费。</w:t>
      </w:r>
    </w:p>
    <w:p w14:paraId="5DE25F1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14:paraId="3097E20E">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大竹县四合镇中心小学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5A2A7B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17935D38">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根据预算绩效管理要求，</w:t>
      </w:r>
      <w:r>
        <w:rPr>
          <w:rFonts w:hint="eastAsia" w:ascii="仿宋_GB2312" w:hAnsi="仿宋_GB2312" w:eastAsia="仿宋_GB2312" w:cs="仿宋_GB2312"/>
          <w:color w:val="auto"/>
          <w:sz w:val="32"/>
          <w:szCs w:val="32"/>
          <w:highlight w:val="none"/>
          <w:lang w:eastAsia="zh-CN"/>
        </w:rPr>
        <w:t>大竹县四合镇中心小学</w:t>
      </w: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w:t>
      </w:r>
    </w:p>
    <w:p w14:paraId="723D7D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大竹县四合镇中心小学按要求对202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年部门整体支出开展绩效自评，从评价情况来看是很好的。大竹县四合镇中心小学按照上级要求完成规定动作，圆满达到202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年部门整体支出预期目标</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支出绩效自评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w:t>
      </w:r>
      <w:r>
        <w:rPr>
          <w:rFonts w:hint="eastAsia" w:ascii="仿宋_GB2312" w:hAnsi="仿宋_GB2312" w:eastAsia="仿宋_GB2312" w:cs="仿宋_GB2312"/>
          <w:sz w:val="32"/>
          <w:szCs w:val="32"/>
          <w:lang w:eastAsia="zh-CN"/>
        </w:rPr>
        <w:t>表</w:t>
      </w:r>
      <w:r>
        <w:rPr>
          <w:rFonts w:ascii="仿宋_GB2312" w:hAnsi="仿宋_GB2312" w:eastAsia="仿宋_GB2312" w:cs="仿宋_GB2312"/>
          <w:sz w:val="32"/>
          <w:szCs w:val="32"/>
        </w:rPr>
        <w:t>见</w:t>
      </w:r>
      <w:r>
        <w:rPr>
          <w:rFonts w:hint="eastAsia" w:ascii="仿宋_GB2312" w:hAnsi="仿宋_GB2312" w:eastAsia="仿宋_GB2312" w:cs="仿宋_GB2312"/>
          <w:sz w:val="32"/>
          <w:szCs w:val="32"/>
          <w:lang w:eastAsia="zh-CN"/>
        </w:rPr>
        <w:t>第四部分</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p>
    <w:p w14:paraId="7E628BF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大竹县四合镇中心小学</w:t>
      </w:r>
      <w:r>
        <w:rPr>
          <w:rFonts w:hint="eastAsia" w:ascii="仿宋_GB2312" w:hAnsi="仿宋_GB2312" w:eastAsia="仿宋_GB2312" w:cs="仿宋_GB2312"/>
          <w:sz w:val="32"/>
          <w:szCs w:val="32"/>
          <w:lang w:eastAsia="zh-CN"/>
        </w:rPr>
        <w:t>按要求分别对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度的营养餐和校舍维修改造</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专项预算项目</w:t>
      </w:r>
      <w:r>
        <w:rPr>
          <w:rFonts w:hint="eastAsia" w:ascii="仿宋_GB2312" w:hAnsi="仿宋_GB2312" w:eastAsia="仿宋_GB2312" w:cs="仿宋_GB2312"/>
          <w:sz w:val="32"/>
          <w:szCs w:val="32"/>
          <w:lang w:eastAsia="zh-CN"/>
        </w:rPr>
        <w:t>开展绩效自评</w:t>
      </w:r>
      <w:r>
        <w:rPr>
          <w:rFonts w:hint="eastAsia" w:ascii="仿宋_GB2312" w:hAnsi="仿宋_GB2312" w:eastAsia="仿宋_GB2312" w:cs="仿宋_GB2312"/>
          <w:sz w:val="32"/>
          <w:szCs w:val="32"/>
        </w:rPr>
        <w:t>，从评价情况来看是很好的。大竹县四合镇中心小学按照上级要求完成规定动作，圆满达到202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专项预算项目</w:t>
      </w:r>
      <w:r>
        <w:rPr>
          <w:rFonts w:hint="eastAsia" w:ascii="仿宋_GB2312" w:hAnsi="仿宋_GB2312" w:eastAsia="仿宋_GB2312" w:cs="仿宋_GB2312"/>
          <w:sz w:val="32"/>
          <w:szCs w:val="32"/>
        </w:rPr>
        <w:t>支出预期目标</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支出绩效自评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w:t>
      </w:r>
      <w:r>
        <w:rPr>
          <w:rFonts w:hint="eastAsia" w:ascii="仿宋_GB2312" w:hAnsi="仿宋_GB2312" w:eastAsia="仿宋_GB2312" w:cs="仿宋_GB2312"/>
          <w:sz w:val="32"/>
          <w:szCs w:val="32"/>
          <w:lang w:eastAsia="zh-CN"/>
        </w:rPr>
        <w:t>表</w:t>
      </w:r>
      <w:r>
        <w:rPr>
          <w:rFonts w:ascii="仿宋_GB2312" w:hAnsi="仿宋_GB2312" w:eastAsia="仿宋_GB2312" w:cs="仿宋_GB2312"/>
          <w:sz w:val="32"/>
          <w:szCs w:val="32"/>
        </w:rPr>
        <w:t>见</w:t>
      </w:r>
      <w:r>
        <w:rPr>
          <w:rFonts w:hint="eastAsia" w:ascii="仿宋_GB2312" w:hAnsi="仿宋_GB2312" w:eastAsia="仿宋_GB2312" w:cs="仿宋_GB2312"/>
          <w:sz w:val="32"/>
          <w:szCs w:val="32"/>
          <w:lang w:eastAsia="zh-CN"/>
        </w:rPr>
        <w:t>第四部分</w:t>
      </w:r>
      <w:r>
        <w:rPr>
          <w:rFonts w:ascii="仿宋_GB2312" w:hAnsi="仿宋_GB2312" w:eastAsia="仿宋_GB2312" w:cs="仿宋_GB2312"/>
          <w:sz w:val="32"/>
          <w:szCs w:val="32"/>
        </w:rPr>
        <w:t>附件2。</w:t>
      </w:r>
    </w:p>
    <w:p w14:paraId="32FCA247">
      <w:pPr>
        <w:spacing w:line="580" w:lineRule="exact"/>
        <w:ind w:firstLine="420" w:firstLineChars="200"/>
        <w:rPr>
          <w:highlight w:val="yellow"/>
        </w:rPr>
      </w:pPr>
    </w:p>
    <w:p w14:paraId="223EAA34">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C96AD2B">
      <w:pPr>
        <w:numPr>
          <w:ilvl w:val="0"/>
          <w:numId w:val="6"/>
        </w:numPr>
        <w:spacing w:line="600" w:lineRule="exact"/>
        <w:ind w:firstLine="660" w:firstLineChars="150"/>
        <w:jc w:val="center"/>
        <w:outlineLvl w:val="0"/>
        <w:rPr>
          <w:rStyle w:val="27"/>
          <w:rFonts w:ascii="黑体" w:hAnsi="黑体" w:eastAsia="黑体"/>
          <w:b w:val="0"/>
          <w:color w:val="auto"/>
          <w:highlight w:val="none"/>
        </w:rPr>
      </w:pPr>
      <w:bookmarkStart w:id="51" w:name="_Toc15396613"/>
      <w:bookmarkStart w:id="52" w:name="_Toc1537722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51"/>
      <w:bookmarkEnd w:id="52"/>
    </w:p>
    <w:p w14:paraId="6B2BE41D">
      <w:pPr>
        <w:spacing w:line="600" w:lineRule="exact"/>
        <w:jc w:val="left"/>
        <w:rPr>
          <w:rFonts w:ascii="宋体"/>
          <w:b/>
          <w:color w:val="auto"/>
          <w:sz w:val="44"/>
          <w:szCs w:val="44"/>
          <w:highlight w:val="none"/>
        </w:rPr>
      </w:pPr>
    </w:p>
    <w:p w14:paraId="42357B3A">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647015E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22D8A104">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164A9EB4">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14:paraId="1DB82242">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.教育支出(205)普通教育(02)学前教育(01)：指各部门举办的学前教育支出；</w:t>
      </w:r>
    </w:p>
    <w:p w14:paraId="0FDE11D8">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.教育支出(205)普通教育(02)小学教育（02）：指各部门举办的小学教育支出。政府各部门对社会中介组织等举办的小学的资助，如各类捐赠、补贴等，也在本科目中反映。</w:t>
      </w:r>
    </w:p>
    <w:p w14:paraId="44A580A1">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.教育支出(205)普通教育(02)</w:t>
      </w:r>
      <w:r>
        <w:rPr>
          <w:rFonts w:hint="eastAsia" w:ascii="仿宋_GB2312" w:eastAsia="仿宋_GB2312"/>
          <w:sz w:val="32"/>
          <w:szCs w:val="32"/>
          <w:lang w:eastAsia="zh-CN"/>
        </w:rPr>
        <w:t>初中</w:t>
      </w:r>
      <w:r>
        <w:rPr>
          <w:rFonts w:hint="eastAsia" w:ascii="仿宋_GB2312" w:eastAsia="仿宋_GB2312"/>
          <w:sz w:val="32"/>
          <w:szCs w:val="32"/>
        </w:rPr>
        <w:t>教育（0</w:t>
      </w:r>
      <w:r>
        <w:rPr>
          <w:rFonts w:hint="eastAsia" w:ascii="仿宋_GB2312" w:eastAsia="仿宋_GB2312"/>
          <w:sz w:val="32"/>
          <w:szCs w:val="32"/>
          <w:lang w:val="en-US" w:eastAsia="zh-CN"/>
        </w:rPr>
        <w:t>3</w:t>
      </w:r>
      <w:r>
        <w:rPr>
          <w:rFonts w:hint="eastAsia" w:ascii="仿宋_GB2312" w:eastAsia="仿宋_GB2312"/>
          <w:sz w:val="32"/>
          <w:szCs w:val="32"/>
        </w:rPr>
        <w:t>）：指各部门举办的</w:t>
      </w:r>
      <w:r>
        <w:rPr>
          <w:rFonts w:hint="eastAsia" w:ascii="仿宋_GB2312" w:eastAsia="仿宋_GB2312"/>
          <w:sz w:val="32"/>
          <w:szCs w:val="32"/>
          <w:lang w:eastAsia="zh-CN"/>
        </w:rPr>
        <w:t>初中</w:t>
      </w:r>
      <w:r>
        <w:rPr>
          <w:rFonts w:hint="eastAsia" w:ascii="仿宋_GB2312" w:eastAsia="仿宋_GB2312"/>
          <w:sz w:val="32"/>
          <w:szCs w:val="32"/>
        </w:rPr>
        <w:t>教育支出。政府各部门对社会中介组织等举办的</w:t>
      </w:r>
      <w:r>
        <w:rPr>
          <w:rFonts w:hint="eastAsia" w:ascii="仿宋_GB2312" w:eastAsia="仿宋_GB2312"/>
          <w:sz w:val="32"/>
          <w:szCs w:val="32"/>
          <w:lang w:eastAsia="zh-CN"/>
        </w:rPr>
        <w:t>初中</w:t>
      </w:r>
      <w:r>
        <w:rPr>
          <w:rFonts w:hint="eastAsia" w:ascii="仿宋_GB2312" w:eastAsia="仿宋_GB2312"/>
          <w:sz w:val="32"/>
          <w:szCs w:val="32"/>
        </w:rPr>
        <w:t>的资助，如各类捐赠、补贴等，也在本科目中反映。</w:t>
      </w:r>
    </w:p>
    <w:p w14:paraId="15DAD8CF">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.社会保障和就业支出（208）行政事业单位养老支出（05）事业单位</w:t>
      </w:r>
      <w:r>
        <w:rPr>
          <w:rFonts w:hint="eastAsia" w:ascii="仿宋_GB2312" w:eastAsia="仿宋_GB2312"/>
          <w:sz w:val="32"/>
          <w:szCs w:val="32"/>
          <w:lang w:eastAsia="zh-CN"/>
        </w:rPr>
        <w:t>离退休</w:t>
      </w:r>
      <w:r>
        <w:rPr>
          <w:rFonts w:hint="eastAsia" w:ascii="仿宋_GB2312" w:eastAsia="仿宋_GB2312"/>
          <w:sz w:val="32"/>
          <w:szCs w:val="32"/>
        </w:rPr>
        <w:t>（0</w:t>
      </w:r>
      <w:r>
        <w:rPr>
          <w:rFonts w:hint="eastAsia" w:ascii="仿宋_GB2312" w:eastAsia="仿宋_GB2312"/>
          <w:sz w:val="32"/>
          <w:szCs w:val="32"/>
          <w:lang w:val="en-US" w:eastAsia="zh-CN"/>
        </w:rPr>
        <w:t>2</w:t>
      </w:r>
      <w:r>
        <w:rPr>
          <w:rFonts w:hint="eastAsia" w:ascii="仿宋_GB2312" w:eastAsia="仿宋_GB2312"/>
          <w:sz w:val="32"/>
          <w:szCs w:val="32"/>
        </w:rPr>
        <w:t>）：指用于离退人员的离退休经费。</w:t>
      </w:r>
      <w:r>
        <w:rPr>
          <w:rFonts w:hint="eastAsia" w:ascii="仿宋_GB2312" w:eastAsia="仿宋_GB2312"/>
          <w:sz w:val="32"/>
          <w:szCs w:val="32"/>
          <w:lang w:eastAsia="zh-CN"/>
        </w:rPr>
        <w:t>反映</w:t>
      </w:r>
      <w:r>
        <w:rPr>
          <w:rFonts w:hint="eastAsia" w:ascii="仿宋_GB2312" w:eastAsia="仿宋_GB2312"/>
          <w:sz w:val="32"/>
          <w:szCs w:val="32"/>
        </w:rPr>
        <w:t>离休人员的离休费、护理费以及提租补贴、购房补贴、采暖补贴唯闷、物业服务补贴等补贴。</w:t>
      </w:r>
    </w:p>
    <w:p w14:paraId="22F74B64">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.社会保障和就业支出（208）行政事业单位养老支出（05）机关事业单位基本养老保险缴费支出（05）：指机关事业单位养老保险缴费支出，反映机关事业单位实施养老保险制度由单位缴纳的基本养老保险费支出。</w:t>
      </w:r>
    </w:p>
    <w:p w14:paraId="4703AABE">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.社会保障和就业支出（208）行政事业单位养老支出（05）机关事业单位职业年金缴费支出（06）：指机关事业单位个人缴的职业年金。</w:t>
      </w:r>
    </w:p>
    <w:p w14:paraId="1DB134BC">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.社会保障和就业支出（208）行政事业单位养老支出（05）其他行政事业单位养老支出（99）：指机关事业缴的其他养老保险支出。</w:t>
      </w:r>
    </w:p>
    <w:p w14:paraId="69E6FD02">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 社会保障和就业支出（208）抚恤（08）死亡抚恤（01）：指单位退休教师死亡支出的抚恤金。</w:t>
      </w:r>
    </w:p>
    <w:p w14:paraId="68E75EC2">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.卫生健康支出（210）行政事业单位医疗（11）事业单位医疗（02）：支医疗保险支出。</w:t>
      </w:r>
    </w:p>
    <w:p w14:paraId="330311E2">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.住房保障支出（221）住房改革支出（02）住房公积金（01）：指住房公积金支出，反映行政事业单位按人力资源和社会保障部、财政部规定的基本工资和津贴补贴以及规定比例为职工缴纳的住房公积金。</w:t>
      </w:r>
    </w:p>
    <w:p w14:paraId="39A59D5E">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.基本支出：指为保障机构正常运转、完成日常工作任务而发生的人员支出和公用支出。</w:t>
      </w:r>
    </w:p>
    <w:p w14:paraId="236E2D03">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328CEF6D">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0B92C18">
      <w:pPr>
        <w:ind w:firstLine="643" w:firstLineChars="200"/>
        <w:rPr>
          <w:rFonts w:ascii="仿宋" w:hAnsi="仿宋" w:eastAsia="仿宋"/>
          <w:b/>
          <w:sz w:val="32"/>
          <w:szCs w:val="32"/>
        </w:rPr>
      </w:pPr>
    </w:p>
    <w:p w14:paraId="1B3E8714">
      <w:pPr>
        <w:pStyle w:val="25"/>
        <w:spacing w:line="560" w:lineRule="exact"/>
        <w:ind w:firstLine="640" w:firstLineChars="200"/>
        <w:rPr>
          <w:rFonts w:ascii="仿宋_GB2312" w:eastAsia="仿宋_GB2312" w:cs="黑体"/>
          <w:color w:val="auto"/>
          <w:sz w:val="32"/>
          <w:szCs w:val="32"/>
          <w:highlight w:val="none"/>
        </w:rPr>
      </w:pPr>
    </w:p>
    <w:p w14:paraId="60D1C9B7">
      <w:pPr>
        <w:spacing w:line="600" w:lineRule="exact"/>
        <w:jc w:val="center"/>
        <w:outlineLvl w:val="0"/>
        <w:rPr>
          <w:rFonts w:hint="eastAsia" w:ascii="黑体" w:hAnsi="黑体" w:eastAsia="黑体"/>
          <w:color w:val="auto"/>
          <w:sz w:val="44"/>
          <w:szCs w:val="44"/>
          <w:highlight w:val="none"/>
        </w:rPr>
      </w:pPr>
      <w:bookmarkStart w:id="53" w:name="_Toc15396614"/>
      <w:bookmarkStart w:id="54" w:name="_Toc15377226"/>
    </w:p>
    <w:p w14:paraId="781C80A1">
      <w:pPr>
        <w:spacing w:line="600" w:lineRule="exact"/>
        <w:jc w:val="center"/>
        <w:outlineLvl w:val="0"/>
        <w:rPr>
          <w:rFonts w:hint="eastAsia" w:ascii="黑体" w:hAnsi="黑体" w:eastAsia="黑体"/>
          <w:color w:val="auto"/>
          <w:sz w:val="44"/>
          <w:szCs w:val="44"/>
          <w:highlight w:val="none"/>
        </w:rPr>
      </w:pPr>
    </w:p>
    <w:p w14:paraId="2773E8E5">
      <w:pPr>
        <w:spacing w:line="600" w:lineRule="exact"/>
        <w:jc w:val="center"/>
        <w:outlineLvl w:val="0"/>
        <w:rPr>
          <w:rFonts w:hint="eastAsia" w:ascii="黑体" w:hAnsi="黑体" w:eastAsia="黑体"/>
          <w:color w:val="auto"/>
          <w:sz w:val="44"/>
          <w:szCs w:val="44"/>
          <w:highlight w:val="none"/>
        </w:rPr>
      </w:pPr>
    </w:p>
    <w:p w14:paraId="52FBC58B">
      <w:pPr>
        <w:spacing w:line="600" w:lineRule="exact"/>
        <w:jc w:val="center"/>
        <w:outlineLvl w:val="0"/>
        <w:rPr>
          <w:rFonts w:hint="eastAsia" w:ascii="黑体" w:hAnsi="黑体" w:eastAsia="黑体"/>
          <w:color w:val="auto"/>
          <w:sz w:val="44"/>
          <w:szCs w:val="44"/>
          <w:highlight w:val="none"/>
        </w:rPr>
      </w:pPr>
    </w:p>
    <w:p w14:paraId="7D80A657">
      <w:pPr>
        <w:spacing w:line="600" w:lineRule="exact"/>
        <w:jc w:val="center"/>
        <w:outlineLvl w:val="0"/>
        <w:rPr>
          <w:rFonts w:hint="eastAsia" w:ascii="黑体" w:hAnsi="黑体" w:eastAsia="黑体"/>
          <w:color w:val="auto"/>
          <w:sz w:val="44"/>
          <w:szCs w:val="44"/>
          <w:highlight w:val="none"/>
        </w:rPr>
      </w:pPr>
    </w:p>
    <w:p w14:paraId="2C0CE4EE">
      <w:pPr>
        <w:spacing w:line="600" w:lineRule="exact"/>
        <w:jc w:val="center"/>
        <w:outlineLvl w:val="0"/>
        <w:rPr>
          <w:rFonts w:hint="eastAsia" w:ascii="黑体" w:hAnsi="黑体" w:eastAsia="黑体"/>
          <w:color w:val="auto"/>
          <w:sz w:val="44"/>
          <w:szCs w:val="44"/>
          <w:highlight w:val="none"/>
        </w:rPr>
      </w:pPr>
    </w:p>
    <w:p w14:paraId="54B7D715">
      <w:pPr>
        <w:spacing w:line="600" w:lineRule="exact"/>
        <w:jc w:val="center"/>
        <w:outlineLvl w:val="0"/>
        <w:rPr>
          <w:rFonts w:hint="eastAsia" w:ascii="黑体" w:hAnsi="黑体" w:eastAsia="黑体"/>
          <w:color w:val="auto"/>
          <w:sz w:val="44"/>
          <w:szCs w:val="44"/>
          <w:highlight w:val="none"/>
        </w:rPr>
      </w:pPr>
    </w:p>
    <w:p w14:paraId="110A526F">
      <w:pPr>
        <w:spacing w:line="600" w:lineRule="exact"/>
        <w:jc w:val="center"/>
        <w:outlineLvl w:val="0"/>
        <w:rPr>
          <w:rFonts w:hint="eastAsia" w:ascii="黑体" w:hAnsi="黑体" w:eastAsia="黑体"/>
          <w:color w:val="auto"/>
          <w:sz w:val="44"/>
          <w:szCs w:val="44"/>
          <w:highlight w:val="none"/>
        </w:rPr>
      </w:pPr>
    </w:p>
    <w:p w14:paraId="6D5CAB51">
      <w:pPr>
        <w:spacing w:line="600" w:lineRule="exact"/>
        <w:jc w:val="center"/>
        <w:outlineLvl w:val="0"/>
        <w:rPr>
          <w:rFonts w:hint="eastAsia" w:ascii="黑体" w:hAnsi="黑体" w:eastAsia="黑体"/>
          <w:color w:val="auto"/>
          <w:sz w:val="44"/>
          <w:szCs w:val="44"/>
          <w:highlight w:val="none"/>
        </w:rPr>
      </w:pPr>
    </w:p>
    <w:p w14:paraId="0998AC90">
      <w:pPr>
        <w:spacing w:line="600" w:lineRule="exact"/>
        <w:jc w:val="center"/>
        <w:outlineLvl w:val="0"/>
        <w:rPr>
          <w:rFonts w:hint="eastAsia" w:ascii="黑体" w:hAnsi="黑体" w:eastAsia="黑体"/>
          <w:color w:val="auto"/>
          <w:sz w:val="44"/>
          <w:szCs w:val="44"/>
          <w:highlight w:val="none"/>
        </w:rPr>
      </w:pPr>
    </w:p>
    <w:p w14:paraId="0F3CC4F2">
      <w:pPr>
        <w:spacing w:line="600" w:lineRule="exact"/>
        <w:jc w:val="center"/>
        <w:outlineLvl w:val="0"/>
        <w:rPr>
          <w:rFonts w:hint="eastAsia" w:ascii="黑体" w:hAnsi="黑体" w:eastAsia="黑体"/>
          <w:color w:val="auto"/>
          <w:sz w:val="44"/>
          <w:szCs w:val="44"/>
          <w:highlight w:val="none"/>
        </w:rPr>
      </w:pPr>
    </w:p>
    <w:p w14:paraId="37CB4EB6">
      <w:pPr>
        <w:spacing w:line="600" w:lineRule="exact"/>
        <w:jc w:val="center"/>
        <w:outlineLvl w:val="0"/>
        <w:rPr>
          <w:rFonts w:hint="eastAsia" w:ascii="黑体" w:hAnsi="黑体" w:eastAsia="黑体"/>
          <w:color w:val="auto"/>
          <w:sz w:val="44"/>
          <w:szCs w:val="44"/>
          <w:highlight w:val="none"/>
        </w:rPr>
      </w:pPr>
    </w:p>
    <w:p w14:paraId="239BB272">
      <w:pPr>
        <w:spacing w:line="600" w:lineRule="exact"/>
        <w:jc w:val="center"/>
        <w:outlineLvl w:val="0"/>
        <w:rPr>
          <w:rFonts w:hint="eastAsia" w:ascii="黑体" w:hAnsi="黑体" w:eastAsia="黑体"/>
          <w:color w:val="auto"/>
          <w:sz w:val="44"/>
          <w:szCs w:val="44"/>
          <w:highlight w:val="none"/>
        </w:rPr>
      </w:pPr>
    </w:p>
    <w:p w14:paraId="33376244">
      <w:pPr>
        <w:spacing w:line="600" w:lineRule="exact"/>
        <w:jc w:val="center"/>
        <w:outlineLvl w:val="0"/>
        <w:rPr>
          <w:rFonts w:hint="eastAsia" w:ascii="黑体" w:hAnsi="黑体" w:eastAsia="黑体"/>
          <w:color w:val="auto"/>
          <w:sz w:val="44"/>
          <w:szCs w:val="44"/>
          <w:highlight w:val="none"/>
        </w:rPr>
      </w:pPr>
    </w:p>
    <w:p w14:paraId="18C75A7A">
      <w:pPr>
        <w:spacing w:line="600" w:lineRule="exact"/>
        <w:jc w:val="center"/>
        <w:outlineLvl w:val="0"/>
        <w:rPr>
          <w:rStyle w:val="27"/>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3"/>
    </w:p>
    <w:p w14:paraId="62B8DC79">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u w:val="single"/>
          <w:lang w:val="en-US" w:eastAsia="zh-CN"/>
        </w:rPr>
      </w:pPr>
      <w:r>
        <w:rPr>
          <w:rFonts w:hint="eastAsia" w:ascii="黑体" w:hAnsi="黑体" w:eastAsia="黑体" w:cs="黑体"/>
          <w:color w:val="auto"/>
          <w:sz w:val="32"/>
          <w:szCs w:val="32"/>
          <w:highlight w:val="none"/>
          <w:u w:val="single"/>
        </w:rPr>
        <w:t>附件</w:t>
      </w:r>
      <w:r>
        <w:rPr>
          <w:rFonts w:hint="eastAsia" w:ascii="黑体" w:hAnsi="黑体" w:eastAsia="黑体" w:cs="黑体"/>
          <w:color w:val="auto"/>
          <w:sz w:val="32"/>
          <w:szCs w:val="32"/>
          <w:highlight w:val="none"/>
          <w:u w:val="single"/>
          <w:lang w:val="en-US" w:eastAsia="zh-CN"/>
        </w:rPr>
        <w:t>1</w:t>
      </w:r>
    </w:p>
    <w:tbl>
      <w:tblPr>
        <w:tblStyle w:val="14"/>
        <w:tblW w:w="87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844"/>
        <w:gridCol w:w="960"/>
        <w:gridCol w:w="1872"/>
        <w:gridCol w:w="828"/>
        <w:gridCol w:w="828"/>
        <w:gridCol w:w="828"/>
        <w:gridCol w:w="828"/>
        <w:gridCol w:w="829"/>
      </w:tblGrid>
      <w:tr w14:paraId="0522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25" w:type="dxa"/>
            <w:gridSpan w:val="9"/>
            <w:tcBorders>
              <w:top w:val="nil"/>
              <w:left w:val="nil"/>
              <w:bottom w:val="nil"/>
              <w:right w:val="nil"/>
            </w:tcBorders>
            <w:shd w:val="clear" w:color="auto" w:fill="auto"/>
            <w:vAlign w:val="center"/>
          </w:tcPr>
          <w:p w14:paraId="5E2938B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部门整体支出绩效自评表</w:t>
            </w:r>
          </w:p>
        </w:tc>
      </w:tr>
      <w:tr w14:paraId="128C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7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648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6166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7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3BDA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4C9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BF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D05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大竹县四合镇中心小学</w:t>
            </w:r>
          </w:p>
        </w:tc>
      </w:tr>
      <w:tr w14:paraId="657F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EC26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年度部门整体支出预算</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92E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资金总额</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F749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财政拨款</w:t>
            </w: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F008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r>
      <w:tr w14:paraId="7892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5D34">
            <w:pPr>
              <w:jc w:val="center"/>
              <w:rPr>
                <w:rFonts w:hint="eastAsia" w:ascii="宋体" w:hAnsi="宋体" w:eastAsia="宋体" w:cs="宋体"/>
                <w:i w:val="0"/>
                <w:iCs w:val="0"/>
                <w:color w:val="000000"/>
                <w:sz w:val="15"/>
                <w:szCs w:val="15"/>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EA1C">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933.86</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F3DA">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933.86</w:t>
            </w: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6343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r>
      <w:tr w14:paraId="3CBB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19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年度总体目标</w:t>
            </w:r>
          </w:p>
        </w:tc>
        <w:tc>
          <w:tcPr>
            <w:tcW w:w="78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95E6AB">
            <w:pPr>
              <w:keepNext w:val="0"/>
              <w:keepLines w:val="0"/>
              <w:widowControl/>
              <w:suppressLineNumbers w:val="0"/>
              <w:jc w:val="both"/>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坚决执行党和国家的方针政策；管好用好国家的教育资金，改善和优化农村的办学条件；把教育教学质量放在首位，提高教师从教的幸福感，办人民 满意教育；保障学校全体师生的正常办公、学习和生活秩序。;坚决执行党和国家的方针政策；管好用好国家的教育资金，改善和优化农村的办学条件；把教育教学质量放在首位，提高教师从教的幸福感，办人民 满意教育；保障学校全体师生的正常办公、学习和生活秩序。;坚决执行党和国家的方针政策；管好用好国家的教育资金，改善和优化农村的办学条件；把教育教学质量放在首位，提高教师从教的幸福感，办人民 满意教育；保障学校全体师生的正常办公、学习和生活秩序。;</w:t>
            </w:r>
          </w:p>
        </w:tc>
      </w:tr>
      <w:tr w14:paraId="400B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6F0D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年度主要任务</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9DFF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任务名称</w:t>
            </w:r>
          </w:p>
        </w:tc>
        <w:tc>
          <w:tcPr>
            <w:tcW w:w="6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DD2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主要内容</w:t>
            </w:r>
          </w:p>
        </w:tc>
      </w:tr>
      <w:tr w14:paraId="12F7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0CA4">
            <w:pPr>
              <w:jc w:val="center"/>
              <w:rPr>
                <w:rFonts w:hint="eastAsia" w:ascii="宋体" w:hAnsi="宋体" w:eastAsia="宋体" w:cs="宋体"/>
                <w:i w:val="0"/>
                <w:iCs w:val="0"/>
                <w:color w:val="000000"/>
                <w:sz w:val="15"/>
                <w:szCs w:val="15"/>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422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学校建设</w:t>
            </w:r>
          </w:p>
        </w:tc>
        <w:tc>
          <w:tcPr>
            <w:tcW w:w="6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96DF5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全面落实党的教育方针政策和法律法规，履行中小学教育管理职责，完成教育主管部门和同级政府部门下达的工作目标，确保中小学各项工作顺利开展。</w:t>
            </w:r>
          </w:p>
        </w:tc>
      </w:tr>
      <w:tr w14:paraId="4BE1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7726">
            <w:pPr>
              <w:jc w:val="center"/>
              <w:rPr>
                <w:rFonts w:hint="eastAsia" w:ascii="宋体" w:hAnsi="宋体" w:eastAsia="宋体" w:cs="宋体"/>
                <w:i w:val="0"/>
                <w:iCs w:val="0"/>
                <w:color w:val="000000"/>
                <w:sz w:val="15"/>
                <w:szCs w:val="15"/>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106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教师队伍建设</w:t>
            </w:r>
          </w:p>
        </w:tc>
        <w:tc>
          <w:tcPr>
            <w:tcW w:w="6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B463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切实加强队伍建设，制定业务培训计划和教研计划，提高教学水平，不定期进行师德教育，全面提高教师形象。</w:t>
            </w:r>
          </w:p>
        </w:tc>
      </w:tr>
      <w:tr w14:paraId="2B84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DF57">
            <w:pPr>
              <w:jc w:val="center"/>
              <w:rPr>
                <w:rFonts w:hint="eastAsia" w:ascii="宋体" w:hAnsi="宋体" w:eastAsia="宋体" w:cs="宋体"/>
                <w:i w:val="0"/>
                <w:iCs w:val="0"/>
                <w:color w:val="000000"/>
                <w:sz w:val="15"/>
                <w:szCs w:val="15"/>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AC07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学生全面发展</w:t>
            </w:r>
          </w:p>
        </w:tc>
        <w:tc>
          <w:tcPr>
            <w:tcW w:w="6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71ED1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促进学生德、智、体、美全面发展。</w:t>
            </w:r>
          </w:p>
        </w:tc>
      </w:tr>
      <w:tr w14:paraId="0B3E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4C2C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年度绩效指标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B7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410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6CC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0FA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绩效指标性质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4E1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864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绩效度量单位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5B1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4F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实际完成指标值</w:t>
            </w:r>
          </w:p>
        </w:tc>
      </w:tr>
      <w:tr w14:paraId="3523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5B18">
            <w:pPr>
              <w:jc w:val="center"/>
              <w:rPr>
                <w:rFonts w:hint="eastAsia" w:ascii="宋体" w:hAnsi="宋体" w:eastAsia="宋体" w:cs="宋体"/>
                <w:i w:val="0"/>
                <w:iCs w:val="0"/>
                <w:color w:val="000000"/>
                <w:sz w:val="15"/>
                <w:szCs w:val="15"/>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8096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77AA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1FD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定期开展留守儿童亲情交流活动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926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CB5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10B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F74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18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10E4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2A1A">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ED93">
            <w:pPr>
              <w:jc w:val="left"/>
              <w:rPr>
                <w:rFonts w:hint="eastAsia" w:ascii="宋体" w:hAnsi="宋体" w:eastAsia="宋体" w:cs="宋体"/>
                <w:i w:val="0"/>
                <w:iCs w:val="0"/>
                <w:color w:val="000000"/>
                <w:sz w:val="15"/>
                <w:szCs w:val="15"/>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2EA4">
            <w:pPr>
              <w:jc w:val="left"/>
              <w:rPr>
                <w:rFonts w:hint="eastAsia" w:ascii="宋体" w:hAnsi="宋体" w:eastAsia="宋体" w:cs="宋体"/>
                <w:i w:val="0"/>
                <w:iCs w:val="0"/>
                <w:color w:val="000000"/>
                <w:sz w:val="15"/>
                <w:szCs w:val="15"/>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01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公开课、教研课、教学论文交流</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107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32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E6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9CB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5A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7630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126C">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DC16">
            <w:pPr>
              <w:jc w:val="left"/>
              <w:rPr>
                <w:rFonts w:hint="eastAsia" w:ascii="宋体" w:hAnsi="宋体" w:eastAsia="宋体" w:cs="宋体"/>
                <w:i w:val="0"/>
                <w:iCs w:val="0"/>
                <w:color w:val="000000"/>
                <w:sz w:val="15"/>
                <w:szCs w:val="15"/>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214D">
            <w:pPr>
              <w:jc w:val="left"/>
              <w:rPr>
                <w:rFonts w:hint="eastAsia" w:ascii="宋体" w:hAnsi="宋体" w:eastAsia="宋体" w:cs="宋体"/>
                <w:i w:val="0"/>
                <w:iCs w:val="0"/>
                <w:color w:val="000000"/>
                <w:sz w:val="15"/>
                <w:szCs w:val="15"/>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054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学生健康体质检测通过率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850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D9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836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6C9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55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w:t>
            </w:r>
          </w:p>
        </w:tc>
      </w:tr>
      <w:tr w14:paraId="2BAD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64B0">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F136">
            <w:pPr>
              <w:jc w:val="left"/>
              <w:rPr>
                <w:rFonts w:hint="eastAsia" w:ascii="宋体" w:hAnsi="宋体" w:eastAsia="宋体" w:cs="宋体"/>
                <w:i w:val="0"/>
                <w:iCs w:val="0"/>
                <w:color w:val="000000"/>
                <w:sz w:val="15"/>
                <w:szCs w:val="15"/>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1A51">
            <w:pPr>
              <w:jc w:val="left"/>
              <w:rPr>
                <w:rFonts w:hint="eastAsia" w:ascii="宋体" w:hAnsi="宋体" w:eastAsia="宋体" w:cs="宋体"/>
                <w:i w:val="0"/>
                <w:iCs w:val="0"/>
                <w:color w:val="000000"/>
                <w:sz w:val="15"/>
                <w:szCs w:val="15"/>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21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专项整治教育四乱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BC6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5DF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C8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8A6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06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100&amp;</w:t>
            </w:r>
          </w:p>
        </w:tc>
      </w:tr>
      <w:tr w14:paraId="2605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AA76">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6543">
            <w:pPr>
              <w:jc w:val="left"/>
              <w:rPr>
                <w:rFonts w:hint="eastAsia" w:ascii="宋体" w:hAnsi="宋体" w:eastAsia="宋体" w:cs="宋体"/>
                <w:i w:val="0"/>
                <w:iCs w:val="0"/>
                <w:color w:val="000000"/>
                <w:sz w:val="15"/>
                <w:szCs w:val="15"/>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E85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975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开展德育、体育比赛活动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5D7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2E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EDF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32D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22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5514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BA71">
            <w:pPr>
              <w:jc w:val="center"/>
              <w:rPr>
                <w:rFonts w:hint="eastAsia" w:ascii="宋体" w:hAnsi="宋体" w:eastAsia="宋体" w:cs="宋体"/>
                <w:i w:val="0"/>
                <w:iCs w:val="0"/>
                <w:color w:val="000000"/>
                <w:sz w:val="15"/>
                <w:szCs w:val="15"/>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ECB6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69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E7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维护学生合法权益</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4EB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3EE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382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242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CA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r>
      <w:tr w14:paraId="2872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5FD7">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051C">
            <w:pPr>
              <w:jc w:val="left"/>
              <w:rPr>
                <w:rFonts w:hint="eastAsia" w:ascii="宋体" w:hAnsi="宋体" w:eastAsia="宋体" w:cs="宋体"/>
                <w:i w:val="0"/>
                <w:iCs w:val="0"/>
                <w:color w:val="000000"/>
                <w:sz w:val="15"/>
                <w:szCs w:val="15"/>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8F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可持续发展指标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D5F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对学生健康影响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C3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09C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E64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B79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3A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2BBB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59132">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42FE2">
            <w:pPr>
              <w:jc w:val="left"/>
              <w:rPr>
                <w:rFonts w:hint="eastAsia" w:ascii="宋体" w:hAnsi="宋体" w:eastAsia="宋体" w:cs="宋体"/>
                <w:i w:val="0"/>
                <w:iCs w:val="0"/>
                <w:color w:val="000000"/>
                <w:sz w:val="15"/>
                <w:szCs w:val="15"/>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7FC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4F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对学校、学生教育胡持续影响率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278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1C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512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623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5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r>
      <w:tr w14:paraId="05BA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04D9">
            <w:pPr>
              <w:jc w:val="center"/>
              <w:rPr>
                <w:rFonts w:hint="eastAsia" w:ascii="宋体" w:hAnsi="宋体" w:eastAsia="宋体" w:cs="宋体"/>
                <w:i w:val="0"/>
                <w:iCs w:val="0"/>
                <w:color w:val="000000"/>
                <w:sz w:val="15"/>
                <w:szCs w:val="15"/>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5BC3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4A73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8C4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让社会满意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C2A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0C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887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5ED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FB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r>
      <w:tr w14:paraId="4CF8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E4A6">
            <w:pPr>
              <w:jc w:val="center"/>
              <w:rPr>
                <w:rFonts w:hint="eastAsia" w:ascii="宋体" w:hAnsi="宋体" w:eastAsia="宋体" w:cs="宋体"/>
                <w:i w:val="0"/>
                <w:iCs w:val="0"/>
                <w:color w:val="000000"/>
                <w:sz w:val="15"/>
                <w:szCs w:val="15"/>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2676">
            <w:pPr>
              <w:jc w:val="left"/>
              <w:rPr>
                <w:rFonts w:hint="eastAsia" w:ascii="宋体" w:hAnsi="宋体" w:eastAsia="宋体" w:cs="宋体"/>
                <w:i w:val="0"/>
                <w:iCs w:val="0"/>
                <w:color w:val="000000"/>
                <w:sz w:val="15"/>
                <w:szCs w:val="15"/>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93FE">
            <w:pPr>
              <w:jc w:val="left"/>
              <w:rPr>
                <w:rFonts w:hint="eastAsia" w:ascii="宋体" w:hAnsi="宋体" w:eastAsia="宋体" w:cs="宋体"/>
                <w:i w:val="0"/>
                <w:iCs w:val="0"/>
                <w:color w:val="000000"/>
                <w:sz w:val="15"/>
                <w:szCs w:val="15"/>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CF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让家长、学生满意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98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31C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748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D6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94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r>
      <w:tr w14:paraId="4405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9"/>
            <w:tcBorders>
              <w:top w:val="nil"/>
              <w:left w:val="nil"/>
              <w:bottom w:val="nil"/>
              <w:right w:val="nil"/>
            </w:tcBorders>
            <w:shd w:val="clear" w:color="auto" w:fill="auto"/>
            <w:noWrap/>
            <w:vAlign w:val="center"/>
          </w:tcPr>
          <w:p w14:paraId="26B32F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主要领导：周世凯                分管领导：刘辰杰     </w:t>
            </w:r>
          </w:p>
        </w:tc>
      </w:tr>
    </w:tbl>
    <w:p w14:paraId="31A637F6">
      <w:pPr>
        <w:keepNext w:val="0"/>
        <w:keepLines w:val="0"/>
        <w:pageBreakBefore w:val="0"/>
        <w:kinsoku/>
        <w:wordWrap/>
        <w:overflowPunct/>
        <w:topLinePunct w:val="0"/>
        <w:autoSpaceDE/>
        <w:autoSpaceDN/>
        <w:bidi w:val="0"/>
        <w:spacing w:line="572" w:lineRule="exact"/>
        <w:jc w:val="left"/>
        <w:textAlignment w:val="auto"/>
        <w:outlineLvl w:val="0"/>
        <w:rPr>
          <w:rFonts w:hint="eastAsia"/>
          <w:lang w:val="zh-CN" w:eastAsia="zh-CN"/>
        </w:rPr>
      </w:pPr>
      <w:r>
        <w:rPr>
          <w:rFonts w:hint="eastAsia" w:ascii="黑体" w:hAnsi="黑体" w:eastAsia="黑体" w:cs="黑体"/>
          <w:color w:val="auto"/>
          <w:sz w:val="32"/>
          <w:szCs w:val="32"/>
          <w:highlight w:val="none"/>
          <w:u w:val="single"/>
        </w:rPr>
        <w:t>附件</w:t>
      </w:r>
      <w:r>
        <w:rPr>
          <w:rFonts w:hint="eastAsia" w:ascii="黑体" w:hAnsi="黑体" w:eastAsia="黑体" w:cs="黑体"/>
          <w:color w:val="auto"/>
          <w:sz w:val="32"/>
          <w:szCs w:val="32"/>
          <w:highlight w:val="none"/>
          <w:u w:val="single"/>
          <w:lang w:val="en-US" w:eastAsia="zh-CN"/>
        </w:rPr>
        <w:t>2</w:t>
      </w:r>
    </w:p>
    <w:tbl>
      <w:tblPr>
        <w:tblStyle w:val="14"/>
        <w:tblW w:w="905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830"/>
        <w:gridCol w:w="680"/>
        <w:gridCol w:w="915"/>
        <w:gridCol w:w="650"/>
        <w:gridCol w:w="451"/>
        <w:gridCol w:w="633"/>
        <w:gridCol w:w="977"/>
        <w:gridCol w:w="486"/>
        <w:gridCol w:w="486"/>
        <w:gridCol w:w="2243"/>
      </w:tblGrid>
      <w:tr w14:paraId="0206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ADE56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5"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703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480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A2C5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51172422T000005729549-营养餐</w:t>
            </w:r>
          </w:p>
        </w:tc>
      </w:tr>
      <w:tr w14:paraId="1825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A8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603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大竹县四合镇中心小学部门</w:t>
            </w:r>
          </w:p>
        </w:tc>
        <w:tc>
          <w:tcPr>
            <w:tcW w:w="977" w:type="dxa"/>
            <w:tcBorders>
              <w:top w:val="nil"/>
              <w:left w:val="nil"/>
              <w:bottom w:val="nil"/>
              <w:right w:val="nil"/>
            </w:tcBorders>
            <w:shd w:val="clear" w:color="auto" w:fill="auto"/>
            <w:vAlign w:val="center"/>
          </w:tcPr>
          <w:p w14:paraId="0209E9D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57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大竹县四合镇中心小学</w:t>
            </w:r>
          </w:p>
        </w:tc>
      </w:tr>
      <w:tr w14:paraId="0EFB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713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B56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AE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B6BD2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557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DC7F">
            <w:pPr>
              <w:rPr>
                <w:rFonts w:hint="eastAsia" w:ascii="宋体" w:hAnsi="宋体" w:eastAsia="宋体" w:cs="宋体"/>
                <w:i w:val="0"/>
                <w:iCs w:val="0"/>
                <w:color w:val="000000"/>
                <w:sz w:val="18"/>
                <w:szCs w:val="18"/>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DE29">
            <w:pPr>
              <w:rPr>
                <w:rFonts w:hint="eastAsia" w:ascii="宋体" w:hAnsi="宋体" w:eastAsia="宋体" w:cs="宋体"/>
                <w:i w:val="0"/>
                <w:iCs w:val="0"/>
                <w:color w:val="000000"/>
                <w:sz w:val="18"/>
                <w:szCs w:val="18"/>
                <w:u w:val="none"/>
              </w:rPr>
            </w:pPr>
          </w:p>
        </w:tc>
        <w:tc>
          <w:tcPr>
            <w:tcW w:w="3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49EA3">
            <w:pP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严格执行党和国家要求，财政保障资金，让学生使用安全卫生的营养餐。</w:t>
            </w:r>
          </w:p>
        </w:tc>
        <w:tc>
          <w:tcPr>
            <w:tcW w:w="4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D2CAA">
            <w:pPr>
              <w:keepNext w:val="0"/>
              <w:keepLines w:val="0"/>
              <w:widowControl/>
              <w:suppressLineNumbers w:val="0"/>
              <w:jc w:val="left"/>
              <w:textAlignment w:val="center"/>
              <w:rPr>
                <w:rFonts w:hint="eastAsia" w:ascii="黑体" w:hAnsi="黑体" w:eastAsia="黑体" w:cs="黑体"/>
                <w:i w:val="0"/>
                <w:iCs w:val="0"/>
                <w:color w:val="000000"/>
                <w:sz w:val="18"/>
                <w:szCs w:val="18"/>
                <w:u w:val="none"/>
                <w:lang w:eastAsia="zh-CN"/>
              </w:rPr>
            </w:pPr>
            <w:r>
              <w:rPr>
                <w:rFonts w:hint="eastAsia" w:ascii="黑体" w:hAnsi="黑体" w:eastAsia="黑体" w:cs="黑体"/>
                <w:i w:val="0"/>
                <w:iCs w:val="0"/>
                <w:color w:val="000000"/>
                <w:sz w:val="18"/>
                <w:szCs w:val="18"/>
                <w:u w:val="none"/>
                <w:lang w:eastAsia="zh-CN"/>
              </w:rPr>
              <w:t>在上级领导下，经过上级领导和师生家长的监督，我校营养餐资金得到财政保障，完全用于学生营养餐，顺利完成年度目标。</w:t>
            </w:r>
          </w:p>
        </w:tc>
      </w:tr>
      <w:tr w14:paraId="4630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D349">
            <w:pP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FF64FE">
            <w:pP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我校为完成营养餐年度目标，</w:t>
            </w:r>
            <w:r>
              <w:rPr>
                <w:rFonts w:hint="eastAsia" w:ascii="宋体" w:hAnsi="宋体" w:cs="宋体"/>
                <w:i w:val="0"/>
                <w:iCs w:val="0"/>
                <w:color w:val="000000"/>
                <w:sz w:val="18"/>
                <w:szCs w:val="18"/>
                <w:u w:val="none"/>
                <w:lang w:val="en-US" w:eastAsia="zh-CN"/>
              </w:rPr>
              <w:t>严格执行党和国家要求，成立营养餐工作小组，严格执行采购制度，食品加工制度，合理安排膳食，财政保障资金到位，顺利完全营养餐工作。</w:t>
            </w:r>
          </w:p>
        </w:tc>
      </w:tr>
      <w:tr w14:paraId="2BCE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A9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4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8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0E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1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7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0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3A9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685B9">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B14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4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B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21.32</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B8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3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49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9F818">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营养餐预算执行情况好，资金保证到位，完全用于学生营养餐。</w:t>
            </w:r>
          </w:p>
        </w:tc>
      </w:tr>
      <w:tr w14:paraId="3F97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4310">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46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A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A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21.32</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AA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7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2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0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1DACD">
            <w:pPr>
              <w:rPr>
                <w:rFonts w:hint="eastAsia" w:ascii="黑体" w:hAnsi="黑体" w:eastAsia="黑体" w:cs="黑体"/>
                <w:i/>
                <w:iCs/>
                <w:color w:val="000000"/>
                <w:sz w:val="18"/>
                <w:szCs w:val="18"/>
                <w:u w:val="none"/>
              </w:rPr>
            </w:pPr>
          </w:p>
        </w:tc>
      </w:tr>
      <w:tr w14:paraId="658F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E4874">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35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4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D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E0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8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A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F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DF5EA">
            <w:pPr>
              <w:rPr>
                <w:rFonts w:hint="eastAsia" w:ascii="黑体" w:hAnsi="黑体" w:eastAsia="黑体" w:cs="黑体"/>
                <w:i/>
                <w:iCs/>
                <w:color w:val="000000"/>
                <w:sz w:val="18"/>
                <w:szCs w:val="18"/>
                <w:u w:val="none"/>
              </w:rPr>
            </w:pPr>
          </w:p>
        </w:tc>
      </w:tr>
      <w:tr w14:paraId="145F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F89A">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D0A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E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90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5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C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80A74">
            <w:pPr>
              <w:rPr>
                <w:rFonts w:hint="eastAsia" w:ascii="黑体" w:hAnsi="黑体" w:eastAsia="黑体" w:cs="黑体"/>
                <w:i/>
                <w:iCs/>
                <w:color w:val="000000"/>
                <w:sz w:val="18"/>
                <w:szCs w:val="18"/>
                <w:u w:val="none"/>
              </w:rPr>
            </w:pPr>
          </w:p>
        </w:tc>
      </w:tr>
      <w:tr w14:paraId="7074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3EDA">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BD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AF4F">
            <w:pPr>
              <w:jc w:val="center"/>
              <w:rPr>
                <w:rFonts w:hint="eastAsia" w:ascii="微软雅黑" w:hAnsi="微软雅黑" w:eastAsia="微软雅黑" w:cs="微软雅黑"/>
                <w:i/>
                <w:iCs/>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9CBA">
            <w:pPr>
              <w:jc w:val="center"/>
              <w:rPr>
                <w:rFonts w:hint="eastAsia" w:ascii="微软雅黑" w:hAnsi="微软雅黑" w:eastAsia="微软雅黑" w:cs="微软雅黑"/>
                <w:i/>
                <w:iCs/>
                <w:color w:val="000000"/>
                <w:sz w:val="16"/>
                <w:szCs w:val="16"/>
                <w:u w:val="none"/>
              </w:rPr>
            </w:pPr>
          </w:p>
        </w:tc>
        <w:tc>
          <w:tcPr>
            <w:tcW w:w="1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E8F9E">
            <w:pPr>
              <w:jc w:val="center"/>
              <w:rPr>
                <w:rFonts w:hint="eastAsia" w:ascii="微软雅黑" w:hAnsi="微软雅黑" w:eastAsia="微软雅黑" w:cs="微软雅黑"/>
                <w:i/>
                <w:iCs/>
                <w:color w:val="000000"/>
                <w:sz w:val="16"/>
                <w:szCs w:val="16"/>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52E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B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5C7B">
            <w:pPr>
              <w:rPr>
                <w:rFonts w:hint="eastAsia" w:ascii="黑体" w:hAnsi="黑体" w:eastAsia="黑体" w:cs="黑体"/>
                <w:i/>
                <w:iCs/>
                <w:color w:val="000000"/>
                <w:sz w:val="18"/>
                <w:szCs w:val="18"/>
                <w:u w:val="none"/>
              </w:rPr>
            </w:pPr>
          </w:p>
        </w:tc>
      </w:tr>
      <w:tr w14:paraId="3A46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9F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D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9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4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C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B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2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4E9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D840">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4176">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满意度</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BEC8">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社会效益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62D">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全校学生覆盖</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BDA7">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社会效益</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ACE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B84">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B976">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5AD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B48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DF97">
            <w:pPr>
              <w:jc w:val="center"/>
              <w:rPr>
                <w:rFonts w:hint="eastAsia" w:ascii="微软雅黑" w:hAnsi="微软雅黑" w:eastAsia="微软雅黑" w:cs="微软雅黑"/>
                <w:i/>
                <w:iCs/>
                <w:color w:val="000000"/>
                <w:sz w:val="16"/>
                <w:szCs w:val="16"/>
                <w:u w:val="none"/>
              </w:rPr>
            </w:pPr>
          </w:p>
        </w:tc>
      </w:tr>
      <w:tr w14:paraId="0BF8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784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EDFC">
            <w:pPr>
              <w:rPr>
                <w:rFonts w:hint="eastAsia" w:ascii="宋体" w:hAnsi="宋体" w:eastAsia="宋体" w:cs="宋体"/>
                <w:i w:val="0"/>
                <w:iCs w:val="0"/>
                <w:color w:val="000000"/>
                <w:sz w:val="18"/>
                <w:szCs w:val="18"/>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AEB">
            <w:pPr>
              <w:rPr>
                <w:rFonts w:hint="eastAsia" w:ascii="宋体" w:hAnsi="宋体" w:eastAsia="宋体" w:cs="宋体"/>
                <w:i w:val="0"/>
                <w:iCs w:val="0"/>
                <w:color w:val="000000"/>
                <w:sz w:val="18"/>
                <w:szCs w:val="18"/>
                <w:u w:val="none"/>
              </w:rPr>
            </w:pPr>
          </w:p>
        </w:tc>
      </w:tr>
      <w:tr w14:paraId="2D64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6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0D13F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在财政资金有力的保障下，我校营养餐工作完成情况良好，顺利完成年度工作目标。</w:t>
            </w:r>
          </w:p>
        </w:tc>
      </w:tr>
      <w:tr w14:paraId="5382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0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C1B73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在这一年，营养餐问题在于资金到位比较及时，能及时保障营养餐工作运转。</w:t>
            </w:r>
          </w:p>
        </w:tc>
      </w:tr>
      <w:tr w14:paraId="2870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2AB1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希望在今后的工作中，多多学习更好的保障营养餐资金使用工作。</w:t>
            </w:r>
          </w:p>
        </w:tc>
      </w:tr>
      <w:tr w14:paraId="2F9D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B82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项目负责人：周世凯</w:t>
            </w:r>
          </w:p>
        </w:tc>
        <w:tc>
          <w:tcPr>
            <w:tcW w:w="5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8B39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财务负责人：刘辰杰</w:t>
            </w:r>
          </w:p>
        </w:tc>
      </w:tr>
      <w:tr w14:paraId="702D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03" w:type="dxa"/>
            <w:tcBorders>
              <w:top w:val="nil"/>
              <w:left w:val="nil"/>
              <w:bottom w:val="nil"/>
              <w:right w:val="nil"/>
            </w:tcBorders>
            <w:shd w:val="clear" w:color="auto" w:fill="auto"/>
            <w:vAlign w:val="center"/>
          </w:tcPr>
          <w:p w14:paraId="4BC9E8AC">
            <w:pPr>
              <w:rPr>
                <w:rFonts w:hint="eastAsia" w:ascii="宋体" w:hAnsi="宋体" w:eastAsia="宋体" w:cs="宋体"/>
                <w:i w:val="0"/>
                <w:iCs w:val="0"/>
                <w:color w:val="000000"/>
                <w:sz w:val="18"/>
                <w:szCs w:val="18"/>
                <w:u w:val="none"/>
              </w:rPr>
            </w:pPr>
          </w:p>
        </w:tc>
        <w:tc>
          <w:tcPr>
            <w:tcW w:w="830" w:type="dxa"/>
            <w:tcBorders>
              <w:top w:val="nil"/>
              <w:left w:val="nil"/>
              <w:bottom w:val="nil"/>
              <w:right w:val="nil"/>
            </w:tcBorders>
            <w:shd w:val="clear" w:color="auto" w:fill="auto"/>
            <w:vAlign w:val="center"/>
          </w:tcPr>
          <w:p w14:paraId="09F04AFA">
            <w:pPr>
              <w:rPr>
                <w:rFonts w:hint="eastAsia" w:ascii="宋体" w:hAnsi="宋体" w:eastAsia="宋体" w:cs="宋体"/>
                <w:i w:val="0"/>
                <w:iCs w:val="0"/>
                <w:color w:val="000000"/>
                <w:sz w:val="18"/>
                <w:szCs w:val="18"/>
                <w:u w:val="none"/>
              </w:rPr>
            </w:pPr>
          </w:p>
        </w:tc>
        <w:tc>
          <w:tcPr>
            <w:tcW w:w="680" w:type="dxa"/>
            <w:tcBorders>
              <w:top w:val="nil"/>
              <w:left w:val="nil"/>
              <w:bottom w:val="nil"/>
              <w:right w:val="nil"/>
            </w:tcBorders>
            <w:shd w:val="clear" w:color="auto" w:fill="auto"/>
            <w:vAlign w:val="center"/>
          </w:tcPr>
          <w:p w14:paraId="70B49576">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14:paraId="6DAE1D15">
            <w:pPr>
              <w:rPr>
                <w:rFonts w:hint="eastAsia" w:ascii="宋体" w:hAnsi="宋体" w:eastAsia="宋体" w:cs="宋体"/>
                <w:i w:val="0"/>
                <w:iCs w:val="0"/>
                <w:color w:val="000000"/>
                <w:sz w:val="18"/>
                <w:szCs w:val="18"/>
                <w:u w:val="none"/>
              </w:rPr>
            </w:pPr>
          </w:p>
        </w:tc>
        <w:tc>
          <w:tcPr>
            <w:tcW w:w="650" w:type="dxa"/>
            <w:tcBorders>
              <w:top w:val="nil"/>
              <w:left w:val="nil"/>
              <w:bottom w:val="nil"/>
              <w:right w:val="nil"/>
            </w:tcBorders>
            <w:shd w:val="clear" w:color="auto" w:fill="auto"/>
            <w:vAlign w:val="center"/>
          </w:tcPr>
          <w:p w14:paraId="54380FD5">
            <w:pPr>
              <w:rPr>
                <w:rFonts w:hint="eastAsia" w:ascii="宋体" w:hAnsi="宋体" w:eastAsia="宋体" w:cs="宋体"/>
                <w:i w:val="0"/>
                <w:iCs w:val="0"/>
                <w:color w:val="000000"/>
                <w:sz w:val="18"/>
                <w:szCs w:val="18"/>
                <w:u w:val="none"/>
              </w:rPr>
            </w:pPr>
          </w:p>
        </w:tc>
        <w:tc>
          <w:tcPr>
            <w:tcW w:w="451" w:type="dxa"/>
            <w:tcBorders>
              <w:top w:val="nil"/>
              <w:left w:val="nil"/>
              <w:bottom w:val="nil"/>
              <w:right w:val="nil"/>
            </w:tcBorders>
            <w:shd w:val="clear" w:color="auto" w:fill="auto"/>
            <w:vAlign w:val="center"/>
          </w:tcPr>
          <w:p w14:paraId="62021994">
            <w:pPr>
              <w:rPr>
                <w:rFonts w:hint="eastAsia" w:ascii="宋体" w:hAnsi="宋体" w:eastAsia="宋体" w:cs="宋体"/>
                <w:i w:val="0"/>
                <w:iCs w:val="0"/>
                <w:color w:val="000000"/>
                <w:sz w:val="18"/>
                <w:szCs w:val="18"/>
                <w:u w:val="none"/>
              </w:rPr>
            </w:pPr>
          </w:p>
        </w:tc>
        <w:tc>
          <w:tcPr>
            <w:tcW w:w="633" w:type="dxa"/>
            <w:tcBorders>
              <w:top w:val="nil"/>
              <w:left w:val="nil"/>
              <w:bottom w:val="nil"/>
              <w:right w:val="nil"/>
            </w:tcBorders>
            <w:shd w:val="clear" w:color="auto" w:fill="auto"/>
            <w:vAlign w:val="center"/>
          </w:tcPr>
          <w:p w14:paraId="4BD074BB">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auto" w:fill="auto"/>
            <w:vAlign w:val="center"/>
          </w:tcPr>
          <w:p w14:paraId="21A0CDE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8DD09E4">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313D4B0">
            <w:pPr>
              <w:rPr>
                <w:rFonts w:hint="eastAsia" w:ascii="宋体" w:hAnsi="宋体" w:eastAsia="宋体" w:cs="宋体"/>
                <w:i w:val="0"/>
                <w:iCs w:val="0"/>
                <w:color w:val="000000"/>
                <w:sz w:val="18"/>
                <w:szCs w:val="18"/>
                <w:u w:val="none"/>
              </w:rPr>
            </w:pPr>
          </w:p>
        </w:tc>
        <w:tc>
          <w:tcPr>
            <w:tcW w:w="2243" w:type="dxa"/>
            <w:tcBorders>
              <w:top w:val="nil"/>
              <w:left w:val="nil"/>
              <w:bottom w:val="nil"/>
              <w:right w:val="nil"/>
            </w:tcBorders>
            <w:shd w:val="clear" w:color="auto" w:fill="auto"/>
            <w:vAlign w:val="center"/>
          </w:tcPr>
          <w:p w14:paraId="6A3E64BB">
            <w:pPr>
              <w:rPr>
                <w:rFonts w:hint="eastAsia" w:ascii="宋体" w:hAnsi="宋体" w:eastAsia="宋体" w:cs="宋体"/>
                <w:i w:val="0"/>
                <w:iCs w:val="0"/>
                <w:color w:val="000000"/>
                <w:sz w:val="18"/>
                <w:szCs w:val="18"/>
                <w:u w:val="none"/>
              </w:rPr>
            </w:pPr>
          </w:p>
        </w:tc>
      </w:tr>
    </w:tbl>
    <w:p w14:paraId="2D88C2E6">
      <w:pPr>
        <w:spacing w:line="600" w:lineRule="exact"/>
        <w:jc w:val="both"/>
        <w:outlineLvl w:val="0"/>
        <w:rPr>
          <w:rFonts w:hint="eastAsia" w:ascii="黑体" w:hAnsi="黑体" w:eastAsia="黑体"/>
          <w:color w:val="auto"/>
          <w:sz w:val="44"/>
          <w:szCs w:val="44"/>
          <w:highlight w:val="none"/>
        </w:rPr>
      </w:pPr>
    </w:p>
    <w:tbl>
      <w:tblPr>
        <w:tblStyle w:val="14"/>
        <w:tblW w:w="89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37"/>
        <w:gridCol w:w="898"/>
        <w:gridCol w:w="706"/>
        <w:gridCol w:w="569"/>
        <w:gridCol w:w="576"/>
        <w:gridCol w:w="604"/>
        <w:gridCol w:w="980"/>
        <w:gridCol w:w="453"/>
        <w:gridCol w:w="441"/>
        <w:gridCol w:w="2286"/>
      </w:tblGrid>
      <w:tr w14:paraId="3150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9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69A9B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41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8E82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75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28C9B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51172423T000008003288-校舍维修改造</w:t>
            </w:r>
          </w:p>
        </w:tc>
      </w:tr>
      <w:tr w14:paraId="5878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6DD7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33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4D3E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大竹县四合镇中心小学部门</w:t>
            </w:r>
          </w:p>
        </w:tc>
        <w:tc>
          <w:tcPr>
            <w:tcW w:w="982" w:type="dxa"/>
            <w:tcBorders>
              <w:top w:val="nil"/>
              <w:left w:val="nil"/>
              <w:bottom w:val="nil"/>
              <w:right w:val="nil"/>
            </w:tcBorders>
            <w:shd w:val="clear" w:color="auto" w:fill="auto"/>
            <w:vAlign w:val="center"/>
          </w:tcPr>
          <w:p w14:paraId="75A7135E">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A504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大竹县四合镇中心小学</w:t>
            </w:r>
          </w:p>
        </w:tc>
      </w:tr>
      <w:tr w14:paraId="1E8B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0822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ECB4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33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8F72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E9754">
            <w:pPr>
              <w:keepNext w:val="0"/>
              <w:keepLines w:val="0"/>
              <w:widowControl/>
              <w:suppressLineNumbers w:val="0"/>
              <w:jc w:val="center"/>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年度目标完成情况</w:t>
            </w:r>
          </w:p>
        </w:tc>
      </w:tr>
      <w:tr w14:paraId="55C0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A1E0">
            <w:pPr>
              <w:rPr>
                <w:rFonts w:hint="eastAsia" w:ascii="宋体" w:hAnsi="宋体" w:eastAsia="宋体" w:cs="宋体"/>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4690">
            <w:pPr>
              <w:rPr>
                <w:rFonts w:hint="eastAsia" w:ascii="宋体" w:hAnsi="宋体" w:eastAsia="宋体" w:cs="宋体"/>
                <w:i w:val="0"/>
                <w:iCs w:val="0"/>
                <w:color w:val="000000"/>
                <w:sz w:val="15"/>
                <w:szCs w:val="15"/>
                <w:u w:val="none"/>
              </w:rPr>
            </w:pPr>
          </w:p>
        </w:tc>
        <w:tc>
          <w:tcPr>
            <w:tcW w:w="33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E869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维护教学主体设施设备安全，保障正常教学秩序，保障校园安全。</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9DB40">
            <w:pPr>
              <w:keepNext w:val="0"/>
              <w:keepLines w:val="0"/>
              <w:widowControl/>
              <w:suppressLineNumbers w:val="0"/>
              <w:jc w:val="left"/>
              <w:textAlignment w:val="center"/>
              <w:rPr>
                <w:rFonts w:hint="eastAsia" w:ascii="黑体" w:hAnsi="黑体" w:eastAsia="黑体" w:cs="黑体"/>
                <w:i w:val="0"/>
                <w:iCs w:val="0"/>
                <w:color w:val="000000"/>
                <w:sz w:val="15"/>
                <w:szCs w:val="15"/>
                <w:u w:val="none"/>
                <w:lang w:eastAsia="zh-CN"/>
              </w:rPr>
            </w:pPr>
            <w:r>
              <w:rPr>
                <w:rFonts w:hint="eastAsia" w:ascii="黑体" w:hAnsi="黑体" w:eastAsia="黑体" w:cs="黑体"/>
                <w:i w:val="0"/>
                <w:iCs w:val="0"/>
                <w:color w:val="000000"/>
                <w:sz w:val="15"/>
                <w:szCs w:val="15"/>
                <w:u w:val="none"/>
                <w:lang w:eastAsia="zh-CN"/>
              </w:rPr>
              <w:t>在财政资金的保障下，我校校舍维修和改造工作完成情况良好，保障良好的教学环境，保障全校学生教师的安全。</w:t>
            </w:r>
          </w:p>
        </w:tc>
      </w:tr>
      <w:tr w14:paraId="5510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55798">
            <w:pP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F5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75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CB7FB0">
            <w:pP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在财政局和上级领导的关心下，我校校舍维修顺利完成。首先，成立校舍维修工作小组，确立维修内容；然后，严格执行招标程序，完成招标；接着监督施工；最后，严格验收。</w:t>
            </w:r>
          </w:p>
        </w:tc>
      </w:tr>
      <w:tr w14:paraId="6751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F29D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116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58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71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6680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B42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EFA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4FE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553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14:paraId="7C6F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2F0C">
            <w:pPr>
              <w:jc w:val="cente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E04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7E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6D0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19.78</w:t>
            </w: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FCA1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19.78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66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C4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EC8C">
            <w:pPr>
              <w:jc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100</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B65CF">
            <w:pPr>
              <w:keepNext w:val="0"/>
              <w:keepLines w:val="0"/>
              <w:widowControl/>
              <w:suppressLineNumbers w:val="0"/>
              <w:jc w:val="left"/>
              <w:textAlignment w:val="center"/>
              <w:rPr>
                <w:rFonts w:hint="eastAsia" w:ascii="黑体" w:hAnsi="黑体" w:eastAsia="黑体" w:cs="黑体"/>
                <w:i/>
                <w:iCs/>
                <w:color w:val="000000"/>
                <w:sz w:val="15"/>
                <w:szCs w:val="15"/>
                <w:u w:val="none"/>
                <w:lang w:eastAsia="zh-CN"/>
              </w:rPr>
            </w:pPr>
            <w:r>
              <w:rPr>
                <w:rFonts w:hint="eastAsia" w:ascii="黑体" w:hAnsi="黑体" w:eastAsia="黑体" w:cs="黑体"/>
                <w:i/>
                <w:iCs/>
                <w:color w:val="000000"/>
                <w:sz w:val="15"/>
                <w:szCs w:val="15"/>
                <w:u w:val="none"/>
                <w:lang w:eastAsia="zh-CN"/>
              </w:rPr>
              <w:t>在财政资金的保障下，我校校舍维修资金完成预算情况良好。</w:t>
            </w:r>
          </w:p>
        </w:tc>
      </w:tr>
      <w:tr w14:paraId="077D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EEAE">
            <w:pPr>
              <w:jc w:val="cente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4E6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F5B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7D1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19.78</w:t>
            </w: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8330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19.78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8A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625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9F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9F9B">
            <w:pPr>
              <w:rPr>
                <w:rFonts w:hint="eastAsia" w:ascii="黑体" w:hAnsi="黑体" w:eastAsia="黑体" w:cs="黑体"/>
                <w:i/>
                <w:iCs/>
                <w:color w:val="000000"/>
                <w:sz w:val="15"/>
                <w:szCs w:val="15"/>
                <w:u w:val="none"/>
              </w:rPr>
            </w:pPr>
          </w:p>
        </w:tc>
      </w:tr>
      <w:tr w14:paraId="2835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0123">
            <w:pPr>
              <w:jc w:val="cente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E1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629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D54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1C6C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ED1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872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B3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46B">
            <w:pPr>
              <w:rPr>
                <w:rFonts w:hint="eastAsia" w:ascii="黑体" w:hAnsi="黑体" w:eastAsia="黑体" w:cs="黑体"/>
                <w:i/>
                <w:iCs/>
                <w:color w:val="000000"/>
                <w:sz w:val="15"/>
                <w:szCs w:val="15"/>
                <w:u w:val="none"/>
              </w:rPr>
            </w:pPr>
          </w:p>
        </w:tc>
      </w:tr>
      <w:tr w14:paraId="20CB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2676">
            <w:pPr>
              <w:jc w:val="cente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D5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519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7DF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E1BA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74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181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F0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C29B6">
            <w:pPr>
              <w:rPr>
                <w:rFonts w:hint="eastAsia" w:ascii="黑体" w:hAnsi="黑体" w:eastAsia="黑体" w:cs="黑体"/>
                <w:i/>
                <w:iCs/>
                <w:color w:val="000000"/>
                <w:sz w:val="15"/>
                <w:szCs w:val="15"/>
                <w:u w:val="none"/>
              </w:rPr>
            </w:pPr>
          </w:p>
        </w:tc>
      </w:tr>
      <w:tr w14:paraId="1BB3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15D4">
            <w:pPr>
              <w:jc w:val="cente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311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7029">
            <w:pPr>
              <w:jc w:val="center"/>
              <w:rPr>
                <w:rFonts w:hint="eastAsia" w:ascii="微软雅黑" w:hAnsi="微软雅黑" w:eastAsia="微软雅黑" w:cs="微软雅黑"/>
                <w:i/>
                <w:iCs/>
                <w:color w:val="000000"/>
                <w:sz w:val="15"/>
                <w:szCs w:val="15"/>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3305">
            <w:pPr>
              <w:jc w:val="center"/>
              <w:rPr>
                <w:rFonts w:hint="eastAsia" w:ascii="微软雅黑" w:hAnsi="微软雅黑" w:eastAsia="微软雅黑" w:cs="微软雅黑"/>
                <w:i/>
                <w:iCs/>
                <w:color w:val="000000"/>
                <w:sz w:val="15"/>
                <w:szCs w:val="15"/>
                <w:u w:val="none"/>
              </w:rPr>
            </w:pP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D6F83">
            <w:pPr>
              <w:jc w:val="center"/>
              <w:rPr>
                <w:rFonts w:hint="eastAsia" w:ascii="微软雅黑" w:hAnsi="微软雅黑" w:eastAsia="微软雅黑" w:cs="微软雅黑"/>
                <w:i/>
                <w:iCs/>
                <w:color w:val="000000"/>
                <w:sz w:val="15"/>
                <w:szCs w:val="15"/>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61E1">
            <w:pPr>
              <w:jc w:val="center"/>
              <w:rPr>
                <w:rFonts w:hint="eastAsia" w:ascii="微软雅黑" w:hAnsi="微软雅黑" w:eastAsia="微软雅黑" w:cs="微软雅黑"/>
                <w:i/>
                <w:iCs/>
                <w:color w:val="000000"/>
                <w:sz w:val="15"/>
                <w:szCs w:val="15"/>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EBD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E31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E321E">
            <w:pPr>
              <w:rPr>
                <w:rFonts w:hint="eastAsia" w:ascii="黑体" w:hAnsi="黑体" w:eastAsia="黑体" w:cs="黑体"/>
                <w:i/>
                <w:iCs/>
                <w:color w:val="000000"/>
                <w:sz w:val="15"/>
                <w:szCs w:val="15"/>
                <w:u w:val="none"/>
              </w:rPr>
            </w:pPr>
          </w:p>
        </w:tc>
      </w:tr>
      <w:tr w14:paraId="26E4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B7E8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51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046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C41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B29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4A7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6FC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40B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398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7EA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3FA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14:paraId="4428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C6224">
            <w:pPr>
              <w:jc w:val="center"/>
              <w:rPr>
                <w:rFonts w:hint="eastAsia" w:ascii="宋体" w:hAnsi="宋体" w:eastAsia="宋体" w:cs="宋体"/>
                <w:i w:val="0"/>
                <w:iCs w:val="0"/>
                <w:color w:val="000000"/>
                <w:sz w:val="15"/>
                <w:szCs w:val="15"/>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74C9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6F6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A9C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维修面积</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9CE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B5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84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平米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B300">
            <w:pPr>
              <w:jc w:val="center"/>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2B2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F7C">
            <w:pPr>
              <w:jc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1AF">
            <w:pPr>
              <w:jc w:val="center"/>
              <w:rPr>
                <w:rFonts w:hint="eastAsia" w:ascii="微软雅黑" w:hAnsi="微软雅黑" w:eastAsia="微软雅黑" w:cs="微软雅黑"/>
                <w:i/>
                <w:iCs/>
                <w:color w:val="000000"/>
                <w:sz w:val="15"/>
                <w:szCs w:val="15"/>
                <w:u w:val="none"/>
              </w:rPr>
            </w:pPr>
          </w:p>
        </w:tc>
      </w:tr>
      <w:tr w14:paraId="366C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197C">
            <w:pPr>
              <w:jc w:val="center"/>
              <w:rPr>
                <w:rFonts w:hint="eastAsia" w:ascii="宋体" w:hAnsi="宋体" w:eastAsia="宋体" w:cs="宋体"/>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850D">
            <w:pPr>
              <w:jc w:val="center"/>
              <w:rPr>
                <w:rFonts w:hint="eastAsia" w:ascii="宋体" w:hAnsi="宋体" w:eastAsia="宋体" w:cs="宋体"/>
                <w:i w:val="0"/>
                <w:iCs w:val="0"/>
                <w:color w:val="000000"/>
                <w:sz w:val="15"/>
                <w:szCs w:val="15"/>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996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E16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合格</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1E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定性</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F12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442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所</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8C1">
            <w:pPr>
              <w:jc w:val="center"/>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E8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6156">
            <w:pPr>
              <w:jc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69E">
            <w:pPr>
              <w:jc w:val="center"/>
              <w:rPr>
                <w:rFonts w:hint="eastAsia" w:ascii="微软雅黑" w:hAnsi="微软雅黑" w:eastAsia="微软雅黑" w:cs="微软雅黑"/>
                <w:i/>
                <w:iCs/>
                <w:color w:val="000000"/>
                <w:sz w:val="15"/>
                <w:szCs w:val="15"/>
                <w:u w:val="none"/>
              </w:rPr>
            </w:pPr>
          </w:p>
        </w:tc>
      </w:tr>
      <w:tr w14:paraId="0D1D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8501">
            <w:pPr>
              <w:jc w:val="center"/>
              <w:rPr>
                <w:rFonts w:hint="eastAsia" w:ascii="宋体" w:hAnsi="宋体" w:eastAsia="宋体" w:cs="宋体"/>
                <w:i w:val="0"/>
                <w:iCs w:val="0"/>
                <w:color w:val="000000"/>
                <w:sz w:val="15"/>
                <w:szCs w:val="15"/>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21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EFE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AF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F27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15C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BB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1A8E">
            <w:pPr>
              <w:jc w:val="center"/>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F3F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9D0C">
            <w:pPr>
              <w:jc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846">
            <w:pPr>
              <w:jc w:val="center"/>
              <w:rPr>
                <w:rFonts w:hint="eastAsia" w:ascii="微软雅黑" w:hAnsi="微软雅黑" w:eastAsia="微软雅黑" w:cs="微软雅黑"/>
                <w:i/>
                <w:iCs/>
                <w:color w:val="000000"/>
                <w:sz w:val="15"/>
                <w:szCs w:val="15"/>
                <w:u w:val="none"/>
              </w:rPr>
            </w:pPr>
          </w:p>
        </w:tc>
      </w:tr>
      <w:tr w14:paraId="1C74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0E1B7">
            <w:pPr>
              <w:jc w:val="center"/>
              <w:rPr>
                <w:rFonts w:hint="eastAsia" w:ascii="宋体" w:hAnsi="宋体" w:eastAsia="宋体" w:cs="宋体"/>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8E6F">
            <w:pPr>
              <w:jc w:val="center"/>
              <w:rPr>
                <w:rFonts w:hint="eastAsia" w:ascii="宋体" w:hAnsi="宋体" w:eastAsia="宋体" w:cs="宋体"/>
                <w:i w:val="0"/>
                <w:iCs w:val="0"/>
                <w:color w:val="000000"/>
                <w:sz w:val="15"/>
                <w:szCs w:val="15"/>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7B6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可持续影响指标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A63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舒适度</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21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35A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B76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平米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D8">
            <w:pPr>
              <w:jc w:val="center"/>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DE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071">
            <w:pPr>
              <w:jc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8539">
            <w:pPr>
              <w:jc w:val="center"/>
              <w:rPr>
                <w:rFonts w:hint="eastAsia" w:ascii="微软雅黑" w:hAnsi="微软雅黑" w:eastAsia="微软雅黑" w:cs="微软雅黑"/>
                <w:i/>
                <w:iCs/>
                <w:color w:val="000000"/>
                <w:sz w:val="15"/>
                <w:szCs w:val="15"/>
                <w:u w:val="none"/>
              </w:rPr>
            </w:pPr>
          </w:p>
        </w:tc>
      </w:tr>
      <w:tr w14:paraId="5520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62EE">
            <w:pPr>
              <w:jc w:val="center"/>
              <w:rPr>
                <w:rFonts w:hint="eastAsia" w:ascii="宋体" w:hAnsi="宋体" w:eastAsia="宋体" w:cs="宋体"/>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D1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满意度指标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F5A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939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满意度</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209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906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A03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人</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B74B">
            <w:pPr>
              <w:jc w:val="center"/>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68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B1ED">
            <w:pPr>
              <w:jc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537">
            <w:pPr>
              <w:jc w:val="center"/>
              <w:rPr>
                <w:rFonts w:hint="eastAsia" w:ascii="微软雅黑" w:hAnsi="微软雅黑" w:eastAsia="微软雅黑" w:cs="微软雅黑"/>
                <w:i/>
                <w:iCs/>
                <w:color w:val="000000"/>
                <w:sz w:val="15"/>
                <w:szCs w:val="15"/>
                <w:u w:val="none"/>
              </w:rPr>
            </w:pPr>
          </w:p>
        </w:tc>
      </w:tr>
      <w:tr w14:paraId="041D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080AA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94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EAA">
            <w:pP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762">
            <w:pPr>
              <w:rPr>
                <w:rFonts w:hint="eastAsia" w:ascii="宋体" w:hAnsi="宋体" w:eastAsia="宋体" w:cs="宋体"/>
                <w:i w:val="0"/>
                <w:iCs w:val="0"/>
                <w:color w:val="000000"/>
                <w:sz w:val="15"/>
                <w:szCs w:val="15"/>
                <w:u w:val="none"/>
              </w:rPr>
            </w:pPr>
          </w:p>
        </w:tc>
      </w:tr>
      <w:tr w14:paraId="48C5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61F">
            <w:pPr>
              <w:keepNext w:val="0"/>
              <w:keepLines w:val="0"/>
              <w:widowControl/>
              <w:suppressLineNumbers w:val="0"/>
              <w:jc w:val="center"/>
              <w:textAlignment w:val="center"/>
              <w:rPr>
                <w:rFonts w:ascii="宋体" w:hAnsi="宋体" w:eastAsia="宋体" w:cs="宋体"/>
                <w:i w:val="0"/>
                <w:iCs w:val="0"/>
                <w:color w:val="000000"/>
                <w:sz w:val="15"/>
                <w:szCs w:val="15"/>
                <w:u w:val="none"/>
              </w:rPr>
            </w:pPr>
            <w:bookmarkStart w:id="69" w:name="_GoBack" w:colFirst="1" w:colLast="10"/>
            <w:r>
              <w:rPr>
                <w:rFonts w:ascii="宋体" w:hAnsi="宋体" w:eastAsia="宋体" w:cs="宋体"/>
                <w:i w:val="0"/>
                <w:iCs w:val="0"/>
                <w:color w:val="000000"/>
                <w:kern w:val="0"/>
                <w:sz w:val="15"/>
                <w:szCs w:val="15"/>
                <w:u w:val="none"/>
                <w:lang w:val="en-US" w:eastAsia="zh-CN" w:bidi="ar"/>
              </w:rPr>
              <w:t>评价结论</w:t>
            </w:r>
          </w:p>
        </w:tc>
        <w:tc>
          <w:tcPr>
            <w:tcW w:w="8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FF64FF">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lang w:eastAsia="zh-CN"/>
              </w:rPr>
            </w:pPr>
            <w:r>
              <w:rPr>
                <w:rFonts w:hint="eastAsia" w:ascii="微软雅黑" w:hAnsi="微软雅黑" w:eastAsia="微软雅黑" w:cs="微软雅黑"/>
                <w:i w:val="0"/>
                <w:iCs w:val="0"/>
                <w:color w:val="000000"/>
                <w:sz w:val="15"/>
                <w:szCs w:val="15"/>
                <w:u w:val="none"/>
                <w:lang w:eastAsia="zh-CN"/>
              </w:rPr>
              <w:t>在财政资金的保障下，完成预算情况良好，保障了全校师生的安全，创造一个和谐的校园。</w:t>
            </w:r>
          </w:p>
        </w:tc>
      </w:tr>
      <w:tr w14:paraId="4B54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FF5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8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7E5C34">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lang w:eastAsia="zh-CN"/>
              </w:rPr>
            </w:pPr>
            <w:r>
              <w:rPr>
                <w:rFonts w:hint="eastAsia" w:ascii="微软雅黑" w:hAnsi="微软雅黑" w:eastAsia="微软雅黑" w:cs="微软雅黑"/>
                <w:i w:val="0"/>
                <w:iCs w:val="0"/>
                <w:color w:val="000000"/>
                <w:sz w:val="15"/>
                <w:szCs w:val="15"/>
                <w:u w:val="none"/>
                <w:lang w:eastAsia="zh-CN"/>
              </w:rPr>
              <w:t>在校舍维修过程中，业务不熟悉，向上级领导请教的多。</w:t>
            </w:r>
          </w:p>
        </w:tc>
      </w:tr>
      <w:tr w14:paraId="4CC0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1F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8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59B4F0">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lang w:eastAsia="zh-CN"/>
              </w:rPr>
            </w:pPr>
            <w:r>
              <w:rPr>
                <w:rFonts w:hint="eastAsia" w:ascii="微软雅黑" w:hAnsi="微软雅黑" w:eastAsia="微软雅黑" w:cs="微软雅黑"/>
                <w:i w:val="0"/>
                <w:iCs w:val="0"/>
                <w:color w:val="000000"/>
                <w:sz w:val="15"/>
                <w:szCs w:val="15"/>
                <w:u w:val="none"/>
                <w:lang w:eastAsia="zh-CN"/>
              </w:rPr>
              <w:t>希望能多组织这一方面的学习，加强业务水平。</w:t>
            </w:r>
          </w:p>
        </w:tc>
      </w:tr>
      <w:bookmarkEnd w:id="69"/>
      <w:tr w14:paraId="43A4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9373B">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项目负责人：周世凯</w:t>
            </w:r>
          </w:p>
        </w:tc>
        <w:tc>
          <w:tcPr>
            <w:tcW w:w="5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09D6E6">
            <w:pPr>
              <w:keepNext w:val="0"/>
              <w:keepLines w:val="0"/>
              <w:widowControl/>
              <w:suppressLineNumbers w:val="0"/>
              <w:jc w:val="left"/>
              <w:textAlignment w:val="center"/>
              <w:rPr>
                <w:rFonts w:hint="eastAsia" w:ascii="黑体" w:hAnsi="黑体" w:eastAsia="黑体" w:cs="黑体"/>
                <w:i w:val="0"/>
                <w:iCs w:val="0"/>
                <w:color w:val="000000"/>
                <w:sz w:val="15"/>
                <w:szCs w:val="15"/>
                <w:u w:val="none"/>
                <w:lang w:val="en-US" w:eastAsia="zh-CN"/>
              </w:rPr>
            </w:pPr>
            <w:r>
              <w:rPr>
                <w:rFonts w:hint="eastAsia" w:ascii="黑体" w:hAnsi="黑体" w:eastAsia="黑体" w:cs="黑体"/>
                <w:i w:val="0"/>
                <w:iCs w:val="0"/>
                <w:color w:val="000000"/>
                <w:kern w:val="0"/>
                <w:sz w:val="15"/>
                <w:szCs w:val="15"/>
                <w:u w:val="none"/>
                <w:lang w:val="en-US" w:eastAsia="zh-CN" w:bidi="ar"/>
              </w:rPr>
              <w:t>财务负责人：刘辰杰</w:t>
            </w:r>
          </w:p>
        </w:tc>
      </w:tr>
    </w:tbl>
    <w:p w14:paraId="743D9B4A">
      <w:pPr>
        <w:spacing w:line="600" w:lineRule="exact"/>
        <w:jc w:val="both"/>
        <w:outlineLvl w:val="0"/>
        <w:rPr>
          <w:rFonts w:hint="eastAsia" w:ascii="黑体" w:hAnsi="黑体" w:eastAsia="黑体"/>
          <w:color w:val="auto"/>
          <w:sz w:val="44"/>
          <w:szCs w:val="44"/>
          <w:highlight w:val="none"/>
        </w:rPr>
      </w:pPr>
    </w:p>
    <w:p w14:paraId="0A4BF6C4">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4"/>
      <w:bookmarkEnd w:id="55"/>
      <w:bookmarkStart w:id="56" w:name="_Toc15396619"/>
    </w:p>
    <w:p w14:paraId="736BBC8B">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6"/>
    </w:p>
    <w:p w14:paraId="05187DDF">
      <w:pPr>
        <w:pStyle w:val="4"/>
        <w:rPr>
          <w:rFonts w:ascii="仿宋" w:hAnsi="仿宋" w:eastAsia="仿宋"/>
          <w:color w:val="auto"/>
          <w:highlight w:val="none"/>
        </w:rPr>
      </w:pPr>
      <w:bookmarkStart w:id="57"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7"/>
    </w:p>
    <w:p w14:paraId="35584505">
      <w:pPr>
        <w:pStyle w:val="4"/>
        <w:rPr>
          <w:rFonts w:ascii="仿宋" w:hAnsi="仿宋" w:eastAsia="仿宋"/>
          <w:color w:val="auto"/>
          <w:highlight w:val="none"/>
        </w:rPr>
      </w:pPr>
      <w:bookmarkStart w:id="58"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8"/>
    </w:p>
    <w:p w14:paraId="12000C73">
      <w:pPr>
        <w:pStyle w:val="4"/>
        <w:rPr>
          <w:rFonts w:ascii="仿宋" w:hAnsi="仿宋" w:eastAsia="仿宋"/>
          <w:b w:val="0"/>
          <w:color w:val="auto"/>
          <w:highlight w:val="none"/>
        </w:rPr>
      </w:pPr>
      <w:bookmarkStart w:id="59"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9"/>
    </w:p>
    <w:p w14:paraId="7EB3803E">
      <w:pPr>
        <w:pStyle w:val="4"/>
        <w:rPr>
          <w:rStyle w:val="28"/>
          <w:rFonts w:ascii="仿宋" w:hAnsi="仿宋" w:eastAsia="仿宋"/>
          <w:b w:val="0"/>
          <w:bCs w:val="0"/>
          <w:color w:val="auto"/>
          <w:highlight w:val="none"/>
        </w:rPr>
      </w:pPr>
      <w:bookmarkStart w:id="60"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60"/>
      <w:bookmarkStart w:id="61" w:name="_Toc15396624"/>
    </w:p>
    <w:p w14:paraId="03F4575B">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61"/>
    </w:p>
    <w:p w14:paraId="377149DA">
      <w:pPr>
        <w:pStyle w:val="4"/>
        <w:rPr>
          <w:rFonts w:ascii="仿宋" w:hAnsi="仿宋" w:eastAsia="仿宋"/>
          <w:color w:val="auto"/>
          <w:highlight w:val="none"/>
        </w:rPr>
      </w:pPr>
      <w:bookmarkStart w:id="62"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2"/>
    </w:p>
    <w:p w14:paraId="2BEA190C">
      <w:pPr>
        <w:pStyle w:val="4"/>
        <w:rPr>
          <w:rFonts w:ascii="仿宋" w:hAnsi="仿宋" w:eastAsia="仿宋"/>
          <w:color w:val="auto"/>
          <w:highlight w:val="none"/>
        </w:rPr>
      </w:pPr>
      <w:bookmarkStart w:id="63"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3"/>
    </w:p>
    <w:p w14:paraId="46B277D5">
      <w:pPr>
        <w:pStyle w:val="4"/>
        <w:rPr>
          <w:rFonts w:ascii="仿宋" w:hAnsi="仿宋" w:eastAsia="仿宋"/>
          <w:color w:val="auto"/>
          <w:highlight w:val="none"/>
        </w:rPr>
      </w:pPr>
      <w:bookmarkStart w:id="64"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4"/>
    </w:p>
    <w:p w14:paraId="28C2DAF0">
      <w:pPr>
        <w:pStyle w:val="4"/>
        <w:rPr>
          <w:rFonts w:ascii="仿宋" w:hAnsi="仿宋" w:eastAsia="仿宋"/>
          <w:color w:val="auto"/>
          <w:highlight w:val="none"/>
        </w:rPr>
      </w:pPr>
      <w:bookmarkStart w:id="65" w:name="_Toc15396628"/>
      <w:r>
        <w:rPr>
          <w:rStyle w:val="28"/>
          <w:rFonts w:hint="eastAsia" w:ascii="仿宋" w:hAnsi="仿宋" w:eastAsia="仿宋"/>
          <w:b w:val="0"/>
          <w:bCs w:val="0"/>
          <w:color w:val="auto"/>
          <w:highlight w:val="none"/>
        </w:rPr>
        <w:t>十、</w:t>
      </w:r>
      <w:bookmarkEnd w:id="65"/>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p>
    <w:p w14:paraId="152DA816">
      <w:pPr>
        <w:pStyle w:val="4"/>
        <w:rPr>
          <w:rFonts w:ascii="仿宋" w:hAnsi="仿宋" w:eastAsia="仿宋"/>
          <w:color w:val="auto"/>
          <w:highlight w:val="none"/>
        </w:rPr>
      </w:pPr>
      <w:bookmarkStart w:id="66" w:name="_Toc15396629"/>
      <w:r>
        <w:rPr>
          <w:rStyle w:val="28"/>
          <w:rFonts w:hint="eastAsia" w:ascii="仿宋" w:hAnsi="仿宋" w:eastAsia="仿宋"/>
          <w:b w:val="0"/>
          <w:bCs w:val="0"/>
          <w:color w:val="auto"/>
          <w:highlight w:val="none"/>
        </w:rPr>
        <w:t>十一、</w:t>
      </w:r>
      <w:bookmarkEnd w:id="66"/>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p>
    <w:p w14:paraId="48A5FCB1">
      <w:pPr>
        <w:pStyle w:val="4"/>
        <w:rPr>
          <w:rFonts w:ascii="仿宋" w:hAnsi="仿宋" w:eastAsia="仿宋"/>
          <w:color w:val="auto"/>
          <w:highlight w:val="none"/>
        </w:rPr>
      </w:pPr>
      <w:bookmarkStart w:id="67" w:name="_Toc15396630"/>
      <w:r>
        <w:rPr>
          <w:rStyle w:val="28"/>
          <w:rFonts w:hint="eastAsia" w:ascii="仿宋" w:hAnsi="仿宋" w:eastAsia="仿宋"/>
          <w:b w:val="0"/>
          <w:bCs w:val="0"/>
          <w:color w:val="auto"/>
          <w:highlight w:val="none"/>
        </w:rPr>
        <w:t>十二、</w:t>
      </w:r>
      <w:bookmarkEnd w:id="67"/>
      <w:r>
        <w:rPr>
          <w:rStyle w:val="28"/>
          <w:rFonts w:hint="eastAsia" w:ascii="仿宋" w:hAnsi="仿宋" w:eastAsia="仿宋"/>
          <w:b w:val="0"/>
          <w:bCs w:val="0"/>
          <w:color w:val="auto"/>
          <w:highlight w:val="none"/>
          <w:lang w:eastAsia="zh-CN"/>
        </w:rPr>
        <w:t>国有资本经营预算财政拨款支出决算表</w:t>
      </w:r>
    </w:p>
    <w:p w14:paraId="12DC6C49">
      <w:pPr>
        <w:pStyle w:val="4"/>
        <w:rPr>
          <w:rFonts w:hint="eastAsia" w:eastAsia="仿宋"/>
          <w:color w:val="auto"/>
          <w:highlight w:val="none"/>
          <w:lang w:eastAsia="zh-CN"/>
        </w:rPr>
      </w:pPr>
      <w:bookmarkStart w:id="68" w:name="_Toc15396631"/>
      <w:r>
        <w:rPr>
          <w:rStyle w:val="28"/>
          <w:rFonts w:hint="eastAsia" w:ascii="仿宋" w:hAnsi="仿宋" w:eastAsia="仿宋"/>
          <w:b w:val="0"/>
          <w:bCs w:val="0"/>
          <w:color w:val="auto"/>
          <w:highlight w:val="none"/>
        </w:rPr>
        <w:t>十三、</w:t>
      </w:r>
      <w:bookmarkEnd w:id="68"/>
      <w:r>
        <w:rPr>
          <w:rStyle w:val="28"/>
          <w:rFonts w:hint="eastAsia" w:ascii="仿宋" w:hAnsi="仿宋" w:eastAsia="仿宋"/>
          <w:b w:val="0"/>
          <w:bCs w:val="0"/>
          <w:color w:val="auto"/>
          <w:highlight w:val="none"/>
          <w:lang w:eastAsia="zh-CN"/>
        </w:rPr>
        <w:t>财政拨款“三公”经费支出决算表</w:t>
      </w: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BFD96">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05B43">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605B43">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4025B7B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EBF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8F2F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B8F2F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707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D28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907BC"/>
    <w:multiLevelType w:val="singleLevel"/>
    <w:tmpl w:val="974907BC"/>
    <w:lvl w:ilvl="0" w:tentative="0">
      <w:start w:val="1"/>
      <w:numFmt w:val="decimal"/>
      <w:lvlText w:val="%1."/>
      <w:lvlJc w:val="left"/>
      <w:pPr>
        <w:tabs>
          <w:tab w:val="left" w:pos="312"/>
        </w:tabs>
      </w:pPr>
    </w:lvl>
  </w:abstractNum>
  <w:abstractNum w:abstractNumId="1">
    <w:nsid w:val="A742BE80"/>
    <w:multiLevelType w:val="singleLevel"/>
    <w:tmpl w:val="A742BE80"/>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BEB9EB3"/>
    <w:multiLevelType w:val="singleLevel"/>
    <w:tmpl w:val="EBEB9EB3"/>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681B"/>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BD4A64"/>
    <w:rsid w:val="02143E91"/>
    <w:rsid w:val="05CB175D"/>
    <w:rsid w:val="066E0107"/>
    <w:rsid w:val="06A05481"/>
    <w:rsid w:val="06A1329D"/>
    <w:rsid w:val="07996F6E"/>
    <w:rsid w:val="08797057"/>
    <w:rsid w:val="08CD33AF"/>
    <w:rsid w:val="09D8765C"/>
    <w:rsid w:val="0A2032A3"/>
    <w:rsid w:val="0AA719BA"/>
    <w:rsid w:val="0B8407E4"/>
    <w:rsid w:val="0E654E3A"/>
    <w:rsid w:val="0ECD6AD8"/>
    <w:rsid w:val="0F4D2E5C"/>
    <w:rsid w:val="0F98263C"/>
    <w:rsid w:val="101860EC"/>
    <w:rsid w:val="10C055FF"/>
    <w:rsid w:val="118107EC"/>
    <w:rsid w:val="12806E83"/>
    <w:rsid w:val="137052D7"/>
    <w:rsid w:val="13D50BC4"/>
    <w:rsid w:val="15B5653F"/>
    <w:rsid w:val="16BB723D"/>
    <w:rsid w:val="16FC39C2"/>
    <w:rsid w:val="18E21945"/>
    <w:rsid w:val="1988135C"/>
    <w:rsid w:val="1BE8440E"/>
    <w:rsid w:val="1D155CEE"/>
    <w:rsid w:val="1D9E25E2"/>
    <w:rsid w:val="1F2E5C9E"/>
    <w:rsid w:val="1FF35744"/>
    <w:rsid w:val="20CC1461"/>
    <w:rsid w:val="211813AA"/>
    <w:rsid w:val="21833DBF"/>
    <w:rsid w:val="228F58F4"/>
    <w:rsid w:val="23194D68"/>
    <w:rsid w:val="23860B96"/>
    <w:rsid w:val="240371BF"/>
    <w:rsid w:val="29594B90"/>
    <w:rsid w:val="29FD04D3"/>
    <w:rsid w:val="2C8A61B5"/>
    <w:rsid w:val="2DF04E50"/>
    <w:rsid w:val="2F040D46"/>
    <w:rsid w:val="2F5845B3"/>
    <w:rsid w:val="2F65629E"/>
    <w:rsid w:val="319F7F4E"/>
    <w:rsid w:val="31F05751"/>
    <w:rsid w:val="327B2DA7"/>
    <w:rsid w:val="328F613D"/>
    <w:rsid w:val="3304709D"/>
    <w:rsid w:val="34B624E7"/>
    <w:rsid w:val="35170196"/>
    <w:rsid w:val="358C38D4"/>
    <w:rsid w:val="35B83EE7"/>
    <w:rsid w:val="36AA5135"/>
    <w:rsid w:val="376D39B2"/>
    <w:rsid w:val="37A24D54"/>
    <w:rsid w:val="37E16F03"/>
    <w:rsid w:val="38D469F0"/>
    <w:rsid w:val="3D98207C"/>
    <w:rsid w:val="3E78745D"/>
    <w:rsid w:val="40A57B02"/>
    <w:rsid w:val="40B059BF"/>
    <w:rsid w:val="44AA509D"/>
    <w:rsid w:val="44E268DA"/>
    <w:rsid w:val="4A627F82"/>
    <w:rsid w:val="4AA61208"/>
    <w:rsid w:val="4B0E749A"/>
    <w:rsid w:val="4B4F25DA"/>
    <w:rsid w:val="4BE068DB"/>
    <w:rsid w:val="4C861ABA"/>
    <w:rsid w:val="4D577224"/>
    <w:rsid w:val="4EAB630A"/>
    <w:rsid w:val="4ECE2238"/>
    <w:rsid w:val="4FF85CF0"/>
    <w:rsid w:val="510A4075"/>
    <w:rsid w:val="51796472"/>
    <w:rsid w:val="53200602"/>
    <w:rsid w:val="537E6D0A"/>
    <w:rsid w:val="53A44990"/>
    <w:rsid w:val="58725BBC"/>
    <w:rsid w:val="5A7C220D"/>
    <w:rsid w:val="5AF92295"/>
    <w:rsid w:val="5CD71FC4"/>
    <w:rsid w:val="636A2024"/>
    <w:rsid w:val="666C4719"/>
    <w:rsid w:val="679D2DB7"/>
    <w:rsid w:val="6B1553D9"/>
    <w:rsid w:val="6B226913"/>
    <w:rsid w:val="6B4F4E00"/>
    <w:rsid w:val="6BB24544"/>
    <w:rsid w:val="6C4A05C8"/>
    <w:rsid w:val="6C7F42BF"/>
    <w:rsid w:val="6CAE794C"/>
    <w:rsid w:val="6DF62BAD"/>
    <w:rsid w:val="6E7E3605"/>
    <w:rsid w:val="6FF5CC65"/>
    <w:rsid w:val="70356A89"/>
    <w:rsid w:val="70721F0A"/>
    <w:rsid w:val="715C0E4B"/>
    <w:rsid w:val="724422D9"/>
    <w:rsid w:val="72734D90"/>
    <w:rsid w:val="73AD73D5"/>
    <w:rsid w:val="73B6EB34"/>
    <w:rsid w:val="73E15492"/>
    <w:rsid w:val="744731E5"/>
    <w:rsid w:val="76E3355F"/>
    <w:rsid w:val="77173375"/>
    <w:rsid w:val="778769C8"/>
    <w:rsid w:val="79EE5BA4"/>
    <w:rsid w:val="7A894339"/>
    <w:rsid w:val="7B7111E8"/>
    <w:rsid w:val="7CB14720"/>
    <w:rsid w:val="7D072DC7"/>
    <w:rsid w:val="7EE3734C"/>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4">
    <w:name w:val="font121"/>
    <w:basedOn w:val="15"/>
    <w:qFormat/>
    <w:uiPriority w:val="0"/>
    <w:rPr>
      <w:rFonts w:hint="eastAsia" w:ascii="宋体" w:hAnsi="宋体" w:eastAsia="宋体" w:cs="宋体"/>
      <w:color w:val="000000"/>
      <w:sz w:val="32"/>
      <w:szCs w:val="32"/>
      <w:u w:val="none"/>
    </w:rPr>
  </w:style>
  <w:style w:type="character" w:customStyle="1" w:styleId="35">
    <w:name w:val="font131"/>
    <w:basedOn w:val="15"/>
    <w:qFormat/>
    <w:uiPriority w:val="0"/>
    <w:rPr>
      <w:rFonts w:hint="eastAsia" w:ascii="宋体" w:hAnsi="宋体" w:eastAsia="宋体" w:cs="宋体"/>
      <w:color w:val="000000"/>
      <w:sz w:val="18"/>
      <w:szCs w:val="18"/>
      <w:u w:val="none"/>
    </w:rPr>
  </w:style>
  <w:style w:type="character" w:customStyle="1" w:styleId="36">
    <w:name w:val="font61"/>
    <w:basedOn w:val="15"/>
    <w:qFormat/>
    <w:uiPriority w:val="0"/>
    <w:rPr>
      <w:rFonts w:hint="eastAsia" w:ascii="宋体" w:hAnsi="宋体" w:eastAsia="宋体" w:cs="宋体"/>
      <w:color w:val="000000"/>
      <w:sz w:val="20"/>
      <w:szCs w:val="20"/>
      <w:u w:val="none"/>
    </w:rPr>
  </w:style>
  <w:style w:type="character" w:customStyle="1" w:styleId="37">
    <w:name w:val="font132"/>
    <w:basedOn w:val="15"/>
    <w:qFormat/>
    <w:uiPriority w:val="0"/>
    <w:rPr>
      <w:rFonts w:hint="eastAsia" w:ascii="宋体" w:hAnsi="宋体" w:eastAsia="宋体" w:cs="宋体"/>
      <w:color w:val="000000"/>
      <w:sz w:val="20"/>
      <w:szCs w:val="20"/>
      <w:u w:val="none"/>
    </w:rPr>
  </w:style>
  <w:style w:type="character" w:customStyle="1" w:styleId="38">
    <w:name w:val="font01"/>
    <w:basedOn w:val="15"/>
    <w:qFormat/>
    <w:uiPriority w:val="0"/>
    <w:rPr>
      <w:rFonts w:hint="default" w:ascii="Arial" w:hAnsi="Arial" w:cs="Arial"/>
      <w:color w:val="000000"/>
      <w:sz w:val="20"/>
      <w:szCs w:val="20"/>
      <w:u w:val="none"/>
    </w:rPr>
  </w:style>
  <w:style w:type="character" w:customStyle="1" w:styleId="39">
    <w:name w:val="font9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收支决算总计变动情况图</a:t>
            </a:r>
            <a:endParaRPr lang="zh-CN" altLang="en-US"/>
          </a:p>
        </c:rich>
      </c:tx>
      <c:layout/>
      <c:overlay val="0"/>
    </c:title>
    <c:autoTitleDeleted val="0"/>
    <c:plotArea>
      <c:layout/>
      <c:barChart>
        <c:barDir val="col"/>
        <c:grouping val="clustered"/>
        <c:varyColors val="0"/>
        <c:ser>
          <c:idx val="0"/>
          <c:order val="0"/>
          <c:tx>
            <c:strRef>
              <c:f>Sheet1!$B$1</c:f>
              <c:strCache>
                <c:ptCount val="1"/>
                <c:pt idx="0">
                  <c:v>2022年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913.88</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913.88</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收入</c:v>
                </c:pt>
                <c:pt idx="1">
                  <c:v>收入</c:v>
                </c:pt>
                <c:pt idx="2">
                  <c:v>支出</c:v>
                </c:pt>
                <c:pt idx="3">
                  <c:v>支出</c:v>
                </c:pt>
              </c:strCache>
            </c:strRef>
          </c:cat>
          <c:val>
            <c:numRef>
              <c:f>Sheet1!$B$2:$B$5</c:f>
              <c:numCache>
                <c:formatCode>General</c:formatCode>
                <c:ptCount val="4"/>
                <c:pt idx="0">
                  <c:v>913.88</c:v>
                </c:pt>
                <c:pt idx="2">
                  <c:v>913.88</c:v>
                </c:pt>
              </c:numCache>
            </c:numRef>
          </c:val>
        </c:ser>
        <c:ser>
          <c:idx val="1"/>
          <c:order val="1"/>
          <c:tx>
            <c:strRef>
              <c:f>Sheet1!$C$1</c:f>
              <c:strCache>
                <c:ptCount val="1"/>
                <c:pt idx="0">
                  <c:v>2023年</c:v>
                </c:pt>
              </c:strCache>
            </c:strRef>
          </c:tx>
          <c:invertIfNegative val="0"/>
          <c:dLbls>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933.86</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933.85</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收入</c:v>
                </c:pt>
                <c:pt idx="1">
                  <c:v>收入</c:v>
                </c:pt>
                <c:pt idx="2">
                  <c:v>支出</c:v>
                </c:pt>
                <c:pt idx="3">
                  <c:v>支出</c:v>
                </c:pt>
              </c:strCache>
            </c:strRef>
          </c:cat>
          <c:val>
            <c:numRef>
              <c:f>Sheet1!$C$2:$C$5</c:f>
              <c:numCache>
                <c:formatCode>General</c:formatCode>
                <c:ptCount val="4"/>
                <c:pt idx="1">
                  <c:v>933.86</c:v>
                </c:pt>
                <c:pt idx="3">
                  <c:v>933.85</c:v>
                </c:pt>
              </c:numCache>
            </c:numRef>
          </c:val>
        </c:ser>
        <c:dLbls>
          <c:showLegendKey val="0"/>
          <c:showVal val="0"/>
          <c:showCatName val="0"/>
          <c:showSerName val="0"/>
          <c:showPercent val="0"/>
          <c:showBubbleSize val="0"/>
        </c:dLbls>
        <c:gapWidth val="75"/>
        <c:overlap val="-25"/>
        <c:axId val="92415488"/>
        <c:axId val="92417024"/>
      </c:barChart>
      <c:catAx>
        <c:axId val="924154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417024"/>
        <c:crosses val="autoZero"/>
        <c:auto val="1"/>
        <c:lblAlgn val="ctr"/>
        <c:lblOffset val="100"/>
        <c:noMultiLvlLbl val="0"/>
      </c:catAx>
      <c:valAx>
        <c:axId val="92417024"/>
        <c:scaling>
          <c:orientation val="minMax"/>
          <c:max val="1200"/>
          <c:min val="0"/>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415488"/>
        <c:crosses val="autoZero"/>
        <c:crossBetween val="between"/>
        <c:majorUnit val="100"/>
        <c:minorUnit val="2"/>
      </c:valAx>
    </c:plotArea>
    <c:legend>
      <c:legendPos val="b"/>
      <c:layout>
        <c:manualLayout>
          <c:xMode val="edge"/>
          <c:yMode val="edge"/>
          <c:x val="0.388957509881423"/>
          <c:y val="0.87708686184369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4255f38-642d-45b5-8b7e-c35fc4b635c4}"/>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p>
      </c:txPr>
    </c:title>
    <c:autoTitleDeleted val="0"/>
    <c:plotArea>
      <c:layout>
        <c:manualLayout>
          <c:layoutTarget val="inner"/>
          <c:xMode val="edge"/>
          <c:yMode val="edge"/>
          <c:x val="0.200640881211666"/>
          <c:y val="0.249402771141902"/>
          <c:w val="0.312054074352234"/>
          <c:h val="0.595556617295748"/>
        </c:manualLayout>
      </c:layout>
      <c:pieChart>
        <c:varyColors val="1"/>
        <c:ser>
          <c:idx val="0"/>
          <c:order val="0"/>
          <c:tx>
            <c:strRef>
              <c:f>Sheet1!$B$1</c:f>
              <c:strCache>
                <c:ptCount val="1"/>
                <c:pt idx="0">
                  <c:v>收入决算结构图</c:v>
                </c:pt>
              </c:strCache>
            </c:strRef>
          </c:tx>
          <c:spPr>
            <a:ln>
              <a:solidFill>
                <a:srgbClr val="C0504D"/>
              </a:solidFill>
            </a:ln>
          </c:spPr>
          <c:explosion val="0"/>
          <c:dPt>
            <c:idx val="0"/>
            <c:bubble3D val="0"/>
            <c:spPr>
              <a:ln>
                <a:solidFill>
                  <a:srgbClr val="C0504D"/>
                </a:solidFill>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一般公共预算财政拨款收入933.86万元，占100%</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44135686569033"/>
          <c:y val="0.109581620023249"/>
          <c:w val="0.340843660032545"/>
          <c:h val="0.825748370082502"/>
        </c:manualLayout>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zero"/>
    <c:showDLblsOverMax val="0"/>
    <c:extLst>
      <c:ext uri="{0b15fc19-7d7d-44ad-8c2d-2c3a37ce22c3}">
        <chartProps xmlns="https://web.wps.cn/et/2018/main" chartId="{196757f9-40e2-4b42-b007-8e1e94f11fac}"/>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53439990871248"/>
          <c:y val="0.220391587715107"/>
          <c:w val="0.430762605250284"/>
          <c:h val="0.682859023013893"/>
        </c:manualLayout>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layout/>
              <c:dLblPos val="ctr"/>
              <c:showLegendKey val="0"/>
              <c:showVal val="1"/>
              <c:showCatName val="0"/>
              <c:showSerName val="0"/>
              <c:showPercent val="1"/>
              <c:showBubbleSize val="0"/>
              <c:extLst>
                <c:ext xmlns:c15="http://schemas.microsoft.com/office/drawing/2012/chart" uri="{CE6537A1-D6FC-4f65-9D91-7224C49458BB}"/>
              </c:extLst>
            </c:dLbl>
            <c:dLbl>
              <c:idx val="1"/>
              <c:layout>
                <c:manualLayout>
                  <c:x val="0.00910034505341964"/>
                  <c:y val="0.050005194684521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bg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基本支出892.75万元</c:v>
                </c:pt>
                <c:pt idx="1">
                  <c:v>项目支出41.1万元</c:v>
                </c:pt>
                <c:pt idx="2">
                  <c:v>上缴上级支出</c:v>
                </c:pt>
                <c:pt idx="3">
                  <c:v>经营支出</c:v>
                </c:pt>
                <c:pt idx="4">
                  <c:v>对附属单位补助支出</c:v>
                </c:pt>
              </c:strCache>
            </c:strRef>
          </c:cat>
          <c:val>
            <c:numRef>
              <c:f>Sheet1!$B$2:$B$6</c:f>
              <c:numCache>
                <c:formatCode>0.00%</c:formatCode>
                <c:ptCount val="5"/>
                <c:pt idx="0">
                  <c:v>0.956</c:v>
                </c:pt>
                <c:pt idx="1">
                  <c:v>0.044</c:v>
                </c:pt>
                <c:pt idx="2" c:formatCode="General">
                  <c:v>0</c:v>
                </c:pt>
                <c:pt idx="3" c:formatCode="General">
                  <c:v>0</c:v>
                </c:pt>
                <c:pt idx="4" c:formatCode="General">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extLst>
      <c:ext uri="{0b15fc19-7d7d-44ad-8c2d-2c3a37ce22c3}">
        <chartProps xmlns="https://web.wps.cn/et/2018/main" chartId="{d3146714-3a8d-4e44-817d-342bd583e55c}"/>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财政拨款收支决算总计变动情况图</a:t>
            </a:r>
            <a:endParaRPr lang="zh-CN" altLang="en-US"/>
          </a:p>
        </c:rich>
      </c:tx>
      <c:layout/>
      <c:overlay val="0"/>
    </c:title>
    <c:autoTitleDeleted val="0"/>
    <c:plotArea>
      <c:layout/>
      <c:barChart>
        <c:barDir val="col"/>
        <c:grouping val="clustered"/>
        <c:varyColors val="0"/>
        <c:ser>
          <c:idx val="0"/>
          <c:order val="0"/>
          <c:tx>
            <c:strRef>
              <c:f>Sheet1!$B$1</c:f>
              <c:strCache>
                <c:ptCount val="1"/>
                <c:pt idx="0">
                  <c:v>单位：万元</c:v>
                </c:pt>
              </c:strCache>
            </c:strRef>
          </c:tx>
          <c:spPr>
            <a:solidFill>
              <a:srgbClr val="FFC000"/>
            </a:solidFill>
            <a:ln>
              <a:solidFill>
                <a:srgbClr val="FF0000"/>
              </a:solidFill>
            </a:ln>
          </c:spPr>
          <c:invertIfNegative val="0"/>
          <c:dPt>
            <c:idx val="1"/>
            <c:invertIfNegative val="0"/>
            <c:bubble3D val="0"/>
            <c:spPr>
              <a:solidFill>
                <a:srgbClr val="FFC000"/>
              </a:solidFill>
              <a:ln>
                <a:solidFill>
                  <a:schemeClr val="tx2"/>
                </a:solid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913.88</c:v>
                </c:pt>
                <c:pt idx="1">
                  <c:v>933.86</c:v>
                </c:pt>
                <c:pt idx="2">
                  <c:v>913.88</c:v>
                </c:pt>
                <c:pt idx="3">
                  <c:v>933.85</c:v>
                </c:pt>
              </c:numCache>
            </c:numRef>
          </c:val>
        </c:ser>
        <c:dLbls>
          <c:showLegendKey val="0"/>
          <c:showVal val="1"/>
          <c:showCatName val="0"/>
          <c:showSerName val="0"/>
          <c:showPercent val="0"/>
          <c:showBubbleSize val="0"/>
        </c:dLbls>
        <c:gapWidth val="150"/>
        <c:axId val="181195904"/>
        <c:axId val="181197440"/>
      </c:barChart>
      <c:catAx>
        <c:axId val="1811959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197440"/>
        <c:crosses val="autoZero"/>
        <c:auto val="1"/>
        <c:lblAlgn val="ctr"/>
        <c:lblOffset val="100"/>
        <c:noMultiLvlLbl val="0"/>
      </c:catAx>
      <c:valAx>
        <c:axId val="181197440"/>
        <c:scaling>
          <c:orientation val="minMax"/>
          <c:max val="12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195904"/>
        <c:crosses val="autoZero"/>
        <c:crossBetween val="between"/>
        <c:majorUnit val="200"/>
        <c:minorUnit val="2"/>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bede473-d18c-45ec-b048-06a12bac53b1}"/>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dist">
              <a:defRPr lang="zh-CN" sz="1800" b="1" i="0" u="none" strike="noStrike" kern="1200" baseline="0">
                <a:solidFill>
                  <a:schemeClr val="tx1"/>
                </a:solidFill>
                <a:latin typeface="+mn-lt"/>
                <a:ea typeface="+mn-ea"/>
                <a:cs typeface="+mn-cs"/>
              </a:defRPr>
            </a:pPr>
            <a:r>
              <a:rPr lang="zh-CN" altLang="en-US" sz="1200"/>
              <a:t>一般公共预算财政拨款支出决算变动情况图</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单位万元</c:v>
                </c:pt>
              </c:strCache>
            </c:strRef>
          </c:tx>
          <c:spPr>
            <a:gradFill>
              <a:gsLst>
                <a:gs pos="0">
                  <a:srgbClr val="7B32B2"/>
                </a:gs>
                <a:gs pos="100000">
                  <a:srgbClr val="401A5D"/>
                </a:gs>
              </a:gsLst>
              <a:lin scaled="0"/>
            </a:gradFill>
            <a:ln>
              <a:solidFill>
                <a:srgbClr val="FF0000"/>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2022年度</c:v>
                </c:pt>
                <c:pt idx="1">
                  <c:v>2023年度</c:v>
                </c:pt>
              </c:strCache>
            </c:strRef>
          </c:cat>
          <c:val>
            <c:numRef>
              <c:f>Sheet1!$B$2:$B$3</c:f>
              <c:numCache>
                <c:formatCode>General</c:formatCode>
                <c:ptCount val="2"/>
                <c:pt idx="0">
                  <c:v>913.88</c:v>
                </c:pt>
                <c:pt idx="1">
                  <c:v>933.85</c:v>
                </c:pt>
              </c:numCache>
            </c:numRef>
          </c:val>
        </c:ser>
        <c:dLbls>
          <c:showLegendKey val="0"/>
          <c:showVal val="1"/>
          <c:showCatName val="0"/>
          <c:showSerName val="0"/>
          <c:showPercent val="0"/>
          <c:showBubbleSize val="0"/>
        </c:dLbls>
        <c:gapWidth val="150"/>
        <c:axId val="107539840"/>
        <c:axId val="206550144"/>
      </c:barChart>
      <c:catAx>
        <c:axId val="107539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550144"/>
        <c:crosses val="autoZero"/>
        <c:auto val="1"/>
        <c:lblAlgn val="ctr"/>
        <c:lblOffset val="100"/>
        <c:noMultiLvlLbl val="0"/>
      </c:catAx>
      <c:valAx>
        <c:axId val="206550144"/>
        <c:scaling>
          <c:orientation val="minMax"/>
          <c:max val="12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539840"/>
        <c:crosses val="autoZero"/>
        <c:crossBetween val="between"/>
        <c:majorUnit val="200"/>
        <c:minorUnit val="4"/>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2ef2c1d-b22a-48a5-b832-0c478e544068}"/>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一般公共预算财政拨款支出决算结构图</a:t>
            </a:r>
            <a:endParaRPr lang="zh-CN" altLang="en-US" sz="1200"/>
          </a:p>
        </c:rich>
      </c:tx>
      <c:layout/>
      <c:overlay val="0"/>
    </c:title>
    <c:autoTitleDeleted val="0"/>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Lbls>
            <c:dLbl>
              <c:idx val="2"/>
              <c:layout>
                <c:manualLayout>
                  <c:x val="-0.0227909889897672"/>
                  <c:y val="0.01968644534068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34971886292991"/>
                  <c:y val="0.02848260396354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教育支出733.82万元</c:v>
                </c:pt>
                <c:pt idx="1">
                  <c:v>社会保障和就业支出152.72万元</c:v>
                </c:pt>
                <c:pt idx="2">
                  <c:v>卫生健康支出31.22万元</c:v>
                </c:pt>
                <c:pt idx="3">
                  <c:v>住房保障支出16.09万元</c:v>
                </c:pt>
              </c:strCache>
            </c:strRef>
          </c:cat>
          <c:val>
            <c:numRef>
              <c:f>Sheet1!$B$2:$B$5</c:f>
              <c:numCache>
                <c:formatCode>0.00%</c:formatCode>
                <c:ptCount val="4"/>
                <c:pt idx="0">
                  <c:v>0.7858</c:v>
                </c:pt>
                <c:pt idx="1">
                  <c:v>0.1635</c:v>
                </c:pt>
                <c:pt idx="2">
                  <c:v>0.0334</c:v>
                </c:pt>
                <c:pt idx="3">
                  <c:v>0.0173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802c7df-22d5-4715-9a8a-2025975d79ff}"/>
      </c:ext>
    </c:extLst>
  </c:chart>
  <c:spPr>
    <a:solidFill>
      <a:schemeClr val="accent6">
        <a:lumMod val="20000"/>
        <a:lumOff val="80000"/>
      </a:schemeClr>
    </a:solidFill>
    <a:ln w="9525" cap="flat" cmpd="sng" algn="ctr">
      <a:solidFill>
        <a:srgbClr val="00B050"/>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43238262445704"/>
          <c:y val="0.227102540974948"/>
          <c:w val="0.52077086860651"/>
          <c:h val="0.667157147152272"/>
        </c:manualLayout>
      </c:layout>
      <c:pie3DChart>
        <c:varyColors val="1"/>
        <c:ser>
          <c:idx val="0"/>
          <c:order val="0"/>
          <c:tx>
            <c:strRef>
              <c:f>Sheet1!$B$1</c:f>
              <c:strCache>
                <c:ptCount val="1"/>
                <c:pt idx="0">
                  <c:v>“三公”经费财政拨款支出决算结构图</c:v>
                </c:pt>
              </c:strCache>
            </c:strRef>
          </c:tx>
          <c:spPr>
            <a:gradFill flip="none">
              <a:gsLst>
                <a:gs pos="0">
                  <a:srgbClr val="007BD3"/>
                </a:gs>
                <a:gs pos="100000">
                  <a:srgbClr val="034373"/>
                </a:gs>
              </a:gsLst>
              <a:lin ang="0" scaled="0"/>
            </a:gradFill>
            <a:ln>
              <a:solidFill>
                <a:srgbClr val="FF0000"/>
              </a:solidFill>
            </a:ln>
          </c:spPr>
          <c:explosion val="0"/>
          <c:dPt>
            <c:idx val="0"/>
            <c:bubble3D val="0"/>
            <c:spPr>
              <a:gradFill flip="none">
                <a:gsLst>
                  <a:gs pos="0">
                    <a:srgbClr val="007BD3"/>
                  </a:gs>
                  <a:gs pos="100000">
                    <a:srgbClr val="034373"/>
                  </a:gs>
                </a:gsLst>
                <a:lin ang="0" scaled="0"/>
              </a:gradFill>
              <a:ln>
                <a:solidFill>
                  <a:srgbClr val="FF0000"/>
                </a:solidFill>
              </a:ln>
            </c:spPr>
          </c:dPt>
          <c:dPt>
            <c:idx val="1"/>
            <c:bubble3D val="0"/>
            <c:spPr>
              <a:gradFill flip="none">
                <a:gsLst>
                  <a:gs pos="0">
                    <a:srgbClr val="007BD3"/>
                  </a:gs>
                  <a:gs pos="100000">
                    <a:srgbClr val="034373"/>
                  </a:gs>
                </a:gsLst>
                <a:lin ang="0" scaled="0"/>
              </a:gradFill>
              <a:ln>
                <a:solidFill>
                  <a:srgbClr val="FF0000"/>
                </a:solidFill>
              </a:ln>
            </c:spPr>
          </c:dPt>
          <c:dPt>
            <c:idx val="2"/>
            <c:bubble3D val="0"/>
            <c:spPr>
              <a:gradFill flip="none">
                <a:gsLst>
                  <a:gs pos="0">
                    <a:srgbClr val="007BD3"/>
                  </a:gs>
                  <a:gs pos="100000">
                    <a:srgbClr val="034373"/>
                  </a:gs>
                </a:gsLst>
                <a:lin ang="0" scaled="0"/>
              </a:gradFill>
              <a:ln>
                <a:solidFill>
                  <a:srgbClr val="FF0000"/>
                </a:solidFill>
              </a:ln>
            </c:spPr>
          </c:dPt>
          <c:dLbls>
            <c:dLbl>
              <c:idx val="0"/>
              <c:layout>
                <c:manualLayout>
                  <c:x val="-0.0801422366148368"/>
                  <c:y val="-0.03784565628986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0</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因公出国（出境）费</c:v>
                </c:pt>
                <c:pt idx="1">
                  <c:v>公务接待</c:v>
                </c:pt>
                <c:pt idx="2">
                  <c:v>公务用车购置及运行维护费</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0"/>
          <c:showBubbleSize val="0"/>
        </c:dLbls>
      </c:pie3DChart>
      <c:spPr>
        <a:pattFill prst="pct5">
          <a:fgClr>
            <a:schemeClr val="accent2"/>
          </a:fgClr>
          <a:bgClr>
            <a:schemeClr val="bg1"/>
          </a:bgClr>
        </a:pattFill>
        <a:ln w="28575" cmpd="sng">
          <a:solidFill>
            <a:schemeClr val="tx1"/>
          </a:solidFill>
          <a:prstDash val="solid"/>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cd9040c9-690b-46fc-b931-128dce125f59}"/>
      </c:ext>
    </c:extLst>
  </c:chart>
  <c:spPr>
    <a:solidFill>
      <a:srgbClr val="FFC000"/>
    </a:solidFill>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5197</Words>
  <Characters>6947</Characters>
  <Lines>61</Lines>
  <Paragraphs>17</Paragraphs>
  <TotalTime>40</TotalTime>
  <ScaleCrop>false</ScaleCrop>
  <LinksUpToDate>false</LinksUpToDate>
  <CharactersWithSpaces>6993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2023-09-27T04:52:00Z</cp:lastPrinted>
  <dcterms:modified xsi:type="dcterms:W3CDTF">2024-10-29T00:50:29Z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8F004888400E46C59CD8718D8E7D442E_12</vt:lpwstr>
  </property>
</Properties>
</file>