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8287A">
      <w:pPr>
        <w:spacing w:line="600" w:lineRule="exact"/>
        <w:jc w:val="left"/>
        <w:outlineLvl w:val="0"/>
        <w:rPr>
          <w:rFonts w:ascii="方正小标宋简体" w:hAnsi="宋体" w:eastAsia="方正小标宋简体"/>
          <w:szCs w:val="21"/>
        </w:rPr>
      </w:pPr>
      <w:bookmarkStart w:id="0" w:name="_Toc15306267"/>
    </w:p>
    <w:p w14:paraId="440A6D01">
      <w:pPr>
        <w:pStyle w:val="6"/>
        <w:spacing w:before="93"/>
      </w:pPr>
    </w:p>
    <w:p w14:paraId="27C2CCFA">
      <w:pPr>
        <w:spacing w:line="600" w:lineRule="exact"/>
        <w:jc w:val="center"/>
        <w:outlineLvl w:val="0"/>
        <w:rPr>
          <w:rFonts w:ascii="方正小标宋简体" w:hAnsi="宋体" w:eastAsia="方正小标宋简体"/>
          <w:sz w:val="72"/>
          <w:szCs w:val="72"/>
        </w:rPr>
      </w:pPr>
    </w:p>
    <w:p w14:paraId="389E6833">
      <w:pPr>
        <w:spacing w:line="600" w:lineRule="exact"/>
        <w:jc w:val="center"/>
        <w:outlineLvl w:val="0"/>
        <w:rPr>
          <w:rFonts w:ascii="方正小标宋简体" w:hAnsi="宋体" w:eastAsia="方正小标宋简体"/>
          <w:sz w:val="72"/>
          <w:szCs w:val="72"/>
        </w:rPr>
      </w:pPr>
    </w:p>
    <w:p w14:paraId="499B542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193"/>
      <w:bookmarkStart w:id="3" w:name="_Toc15396475"/>
      <w:bookmarkStart w:id="4" w:name="_Toc15396597"/>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5BE0ED0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96598"/>
      <w:bookmarkStart w:id="9" w:name="_Toc15377426"/>
      <w:bookmarkStart w:id="10" w:name="_Toc15377194"/>
      <w:r>
        <w:rPr>
          <w:rFonts w:hint="eastAsia" w:ascii="方正小标宋简体" w:hAnsi="方正小标宋简体" w:eastAsia="方正小标宋简体" w:cs="方正小标宋简体"/>
          <w:sz w:val="72"/>
          <w:szCs w:val="72"/>
          <w:highlight w:val="yellow"/>
        </w:rPr>
        <w:t>四川省</w:t>
      </w:r>
      <w:bookmarkEnd w:id="0"/>
      <w:bookmarkStart w:id="11" w:name="_Toc15306268"/>
      <w:r>
        <w:rPr>
          <w:rFonts w:hint="eastAsia" w:ascii="方正小标宋简体" w:hAnsi="方正小标宋简体" w:eastAsia="方正小标宋简体" w:cs="方正小标宋简体"/>
          <w:sz w:val="72"/>
          <w:szCs w:val="72"/>
          <w:highlight w:val="yellow"/>
          <w:lang w:val="en-US" w:eastAsia="zh-CN"/>
        </w:rPr>
        <w:t>大竹县光荣院</w:t>
      </w:r>
      <w:r>
        <w:rPr>
          <w:rFonts w:hint="eastAsia" w:ascii="方正小标宋简体" w:hAnsi="方正小标宋简体" w:eastAsia="方正小标宋简体" w:cs="方正小标宋简体"/>
          <w:sz w:val="72"/>
          <w:szCs w:val="72"/>
          <w:highlight w:val="yellow"/>
        </w:rPr>
        <w:t>单位决算</w:t>
      </w:r>
      <w:bookmarkEnd w:id="6"/>
      <w:bookmarkEnd w:id="7"/>
      <w:bookmarkEnd w:id="8"/>
      <w:bookmarkEnd w:id="9"/>
      <w:bookmarkEnd w:id="10"/>
      <w:bookmarkEnd w:id="11"/>
    </w:p>
    <w:p w14:paraId="41E39C50">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(单位公开范本)</w:t>
      </w:r>
    </w:p>
    <w:p w14:paraId="2A2782E4">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9B77033">
      <w:pPr>
        <w:widowControl/>
        <w:jc w:val="center"/>
        <w:rPr>
          <w:rFonts w:ascii="黑体" w:hAnsi="黑体" w:eastAsia="黑体" w:cstheme="minorBidi"/>
          <w:sz w:val="28"/>
          <w:szCs w:val="28"/>
        </w:rPr>
      </w:pPr>
    </w:p>
    <w:p w14:paraId="11A9352F">
      <w:pPr>
        <w:pStyle w:val="12"/>
        <w:rPr>
          <w:rFonts w:hint="default" w:eastAsia="仿宋"/>
          <w:highlight w:val="yellow"/>
          <w:lang w:val="en-US" w:eastAsia="zh-CN"/>
        </w:rPr>
      </w:pPr>
      <w:r>
        <w:rPr>
          <w:rFonts w:hint="eastAsia"/>
          <w:highlight w:val="yellow"/>
        </w:rPr>
        <w:t>公开时间：202</w:t>
      </w:r>
      <w:r>
        <w:rPr>
          <w:rFonts w:hint="eastAsia"/>
          <w:highlight w:val="yellow"/>
          <w:lang w:val="en-US" w:eastAsia="zh-CN"/>
        </w:rPr>
        <w:t>4</w:t>
      </w:r>
      <w:r>
        <w:rPr>
          <w:rFonts w:hint="eastAsia"/>
          <w:highlight w:val="yellow"/>
        </w:rPr>
        <w:t>年</w:t>
      </w:r>
      <w:r>
        <w:rPr>
          <w:rFonts w:hint="eastAsia"/>
          <w:highlight w:val="yellow"/>
          <w:lang w:val="en-US" w:eastAsia="zh-CN"/>
        </w:rPr>
        <w:t>10</w:t>
      </w:r>
      <w:r>
        <w:rPr>
          <w:rFonts w:hint="eastAsia"/>
          <w:highlight w:val="yellow"/>
        </w:rPr>
        <w:t>月</w:t>
      </w:r>
      <w:r>
        <w:rPr>
          <w:rFonts w:hint="eastAsia"/>
          <w:highlight w:val="yellow"/>
          <w:lang w:val="en-US" w:eastAsia="zh-CN"/>
        </w:rPr>
        <w:t>18</w:t>
      </w:r>
      <w:r>
        <w:rPr>
          <w:rFonts w:hint="eastAsia"/>
          <w:highlight w:val="yellow"/>
        </w:rPr>
        <w:t>日</w:t>
      </w:r>
    </w:p>
    <w:p w14:paraId="1C3C49EC"/>
    <w:p w14:paraId="48BA21A8">
      <w:pPr>
        <w:pStyle w:val="13"/>
        <w:adjustRightInd w:val="0"/>
        <w:snapToGrid w:val="0"/>
        <w:spacing w:line="440" w:lineRule="exact"/>
        <w:jc w:val="left"/>
        <w:rPr>
          <w:rFonts w:hint="eastAsia" w:ascii="微软雅黑" w:hAnsi="微软雅黑" w:eastAsia="微软雅黑" w:cs="微软雅黑"/>
          <w:color w:val="auto"/>
          <w:sz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4</w:t>
      </w:r>
    </w:p>
    <w:p w14:paraId="6D7C81E7">
      <w:pPr>
        <w:pStyle w:val="13"/>
        <w:adjustRightInd w:val="0"/>
        <w:snapToGrid w:val="0"/>
        <w:spacing w:line="440" w:lineRule="exact"/>
        <w:jc w:val="left"/>
        <w:rPr>
          <w:rFonts w:hint="eastAsia" w:ascii="微软雅黑" w:hAnsi="微软雅黑" w:eastAsia="微软雅黑" w:cs="微软雅黑"/>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4</w:t>
      </w:r>
    </w:p>
    <w:p w14:paraId="0A4FB4A3">
      <w:pPr>
        <w:pStyle w:val="13"/>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4</w:t>
      </w:r>
    </w:p>
    <w:p w14:paraId="5B3657C9">
      <w:pPr>
        <w:pStyle w:val="12"/>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5</w:t>
      </w:r>
    </w:p>
    <w:p w14:paraId="2CEB4785">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5</w:t>
      </w:r>
    </w:p>
    <w:p w14:paraId="3412687A">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5</w:t>
      </w:r>
    </w:p>
    <w:p w14:paraId="642DD082">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6</w:t>
      </w:r>
    </w:p>
    <w:p w14:paraId="076062E0">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7</w:t>
      </w:r>
    </w:p>
    <w:p w14:paraId="685DB149">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7</w:t>
      </w:r>
    </w:p>
    <w:p w14:paraId="725E7819">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10</w:t>
      </w:r>
    </w:p>
    <w:p w14:paraId="11658DEA">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10</w:t>
      </w:r>
    </w:p>
    <w:p w14:paraId="559043A9">
      <w:pPr>
        <w:pStyle w:val="13"/>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12</w:t>
      </w:r>
    </w:p>
    <w:p w14:paraId="19977637">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12</w:t>
      </w:r>
    </w:p>
    <w:p w14:paraId="0DA89E2D">
      <w:pPr>
        <w:pStyle w:val="13"/>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12</w:t>
      </w:r>
    </w:p>
    <w:p w14:paraId="5AC68CB0">
      <w:pPr>
        <w:pStyle w:val="13"/>
        <w:adjustRightInd w:val="0"/>
        <w:snapToGrid w:val="0"/>
        <w:spacing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14</w:t>
      </w:r>
    </w:p>
    <w:p w14:paraId="51B45115">
      <w:pPr>
        <w:pStyle w:val="13"/>
        <w:adjustRightInd w:val="0"/>
        <w:snapToGrid w:val="0"/>
        <w:spacing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17</w:t>
      </w:r>
    </w:p>
    <w:p w14:paraId="1173752F">
      <w:pPr>
        <w:pStyle w:val="13"/>
        <w:adjustRightInd w:val="0"/>
        <w:snapToGrid w:val="0"/>
        <w:spacing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p>
    <w:p w14:paraId="623EF2EC">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p>
    <w:p w14:paraId="4E7B156B">
      <w:pPr>
        <w:pStyle w:val="13"/>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r>
        <w:rPr>
          <w:rFonts w:hint="eastAsia"/>
          <w:color w:val="auto"/>
          <w:sz w:val="24"/>
          <w:highlight w:val="none"/>
        </w:rPr>
        <w:t>三、支出决算表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r>
        <w:rPr>
          <w:rFonts w:hint="eastAsia"/>
          <w:color w:val="auto"/>
          <w:sz w:val="24"/>
          <w:highlight w:val="none"/>
        </w:rPr>
        <w:t>四、财政拨款收入支出决算总表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p>
    <w:p w14:paraId="46E55350">
      <w:pPr>
        <w:pStyle w:val="13"/>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r>
        <w:rPr>
          <w:rFonts w:hint="eastAsia"/>
          <w:color w:val="auto"/>
          <w:sz w:val="24"/>
          <w:highlight w:val="none"/>
        </w:rPr>
        <w:t>六、一般公共预算财政拨款支出决算表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r>
        <w:rPr>
          <w:rFonts w:hint="eastAsia"/>
          <w:color w:val="auto"/>
          <w:sz w:val="24"/>
          <w:highlight w:val="none"/>
        </w:rPr>
        <w:t>七、一般公共预算财政拨款支出决算明细表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p>
    <w:p w14:paraId="67EFB71D">
      <w:pPr>
        <w:pStyle w:val="13"/>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r>
        <w:rPr>
          <w:rFonts w:hint="eastAsia"/>
          <w:color w:val="auto"/>
          <w:sz w:val="24"/>
          <w:highlight w:val="none"/>
        </w:rPr>
        <w:t>九、一般公共预算财政拨款项目支出决算表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p>
    <w:p w14:paraId="5FF6F986">
      <w:pPr>
        <w:pStyle w:val="13"/>
        <w:adjustRightInd w:val="0"/>
        <w:snapToGrid w:val="0"/>
        <w:spacing w:line="440" w:lineRule="exact"/>
        <w:jc w:val="left"/>
        <w:rPr>
          <w:rFonts w:hint="eastAsia" w:ascii="微软雅黑" w:hAnsi="微软雅黑" w:eastAsia="微软雅黑" w:cs="微软雅黑"/>
          <w:color w:val="auto"/>
          <w:sz w:val="24"/>
          <w:highlight w:val="none"/>
          <w:lang w:val="en-US" w:eastAsia="zh-CN"/>
        </w:rPr>
      </w:pPr>
      <w:r>
        <w:rPr>
          <w:rFonts w:hint="eastAsia"/>
          <w:color w:val="auto"/>
          <w:sz w:val="24"/>
          <w:highlight w:val="none"/>
        </w:rPr>
        <w:t>十、政府性基金预算财政拨款收入支出决算表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p>
    <w:p w14:paraId="79CB44C2">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p>
    <w:p w14:paraId="2CB27D25">
      <w:pPr>
        <w:pStyle w:val="13"/>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r>
        <w:rPr>
          <w:rFonts w:hint="eastAsia"/>
          <w:color w:val="auto"/>
          <w:sz w:val="24"/>
          <w:highlight w:val="none"/>
        </w:rPr>
        <w:t>十三、财政拨款“三公”经费支出决算表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25</w:t>
      </w:r>
    </w:p>
    <w:p w14:paraId="3E5DF28B">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5ACCC68F">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5E91DB71">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5E84ADA0">
      <w:pPr>
        <w:widowControl/>
        <w:jc w:val="left"/>
        <w:rPr>
          <w:rFonts w:ascii="黑体" w:eastAsia="黑体"/>
          <w:sz w:val="32"/>
          <w:szCs w:val="32"/>
        </w:rPr>
      </w:pPr>
    </w:p>
    <w:p w14:paraId="3A2F4134">
      <w:pPr>
        <w:pStyle w:val="4"/>
        <w:numPr>
          <w:ilvl w:val="0"/>
          <w:numId w:val="1"/>
        </w:numPr>
        <w:rPr>
          <w:rStyle w:val="28"/>
          <w:rFonts w:ascii="黑体" w:hAnsi="黑体" w:eastAsia="黑体"/>
          <w:b w:val="0"/>
          <w:bCs w:val="0"/>
          <w:highlight w:val="yellow"/>
        </w:rPr>
      </w:pPr>
      <w:bookmarkStart w:id="14" w:name="_Toc15377197"/>
      <w:bookmarkStart w:id="15" w:name="_Toc15396600"/>
      <w:r>
        <w:rPr>
          <w:rStyle w:val="28"/>
          <w:rFonts w:hint="eastAsia" w:ascii="黑体" w:hAnsi="黑体" w:eastAsia="黑体"/>
          <w:b w:val="0"/>
          <w:bCs w:val="0"/>
          <w:highlight w:val="yellow"/>
        </w:rPr>
        <w:t>主要职责</w:t>
      </w:r>
    </w:p>
    <w:p w14:paraId="2FF2EB1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为孤老烈属、孤老退伍红军老战士、孤老西路军红军老战士、孤老残疾、复员、退伍军人及未满十六周岁的烈士遗孤和患有残病生活不能自理，家中无人照顾的烈士子女服务。</w:t>
      </w:r>
    </w:p>
    <w:p w14:paraId="15EBE851">
      <w:pPr>
        <w:rPr>
          <w:rFonts w:hint="eastAsia"/>
          <w:lang w:eastAsia="zh-CN"/>
        </w:rPr>
      </w:pPr>
    </w:p>
    <w:p w14:paraId="5BDF17C8">
      <w:pPr>
        <w:pStyle w:val="4"/>
        <w:rPr>
          <w:rFonts w:ascii="黑体" w:hAnsi="黑体" w:eastAsia="黑体"/>
          <w:b w:val="0"/>
          <w:highlight w:val="yellow"/>
        </w:rPr>
      </w:pPr>
      <w:r>
        <w:rPr>
          <w:rFonts w:hint="eastAsia" w:ascii="黑体" w:hAnsi="黑体" w:eastAsia="黑体"/>
          <w:b w:val="0"/>
          <w:highlight w:val="yellow"/>
        </w:rPr>
        <w:t>二、机构设置</w:t>
      </w:r>
    </w:p>
    <w:p w14:paraId="5B4AF3ED">
      <w:pPr>
        <w:numPr>
          <w:ilvl w:val="0"/>
          <w:numId w:val="0"/>
        </w:numPr>
        <w:ind w:firstLine="640" w:firstLineChars="200"/>
        <w:rPr>
          <w:rFonts w:hint="eastAsia" w:ascii="仿宋_GB2312" w:hAnsi="Times New Roman" w:eastAsia="仿宋_GB2312" w:cstheme="majorBidi"/>
          <w:b w:val="0"/>
          <w:bCs w:val="0"/>
          <w:color w:val="000000"/>
          <w:kern w:val="2"/>
          <w:sz w:val="32"/>
          <w:szCs w:val="32"/>
          <w:lang w:val="en-US" w:eastAsia="zh-CN" w:bidi="ar-SA"/>
        </w:rPr>
      </w:pPr>
      <w:r>
        <w:rPr>
          <w:rFonts w:hint="eastAsia" w:ascii="仿宋_GB2312" w:hAnsi="Times New Roman" w:eastAsia="仿宋_GB2312" w:cstheme="majorBidi"/>
          <w:b w:val="0"/>
          <w:bCs w:val="0"/>
          <w:color w:val="000000"/>
          <w:kern w:val="2"/>
          <w:sz w:val="32"/>
          <w:szCs w:val="32"/>
          <w:lang w:val="en-US" w:eastAsia="zh-CN" w:bidi="ar-SA"/>
        </w:rPr>
        <w:t>大竹县光荣院属县退役军人局下属单位，为独立预算的一级事业单位。</w:t>
      </w:r>
    </w:p>
    <w:p w14:paraId="45BC9CDA"/>
    <w:bookmarkEnd w:id="14"/>
    <w:bookmarkEnd w:id="15"/>
    <w:p w14:paraId="2FCA3F6A">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2D8D60BB">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3295FF90"/>
    <w:p w14:paraId="7137EEF6">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32860114">
      <w:pPr>
        <w:spacing w:line="600" w:lineRule="exact"/>
        <w:ind w:firstLine="640" w:firstLineChars="200"/>
        <w:rPr>
          <w:rFonts w:hint="eastAsia" w:ascii="仿宋" w:hAnsi="仿宋" w:eastAsia="仿宋"/>
          <w:sz w:val="32"/>
          <w:szCs w:val="32"/>
          <w:highlight w:val="yellow"/>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107.21</w:t>
      </w:r>
      <w:r>
        <w:rPr>
          <w:rFonts w:hint="eastAsia" w:ascii="仿宋" w:hAnsi="仿宋" w:eastAsia="仿宋"/>
          <w:sz w:val="32"/>
          <w:szCs w:val="32"/>
        </w:rPr>
        <w:t>万元。与2022年度相比，</w:t>
      </w:r>
      <w:r>
        <w:rPr>
          <w:rFonts w:hint="eastAsia" w:ascii="仿宋" w:hAnsi="仿宋" w:eastAsia="仿宋"/>
          <w:sz w:val="32"/>
          <w:szCs w:val="32"/>
          <w:highlight w:val="yellow"/>
        </w:rPr>
        <w:t>收、支总计各增加</w:t>
      </w:r>
      <w:r>
        <w:rPr>
          <w:rFonts w:hint="eastAsia" w:ascii="仿宋" w:hAnsi="仿宋" w:eastAsia="仿宋"/>
          <w:sz w:val="32"/>
          <w:szCs w:val="32"/>
          <w:highlight w:val="yellow"/>
          <w:lang w:val="en-US" w:eastAsia="zh-CN"/>
        </w:rPr>
        <w:t>16.06</w:t>
      </w:r>
      <w:r>
        <w:rPr>
          <w:rFonts w:hint="eastAsia" w:ascii="仿宋" w:hAnsi="仿宋" w:eastAsia="仿宋"/>
          <w:sz w:val="32"/>
          <w:szCs w:val="32"/>
          <w:highlight w:val="yellow"/>
        </w:rPr>
        <w:t>万元，</w:t>
      </w:r>
      <w:bookmarkStart w:id="20" w:name="OLE_LINK1"/>
      <w:r>
        <w:rPr>
          <w:rFonts w:hint="eastAsia" w:ascii="仿宋" w:hAnsi="仿宋" w:eastAsia="仿宋"/>
          <w:sz w:val="32"/>
          <w:szCs w:val="32"/>
          <w:highlight w:val="yellow"/>
        </w:rPr>
        <w:t>增长</w:t>
      </w:r>
      <w:r>
        <w:rPr>
          <w:rFonts w:hint="eastAsia" w:ascii="仿宋" w:hAnsi="仿宋" w:eastAsia="仿宋"/>
          <w:sz w:val="32"/>
          <w:szCs w:val="32"/>
          <w:highlight w:val="yellow"/>
          <w:lang w:val="en-US" w:eastAsia="zh-CN"/>
        </w:rPr>
        <w:t>17.62</w:t>
      </w:r>
      <w:r>
        <w:rPr>
          <w:rFonts w:ascii="仿宋" w:hAnsi="仿宋" w:eastAsia="仿宋"/>
          <w:sz w:val="32"/>
          <w:szCs w:val="32"/>
          <w:highlight w:val="yellow"/>
        </w:rPr>
        <w:t>%</w:t>
      </w:r>
      <w:r>
        <w:rPr>
          <w:rFonts w:hint="eastAsia" w:ascii="仿宋" w:hAnsi="仿宋" w:eastAsia="仿宋"/>
          <w:sz w:val="32"/>
          <w:szCs w:val="32"/>
          <w:highlight w:val="yellow"/>
        </w:rPr>
        <w:t>。主要变动原因是</w:t>
      </w:r>
      <w:r>
        <w:rPr>
          <w:rFonts w:hint="eastAsia" w:ascii="仿宋" w:hAnsi="仿宋" w:eastAsia="仿宋"/>
          <w:sz w:val="32"/>
          <w:szCs w:val="32"/>
          <w:highlight w:val="yellow"/>
          <w:lang w:val="en-US" w:eastAsia="zh-CN"/>
        </w:rPr>
        <w:t>增加了职工及补缴职工上年保险</w:t>
      </w:r>
      <w:r>
        <w:rPr>
          <w:rFonts w:hint="eastAsia" w:ascii="仿宋" w:hAnsi="仿宋" w:eastAsia="仿宋"/>
          <w:sz w:val="32"/>
          <w:szCs w:val="32"/>
          <w:highlight w:val="yellow"/>
        </w:rPr>
        <w:t>。</w:t>
      </w:r>
      <w:bookmarkEnd w:id="20"/>
    </w:p>
    <w:p w14:paraId="01C7AC84">
      <w:pPr>
        <w:pStyle w:val="6"/>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5EF480F">
      <w:pPr>
        <w:spacing w:line="600" w:lineRule="exact"/>
        <w:ind w:firstLine="640" w:firstLineChars="200"/>
        <w:rPr>
          <w:rFonts w:ascii="仿宋_GB2312" w:eastAsia="仿宋_GB2312"/>
          <w:sz w:val="32"/>
          <w:szCs w:val="32"/>
        </w:rPr>
      </w:pPr>
      <w:r>
        <w:rPr>
          <w:rFonts w:hint="eastAsia" w:ascii="仿宋" w:hAnsi="仿宋" w:eastAsia="仿宋"/>
          <w:sz w:val="32"/>
          <w:szCs w:val="32"/>
          <w:highlight w:val="yellow"/>
        </w:rPr>
        <w:t>（图</w:t>
      </w:r>
      <w:r>
        <w:rPr>
          <w:rFonts w:ascii="仿宋" w:hAnsi="仿宋" w:eastAsia="仿宋"/>
          <w:sz w:val="32"/>
          <w:szCs w:val="32"/>
          <w:highlight w:val="yellow"/>
        </w:rPr>
        <w:t>1</w:t>
      </w:r>
      <w:r>
        <w:rPr>
          <w:rFonts w:hint="eastAsia" w:ascii="仿宋" w:hAnsi="仿宋" w:eastAsia="仿宋"/>
          <w:sz w:val="32"/>
          <w:szCs w:val="32"/>
          <w:highlight w:val="yellow"/>
        </w:rPr>
        <w:t>：收、支决算总计变动情况图）（柱状图）</w:t>
      </w:r>
    </w:p>
    <w:p w14:paraId="7A6296D0">
      <w:pPr>
        <w:pStyle w:val="26"/>
        <w:numPr>
          <w:ilvl w:val="0"/>
          <w:numId w:val="2"/>
        </w:numPr>
        <w:spacing w:line="600" w:lineRule="exact"/>
        <w:ind w:firstLineChars="0"/>
        <w:outlineLvl w:val="1"/>
        <w:rPr>
          <w:rStyle w:val="28"/>
          <w:rFonts w:ascii="黑体" w:hAnsi="黑体" w:eastAsia="黑体"/>
          <w:b w:val="0"/>
        </w:rPr>
      </w:pPr>
      <w:bookmarkStart w:id="21" w:name="_Toc15396604"/>
      <w:bookmarkStart w:id="22" w:name="_Toc15377206"/>
      <w:r>
        <w:rPr>
          <w:rFonts w:hint="eastAsia" w:ascii="黑体" w:hAnsi="黑体" w:eastAsia="黑体"/>
          <w:sz w:val="32"/>
          <w:szCs w:val="32"/>
        </w:rPr>
        <w:t>收</w:t>
      </w:r>
      <w:r>
        <w:rPr>
          <w:rStyle w:val="28"/>
          <w:rFonts w:hint="eastAsia" w:ascii="黑体" w:hAnsi="黑体" w:eastAsia="黑体"/>
          <w:b w:val="0"/>
        </w:rPr>
        <w:t>入决算情况说明</w:t>
      </w:r>
      <w:bookmarkEnd w:id="21"/>
      <w:bookmarkEnd w:id="22"/>
    </w:p>
    <w:p w14:paraId="15A8E45C">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107.21</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107.21</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lang w:eastAsia="zh-CN"/>
        </w:rPr>
        <w:t>。</w:t>
      </w:r>
    </w:p>
    <w:p w14:paraId="5CE23A01">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72E3E394">
      <w:pPr>
        <w:pStyle w:val="6"/>
        <w:rPr>
          <w:rFonts w:ascii="仿宋" w:hAnsi="仿宋" w:eastAsia="仿宋"/>
          <w:sz w:val="32"/>
          <w:szCs w:val="32"/>
        </w:rPr>
      </w:pPr>
      <w:r>
        <w:drawing>
          <wp:inline distT="0" distB="0" distL="114300" distR="114300">
            <wp:extent cx="4940300" cy="2704465"/>
            <wp:effectExtent l="4445" t="4445" r="8255" b="1524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614742">
      <w:pPr>
        <w:spacing w:line="600" w:lineRule="exact"/>
        <w:ind w:firstLine="640" w:firstLineChars="200"/>
        <w:rPr>
          <w:rFonts w:ascii="仿宋_GB2312" w:eastAsia="仿宋_GB2312"/>
          <w:sz w:val="32"/>
          <w:szCs w:val="32"/>
          <w:highlight w:val="yellow"/>
        </w:rPr>
      </w:pPr>
      <w:r>
        <w:rPr>
          <w:rFonts w:hint="eastAsia" w:ascii="仿宋" w:hAnsi="仿宋" w:eastAsia="仿宋"/>
          <w:sz w:val="32"/>
          <w:szCs w:val="32"/>
          <w:highlight w:val="yellow"/>
        </w:rPr>
        <w:t>（图2：</w:t>
      </w:r>
      <w:bookmarkStart w:id="23" w:name="OLE_LINK6"/>
      <w:r>
        <w:rPr>
          <w:rFonts w:hint="eastAsia" w:ascii="仿宋" w:hAnsi="仿宋" w:eastAsia="仿宋"/>
          <w:sz w:val="32"/>
          <w:szCs w:val="32"/>
          <w:highlight w:val="yellow"/>
        </w:rPr>
        <w:t>收入决算结构图</w:t>
      </w:r>
      <w:bookmarkEnd w:id="23"/>
      <w:r>
        <w:rPr>
          <w:rFonts w:hint="eastAsia" w:ascii="仿宋" w:hAnsi="仿宋" w:eastAsia="仿宋"/>
          <w:sz w:val="32"/>
          <w:szCs w:val="32"/>
          <w:highlight w:val="yellow"/>
        </w:rPr>
        <w:t>）（饼状图）</w:t>
      </w:r>
    </w:p>
    <w:p w14:paraId="10F6861C">
      <w:pPr>
        <w:pStyle w:val="26"/>
        <w:numPr>
          <w:ilvl w:val="0"/>
          <w:numId w:val="2"/>
        </w:numPr>
        <w:spacing w:line="600" w:lineRule="exact"/>
        <w:ind w:firstLineChars="0"/>
        <w:outlineLvl w:val="1"/>
        <w:rPr>
          <w:rStyle w:val="28"/>
          <w:rFonts w:ascii="黑体" w:hAnsi="黑体" w:eastAsia="黑体"/>
          <w:b w:val="0"/>
        </w:rPr>
      </w:pPr>
      <w:bookmarkStart w:id="24" w:name="_Toc15396605"/>
      <w:bookmarkStart w:id="25" w:name="_Toc15377207"/>
      <w:r>
        <w:rPr>
          <w:rFonts w:hint="eastAsia" w:ascii="黑体" w:hAnsi="黑体" w:eastAsia="黑体"/>
          <w:sz w:val="32"/>
          <w:szCs w:val="32"/>
        </w:rPr>
        <w:t>支</w:t>
      </w:r>
      <w:r>
        <w:rPr>
          <w:rStyle w:val="28"/>
          <w:rFonts w:hint="eastAsia" w:ascii="黑体" w:hAnsi="黑体" w:eastAsia="黑体"/>
          <w:b w:val="0"/>
        </w:rPr>
        <w:t>出决算情况说明</w:t>
      </w:r>
      <w:bookmarkEnd w:id="24"/>
      <w:bookmarkEnd w:id="25"/>
    </w:p>
    <w:p w14:paraId="0F994BC8">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b/>
          <w:sz w:val="32"/>
          <w:szCs w:val="32"/>
          <w:lang w:val="en-US" w:eastAsia="zh-CN"/>
        </w:rPr>
        <w:t>107.21</w:t>
      </w:r>
      <w:r>
        <w:rPr>
          <w:rFonts w:hint="eastAsia" w:ascii="仿宋" w:hAnsi="仿宋" w:eastAsia="仿宋"/>
          <w:sz w:val="32"/>
          <w:szCs w:val="32"/>
        </w:rPr>
        <w:t>万元，其中：基本支出</w:t>
      </w:r>
      <w:r>
        <w:rPr>
          <w:rFonts w:hint="eastAsia" w:ascii="仿宋" w:hAnsi="仿宋" w:eastAsia="仿宋"/>
          <w:b/>
          <w:sz w:val="32"/>
          <w:szCs w:val="32"/>
          <w:lang w:val="en-US" w:eastAsia="zh-CN"/>
        </w:rPr>
        <w:t>56.36</w:t>
      </w:r>
      <w:r>
        <w:rPr>
          <w:rFonts w:hint="eastAsia" w:ascii="仿宋" w:hAnsi="仿宋" w:eastAsia="仿宋"/>
          <w:sz w:val="32"/>
          <w:szCs w:val="32"/>
        </w:rPr>
        <w:t>万元，占</w:t>
      </w:r>
      <w:r>
        <w:rPr>
          <w:rFonts w:hint="eastAsia" w:ascii="仿宋" w:hAnsi="仿宋" w:eastAsia="仿宋"/>
          <w:b/>
          <w:sz w:val="32"/>
          <w:szCs w:val="32"/>
          <w:lang w:val="en-US" w:eastAsia="zh-CN"/>
        </w:rPr>
        <w:t>52.57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50.85</w:t>
      </w:r>
      <w:r>
        <w:rPr>
          <w:rFonts w:hint="eastAsia" w:ascii="仿宋" w:hAnsi="仿宋" w:eastAsia="仿宋"/>
          <w:sz w:val="32"/>
          <w:szCs w:val="32"/>
        </w:rPr>
        <w:t>万元，占</w:t>
      </w:r>
      <w:r>
        <w:rPr>
          <w:rFonts w:hint="eastAsia" w:ascii="仿宋" w:hAnsi="仿宋" w:eastAsia="仿宋"/>
          <w:b/>
          <w:sz w:val="32"/>
          <w:szCs w:val="32"/>
          <w:lang w:val="en-US" w:eastAsia="zh-CN"/>
        </w:rPr>
        <w:t>47.43</w:t>
      </w:r>
      <w:r>
        <w:rPr>
          <w:rFonts w:ascii="仿宋" w:hAnsi="仿宋" w:eastAsia="仿宋"/>
          <w:sz w:val="32"/>
          <w:szCs w:val="32"/>
        </w:rPr>
        <w:t>%</w:t>
      </w:r>
      <w:r>
        <w:rPr>
          <w:rFonts w:hint="eastAsia" w:ascii="仿宋" w:hAnsi="仿宋" w:eastAsia="仿宋"/>
          <w:sz w:val="32"/>
          <w:szCs w:val="32"/>
        </w:rPr>
        <w:t>。</w:t>
      </w:r>
    </w:p>
    <w:p w14:paraId="2A95BC7C">
      <w:pPr>
        <w:spacing w:line="600" w:lineRule="exact"/>
        <w:ind w:firstLine="643"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04FC5783">
      <w:pPr>
        <w:pStyle w:val="6"/>
        <w:rPr>
          <w:rFonts w:ascii="仿宋" w:hAnsi="仿宋" w:eastAsia="仿宋"/>
          <w:sz w:val="32"/>
          <w:szCs w:val="32"/>
          <w:shd w:val="pct10" w:color="auto" w:fill="FFFFFF"/>
        </w:rPr>
      </w:pPr>
      <w:r>
        <w:drawing>
          <wp:inline distT="0" distB="0" distL="114300" distR="114300">
            <wp:extent cx="4826000" cy="2743200"/>
            <wp:effectExtent l="4445" t="4445" r="825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343469">
      <w:pPr>
        <w:spacing w:line="600" w:lineRule="exact"/>
        <w:ind w:firstLine="640" w:firstLineChars="200"/>
        <w:rPr>
          <w:rFonts w:ascii="仿宋_GB2312" w:eastAsia="仿宋_GB2312"/>
          <w:sz w:val="32"/>
          <w:szCs w:val="32"/>
          <w:highlight w:val="yellow"/>
        </w:rPr>
      </w:pPr>
      <w:r>
        <w:rPr>
          <w:rFonts w:hint="eastAsia" w:ascii="仿宋" w:hAnsi="仿宋" w:eastAsia="仿宋"/>
          <w:sz w:val="32"/>
          <w:szCs w:val="32"/>
          <w:highlight w:val="yellow"/>
        </w:rPr>
        <w:t>（图3：支出决算结构图）（饼状图）</w:t>
      </w:r>
    </w:p>
    <w:p w14:paraId="10E82823">
      <w:pPr>
        <w:spacing w:line="600" w:lineRule="exact"/>
        <w:ind w:firstLine="640" w:firstLineChars="200"/>
        <w:outlineLvl w:val="1"/>
        <w:rPr>
          <w:rStyle w:val="28"/>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6"/>
      <w:bookmarkEnd w:id="27"/>
    </w:p>
    <w:p w14:paraId="1C7C30C0">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107.21</w:t>
      </w:r>
      <w:r>
        <w:rPr>
          <w:rFonts w:hint="eastAsia" w:ascii="仿宋" w:hAnsi="仿宋" w:eastAsia="仿宋"/>
          <w:sz w:val="32"/>
          <w:szCs w:val="32"/>
        </w:rPr>
        <w:t>万元。与2022年度相比，</w:t>
      </w:r>
      <w:r>
        <w:rPr>
          <w:rFonts w:hint="eastAsia" w:ascii="仿宋" w:hAnsi="仿宋" w:eastAsia="仿宋"/>
          <w:sz w:val="32"/>
          <w:szCs w:val="32"/>
          <w:highlight w:val="yellow"/>
        </w:rPr>
        <w:t>财政拨款收、支总计各增加</w:t>
      </w:r>
      <w:r>
        <w:rPr>
          <w:rFonts w:hint="eastAsia" w:ascii="仿宋" w:hAnsi="仿宋" w:eastAsia="仿宋"/>
          <w:sz w:val="32"/>
          <w:szCs w:val="32"/>
          <w:highlight w:val="yellow"/>
          <w:lang w:val="en-US" w:eastAsia="zh-CN"/>
        </w:rPr>
        <w:t>16.06</w:t>
      </w:r>
      <w:r>
        <w:rPr>
          <w:rFonts w:hint="eastAsia" w:ascii="仿宋" w:hAnsi="仿宋" w:eastAsia="仿宋"/>
          <w:sz w:val="32"/>
          <w:szCs w:val="32"/>
          <w:highlight w:val="yellow"/>
        </w:rPr>
        <w:t>万元，增长</w:t>
      </w:r>
      <w:r>
        <w:rPr>
          <w:rFonts w:hint="eastAsia" w:ascii="仿宋" w:hAnsi="仿宋" w:eastAsia="仿宋"/>
          <w:sz w:val="32"/>
          <w:szCs w:val="32"/>
          <w:highlight w:val="yellow"/>
          <w:lang w:val="en-US" w:eastAsia="zh-CN"/>
        </w:rPr>
        <w:t>17.62</w:t>
      </w:r>
      <w:r>
        <w:rPr>
          <w:rFonts w:ascii="仿宋" w:hAnsi="仿宋" w:eastAsia="仿宋"/>
          <w:sz w:val="32"/>
          <w:szCs w:val="32"/>
          <w:highlight w:val="yellow"/>
        </w:rPr>
        <w:t>%</w:t>
      </w:r>
      <w:r>
        <w:rPr>
          <w:rFonts w:hint="eastAsia" w:ascii="仿宋" w:hAnsi="仿宋" w:eastAsia="仿宋"/>
          <w:sz w:val="32"/>
          <w:szCs w:val="32"/>
          <w:highlight w:val="yellow"/>
        </w:rPr>
        <w:t>。</w:t>
      </w:r>
      <w:bookmarkStart w:id="28" w:name="OLE_LINK2"/>
      <w:r>
        <w:rPr>
          <w:rFonts w:hint="eastAsia" w:ascii="仿宋" w:hAnsi="仿宋" w:eastAsia="仿宋"/>
          <w:sz w:val="32"/>
          <w:szCs w:val="32"/>
          <w:highlight w:val="yellow"/>
        </w:rPr>
        <w:t>主要变动原因是</w:t>
      </w:r>
      <w:r>
        <w:rPr>
          <w:rFonts w:hint="eastAsia" w:ascii="仿宋" w:hAnsi="仿宋" w:eastAsia="仿宋"/>
          <w:sz w:val="32"/>
          <w:szCs w:val="32"/>
          <w:highlight w:val="yellow"/>
          <w:lang w:val="en-US" w:eastAsia="zh-CN"/>
        </w:rPr>
        <w:t>增加了职工及补缴职工上年保险</w:t>
      </w:r>
      <w:r>
        <w:rPr>
          <w:rFonts w:hint="eastAsia" w:ascii="仿宋" w:hAnsi="仿宋" w:eastAsia="仿宋"/>
          <w:sz w:val="32"/>
          <w:szCs w:val="32"/>
          <w:highlight w:val="yellow"/>
        </w:rPr>
        <w:t>。</w:t>
      </w:r>
      <w:bookmarkEnd w:id="28"/>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5776692E">
      <w:pPr>
        <w:pStyle w:val="6"/>
        <w:rPr>
          <w:rFonts w:ascii="仿宋" w:hAnsi="仿宋" w:eastAsia="仿宋"/>
          <w:sz w:val="32"/>
          <w:szCs w:val="32"/>
        </w:rPr>
      </w:pPr>
      <w:r>
        <w:drawing>
          <wp:inline distT="0" distB="0" distL="114300" distR="114300">
            <wp:extent cx="4826000" cy="2743200"/>
            <wp:effectExtent l="4445" t="4445" r="8255" b="1460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B8543E">
      <w:pPr>
        <w:spacing w:line="600" w:lineRule="exact"/>
        <w:ind w:firstLine="640" w:firstLineChars="200"/>
        <w:rPr>
          <w:rFonts w:ascii="仿宋" w:hAnsi="仿宋" w:eastAsia="仿宋"/>
          <w:b/>
          <w:sz w:val="32"/>
          <w:szCs w:val="32"/>
        </w:rPr>
      </w:pPr>
      <w:r>
        <w:rPr>
          <w:rFonts w:hint="eastAsia" w:ascii="仿宋" w:hAnsi="仿宋" w:eastAsia="仿宋"/>
          <w:sz w:val="32"/>
          <w:szCs w:val="32"/>
          <w:highlight w:val="yellow"/>
        </w:rPr>
        <w:t>（图4：</w:t>
      </w:r>
      <w:bookmarkStart w:id="29" w:name="OLE_LINK5"/>
      <w:r>
        <w:rPr>
          <w:rFonts w:hint="eastAsia" w:ascii="仿宋" w:hAnsi="仿宋" w:eastAsia="仿宋"/>
          <w:sz w:val="32"/>
          <w:szCs w:val="32"/>
          <w:highlight w:val="yellow"/>
        </w:rPr>
        <w:t>财政拨款收、支决算总计变动情况</w:t>
      </w:r>
      <w:bookmarkEnd w:id="29"/>
      <w:r>
        <w:rPr>
          <w:rFonts w:hint="eastAsia" w:ascii="仿宋" w:hAnsi="仿宋" w:eastAsia="仿宋"/>
          <w:sz w:val="32"/>
          <w:szCs w:val="32"/>
          <w:highlight w:val="yellow"/>
        </w:rPr>
        <w:t>）（柱状图）</w:t>
      </w:r>
    </w:p>
    <w:p w14:paraId="766783D7">
      <w:pPr>
        <w:spacing w:line="600" w:lineRule="exact"/>
        <w:ind w:firstLine="640" w:firstLineChars="200"/>
        <w:outlineLvl w:val="1"/>
        <w:rPr>
          <w:rStyle w:val="28"/>
          <w:rFonts w:ascii="黑体" w:hAnsi="黑体" w:eastAsia="黑体"/>
          <w:b w:val="0"/>
        </w:rPr>
      </w:pPr>
      <w:bookmarkStart w:id="30" w:name="_Toc15377209"/>
      <w:bookmarkStart w:id="31"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0"/>
      <w:bookmarkEnd w:id="31"/>
    </w:p>
    <w:p w14:paraId="7D7F059F">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14:paraId="0EDA586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107.21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yellow"/>
        </w:rPr>
        <w:t>与2022年度相比，一般公共预算财政拨款支出增加</w:t>
      </w:r>
      <w:r>
        <w:rPr>
          <w:rFonts w:hint="eastAsia" w:ascii="仿宋" w:hAnsi="仿宋" w:eastAsia="仿宋"/>
          <w:sz w:val="32"/>
          <w:szCs w:val="32"/>
          <w:highlight w:val="yellow"/>
          <w:lang w:val="en-US" w:eastAsia="zh-CN"/>
        </w:rPr>
        <w:t>16.06</w:t>
      </w:r>
      <w:r>
        <w:rPr>
          <w:rFonts w:hint="eastAsia" w:ascii="仿宋" w:hAnsi="仿宋" w:eastAsia="仿宋"/>
          <w:sz w:val="32"/>
          <w:szCs w:val="32"/>
          <w:highlight w:val="yellow"/>
        </w:rPr>
        <w:t>万元，增长</w:t>
      </w:r>
      <w:r>
        <w:rPr>
          <w:rFonts w:hint="eastAsia" w:ascii="仿宋" w:hAnsi="仿宋" w:eastAsia="仿宋"/>
          <w:sz w:val="32"/>
          <w:szCs w:val="32"/>
          <w:highlight w:val="yellow"/>
          <w:lang w:val="en-US" w:eastAsia="zh-CN"/>
        </w:rPr>
        <w:t>17.62</w:t>
      </w:r>
      <w:r>
        <w:rPr>
          <w:rFonts w:ascii="仿宋" w:hAnsi="仿宋" w:eastAsia="仿宋"/>
          <w:sz w:val="32"/>
          <w:szCs w:val="32"/>
          <w:highlight w:val="yellow"/>
        </w:rPr>
        <w:t>%</w:t>
      </w:r>
      <w:r>
        <w:rPr>
          <w:rFonts w:hint="eastAsia" w:ascii="仿宋" w:hAnsi="仿宋" w:eastAsia="仿宋"/>
          <w:sz w:val="32"/>
          <w:szCs w:val="32"/>
          <w:highlight w:val="yellow"/>
        </w:rPr>
        <w:t>。主要变动原因是</w:t>
      </w:r>
      <w:r>
        <w:rPr>
          <w:rFonts w:hint="eastAsia" w:ascii="仿宋" w:hAnsi="仿宋" w:eastAsia="仿宋"/>
          <w:sz w:val="32"/>
          <w:szCs w:val="32"/>
          <w:highlight w:val="yellow"/>
          <w:lang w:val="en-US" w:eastAsia="zh-CN"/>
        </w:rPr>
        <w:t>增加了职工及补缴职工上年保险</w:t>
      </w:r>
      <w:r>
        <w:rPr>
          <w:rFonts w:hint="eastAsia" w:ascii="仿宋" w:hAnsi="仿宋" w:eastAsia="仿宋"/>
          <w:sz w:val="32"/>
          <w:szCs w:val="32"/>
          <w:highlight w:val="yellow"/>
        </w:rPr>
        <w:t>。</w:t>
      </w:r>
    </w:p>
    <w:p w14:paraId="5D79C019">
      <w:pPr>
        <w:spacing w:line="600" w:lineRule="exact"/>
        <w:ind w:firstLine="640" w:firstLineChars="200"/>
        <w:rPr>
          <w:rFonts w:hint="eastAsia" w:ascii="仿宋" w:hAnsi="仿宋" w:eastAsia="仿宋"/>
          <w:sz w:val="32"/>
          <w:szCs w:val="32"/>
          <w:highlight w:val="yellow"/>
        </w:rPr>
      </w:pPr>
      <w:r>
        <w:rPr>
          <w:rFonts w:hint="eastAsia" w:ascii="仿宋" w:hAnsi="仿宋" w:eastAsia="仿宋"/>
          <w:sz w:val="32"/>
          <w:szCs w:val="32"/>
          <w:highlight w:val="yellow"/>
        </w:rPr>
        <w:t>（图5：一般公共预算财政拨款支出决算变动情况）（柱状图）</w:t>
      </w:r>
    </w:p>
    <w:p w14:paraId="27F32D64">
      <w:pPr>
        <w:pStyle w:val="6"/>
        <w:rPr>
          <w:rFonts w:hint="eastAsia" w:ascii="仿宋" w:hAnsi="仿宋" w:eastAsia="仿宋"/>
          <w:sz w:val="32"/>
          <w:szCs w:val="32"/>
          <w:highlight w:val="yellow"/>
        </w:rPr>
      </w:pPr>
    </w:p>
    <w:p w14:paraId="41201692">
      <w:pPr>
        <w:pStyle w:val="6"/>
        <w:rPr>
          <w:rFonts w:hint="eastAsia" w:ascii="仿宋" w:hAnsi="仿宋" w:eastAsia="仿宋"/>
          <w:sz w:val="32"/>
          <w:szCs w:val="32"/>
          <w:highlight w:val="yellow"/>
        </w:rPr>
      </w:pPr>
    </w:p>
    <w:p w14:paraId="46FC0A15">
      <w:pPr>
        <w:pStyle w:val="6"/>
        <w:rPr>
          <w:rFonts w:hint="eastAsia" w:ascii="仿宋" w:hAnsi="仿宋" w:eastAsia="仿宋"/>
          <w:sz w:val="32"/>
          <w:szCs w:val="32"/>
          <w:highlight w:val="yellow"/>
        </w:rPr>
      </w:pPr>
    </w:p>
    <w:p w14:paraId="3D35621A">
      <w:pPr>
        <w:pStyle w:val="6"/>
        <w:rPr>
          <w:rFonts w:hint="eastAsia" w:ascii="仿宋" w:hAnsi="仿宋" w:eastAsia="仿宋"/>
          <w:sz w:val="32"/>
          <w:szCs w:val="32"/>
          <w:highlight w:val="yellow"/>
        </w:rPr>
      </w:pPr>
      <w:r>
        <w:drawing>
          <wp:inline distT="0" distB="0" distL="114300" distR="114300">
            <wp:extent cx="4826000" cy="2743200"/>
            <wp:effectExtent l="4445" t="4445" r="8255" b="1460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202FCB">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14:paraId="38DB9027">
      <w:pPr>
        <w:spacing w:line="600" w:lineRule="exact"/>
        <w:ind w:firstLine="640"/>
        <w:rPr>
          <w:rFonts w:ascii="仿宋" w:hAnsi="仿宋" w:eastAsia="仿宋"/>
          <w:b/>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107.21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highlight w:val="yellow"/>
        </w:rPr>
        <w:t>社会保障和就业</w:t>
      </w:r>
      <w:r>
        <w:rPr>
          <w:rFonts w:hint="eastAsia" w:ascii="仿宋" w:hAnsi="仿宋" w:eastAsia="仿宋"/>
          <w:b/>
          <w:bCs/>
          <w:sz w:val="32"/>
          <w:szCs w:val="32"/>
          <w:highlight w:val="yellow"/>
        </w:rPr>
        <w:t>支出</w:t>
      </w:r>
      <w:r>
        <w:rPr>
          <w:rFonts w:hint="eastAsia" w:ascii="仿宋" w:hAnsi="仿宋" w:eastAsia="仿宋"/>
          <w:b/>
          <w:bCs/>
          <w:sz w:val="32"/>
          <w:szCs w:val="32"/>
          <w:highlight w:val="yellow"/>
          <w:lang w:val="en-US" w:eastAsia="zh-CN"/>
        </w:rPr>
        <w:t>105.3</w:t>
      </w:r>
      <w:r>
        <w:rPr>
          <w:rFonts w:hint="eastAsia" w:ascii="仿宋" w:hAnsi="仿宋" w:eastAsia="仿宋"/>
          <w:sz w:val="32"/>
          <w:szCs w:val="32"/>
          <w:highlight w:val="yellow"/>
        </w:rPr>
        <w:t>万元，占</w:t>
      </w:r>
      <w:r>
        <w:rPr>
          <w:rFonts w:hint="eastAsia" w:ascii="仿宋" w:hAnsi="仿宋" w:eastAsia="仿宋"/>
          <w:sz w:val="32"/>
          <w:szCs w:val="32"/>
          <w:highlight w:val="yellow"/>
          <w:lang w:val="en-US" w:eastAsia="zh-CN"/>
        </w:rPr>
        <w:t>98.22</w:t>
      </w:r>
      <w:r>
        <w:rPr>
          <w:rFonts w:ascii="仿宋" w:hAnsi="仿宋" w:eastAsia="仿宋"/>
          <w:sz w:val="32"/>
          <w:szCs w:val="32"/>
          <w:highlight w:val="yellow"/>
        </w:rPr>
        <w:t>%</w:t>
      </w:r>
      <w:r>
        <w:rPr>
          <w:rFonts w:hint="eastAsia" w:ascii="仿宋" w:hAnsi="仿宋" w:eastAsia="仿宋"/>
          <w:sz w:val="32"/>
          <w:szCs w:val="32"/>
          <w:highlight w:val="yellow"/>
        </w:rPr>
        <w:t>；</w:t>
      </w:r>
      <w:r>
        <w:rPr>
          <w:rFonts w:hint="eastAsia" w:ascii="仿宋" w:hAnsi="仿宋" w:eastAsia="仿宋"/>
          <w:b/>
          <w:bCs/>
          <w:sz w:val="32"/>
          <w:szCs w:val="32"/>
          <w:highlight w:val="yellow"/>
        </w:rPr>
        <w:t>卫生健康支出</w:t>
      </w:r>
      <w:r>
        <w:rPr>
          <w:rFonts w:hint="eastAsia" w:ascii="仿宋" w:hAnsi="仿宋" w:eastAsia="仿宋"/>
          <w:sz w:val="32"/>
          <w:szCs w:val="32"/>
          <w:highlight w:val="yellow"/>
          <w:lang w:val="en-US" w:eastAsia="zh-CN"/>
        </w:rPr>
        <w:t>1.9</w:t>
      </w:r>
      <w:r>
        <w:rPr>
          <w:rFonts w:hint="eastAsia" w:ascii="仿宋" w:hAnsi="仿宋" w:eastAsia="仿宋"/>
          <w:sz w:val="32"/>
          <w:szCs w:val="32"/>
          <w:highlight w:val="yellow"/>
        </w:rPr>
        <w:t>万元，占</w:t>
      </w:r>
      <w:r>
        <w:rPr>
          <w:rFonts w:hint="eastAsia" w:ascii="仿宋" w:hAnsi="仿宋" w:eastAsia="仿宋"/>
          <w:sz w:val="32"/>
          <w:szCs w:val="32"/>
          <w:highlight w:val="yellow"/>
          <w:lang w:val="en-US" w:eastAsia="zh-CN"/>
        </w:rPr>
        <w:t>1.78</w:t>
      </w:r>
      <w:r>
        <w:rPr>
          <w:rFonts w:ascii="仿宋" w:hAnsi="仿宋" w:eastAsia="仿宋"/>
          <w:sz w:val="32"/>
          <w:szCs w:val="32"/>
          <w:highlight w:val="yellow"/>
        </w:rPr>
        <w:t>%</w:t>
      </w:r>
      <w:r>
        <w:rPr>
          <w:rFonts w:hint="eastAsia" w:ascii="仿宋" w:hAnsi="仿宋" w:eastAsia="仿宋"/>
          <w:sz w:val="32"/>
          <w:szCs w:val="32"/>
          <w:highlight w:val="yellow"/>
        </w:rPr>
        <w:t>。</w:t>
      </w:r>
    </w:p>
    <w:p w14:paraId="2D856723">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14:paraId="375604CF">
      <w:pPr>
        <w:pStyle w:val="6"/>
        <w:rPr>
          <w:rFonts w:ascii="仿宋" w:hAnsi="仿宋" w:eastAsia="仿宋"/>
          <w:sz w:val="32"/>
          <w:szCs w:val="32"/>
        </w:rPr>
      </w:pPr>
      <w:r>
        <w:drawing>
          <wp:inline distT="0" distB="0" distL="114300" distR="114300">
            <wp:extent cx="4826000" cy="2743200"/>
            <wp:effectExtent l="4445" t="4445" r="825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01EF24">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（图6：一般公共预算财政拨款支出决算结构）（饼状图）</w:t>
      </w:r>
    </w:p>
    <w:p w14:paraId="04F010B1">
      <w:pPr>
        <w:spacing w:line="600" w:lineRule="exact"/>
        <w:ind w:firstLine="640" w:firstLineChars="200"/>
        <w:rPr>
          <w:rFonts w:ascii="仿宋" w:hAnsi="仿宋" w:eastAsia="仿宋"/>
          <w:sz w:val="32"/>
          <w:szCs w:val="32"/>
        </w:rPr>
      </w:pPr>
    </w:p>
    <w:p w14:paraId="7447BDC4">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14:paraId="3CBD0651">
      <w:pPr>
        <w:spacing w:line="600" w:lineRule="exact"/>
        <w:ind w:firstLine="643" w:firstLineChars="200"/>
        <w:outlineLvl w:val="2"/>
        <w:rPr>
          <w:rFonts w:ascii="仿宋" w:hAnsi="仿宋" w:eastAsia="仿宋"/>
          <w:sz w:val="32"/>
          <w:szCs w:val="32"/>
          <w:highlight w:val="yellow"/>
        </w:rPr>
      </w:pPr>
      <w:bookmarkStart w:id="35" w:name="_Toc15378460"/>
      <w:bookmarkStart w:id="36" w:name="_Toc15377444"/>
      <w:bookmarkStart w:id="37" w:name="_Toc15377213"/>
      <w:r>
        <w:rPr>
          <w:rFonts w:hint="eastAsia" w:ascii="仿宋" w:hAnsi="仿宋" w:eastAsia="仿宋"/>
          <w:b/>
          <w:sz w:val="32"/>
          <w:szCs w:val="32"/>
          <w:highlight w:val="yellow"/>
        </w:rPr>
        <w:t>2023年度一般公共预算支出决算数为</w:t>
      </w:r>
      <w:r>
        <w:rPr>
          <w:rFonts w:hint="eastAsia" w:ascii="仿宋" w:hAnsi="仿宋" w:eastAsia="仿宋"/>
          <w:b/>
          <w:sz w:val="32"/>
          <w:szCs w:val="32"/>
          <w:highlight w:val="yellow"/>
          <w:lang w:val="en-US" w:eastAsia="zh-CN"/>
        </w:rPr>
        <w:t>107.21</w:t>
      </w:r>
      <w:r>
        <w:rPr>
          <w:rFonts w:hint="eastAsia" w:ascii="仿宋" w:hAnsi="仿宋" w:eastAsia="仿宋"/>
          <w:sz w:val="32"/>
          <w:szCs w:val="32"/>
          <w:highlight w:val="yellow"/>
        </w:rPr>
        <w:t>，</w:t>
      </w:r>
      <w:r>
        <w:rPr>
          <w:rStyle w:val="17"/>
          <w:rFonts w:hint="eastAsia" w:ascii="仿宋" w:hAnsi="仿宋" w:eastAsia="仿宋"/>
          <w:bCs/>
          <w:sz w:val="32"/>
          <w:szCs w:val="32"/>
          <w:highlight w:val="yellow"/>
        </w:rPr>
        <w:t>完成预算</w:t>
      </w:r>
      <w:r>
        <w:rPr>
          <w:rStyle w:val="17"/>
          <w:rFonts w:hint="eastAsia" w:ascii="仿宋" w:hAnsi="仿宋" w:eastAsia="仿宋"/>
          <w:bCs/>
          <w:sz w:val="32"/>
          <w:szCs w:val="32"/>
          <w:highlight w:val="yellow"/>
          <w:lang w:val="en-US" w:eastAsia="zh-CN"/>
        </w:rPr>
        <w:t>100</w:t>
      </w:r>
      <w:r>
        <w:rPr>
          <w:rStyle w:val="17"/>
          <w:rFonts w:ascii="仿宋" w:hAnsi="仿宋" w:eastAsia="仿宋"/>
          <w:bCs/>
          <w:sz w:val="32"/>
          <w:szCs w:val="32"/>
          <w:highlight w:val="yellow"/>
        </w:rPr>
        <w:t>%</w:t>
      </w:r>
      <w:r>
        <w:rPr>
          <w:rStyle w:val="17"/>
          <w:rFonts w:hint="eastAsia" w:ascii="仿宋" w:hAnsi="仿宋" w:eastAsia="仿宋"/>
          <w:bCs/>
          <w:sz w:val="32"/>
          <w:szCs w:val="32"/>
          <w:highlight w:val="yellow"/>
        </w:rPr>
        <w:t>。其中：</w:t>
      </w:r>
      <w:bookmarkEnd w:id="35"/>
      <w:bookmarkEnd w:id="36"/>
      <w:bookmarkEnd w:id="37"/>
    </w:p>
    <w:p w14:paraId="254F1E83">
      <w:pPr>
        <w:numPr>
          <w:ilvl w:val="0"/>
          <w:numId w:val="0"/>
        </w:numPr>
        <w:spacing w:line="600" w:lineRule="exact"/>
        <w:ind w:firstLine="643" w:firstLineChars="200"/>
        <w:rPr>
          <w:rStyle w:val="17"/>
          <w:rFonts w:hint="eastAsia" w:ascii="仿宋" w:hAnsi="仿宋" w:eastAsia="仿宋" w:cstheme="minorBidi"/>
          <w:b w:val="0"/>
          <w:bCs/>
          <w:sz w:val="32"/>
          <w:szCs w:val="32"/>
          <w:highlight w:val="yellow"/>
        </w:rPr>
      </w:pPr>
      <w:r>
        <w:rPr>
          <w:rStyle w:val="17"/>
          <w:rFonts w:hint="eastAsia" w:ascii="仿宋" w:hAnsi="仿宋" w:eastAsia="仿宋" w:cstheme="minorBidi"/>
          <w:bCs/>
          <w:sz w:val="32"/>
          <w:szCs w:val="32"/>
          <w:highlight w:val="yellow"/>
          <w:lang w:val="en-US" w:eastAsia="zh-CN"/>
        </w:rPr>
        <w:t>1.</w:t>
      </w:r>
      <w:r>
        <w:rPr>
          <w:rStyle w:val="17"/>
          <w:rFonts w:hint="eastAsia" w:ascii="仿宋" w:hAnsi="仿宋" w:eastAsia="仿宋" w:cstheme="minorBidi"/>
          <w:bCs/>
          <w:sz w:val="32"/>
          <w:szCs w:val="32"/>
          <w:highlight w:val="yellow"/>
        </w:rPr>
        <w:t>社会保障和就业</w:t>
      </w:r>
      <w:r>
        <w:rPr>
          <w:rStyle w:val="17"/>
          <w:rFonts w:hint="eastAsia" w:ascii="仿宋" w:hAnsi="仿宋" w:eastAsia="仿宋" w:cstheme="minorBidi"/>
          <w:bCs/>
          <w:sz w:val="32"/>
          <w:szCs w:val="32"/>
          <w:highlight w:val="yellow"/>
          <w:lang w:val="en-US" w:eastAsia="zh-CN"/>
        </w:rPr>
        <w:t>(208)行政事业单位养老支出(05)事业单位离退休(99)</w:t>
      </w:r>
      <w:r>
        <w:rPr>
          <w:rStyle w:val="17"/>
          <w:rFonts w:ascii="仿宋" w:hAnsi="仿宋" w:eastAsia="仿宋" w:cstheme="minorBidi"/>
          <w:bCs/>
          <w:sz w:val="32"/>
          <w:szCs w:val="32"/>
          <w:highlight w:val="yellow"/>
        </w:rPr>
        <w:t>:</w:t>
      </w:r>
      <w:r>
        <w:rPr>
          <w:rStyle w:val="17"/>
          <w:rFonts w:hint="eastAsia" w:ascii="仿宋" w:hAnsi="仿宋" w:eastAsia="仿宋" w:cstheme="minorBidi"/>
          <w:b w:val="0"/>
          <w:bCs/>
          <w:sz w:val="32"/>
          <w:szCs w:val="32"/>
          <w:highlight w:val="yellow"/>
        </w:rPr>
        <w:t>支出决算为</w:t>
      </w:r>
      <w:r>
        <w:rPr>
          <w:rStyle w:val="17"/>
          <w:rFonts w:hint="eastAsia" w:ascii="仿宋" w:hAnsi="仿宋" w:eastAsia="仿宋" w:cstheme="minorBidi"/>
          <w:b w:val="0"/>
          <w:bCs/>
          <w:sz w:val="32"/>
          <w:szCs w:val="32"/>
          <w:highlight w:val="yellow"/>
          <w:lang w:val="en-US" w:eastAsia="zh-CN"/>
        </w:rPr>
        <w:t>4万</w:t>
      </w:r>
      <w:r>
        <w:rPr>
          <w:rStyle w:val="17"/>
          <w:rFonts w:hint="eastAsia" w:ascii="仿宋" w:hAnsi="仿宋" w:eastAsia="仿宋" w:cstheme="minorBidi"/>
          <w:b w:val="0"/>
          <w:bCs/>
          <w:sz w:val="32"/>
          <w:szCs w:val="32"/>
          <w:highlight w:val="yellow"/>
        </w:rPr>
        <w:t>元，完成预算</w:t>
      </w:r>
      <w:r>
        <w:rPr>
          <w:rStyle w:val="17"/>
          <w:rFonts w:hint="eastAsia" w:ascii="仿宋" w:hAnsi="仿宋" w:eastAsia="仿宋" w:cstheme="minorBidi"/>
          <w:b w:val="0"/>
          <w:bCs/>
          <w:sz w:val="32"/>
          <w:szCs w:val="32"/>
          <w:highlight w:val="yellow"/>
          <w:lang w:val="en-US" w:eastAsia="zh-CN"/>
        </w:rPr>
        <w:t>100</w:t>
      </w:r>
      <w:r>
        <w:rPr>
          <w:rStyle w:val="17"/>
          <w:rFonts w:hint="eastAsia" w:ascii="仿宋" w:hAnsi="仿宋" w:eastAsia="仿宋" w:cstheme="minorBidi"/>
          <w:b w:val="0"/>
          <w:bCs/>
          <w:sz w:val="32"/>
          <w:szCs w:val="32"/>
          <w:highlight w:val="yellow"/>
        </w:rPr>
        <w:t>%</w:t>
      </w:r>
      <w:r>
        <w:rPr>
          <w:rStyle w:val="17"/>
          <w:rFonts w:hint="eastAsia" w:ascii="仿宋" w:hAnsi="仿宋" w:eastAsia="仿宋" w:cstheme="minorBidi"/>
          <w:b w:val="0"/>
          <w:bCs/>
          <w:sz w:val="32"/>
          <w:szCs w:val="32"/>
          <w:highlight w:val="yellow"/>
          <w:lang w:eastAsia="zh-CN"/>
        </w:rPr>
        <w:t>，</w:t>
      </w:r>
      <w:r>
        <w:rPr>
          <w:rStyle w:val="17"/>
          <w:rFonts w:hint="eastAsia" w:ascii="仿宋" w:hAnsi="仿宋" w:eastAsia="仿宋" w:cstheme="minorBidi"/>
          <w:b w:val="0"/>
          <w:bCs/>
          <w:sz w:val="32"/>
          <w:szCs w:val="32"/>
          <w:highlight w:val="yellow"/>
        </w:rPr>
        <w:t>决算数等于预算数。</w:t>
      </w:r>
    </w:p>
    <w:p w14:paraId="3E01D6E0">
      <w:pPr>
        <w:spacing w:line="600" w:lineRule="exact"/>
        <w:ind w:firstLine="643" w:firstLineChars="200"/>
        <w:rPr>
          <w:rStyle w:val="17"/>
          <w:rFonts w:hint="eastAsia" w:ascii="仿宋" w:hAnsi="仿宋" w:eastAsia="仿宋" w:cstheme="minorBidi"/>
          <w:b w:val="0"/>
          <w:bCs/>
          <w:sz w:val="32"/>
          <w:szCs w:val="32"/>
          <w:highlight w:val="yellow"/>
        </w:rPr>
      </w:pPr>
      <w:r>
        <w:rPr>
          <w:rStyle w:val="17"/>
          <w:rFonts w:hint="eastAsia" w:ascii="仿宋" w:hAnsi="仿宋" w:eastAsia="仿宋" w:cstheme="minorBidi"/>
          <w:bCs/>
          <w:sz w:val="32"/>
          <w:szCs w:val="32"/>
          <w:highlight w:val="yellow"/>
          <w:lang w:val="en-US" w:eastAsia="zh-CN"/>
        </w:rPr>
        <w:t>2</w:t>
      </w:r>
      <w:r>
        <w:rPr>
          <w:rStyle w:val="17"/>
          <w:rFonts w:hint="eastAsia" w:ascii="仿宋" w:hAnsi="仿宋" w:eastAsia="仿宋" w:cstheme="minorBidi"/>
          <w:bCs/>
          <w:sz w:val="32"/>
          <w:szCs w:val="32"/>
          <w:highlight w:val="yellow"/>
        </w:rPr>
        <w:t>.社会保障和就业</w:t>
      </w:r>
      <w:r>
        <w:rPr>
          <w:rStyle w:val="17"/>
          <w:rFonts w:hint="eastAsia" w:ascii="仿宋" w:hAnsi="仿宋" w:eastAsia="仿宋" w:cstheme="minorBidi"/>
          <w:bCs/>
          <w:sz w:val="32"/>
          <w:szCs w:val="32"/>
          <w:highlight w:val="yellow"/>
          <w:lang w:val="en-US" w:eastAsia="zh-CN"/>
        </w:rPr>
        <w:t>(208)抚恤(08)光荣院(07)</w:t>
      </w:r>
      <w:r>
        <w:rPr>
          <w:rStyle w:val="17"/>
          <w:rFonts w:hint="eastAsia" w:ascii="仿宋" w:hAnsi="仿宋" w:eastAsia="仿宋" w:cstheme="minorBidi"/>
          <w:bCs/>
          <w:sz w:val="32"/>
          <w:szCs w:val="32"/>
          <w:highlight w:val="yellow"/>
        </w:rPr>
        <w:t>:</w:t>
      </w:r>
      <w:r>
        <w:rPr>
          <w:rStyle w:val="17"/>
          <w:rFonts w:hint="eastAsia" w:ascii="仿宋" w:hAnsi="仿宋" w:eastAsia="仿宋" w:cstheme="minorBidi"/>
          <w:b w:val="0"/>
          <w:bCs/>
          <w:sz w:val="32"/>
          <w:szCs w:val="32"/>
          <w:highlight w:val="yellow"/>
        </w:rPr>
        <w:t>支出决算为</w:t>
      </w:r>
      <w:r>
        <w:rPr>
          <w:rStyle w:val="17"/>
          <w:rFonts w:hint="eastAsia" w:ascii="仿宋" w:hAnsi="仿宋" w:eastAsia="仿宋" w:cstheme="minorBidi"/>
          <w:b w:val="0"/>
          <w:bCs/>
          <w:sz w:val="32"/>
          <w:szCs w:val="32"/>
          <w:highlight w:val="yellow"/>
          <w:lang w:val="en-US" w:eastAsia="zh-CN"/>
        </w:rPr>
        <w:t>101.06万</w:t>
      </w:r>
      <w:r>
        <w:rPr>
          <w:rStyle w:val="17"/>
          <w:rFonts w:hint="eastAsia" w:ascii="仿宋" w:hAnsi="仿宋" w:eastAsia="仿宋" w:cstheme="minorBidi"/>
          <w:b w:val="0"/>
          <w:bCs/>
          <w:sz w:val="32"/>
          <w:szCs w:val="32"/>
          <w:highlight w:val="yellow"/>
        </w:rPr>
        <w:t>元，完成预算</w:t>
      </w:r>
      <w:r>
        <w:rPr>
          <w:rStyle w:val="17"/>
          <w:rFonts w:hint="eastAsia" w:ascii="仿宋" w:hAnsi="仿宋" w:eastAsia="仿宋" w:cstheme="minorBidi"/>
          <w:b w:val="0"/>
          <w:bCs/>
          <w:sz w:val="32"/>
          <w:szCs w:val="32"/>
          <w:highlight w:val="yellow"/>
          <w:lang w:val="en-US" w:eastAsia="zh-CN"/>
        </w:rPr>
        <w:t>100</w:t>
      </w:r>
      <w:r>
        <w:rPr>
          <w:rStyle w:val="17"/>
          <w:rFonts w:hint="eastAsia" w:ascii="仿宋" w:hAnsi="仿宋" w:eastAsia="仿宋" w:cstheme="minorBidi"/>
          <w:b w:val="0"/>
          <w:bCs/>
          <w:sz w:val="32"/>
          <w:szCs w:val="32"/>
          <w:highlight w:val="yellow"/>
        </w:rPr>
        <w:t>%</w:t>
      </w:r>
      <w:r>
        <w:rPr>
          <w:rStyle w:val="17"/>
          <w:rFonts w:hint="eastAsia" w:ascii="仿宋" w:hAnsi="仿宋" w:eastAsia="仿宋" w:cstheme="minorBidi"/>
          <w:b w:val="0"/>
          <w:bCs/>
          <w:sz w:val="32"/>
          <w:szCs w:val="32"/>
          <w:highlight w:val="yellow"/>
          <w:lang w:eastAsia="zh-CN"/>
        </w:rPr>
        <w:t>，</w:t>
      </w:r>
      <w:r>
        <w:rPr>
          <w:rStyle w:val="17"/>
          <w:rFonts w:hint="eastAsia" w:ascii="仿宋" w:hAnsi="仿宋" w:eastAsia="仿宋" w:cstheme="minorBidi"/>
          <w:b w:val="0"/>
          <w:bCs/>
          <w:sz w:val="32"/>
          <w:szCs w:val="32"/>
          <w:highlight w:val="yellow"/>
        </w:rPr>
        <w:t>决算数等于预算数。</w:t>
      </w:r>
    </w:p>
    <w:p w14:paraId="752C6D9B">
      <w:pPr>
        <w:spacing w:line="600" w:lineRule="exact"/>
        <w:ind w:firstLine="643" w:firstLineChars="200"/>
        <w:rPr>
          <w:rStyle w:val="17"/>
          <w:rFonts w:hint="eastAsia" w:ascii="仿宋" w:hAnsi="仿宋" w:eastAsia="仿宋" w:cstheme="minorBidi"/>
          <w:b w:val="0"/>
          <w:bCs/>
          <w:sz w:val="32"/>
          <w:szCs w:val="32"/>
          <w:highlight w:val="yellow"/>
        </w:rPr>
      </w:pPr>
      <w:r>
        <w:rPr>
          <w:rStyle w:val="17"/>
          <w:rFonts w:hint="eastAsia" w:ascii="仿宋" w:hAnsi="仿宋" w:eastAsia="仿宋" w:cstheme="minorBidi"/>
          <w:bCs/>
          <w:sz w:val="32"/>
          <w:szCs w:val="32"/>
          <w:highlight w:val="yellow"/>
          <w:lang w:val="en-US" w:eastAsia="zh-CN"/>
        </w:rPr>
        <w:t>3.</w:t>
      </w:r>
      <w:r>
        <w:rPr>
          <w:rStyle w:val="17"/>
          <w:rFonts w:hint="eastAsia" w:ascii="仿宋" w:hAnsi="仿宋" w:eastAsia="仿宋" w:cstheme="minorBidi"/>
          <w:bCs/>
          <w:sz w:val="32"/>
          <w:szCs w:val="32"/>
          <w:highlight w:val="yellow"/>
        </w:rPr>
        <w:t>社会保障和就业</w:t>
      </w:r>
      <w:r>
        <w:rPr>
          <w:rStyle w:val="17"/>
          <w:rFonts w:hint="eastAsia" w:ascii="仿宋" w:hAnsi="仿宋" w:eastAsia="仿宋" w:cstheme="minorBidi"/>
          <w:bCs/>
          <w:sz w:val="32"/>
          <w:szCs w:val="32"/>
          <w:highlight w:val="yellow"/>
          <w:lang w:val="en-US" w:eastAsia="zh-CN"/>
        </w:rPr>
        <w:t>(208)</w:t>
      </w:r>
      <w:bookmarkStart w:id="38" w:name="OLE_LINK3"/>
      <w:r>
        <w:rPr>
          <w:rStyle w:val="17"/>
          <w:rFonts w:hint="eastAsia" w:ascii="仿宋" w:hAnsi="仿宋" w:eastAsia="仿宋" w:cstheme="minorBidi"/>
          <w:bCs/>
          <w:sz w:val="32"/>
          <w:szCs w:val="32"/>
          <w:highlight w:val="yellow"/>
          <w:lang w:val="en-US" w:eastAsia="zh-CN"/>
        </w:rPr>
        <w:t>其他社会保障和就业支出</w:t>
      </w:r>
      <w:bookmarkEnd w:id="38"/>
      <w:r>
        <w:rPr>
          <w:rStyle w:val="17"/>
          <w:rFonts w:hint="eastAsia" w:ascii="仿宋" w:hAnsi="仿宋" w:eastAsia="仿宋" w:cstheme="minorBidi"/>
          <w:bCs/>
          <w:sz w:val="32"/>
          <w:szCs w:val="32"/>
          <w:highlight w:val="yellow"/>
          <w:lang w:val="en-US" w:eastAsia="zh-CN"/>
        </w:rPr>
        <w:t>(99)其他社会保障和就业支出(99)</w:t>
      </w:r>
      <w:r>
        <w:rPr>
          <w:rStyle w:val="17"/>
          <w:rFonts w:hint="eastAsia" w:ascii="仿宋" w:hAnsi="仿宋" w:eastAsia="仿宋" w:cstheme="minorBidi"/>
          <w:bCs/>
          <w:sz w:val="32"/>
          <w:szCs w:val="32"/>
          <w:highlight w:val="yellow"/>
        </w:rPr>
        <w:t>:</w:t>
      </w:r>
      <w:r>
        <w:rPr>
          <w:rStyle w:val="17"/>
          <w:rFonts w:hint="eastAsia" w:ascii="仿宋" w:hAnsi="仿宋" w:eastAsia="仿宋" w:cstheme="minorBidi"/>
          <w:b w:val="0"/>
          <w:bCs/>
          <w:sz w:val="32"/>
          <w:szCs w:val="32"/>
          <w:highlight w:val="yellow"/>
        </w:rPr>
        <w:t>支出决算为</w:t>
      </w:r>
      <w:r>
        <w:rPr>
          <w:rStyle w:val="17"/>
          <w:rFonts w:hint="eastAsia" w:ascii="仿宋" w:hAnsi="仿宋" w:eastAsia="仿宋" w:cstheme="minorBidi"/>
          <w:b w:val="0"/>
          <w:bCs/>
          <w:sz w:val="32"/>
          <w:szCs w:val="32"/>
          <w:highlight w:val="yellow"/>
          <w:lang w:val="en-US" w:eastAsia="zh-CN"/>
        </w:rPr>
        <w:t>0.21万</w:t>
      </w:r>
      <w:r>
        <w:rPr>
          <w:rStyle w:val="17"/>
          <w:rFonts w:hint="eastAsia" w:ascii="仿宋" w:hAnsi="仿宋" w:eastAsia="仿宋" w:cstheme="minorBidi"/>
          <w:b w:val="0"/>
          <w:bCs/>
          <w:sz w:val="32"/>
          <w:szCs w:val="32"/>
          <w:highlight w:val="yellow"/>
        </w:rPr>
        <w:t>元，完成预算</w:t>
      </w:r>
      <w:r>
        <w:rPr>
          <w:rStyle w:val="17"/>
          <w:rFonts w:hint="eastAsia" w:ascii="仿宋" w:hAnsi="仿宋" w:eastAsia="仿宋" w:cstheme="minorBidi"/>
          <w:b w:val="0"/>
          <w:bCs/>
          <w:sz w:val="32"/>
          <w:szCs w:val="32"/>
          <w:highlight w:val="yellow"/>
          <w:lang w:val="en-US" w:eastAsia="zh-CN"/>
        </w:rPr>
        <w:t>100</w:t>
      </w:r>
      <w:r>
        <w:rPr>
          <w:rStyle w:val="17"/>
          <w:rFonts w:hint="eastAsia" w:ascii="仿宋" w:hAnsi="仿宋" w:eastAsia="仿宋" w:cstheme="minorBidi"/>
          <w:b w:val="0"/>
          <w:bCs/>
          <w:sz w:val="32"/>
          <w:szCs w:val="32"/>
          <w:highlight w:val="yellow"/>
        </w:rPr>
        <w:t>%</w:t>
      </w:r>
      <w:r>
        <w:rPr>
          <w:rStyle w:val="17"/>
          <w:rFonts w:hint="eastAsia" w:ascii="仿宋" w:hAnsi="仿宋" w:eastAsia="仿宋" w:cstheme="minorBidi"/>
          <w:b w:val="0"/>
          <w:bCs/>
          <w:sz w:val="32"/>
          <w:szCs w:val="32"/>
          <w:highlight w:val="yellow"/>
          <w:lang w:eastAsia="zh-CN"/>
        </w:rPr>
        <w:t>，</w:t>
      </w:r>
      <w:r>
        <w:rPr>
          <w:rStyle w:val="17"/>
          <w:rFonts w:hint="eastAsia" w:ascii="仿宋" w:hAnsi="仿宋" w:eastAsia="仿宋" w:cstheme="minorBidi"/>
          <w:b w:val="0"/>
          <w:bCs/>
          <w:sz w:val="32"/>
          <w:szCs w:val="32"/>
          <w:highlight w:val="yellow"/>
        </w:rPr>
        <w:t>决算数等于预算数。</w:t>
      </w:r>
    </w:p>
    <w:p w14:paraId="492E94E9">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cstheme="minorBidi"/>
          <w:bCs/>
          <w:sz w:val="32"/>
          <w:szCs w:val="32"/>
          <w:highlight w:val="yellow"/>
          <w:lang w:val="en-US" w:eastAsia="zh-CN"/>
        </w:rPr>
        <w:t>4.卫生健康支出（210）行政事业单位医疗（11）事业单位医疗（02）:</w:t>
      </w:r>
      <w:r>
        <w:rPr>
          <w:rStyle w:val="17"/>
          <w:rFonts w:hint="eastAsia" w:ascii="仿宋" w:hAnsi="仿宋" w:eastAsia="仿宋" w:cstheme="minorBidi"/>
          <w:b w:val="0"/>
          <w:bCs/>
          <w:sz w:val="32"/>
          <w:szCs w:val="32"/>
          <w:highlight w:val="yellow"/>
        </w:rPr>
        <w:t>支出决算为</w:t>
      </w:r>
      <w:r>
        <w:rPr>
          <w:rStyle w:val="17"/>
          <w:rFonts w:hint="eastAsia" w:ascii="仿宋" w:hAnsi="仿宋" w:eastAsia="仿宋" w:cstheme="minorBidi"/>
          <w:b w:val="0"/>
          <w:bCs/>
          <w:sz w:val="32"/>
          <w:szCs w:val="32"/>
          <w:highlight w:val="yellow"/>
          <w:lang w:val="en-US" w:eastAsia="zh-CN"/>
        </w:rPr>
        <w:t>1.9万</w:t>
      </w:r>
      <w:r>
        <w:rPr>
          <w:rStyle w:val="17"/>
          <w:rFonts w:hint="eastAsia" w:ascii="仿宋" w:hAnsi="仿宋" w:eastAsia="仿宋" w:cstheme="minorBidi"/>
          <w:b w:val="0"/>
          <w:bCs/>
          <w:sz w:val="32"/>
          <w:szCs w:val="32"/>
          <w:highlight w:val="yellow"/>
        </w:rPr>
        <w:t>元，完成预算</w:t>
      </w:r>
      <w:r>
        <w:rPr>
          <w:rStyle w:val="17"/>
          <w:rFonts w:hint="eastAsia" w:ascii="仿宋" w:hAnsi="仿宋" w:eastAsia="仿宋" w:cstheme="minorBidi"/>
          <w:b w:val="0"/>
          <w:bCs/>
          <w:sz w:val="32"/>
          <w:szCs w:val="32"/>
          <w:highlight w:val="yellow"/>
          <w:lang w:val="en-US" w:eastAsia="zh-CN"/>
        </w:rPr>
        <w:t>100</w:t>
      </w:r>
      <w:r>
        <w:rPr>
          <w:rStyle w:val="17"/>
          <w:rFonts w:hint="eastAsia" w:ascii="仿宋" w:hAnsi="仿宋" w:eastAsia="仿宋" w:cstheme="minorBidi"/>
          <w:b w:val="0"/>
          <w:bCs/>
          <w:sz w:val="32"/>
          <w:szCs w:val="32"/>
          <w:highlight w:val="yellow"/>
        </w:rPr>
        <w:t>%</w:t>
      </w:r>
      <w:r>
        <w:rPr>
          <w:rStyle w:val="17"/>
          <w:rFonts w:hint="eastAsia" w:ascii="仿宋" w:hAnsi="仿宋" w:eastAsia="仿宋" w:cstheme="minorBidi"/>
          <w:b w:val="0"/>
          <w:bCs/>
          <w:sz w:val="32"/>
          <w:szCs w:val="32"/>
          <w:highlight w:val="yellow"/>
          <w:lang w:eastAsia="zh-CN"/>
        </w:rPr>
        <w:t>，</w:t>
      </w:r>
      <w:r>
        <w:rPr>
          <w:rStyle w:val="17"/>
          <w:rFonts w:hint="eastAsia" w:ascii="仿宋" w:hAnsi="仿宋" w:eastAsia="仿宋" w:cstheme="minorBidi"/>
          <w:b w:val="0"/>
          <w:bCs/>
          <w:sz w:val="32"/>
          <w:szCs w:val="32"/>
          <w:highlight w:val="yellow"/>
        </w:rPr>
        <w:t>决算数等于预算数。</w:t>
      </w:r>
    </w:p>
    <w:p w14:paraId="5EA6D8D1">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14937DC4">
      <w:pPr>
        <w:spacing w:line="600" w:lineRule="exact"/>
        <w:ind w:firstLine="640"/>
        <w:rPr>
          <w:rFonts w:ascii="仿宋" w:hAnsi="仿宋" w:eastAsia="仿宋"/>
          <w:b/>
          <w:sz w:val="32"/>
          <w:szCs w:val="32"/>
        </w:rPr>
      </w:pPr>
    </w:p>
    <w:p w14:paraId="2DE11A25">
      <w:pPr>
        <w:tabs>
          <w:tab w:val="right" w:pos="8306"/>
        </w:tabs>
        <w:spacing w:line="600" w:lineRule="exact"/>
        <w:ind w:firstLine="640"/>
        <w:outlineLvl w:val="1"/>
        <w:rPr>
          <w:rStyle w:val="28"/>
        </w:rPr>
      </w:pPr>
      <w:bookmarkStart w:id="39" w:name="_Toc15377214"/>
      <w:bookmarkStart w:id="4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9"/>
      <w:bookmarkEnd w:id="40"/>
      <w:r>
        <w:rPr>
          <w:rStyle w:val="28"/>
          <w:rFonts w:ascii="黑体" w:hAnsi="黑体" w:eastAsia="黑体"/>
          <w:b w:val="0"/>
        </w:rPr>
        <w:tab/>
      </w:r>
    </w:p>
    <w:p w14:paraId="7B73650D">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56.36</w:t>
      </w:r>
      <w:r>
        <w:rPr>
          <w:rFonts w:hint="eastAsia" w:ascii="仿宋" w:hAnsi="仿宋" w:eastAsia="仿宋"/>
          <w:sz w:val="32"/>
          <w:szCs w:val="32"/>
        </w:rPr>
        <w:t>万元，其中：</w:t>
      </w:r>
    </w:p>
    <w:p w14:paraId="6E834F9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51.94</w:t>
      </w:r>
      <w:r>
        <w:rPr>
          <w:rFonts w:hint="eastAsia" w:ascii="仿宋" w:hAnsi="仿宋" w:eastAsia="仿宋"/>
          <w:sz w:val="32"/>
          <w:szCs w:val="32"/>
        </w:rPr>
        <w:t>万元，主要包括：基本工资、津贴补贴、绩效工资、机关事业单位基本养老保险缴费、职业年金缴费、其他社会保障缴费、其他工资福利支出、生活补助、住房公积金、其他对个人和家庭的补助支出等。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4.42</w:t>
      </w:r>
      <w:r>
        <w:rPr>
          <w:rFonts w:hint="eastAsia" w:ascii="仿宋" w:hAnsi="仿宋" w:eastAsia="仿宋"/>
          <w:sz w:val="32"/>
          <w:szCs w:val="32"/>
        </w:rPr>
        <w:t>万元，主要包括：办公费、水费、电费、邮电费、差旅费、维修（护）费、会议费、培训费、公务接待费、劳务费、委托业务费、工会经费、福利费、公务用车运行维护费、其他商品和服务支出。</w:t>
      </w:r>
    </w:p>
    <w:p w14:paraId="65FCFE7A">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36527ECF">
      <w:pPr>
        <w:spacing w:line="600" w:lineRule="exact"/>
        <w:ind w:firstLine="640"/>
        <w:rPr>
          <w:rFonts w:ascii="仿宋" w:hAnsi="仿宋" w:eastAsia="仿宋"/>
          <w:b/>
          <w:sz w:val="32"/>
          <w:szCs w:val="32"/>
        </w:rPr>
      </w:pPr>
    </w:p>
    <w:p w14:paraId="346C07C6">
      <w:pPr>
        <w:spacing w:line="600" w:lineRule="exact"/>
        <w:ind w:firstLine="640"/>
        <w:outlineLvl w:val="1"/>
        <w:rPr>
          <w:rStyle w:val="28"/>
          <w:rFonts w:ascii="黑体" w:hAnsi="黑体" w:eastAsia="黑体"/>
          <w:b w:val="0"/>
        </w:rPr>
      </w:pPr>
      <w:bookmarkStart w:id="41" w:name="_Toc15396609"/>
      <w:bookmarkStart w:id="42"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1"/>
      <w:bookmarkEnd w:id="42"/>
    </w:p>
    <w:p w14:paraId="4FCF4F66">
      <w:pPr>
        <w:spacing w:line="600" w:lineRule="exact"/>
        <w:ind w:firstLine="640"/>
        <w:outlineLvl w:val="2"/>
        <w:rPr>
          <w:rFonts w:ascii="仿宋" w:hAnsi="仿宋" w:eastAsia="仿宋"/>
          <w:b/>
          <w:sz w:val="32"/>
          <w:szCs w:val="32"/>
        </w:rPr>
      </w:pPr>
      <w:bookmarkStart w:id="43" w:name="_Toc15377216"/>
      <w:r>
        <w:rPr>
          <w:rFonts w:hint="eastAsia" w:ascii="仿宋" w:hAnsi="仿宋" w:eastAsia="仿宋"/>
          <w:b/>
          <w:sz w:val="32"/>
          <w:szCs w:val="32"/>
        </w:rPr>
        <w:t>（一）“三公”经费财政拨款支出决算总体情况说明</w:t>
      </w:r>
      <w:bookmarkEnd w:id="43"/>
    </w:p>
    <w:p w14:paraId="413EFF4A">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7400</w:t>
      </w:r>
      <w:r>
        <w:rPr>
          <w:rFonts w:hint="eastAsia" w:ascii="仿宋" w:hAnsi="仿宋" w:eastAsia="仿宋"/>
          <w:sz w:val="32"/>
          <w:szCs w:val="32"/>
        </w:rPr>
        <w:t>万元，</w:t>
      </w:r>
      <w:r>
        <w:rPr>
          <w:rFonts w:hint="eastAsia" w:ascii="仿宋" w:hAnsi="仿宋" w:eastAsia="仿宋"/>
          <w:sz w:val="32"/>
          <w:szCs w:val="32"/>
          <w:lang w:val="en-US" w:eastAsia="zh-CN"/>
        </w:rPr>
        <w:t>年初预算3万，</w:t>
      </w:r>
      <w:r>
        <w:rPr>
          <w:rFonts w:hint="eastAsia" w:ascii="仿宋" w:hAnsi="仿宋" w:eastAsia="仿宋"/>
          <w:sz w:val="32"/>
          <w:szCs w:val="32"/>
        </w:rPr>
        <w:t>完成预算</w:t>
      </w:r>
      <w:r>
        <w:rPr>
          <w:rFonts w:hint="eastAsia" w:ascii="仿宋" w:hAnsi="仿宋" w:eastAsia="仿宋"/>
          <w:b/>
          <w:sz w:val="32"/>
          <w:szCs w:val="32"/>
          <w:lang w:val="en-US" w:eastAsia="zh-CN"/>
        </w:rPr>
        <w:t>24.67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yellow"/>
        </w:rPr>
        <w:t>较上年度减少</w:t>
      </w:r>
      <w:r>
        <w:rPr>
          <w:rFonts w:hint="eastAsia" w:ascii="仿宋" w:hAnsi="仿宋" w:eastAsia="仿宋"/>
          <w:sz w:val="32"/>
          <w:szCs w:val="32"/>
          <w:highlight w:val="yellow"/>
          <w:lang w:val="en-US" w:eastAsia="zh-CN"/>
        </w:rPr>
        <w:t>22600</w:t>
      </w:r>
      <w:r>
        <w:rPr>
          <w:rFonts w:hint="eastAsia" w:ascii="仿宋" w:hAnsi="仿宋" w:eastAsia="仿宋"/>
          <w:sz w:val="32"/>
          <w:szCs w:val="32"/>
          <w:highlight w:val="yellow"/>
        </w:rPr>
        <w:t>万元，下降</w:t>
      </w:r>
      <w:r>
        <w:rPr>
          <w:rFonts w:hint="eastAsia" w:ascii="仿宋" w:hAnsi="仿宋" w:eastAsia="仿宋"/>
          <w:sz w:val="32"/>
          <w:szCs w:val="32"/>
          <w:highlight w:val="yellow"/>
          <w:lang w:val="en-US" w:eastAsia="zh-CN"/>
        </w:rPr>
        <w:t>75.33</w:t>
      </w:r>
      <w:r>
        <w:rPr>
          <w:rFonts w:hint="eastAsia" w:ascii="仿宋" w:hAnsi="仿宋" w:eastAsia="仿宋"/>
          <w:sz w:val="32"/>
          <w:szCs w:val="32"/>
          <w:highlight w:val="yellow"/>
        </w:rPr>
        <w:t>%。决算数小于预算数（或与预算数持平）的主要原因是</w:t>
      </w:r>
      <w:bookmarkStart w:id="44" w:name="OLE_LINK4"/>
      <w:r>
        <w:rPr>
          <w:rFonts w:hint="eastAsia" w:ascii="仿宋" w:hAnsi="仿宋" w:eastAsia="仿宋"/>
          <w:sz w:val="32"/>
          <w:szCs w:val="32"/>
          <w:highlight w:val="yellow"/>
          <w:lang w:val="en-US" w:eastAsia="zh-CN"/>
        </w:rPr>
        <w:t>减少开支</w:t>
      </w:r>
      <w:bookmarkEnd w:id="44"/>
      <w:r>
        <w:rPr>
          <w:rFonts w:hint="eastAsia" w:ascii="仿宋" w:hAnsi="仿宋" w:eastAsia="仿宋"/>
          <w:sz w:val="32"/>
          <w:szCs w:val="32"/>
          <w:highlight w:val="yellow"/>
        </w:rPr>
        <w:t>。</w:t>
      </w:r>
    </w:p>
    <w:p w14:paraId="1473270E">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2CAB31D4">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14:paraId="0360F1D3">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2023年度“三公”经费财政拨款支出决算中</w:t>
      </w:r>
      <w:r>
        <w:rPr>
          <w:rFonts w:hint="eastAsia" w:ascii="仿宋" w:hAnsi="仿宋" w:eastAsia="仿宋"/>
          <w:sz w:val="32"/>
          <w:szCs w:val="32"/>
          <w:highlight w:val="yellow"/>
        </w:rPr>
        <w:t>，因公出国（境）费支出决算</w:t>
      </w:r>
      <w:r>
        <w:rPr>
          <w:rFonts w:ascii="仿宋" w:hAnsi="仿宋" w:eastAsia="仿宋"/>
          <w:b/>
          <w:sz w:val="32"/>
          <w:szCs w:val="32"/>
          <w:highlight w:val="yellow"/>
        </w:rPr>
        <w:t>0</w:t>
      </w:r>
      <w:r>
        <w:rPr>
          <w:rFonts w:hint="eastAsia" w:ascii="仿宋" w:hAnsi="仿宋" w:eastAsia="仿宋"/>
          <w:sz w:val="32"/>
          <w:szCs w:val="32"/>
          <w:highlight w:val="yellow"/>
        </w:rPr>
        <w:t>万元；公务用车购置及运行维护费支出决算</w:t>
      </w:r>
      <w:r>
        <w:rPr>
          <w:rFonts w:ascii="仿宋" w:hAnsi="仿宋" w:eastAsia="仿宋"/>
          <w:b/>
          <w:sz w:val="32"/>
          <w:szCs w:val="32"/>
          <w:highlight w:val="yellow"/>
        </w:rPr>
        <w:t>0</w:t>
      </w:r>
      <w:r>
        <w:rPr>
          <w:rFonts w:hint="eastAsia" w:ascii="仿宋" w:hAnsi="仿宋" w:eastAsia="仿宋"/>
          <w:sz w:val="32"/>
          <w:szCs w:val="32"/>
          <w:highlight w:val="yellow"/>
        </w:rPr>
        <w:t>万元</w:t>
      </w:r>
      <w:r>
        <w:rPr>
          <w:rFonts w:ascii="仿宋" w:hAnsi="仿宋" w:eastAsia="仿宋"/>
          <w:sz w:val="32"/>
          <w:szCs w:val="32"/>
          <w:highlight w:val="yellow"/>
        </w:rPr>
        <w:t>%</w:t>
      </w:r>
      <w:r>
        <w:rPr>
          <w:rFonts w:hint="eastAsia" w:ascii="仿宋" w:hAnsi="仿宋" w:eastAsia="仿宋"/>
          <w:sz w:val="32"/>
          <w:szCs w:val="32"/>
          <w:highlight w:val="yellow"/>
        </w:rPr>
        <w:t>；公务接待费支出决算</w:t>
      </w:r>
      <w:r>
        <w:rPr>
          <w:rFonts w:hint="eastAsia" w:ascii="仿宋" w:hAnsi="仿宋" w:eastAsia="仿宋"/>
          <w:b/>
          <w:sz w:val="32"/>
          <w:szCs w:val="32"/>
          <w:highlight w:val="yellow"/>
          <w:lang w:val="en-US" w:eastAsia="zh-CN"/>
        </w:rPr>
        <w:t>0</w:t>
      </w:r>
      <w:r>
        <w:rPr>
          <w:rFonts w:hint="eastAsia" w:ascii="仿宋" w:hAnsi="仿宋" w:eastAsia="仿宋"/>
          <w:sz w:val="32"/>
          <w:szCs w:val="32"/>
          <w:highlight w:val="yellow"/>
        </w:rPr>
        <w:t>万元。具体情况如下：</w:t>
      </w:r>
    </w:p>
    <w:p w14:paraId="41BF0809">
      <w:pPr>
        <w:spacing w:line="600" w:lineRule="exact"/>
        <w:ind w:firstLine="640"/>
        <w:rPr>
          <w:rFonts w:hint="eastAsia" w:ascii="仿宋" w:hAnsi="仿宋" w:eastAsia="仿宋"/>
          <w:sz w:val="32"/>
          <w:szCs w:val="32"/>
          <w:highlight w:val="yellow"/>
        </w:rPr>
      </w:pPr>
      <w:r>
        <w:drawing>
          <wp:anchor distT="0" distB="0" distL="114300" distR="114300" simplePos="0" relativeHeight="251659264" behindDoc="0" locked="0" layoutInCell="1" allowOverlap="1">
            <wp:simplePos x="0" y="0"/>
            <wp:positionH relativeFrom="column">
              <wp:posOffset>401320</wp:posOffset>
            </wp:positionH>
            <wp:positionV relativeFrom="paragraph">
              <wp:posOffset>-557530</wp:posOffset>
            </wp:positionV>
            <wp:extent cx="4826000" cy="2743200"/>
            <wp:effectExtent l="4445" t="4445" r="8255" b="14605"/>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95CFD5B">
      <w:pPr>
        <w:spacing w:line="600" w:lineRule="exact"/>
        <w:ind w:firstLine="640"/>
        <w:rPr>
          <w:rFonts w:hint="eastAsia" w:ascii="仿宋" w:hAnsi="仿宋" w:eastAsia="仿宋"/>
          <w:sz w:val="32"/>
          <w:szCs w:val="32"/>
          <w:highlight w:val="yellow"/>
        </w:rPr>
      </w:pPr>
    </w:p>
    <w:p w14:paraId="28E8160E">
      <w:pPr>
        <w:spacing w:line="600" w:lineRule="exact"/>
        <w:ind w:firstLine="640"/>
        <w:rPr>
          <w:rFonts w:hint="eastAsia" w:ascii="仿宋" w:hAnsi="仿宋" w:eastAsia="仿宋"/>
          <w:sz w:val="32"/>
          <w:szCs w:val="32"/>
          <w:highlight w:val="yellow"/>
        </w:rPr>
      </w:pPr>
    </w:p>
    <w:p w14:paraId="4A863A8B">
      <w:pPr>
        <w:spacing w:line="600" w:lineRule="exact"/>
        <w:ind w:firstLine="640"/>
        <w:rPr>
          <w:rFonts w:hint="eastAsia" w:ascii="仿宋" w:hAnsi="仿宋" w:eastAsia="仿宋"/>
          <w:sz w:val="32"/>
          <w:szCs w:val="32"/>
          <w:highlight w:val="yellow"/>
        </w:rPr>
      </w:pPr>
    </w:p>
    <w:p w14:paraId="629AA9B9">
      <w:pPr>
        <w:spacing w:line="600" w:lineRule="exact"/>
        <w:ind w:firstLine="640"/>
        <w:rPr>
          <w:rFonts w:hint="eastAsia" w:ascii="仿宋" w:hAnsi="仿宋" w:eastAsia="仿宋"/>
          <w:sz w:val="32"/>
          <w:szCs w:val="32"/>
          <w:highlight w:val="yellow"/>
        </w:rPr>
      </w:pPr>
    </w:p>
    <w:p w14:paraId="4D32E430">
      <w:pPr>
        <w:spacing w:line="600" w:lineRule="exact"/>
        <w:ind w:firstLine="640"/>
        <w:rPr>
          <w:rFonts w:hint="eastAsia" w:ascii="仿宋" w:hAnsi="仿宋" w:eastAsia="仿宋"/>
          <w:sz w:val="32"/>
          <w:szCs w:val="32"/>
          <w:highlight w:val="yellow"/>
        </w:rPr>
      </w:pPr>
    </w:p>
    <w:p w14:paraId="063D08CA">
      <w:pPr>
        <w:spacing w:line="600" w:lineRule="exact"/>
        <w:ind w:firstLine="640"/>
        <w:rPr>
          <w:rFonts w:ascii="仿宋" w:hAnsi="仿宋" w:eastAsia="仿宋"/>
          <w:sz w:val="32"/>
          <w:szCs w:val="32"/>
        </w:rPr>
      </w:pPr>
      <w:r>
        <w:rPr>
          <w:rFonts w:hint="eastAsia" w:ascii="仿宋" w:hAnsi="仿宋" w:eastAsia="仿宋"/>
          <w:sz w:val="32"/>
          <w:szCs w:val="32"/>
          <w:highlight w:val="yellow"/>
        </w:rPr>
        <w:t>（图7：“三公”经费财政拨款支出结构）（饼状图）</w:t>
      </w:r>
    </w:p>
    <w:p w14:paraId="7A957BD1">
      <w:pPr>
        <w:spacing w:line="600" w:lineRule="exact"/>
        <w:ind w:firstLine="640"/>
        <w:rPr>
          <w:rFonts w:ascii="仿宋_GB2312" w:eastAsia="仿宋_GB2312"/>
          <w:sz w:val="32"/>
          <w:szCs w:val="32"/>
          <w:highlight w:val="yellow"/>
        </w:rPr>
      </w:pPr>
      <w:bookmarkStart w:id="46" w:name="_Toc15377218"/>
      <w:bookmarkStart w:id="47" w:name="_Toc15396610"/>
      <w:r>
        <w:rPr>
          <w:rFonts w:ascii="仿宋_GB2312" w:eastAsia="仿宋_GB2312"/>
          <w:b/>
          <w:sz w:val="32"/>
          <w:szCs w:val="32"/>
        </w:rPr>
        <w:t>1</w:t>
      </w:r>
      <w:r>
        <w:rPr>
          <w:rFonts w:ascii="仿宋_GB2312" w:eastAsia="仿宋_GB2312"/>
          <w:b/>
          <w:sz w:val="32"/>
          <w:szCs w:val="32"/>
          <w:highlight w:val="yellow"/>
        </w:rPr>
        <w:t>.</w:t>
      </w:r>
      <w:r>
        <w:rPr>
          <w:rFonts w:hint="eastAsia" w:ascii="仿宋_GB2312" w:eastAsia="仿宋_GB2312"/>
          <w:b/>
          <w:sz w:val="32"/>
          <w:szCs w:val="32"/>
          <w:highlight w:val="yellow"/>
        </w:rPr>
        <w:t>因公出国（境）经费支出</w:t>
      </w:r>
      <w:r>
        <w:rPr>
          <w:rFonts w:ascii="仿宋" w:hAnsi="仿宋" w:eastAsia="仿宋"/>
          <w:b/>
          <w:sz w:val="32"/>
          <w:szCs w:val="32"/>
          <w:highlight w:val="yellow"/>
        </w:rPr>
        <w:t>0</w:t>
      </w:r>
      <w:r>
        <w:rPr>
          <w:rFonts w:hint="eastAsia" w:ascii="仿宋_GB2312" w:eastAsia="仿宋_GB2312"/>
          <w:sz w:val="32"/>
          <w:szCs w:val="32"/>
          <w:highlight w:val="yellow"/>
        </w:rPr>
        <w:t>万元</w:t>
      </w:r>
      <w:r>
        <w:rPr>
          <w:rStyle w:val="17"/>
          <w:rFonts w:hint="eastAsia" w:ascii="仿宋" w:hAnsi="仿宋" w:eastAsia="仿宋"/>
          <w:b w:val="0"/>
          <w:bCs/>
          <w:sz w:val="32"/>
          <w:szCs w:val="32"/>
          <w:highlight w:val="yellow"/>
        </w:rPr>
        <w:t>。</w:t>
      </w:r>
    </w:p>
    <w:p w14:paraId="3F8CA43D">
      <w:pPr>
        <w:spacing w:line="600" w:lineRule="exact"/>
        <w:ind w:firstLine="640"/>
        <w:rPr>
          <w:rFonts w:ascii="仿宋_GB2312" w:eastAsia="仿宋_GB2312"/>
          <w:b/>
          <w:sz w:val="32"/>
          <w:szCs w:val="32"/>
          <w:highlight w:val="yellow"/>
        </w:rPr>
      </w:pPr>
      <w:r>
        <w:rPr>
          <w:rFonts w:ascii="仿宋_GB2312" w:eastAsia="仿宋_GB2312"/>
          <w:b/>
          <w:sz w:val="32"/>
          <w:szCs w:val="32"/>
          <w:highlight w:val="yellow"/>
        </w:rPr>
        <w:t>2.</w:t>
      </w:r>
      <w:r>
        <w:rPr>
          <w:rFonts w:hint="eastAsia" w:ascii="仿宋_GB2312" w:eastAsia="仿宋_GB2312"/>
          <w:b/>
          <w:sz w:val="32"/>
          <w:szCs w:val="32"/>
          <w:highlight w:val="yellow"/>
        </w:rPr>
        <w:t>公务用车购置及运行维护费支出</w:t>
      </w:r>
      <w:r>
        <w:rPr>
          <w:rFonts w:hint="eastAsia" w:ascii="仿宋" w:hAnsi="仿宋" w:eastAsia="仿宋"/>
          <w:b/>
          <w:sz w:val="32"/>
          <w:szCs w:val="32"/>
          <w:highlight w:val="yellow"/>
          <w:lang w:val="en-US" w:eastAsia="zh-CN"/>
        </w:rPr>
        <w:t>7400</w:t>
      </w:r>
      <w:r>
        <w:rPr>
          <w:rFonts w:hint="eastAsia" w:ascii="仿宋_GB2312" w:eastAsia="仿宋_GB2312"/>
          <w:sz w:val="32"/>
          <w:szCs w:val="32"/>
          <w:highlight w:val="yellow"/>
        </w:rPr>
        <w:t>万元,</w:t>
      </w:r>
      <w:r>
        <w:rPr>
          <w:rStyle w:val="17"/>
          <w:rFonts w:hint="eastAsia" w:ascii="仿宋" w:hAnsi="仿宋" w:eastAsia="仿宋"/>
          <w:b w:val="0"/>
          <w:bCs/>
          <w:sz w:val="32"/>
          <w:szCs w:val="32"/>
          <w:highlight w:val="yellow"/>
        </w:rPr>
        <w:t>完成预算</w:t>
      </w:r>
      <w:r>
        <w:rPr>
          <w:rStyle w:val="17"/>
          <w:rFonts w:hint="eastAsia" w:ascii="仿宋" w:hAnsi="仿宋" w:eastAsia="仿宋"/>
          <w:bCs/>
          <w:sz w:val="32"/>
          <w:szCs w:val="32"/>
          <w:highlight w:val="yellow"/>
          <w:lang w:val="en-US" w:eastAsia="zh-CN"/>
        </w:rPr>
        <w:t>24.67</w:t>
      </w:r>
      <w:r>
        <w:rPr>
          <w:rStyle w:val="17"/>
          <w:rFonts w:ascii="仿宋" w:hAnsi="仿宋" w:eastAsia="仿宋"/>
          <w:b w:val="0"/>
          <w:bCs/>
          <w:sz w:val="32"/>
          <w:szCs w:val="32"/>
          <w:highlight w:val="yellow"/>
        </w:rPr>
        <w:t>%</w:t>
      </w:r>
      <w:r>
        <w:rPr>
          <w:rStyle w:val="17"/>
          <w:rFonts w:hint="eastAsia" w:ascii="仿宋" w:hAnsi="仿宋" w:eastAsia="仿宋"/>
          <w:b w:val="0"/>
          <w:bCs/>
          <w:sz w:val="32"/>
          <w:szCs w:val="32"/>
          <w:highlight w:val="yellow"/>
        </w:rPr>
        <w:t>。</w:t>
      </w:r>
      <w:r>
        <w:rPr>
          <w:rFonts w:hint="eastAsia" w:ascii="仿宋_GB2312" w:eastAsia="仿宋_GB2312"/>
          <w:sz w:val="32"/>
          <w:szCs w:val="32"/>
          <w:highlight w:val="yellow"/>
        </w:rPr>
        <w:t>公务用车购置及运行维护费支出决算比2022年度减少</w:t>
      </w:r>
      <w:r>
        <w:rPr>
          <w:rFonts w:hint="eastAsia" w:ascii="仿宋_GB2312" w:eastAsia="仿宋_GB2312"/>
          <w:sz w:val="32"/>
          <w:szCs w:val="32"/>
          <w:highlight w:val="yellow"/>
          <w:lang w:val="en-US" w:eastAsia="zh-CN"/>
        </w:rPr>
        <w:t>22600</w:t>
      </w:r>
      <w:r>
        <w:rPr>
          <w:rFonts w:hint="eastAsia" w:ascii="仿宋_GB2312" w:eastAsia="仿宋_GB2312"/>
          <w:sz w:val="32"/>
          <w:szCs w:val="32"/>
          <w:highlight w:val="yellow"/>
        </w:rPr>
        <w:t>万元，下降</w:t>
      </w:r>
      <w:r>
        <w:rPr>
          <w:rFonts w:hint="eastAsia" w:ascii="仿宋_GB2312" w:eastAsia="仿宋_GB2312"/>
          <w:sz w:val="32"/>
          <w:szCs w:val="32"/>
          <w:highlight w:val="yellow"/>
          <w:lang w:val="en-US" w:eastAsia="zh-CN"/>
        </w:rPr>
        <w:t>75.33</w:t>
      </w:r>
      <w:r>
        <w:rPr>
          <w:rFonts w:ascii="仿宋_GB2312" w:eastAsia="仿宋_GB2312"/>
          <w:sz w:val="32"/>
          <w:szCs w:val="32"/>
          <w:highlight w:val="yellow"/>
        </w:rPr>
        <w:t>%</w:t>
      </w:r>
      <w:r>
        <w:rPr>
          <w:rFonts w:hint="eastAsia" w:ascii="仿宋_GB2312" w:eastAsia="仿宋_GB2312"/>
          <w:sz w:val="32"/>
          <w:szCs w:val="32"/>
          <w:highlight w:val="yellow"/>
        </w:rPr>
        <w:t>。主要原因是</w:t>
      </w:r>
      <w:r>
        <w:rPr>
          <w:rFonts w:hint="eastAsia" w:ascii="仿宋" w:hAnsi="仿宋" w:eastAsia="仿宋"/>
          <w:sz w:val="32"/>
          <w:szCs w:val="32"/>
          <w:highlight w:val="yellow"/>
          <w:lang w:val="en-US" w:eastAsia="zh-CN"/>
        </w:rPr>
        <w:t>减少开支</w:t>
      </w:r>
      <w:r>
        <w:rPr>
          <w:rFonts w:hint="eastAsia" w:ascii="仿宋_GB2312" w:eastAsia="仿宋_GB2312"/>
          <w:sz w:val="32"/>
          <w:szCs w:val="32"/>
          <w:highlight w:val="yellow"/>
        </w:rPr>
        <w:t>。</w:t>
      </w:r>
    </w:p>
    <w:p w14:paraId="7977CA25">
      <w:pPr>
        <w:spacing w:line="600" w:lineRule="exact"/>
        <w:ind w:firstLine="640" w:firstLineChars="200"/>
        <w:rPr>
          <w:rFonts w:ascii="仿宋_GB2312" w:eastAsia="仿宋_GB2312"/>
          <w:b/>
          <w:sz w:val="32"/>
          <w:szCs w:val="32"/>
          <w:highlight w:val="yellow"/>
        </w:rPr>
      </w:pPr>
      <w:r>
        <w:rPr>
          <w:rFonts w:hint="eastAsia" w:ascii="仿宋_GB2312" w:eastAsia="仿宋_GB2312"/>
          <w:sz w:val="32"/>
          <w:szCs w:val="32"/>
          <w:highlight w:val="yellow"/>
        </w:rPr>
        <w:t>其中：</w:t>
      </w:r>
      <w:r>
        <w:rPr>
          <w:rFonts w:hint="eastAsia" w:ascii="仿宋_GB2312" w:eastAsia="仿宋_GB2312"/>
          <w:b/>
          <w:sz w:val="32"/>
          <w:szCs w:val="32"/>
          <w:highlight w:val="yellow"/>
        </w:rPr>
        <w:t>公务用车购置支出</w:t>
      </w:r>
      <w:r>
        <w:rPr>
          <w:rFonts w:ascii="仿宋" w:hAnsi="仿宋" w:eastAsia="仿宋"/>
          <w:b/>
          <w:sz w:val="32"/>
          <w:szCs w:val="32"/>
          <w:highlight w:val="yellow"/>
        </w:rPr>
        <w:t>0</w:t>
      </w:r>
      <w:r>
        <w:rPr>
          <w:rFonts w:hint="eastAsia" w:ascii="仿宋_GB2312" w:eastAsia="仿宋_GB2312"/>
          <w:sz w:val="32"/>
          <w:szCs w:val="32"/>
          <w:highlight w:val="yellow"/>
        </w:rPr>
        <w:t>万元。全年按规定更新购置公务用车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w:t>
      </w:r>
    </w:p>
    <w:p w14:paraId="3E4554AF">
      <w:pPr>
        <w:spacing w:line="600" w:lineRule="exact"/>
        <w:ind w:firstLine="640"/>
        <w:rPr>
          <w:rFonts w:ascii="仿宋_GB2312" w:eastAsia="仿宋_GB2312"/>
          <w:sz w:val="32"/>
          <w:szCs w:val="32"/>
          <w:highlight w:val="yellow"/>
        </w:rPr>
      </w:pPr>
      <w:r>
        <w:rPr>
          <w:rFonts w:hint="eastAsia" w:ascii="仿宋_GB2312" w:eastAsia="仿宋_GB2312"/>
          <w:b/>
          <w:sz w:val="32"/>
          <w:szCs w:val="32"/>
          <w:highlight w:val="yellow"/>
        </w:rPr>
        <w:t>公务用车运行维护费支出</w:t>
      </w:r>
      <w:r>
        <w:rPr>
          <w:rFonts w:hint="eastAsia" w:ascii="仿宋" w:hAnsi="仿宋" w:eastAsia="仿宋"/>
          <w:b/>
          <w:sz w:val="32"/>
          <w:szCs w:val="32"/>
          <w:highlight w:val="yellow"/>
          <w:lang w:val="en-US" w:eastAsia="zh-CN"/>
        </w:rPr>
        <w:t>7400</w:t>
      </w:r>
      <w:r>
        <w:rPr>
          <w:rFonts w:hint="eastAsia" w:ascii="仿宋_GB2312" w:eastAsia="仿宋_GB2312"/>
          <w:sz w:val="32"/>
          <w:szCs w:val="32"/>
          <w:highlight w:val="yellow"/>
        </w:rPr>
        <w:t>万元。主要用于</w:t>
      </w:r>
      <w:r>
        <w:rPr>
          <w:rFonts w:hint="eastAsia" w:ascii="仿宋_GB2312" w:eastAsia="仿宋_GB2312"/>
          <w:sz w:val="32"/>
          <w:szCs w:val="32"/>
          <w:highlight w:val="yellow"/>
          <w:lang w:val="en-US" w:eastAsia="zh-CN"/>
        </w:rPr>
        <w:t>接送休养老人</w:t>
      </w:r>
      <w:r>
        <w:rPr>
          <w:rFonts w:hint="eastAsia" w:ascii="仿宋_GB2312" w:eastAsia="仿宋_GB2312"/>
          <w:sz w:val="32"/>
          <w:szCs w:val="32"/>
          <w:highlight w:val="yellow"/>
        </w:rPr>
        <w:t>等所需的公务用车燃料费、维修费、过路过桥费、保险费等支出。</w:t>
      </w:r>
    </w:p>
    <w:p w14:paraId="0744AC80">
      <w:pPr>
        <w:numPr>
          <w:ilvl w:val="0"/>
          <w:numId w:val="3"/>
        </w:numPr>
        <w:spacing w:line="600" w:lineRule="exact"/>
        <w:ind w:firstLine="640"/>
        <w:outlineLvl w:val="1"/>
        <w:rPr>
          <w:rFonts w:hint="eastAsia" w:ascii="仿宋_GB2312" w:eastAsia="仿宋_GB2312"/>
          <w:sz w:val="32"/>
          <w:szCs w:val="32"/>
          <w:highlight w:val="yellow"/>
        </w:rPr>
      </w:pPr>
      <w:r>
        <w:rPr>
          <w:rFonts w:hint="eastAsia" w:ascii="仿宋_GB2312" w:eastAsia="仿宋_GB2312"/>
          <w:b/>
          <w:sz w:val="32"/>
          <w:szCs w:val="32"/>
          <w:highlight w:val="yellow"/>
        </w:rPr>
        <w:t>公务接待费支出</w:t>
      </w:r>
      <w:r>
        <w:rPr>
          <w:rFonts w:hint="eastAsia" w:ascii="仿宋" w:hAnsi="仿宋" w:eastAsia="仿宋"/>
          <w:b/>
          <w:sz w:val="32"/>
          <w:szCs w:val="32"/>
          <w:highlight w:val="yellow"/>
          <w:lang w:val="en-US" w:eastAsia="zh-CN"/>
        </w:rPr>
        <w:t>0</w:t>
      </w:r>
      <w:r>
        <w:rPr>
          <w:rFonts w:hint="eastAsia" w:ascii="仿宋_GB2312" w:eastAsia="仿宋_GB2312"/>
          <w:sz w:val="32"/>
          <w:szCs w:val="32"/>
          <w:highlight w:val="yellow"/>
        </w:rPr>
        <w:t>万元</w:t>
      </w:r>
      <w:r>
        <w:rPr>
          <w:rStyle w:val="17"/>
          <w:rFonts w:hint="eastAsia" w:ascii="仿宋" w:hAnsi="仿宋" w:eastAsia="仿宋"/>
          <w:b w:val="0"/>
          <w:bCs/>
          <w:sz w:val="32"/>
          <w:szCs w:val="32"/>
          <w:highlight w:val="yellow"/>
        </w:rPr>
        <w:t>。</w:t>
      </w:r>
      <w:r>
        <w:rPr>
          <w:rFonts w:hint="eastAsia" w:ascii="仿宋_GB2312" w:eastAsia="仿宋_GB2312"/>
          <w:sz w:val="32"/>
          <w:szCs w:val="32"/>
          <w:highlight w:val="yellow"/>
        </w:rPr>
        <w:t>公务接待费支出决算比2022年度减少</w:t>
      </w:r>
      <w:r>
        <w:rPr>
          <w:rFonts w:hint="eastAsia" w:ascii="仿宋_GB2312" w:eastAsia="仿宋_GB2312"/>
          <w:sz w:val="32"/>
          <w:szCs w:val="32"/>
          <w:highlight w:val="yellow"/>
          <w:lang w:val="en-US" w:eastAsia="zh-CN"/>
        </w:rPr>
        <w:t>0.16</w:t>
      </w:r>
      <w:r>
        <w:rPr>
          <w:rFonts w:hint="eastAsia" w:ascii="仿宋_GB2312" w:eastAsia="仿宋_GB2312"/>
          <w:sz w:val="32"/>
          <w:szCs w:val="32"/>
          <w:highlight w:val="yellow"/>
        </w:rPr>
        <w:t>万元，下降</w:t>
      </w:r>
      <w:r>
        <w:rPr>
          <w:rFonts w:hint="eastAsia" w:ascii="仿宋_GB2312" w:eastAsia="仿宋_GB2312"/>
          <w:sz w:val="32"/>
          <w:szCs w:val="32"/>
          <w:highlight w:val="yellow"/>
          <w:lang w:val="en-US" w:eastAsia="zh-CN"/>
        </w:rPr>
        <w:t>100</w:t>
      </w:r>
      <w:r>
        <w:rPr>
          <w:rFonts w:ascii="仿宋_GB2312" w:eastAsia="仿宋_GB2312"/>
          <w:sz w:val="32"/>
          <w:szCs w:val="32"/>
          <w:highlight w:val="yellow"/>
        </w:rPr>
        <w:t>%</w:t>
      </w:r>
      <w:r>
        <w:rPr>
          <w:rFonts w:hint="eastAsia" w:ascii="仿宋_GB2312" w:eastAsia="仿宋_GB2312"/>
          <w:sz w:val="32"/>
          <w:szCs w:val="32"/>
          <w:highlight w:val="yellow"/>
        </w:rPr>
        <w:t>。主要原因是</w:t>
      </w:r>
      <w:r>
        <w:rPr>
          <w:rFonts w:hint="eastAsia" w:ascii="仿宋_GB2312" w:eastAsia="仿宋_GB2312"/>
          <w:sz w:val="32"/>
          <w:szCs w:val="32"/>
          <w:highlight w:val="yellow"/>
          <w:lang w:val="en-US" w:eastAsia="zh-CN"/>
        </w:rPr>
        <w:t>减少开支</w:t>
      </w:r>
      <w:r>
        <w:rPr>
          <w:rFonts w:hint="eastAsia" w:ascii="仿宋_GB2312" w:eastAsia="仿宋_GB2312"/>
          <w:sz w:val="32"/>
          <w:szCs w:val="32"/>
          <w:highlight w:val="yellow"/>
        </w:rPr>
        <w:t>。</w:t>
      </w:r>
    </w:p>
    <w:p w14:paraId="2DC9D750">
      <w:pPr>
        <w:numPr>
          <w:ilvl w:val="0"/>
          <w:numId w:val="0"/>
        </w:numPr>
        <w:spacing w:line="600" w:lineRule="exact"/>
        <w:ind w:firstLine="640" w:firstLineChars="20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6"/>
      <w:bookmarkEnd w:id="47"/>
    </w:p>
    <w:p w14:paraId="4AEAE49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FA23EF0">
      <w:pPr>
        <w:numPr>
          <w:ilvl w:val="0"/>
          <w:numId w:val="4"/>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14:paraId="178FEB88">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BE8B225">
      <w:pPr>
        <w:numPr>
          <w:ilvl w:val="0"/>
          <w:numId w:val="4"/>
        </w:numPr>
        <w:spacing w:line="600" w:lineRule="exact"/>
        <w:ind w:firstLine="640"/>
        <w:outlineLvl w:val="1"/>
        <w:rPr>
          <w:rStyle w:val="28"/>
          <w:rFonts w:ascii="黑体" w:hAnsi="黑体" w:eastAsia="黑体"/>
          <w:b w:val="0"/>
        </w:rPr>
      </w:pPr>
      <w:bookmarkStart w:id="50" w:name="_Toc15396612"/>
      <w:bookmarkStart w:id="51" w:name="_Toc15377221"/>
      <w:r>
        <w:rPr>
          <w:rStyle w:val="28"/>
          <w:rFonts w:hint="eastAsia" w:ascii="黑体" w:hAnsi="黑体" w:eastAsia="黑体"/>
          <w:b w:val="0"/>
        </w:rPr>
        <w:t>其他重要事项的情况说明</w:t>
      </w:r>
      <w:bookmarkEnd w:id="50"/>
      <w:bookmarkEnd w:id="51"/>
    </w:p>
    <w:p w14:paraId="1DD08C74">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14:paraId="273A78DD">
      <w:pPr>
        <w:spacing w:line="600" w:lineRule="exact"/>
        <w:ind w:firstLine="640" w:firstLineChars="200"/>
        <w:rPr>
          <w:rFonts w:ascii="仿宋_GB2312" w:eastAsia="仿宋_GB2312"/>
          <w:sz w:val="32"/>
          <w:szCs w:val="32"/>
          <w:highlight w:val="yellow"/>
        </w:rPr>
      </w:pPr>
      <w:r>
        <w:rPr>
          <w:rFonts w:hint="eastAsia" w:ascii="仿宋_GB2312" w:eastAsia="仿宋_GB2312"/>
          <w:sz w:val="32"/>
          <w:szCs w:val="32"/>
          <w:highlight w:val="yellow"/>
        </w:rPr>
        <w:t>2023年度，</w:t>
      </w:r>
      <w:r>
        <w:rPr>
          <w:rFonts w:hint="eastAsia" w:ascii="仿宋_GB2312" w:eastAsia="仿宋_GB2312"/>
          <w:b/>
          <w:sz w:val="32"/>
          <w:szCs w:val="32"/>
          <w:highlight w:val="yellow"/>
          <w:lang w:val="en-US" w:eastAsia="zh-CN"/>
        </w:rPr>
        <w:t>大竹县光荣院</w:t>
      </w:r>
      <w:r>
        <w:rPr>
          <w:rFonts w:hint="eastAsia" w:ascii="仿宋_GB2312" w:eastAsia="仿宋_GB2312"/>
          <w:sz w:val="32"/>
          <w:szCs w:val="32"/>
          <w:highlight w:val="yellow"/>
        </w:rPr>
        <w:t>运行经费支出</w:t>
      </w:r>
      <w:r>
        <w:rPr>
          <w:rFonts w:hint="eastAsia" w:ascii="仿宋" w:hAnsi="仿宋" w:eastAsia="仿宋"/>
          <w:b/>
          <w:sz w:val="32"/>
          <w:szCs w:val="32"/>
          <w:highlight w:val="yellow"/>
          <w:lang w:val="en-US" w:eastAsia="zh-CN"/>
        </w:rPr>
        <w:t>4.42</w:t>
      </w:r>
      <w:r>
        <w:rPr>
          <w:rFonts w:hint="eastAsia" w:ascii="仿宋_GB2312" w:eastAsia="仿宋_GB2312"/>
          <w:sz w:val="32"/>
          <w:szCs w:val="32"/>
          <w:highlight w:val="yellow"/>
        </w:rPr>
        <w:t>万元，比2022年度减少</w:t>
      </w:r>
      <w:r>
        <w:rPr>
          <w:rFonts w:hint="eastAsia" w:ascii="仿宋_GB2312" w:eastAsia="仿宋_GB2312"/>
          <w:sz w:val="32"/>
          <w:szCs w:val="32"/>
          <w:highlight w:val="yellow"/>
          <w:lang w:val="en-US" w:eastAsia="zh-CN"/>
        </w:rPr>
        <w:t>3.18</w:t>
      </w:r>
      <w:r>
        <w:rPr>
          <w:rFonts w:hint="eastAsia" w:ascii="仿宋_GB2312" w:eastAsia="仿宋_GB2312"/>
          <w:sz w:val="32"/>
          <w:szCs w:val="32"/>
          <w:highlight w:val="yellow"/>
        </w:rPr>
        <w:t>万元，下降</w:t>
      </w:r>
      <w:r>
        <w:rPr>
          <w:rFonts w:hint="eastAsia" w:ascii="仿宋_GB2312" w:eastAsia="仿宋_GB2312"/>
          <w:sz w:val="32"/>
          <w:szCs w:val="32"/>
          <w:highlight w:val="yellow"/>
          <w:lang w:val="en-US" w:eastAsia="zh-CN"/>
        </w:rPr>
        <w:t>41.84</w:t>
      </w:r>
      <w:r>
        <w:rPr>
          <w:rFonts w:ascii="仿宋_GB2312" w:eastAsia="仿宋_GB2312"/>
          <w:sz w:val="32"/>
          <w:szCs w:val="32"/>
          <w:highlight w:val="yellow"/>
        </w:rPr>
        <w:t>%</w:t>
      </w:r>
      <w:r>
        <w:rPr>
          <w:rFonts w:hint="eastAsia" w:ascii="仿宋_GB2312" w:eastAsia="仿宋_GB2312"/>
          <w:sz w:val="32"/>
          <w:szCs w:val="32"/>
          <w:highlight w:val="yellow"/>
        </w:rPr>
        <w:t>。主要原因是</w:t>
      </w:r>
      <w:r>
        <w:rPr>
          <w:rFonts w:hint="eastAsia" w:ascii="仿宋_GB2312" w:eastAsia="仿宋_GB2312"/>
          <w:sz w:val="32"/>
          <w:szCs w:val="32"/>
          <w:highlight w:val="yellow"/>
          <w:lang w:val="en-US" w:eastAsia="zh-CN"/>
        </w:rPr>
        <w:t>减少开支</w:t>
      </w:r>
      <w:r>
        <w:rPr>
          <w:rFonts w:hint="eastAsia" w:ascii="仿宋_GB2312" w:eastAsia="仿宋_GB2312"/>
          <w:sz w:val="32"/>
          <w:szCs w:val="32"/>
          <w:highlight w:val="yellow"/>
        </w:rPr>
        <w:t>。</w:t>
      </w:r>
    </w:p>
    <w:p w14:paraId="3A2BC120">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71993ED3">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14:paraId="4E3E3378">
      <w:pPr>
        <w:spacing w:line="600" w:lineRule="exact"/>
        <w:ind w:firstLine="640" w:firstLineChars="200"/>
        <w:rPr>
          <w:rFonts w:ascii="仿宋_GB2312" w:eastAsia="仿宋_GB2312"/>
          <w:sz w:val="32"/>
          <w:szCs w:val="32"/>
          <w:highlight w:val="yellow"/>
        </w:rPr>
      </w:pPr>
      <w:r>
        <w:rPr>
          <w:rFonts w:hint="eastAsia" w:ascii="仿宋_GB2312" w:eastAsia="仿宋_GB2312"/>
          <w:sz w:val="32"/>
          <w:szCs w:val="32"/>
          <w:highlight w:val="yellow"/>
        </w:rPr>
        <w:t>2023年度，</w:t>
      </w:r>
      <w:r>
        <w:rPr>
          <w:rFonts w:ascii="仿宋_GB2312" w:eastAsia="仿宋_GB2312"/>
          <w:b/>
          <w:sz w:val="32"/>
          <w:szCs w:val="32"/>
          <w:highlight w:val="yellow"/>
        </w:rPr>
        <w:t>大竹县</w:t>
      </w:r>
      <w:r>
        <w:rPr>
          <w:rFonts w:hint="eastAsia" w:ascii="仿宋_GB2312" w:eastAsia="仿宋_GB2312"/>
          <w:b/>
          <w:sz w:val="32"/>
          <w:szCs w:val="32"/>
          <w:highlight w:val="yellow"/>
          <w:lang w:val="en-US" w:eastAsia="zh-CN"/>
        </w:rPr>
        <w:t>光荣院</w:t>
      </w:r>
      <w:r>
        <w:rPr>
          <w:rFonts w:hint="eastAsia" w:ascii="仿宋_GB2312" w:eastAsia="仿宋_GB2312"/>
          <w:sz w:val="32"/>
          <w:szCs w:val="32"/>
          <w:highlight w:val="yellow"/>
        </w:rPr>
        <w:t>政府采购支出总额</w:t>
      </w:r>
      <w:r>
        <w:rPr>
          <w:rFonts w:ascii="仿宋" w:hAnsi="仿宋" w:eastAsia="仿宋"/>
          <w:b/>
          <w:sz w:val="32"/>
          <w:szCs w:val="32"/>
          <w:highlight w:val="yellow"/>
        </w:rPr>
        <w:t>0</w:t>
      </w:r>
      <w:r>
        <w:rPr>
          <w:rFonts w:hint="eastAsia" w:ascii="仿宋_GB2312" w:eastAsia="仿宋_GB2312"/>
          <w:sz w:val="32"/>
          <w:szCs w:val="32"/>
          <w:highlight w:val="yellow"/>
        </w:rPr>
        <w:t>万元。</w:t>
      </w:r>
    </w:p>
    <w:p w14:paraId="3E192D8C">
      <w:pPr>
        <w:spacing w:line="600" w:lineRule="exact"/>
        <w:ind w:firstLine="643" w:firstLineChars="200"/>
        <w:rPr>
          <w:rFonts w:ascii="仿宋" w:hAnsi="仿宋" w:eastAsia="仿宋"/>
          <w:b/>
          <w:sz w:val="32"/>
          <w:szCs w:val="32"/>
          <w:highlight w:val="yellow"/>
        </w:rPr>
      </w:pPr>
      <w:r>
        <w:rPr>
          <w:rFonts w:hint="eastAsia" w:ascii="仿宋" w:hAnsi="仿宋" w:eastAsia="仿宋"/>
          <w:b/>
          <w:sz w:val="32"/>
          <w:szCs w:val="32"/>
          <w:highlight w:val="yellow"/>
        </w:rPr>
        <w:t>（注：数据来源于财决附</w:t>
      </w:r>
      <w:r>
        <w:rPr>
          <w:rFonts w:ascii="仿宋" w:hAnsi="仿宋" w:eastAsia="仿宋"/>
          <w:b/>
          <w:sz w:val="32"/>
          <w:szCs w:val="32"/>
          <w:highlight w:val="yellow"/>
        </w:rPr>
        <w:t>03</w:t>
      </w:r>
      <w:r>
        <w:rPr>
          <w:rFonts w:hint="eastAsia" w:ascii="仿宋" w:hAnsi="仿宋" w:eastAsia="仿宋"/>
          <w:b/>
          <w:sz w:val="32"/>
          <w:szCs w:val="32"/>
          <w:highlight w:val="yellow"/>
        </w:rPr>
        <w:t>表）</w:t>
      </w:r>
    </w:p>
    <w:p w14:paraId="4A92A3C1">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14:paraId="04095062">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highlight w:val="yellow"/>
        </w:rPr>
        <w:t>截至2023年</w:t>
      </w:r>
      <w:r>
        <w:rPr>
          <w:rFonts w:ascii="仿宋_GB2312" w:eastAsia="仿宋_GB2312"/>
          <w:sz w:val="32"/>
          <w:szCs w:val="32"/>
          <w:highlight w:val="yellow"/>
        </w:rPr>
        <w:t>12</w:t>
      </w:r>
      <w:r>
        <w:rPr>
          <w:rFonts w:hint="eastAsia" w:ascii="仿宋_GB2312" w:eastAsia="仿宋_GB2312"/>
          <w:sz w:val="32"/>
          <w:szCs w:val="32"/>
          <w:highlight w:val="yellow"/>
        </w:rPr>
        <w:t>月</w:t>
      </w:r>
      <w:r>
        <w:rPr>
          <w:rFonts w:ascii="仿宋_GB2312" w:eastAsia="仿宋_GB2312"/>
          <w:sz w:val="32"/>
          <w:szCs w:val="32"/>
          <w:highlight w:val="yellow"/>
        </w:rPr>
        <w:t>31</w:t>
      </w:r>
      <w:r>
        <w:rPr>
          <w:rFonts w:hint="eastAsia" w:ascii="仿宋_GB2312" w:eastAsia="仿宋_GB2312"/>
          <w:sz w:val="32"/>
          <w:szCs w:val="32"/>
          <w:highlight w:val="yellow"/>
        </w:rPr>
        <w:t>日，</w:t>
      </w:r>
      <w:r>
        <w:rPr>
          <w:rFonts w:ascii="仿宋_GB2312" w:eastAsia="仿宋_GB2312"/>
          <w:b/>
          <w:sz w:val="32"/>
          <w:szCs w:val="32"/>
          <w:highlight w:val="yellow"/>
        </w:rPr>
        <w:t>大竹县</w:t>
      </w:r>
      <w:r>
        <w:rPr>
          <w:rFonts w:hint="eastAsia" w:ascii="仿宋_GB2312" w:eastAsia="仿宋_GB2312"/>
          <w:b/>
          <w:sz w:val="32"/>
          <w:szCs w:val="32"/>
          <w:highlight w:val="yellow"/>
          <w:lang w:val="en-US" w:eastAsia="zh-CN"/>
        </w:rPr>
        <w:t>光荣院</w:t>
      </w:r>
      <w:r>
        <w:rPr>
          <w:rFonts w:hint="eastAsia" w:ascii="仿宋_GB2312" w:eastAsia="仿宋_GB2312"/>
          <w:sz w:val="32"/>
          <w:szCs w:val="32"/>
          <w:highlight w:val="yellow"/>
        </w:rPr>
        <w:t>共有车辆</w:t>
      </w:r>
      <w:r>
        <w:rPr>
          <w:rFonts w:hint="eastAsia" w:ascii="仿宋_GB2312" w:eastAsia="仿宋_GB2312"/>
          <w:b/>
          <w:sz w:val="32"/>
          <w:szCs w:val="32"/>
          <w:highlight w:val="yellow"/>
        </w:rPr>
        <w:t>1</w:t>
      </w:r>
      <w:r>
        <w:rPr>
          <w:rFonts w:hint="eastAsia" w:ascii="仿宋_GB2312" w:eastAsia="仿宋_GB2312"/>
          <w:sz w:val="32"/>
          <w:szCs w:val="32"/>
          <w:highlight w:val="yellow"/>
        </w:rPr>
        <w:t>辆，其中：主要领导干部用车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辆、机要通信用车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辆、应急保障用车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辆、其他用车</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辆，其他用车主要是用于</w:t>
      </w:r>
      <w:r>
        <w:rPr>
          <w:rFonts w:hint="eastAsia" w:ascii="仿宋_GB2312" w:eastAsia="仿宋_GB2312"/>
          <w:sz w:val="32"/>
          <w:szCs w:val="32"/>
          <w:highlight w:val="yellow"/>
          <w:lang w:val="en-US" w:eastAsia="zh-CN"/>
        </w:rPr>
        <w:t>接送休养老人</w:t>
      </w:r>
      <w:r>
        <w:rPr>
          <w:rFonts w:hint="eastAsia" w:ascii="仿宋_GB2312" w:eastAsia="仿宋_GB2312"/>
          <w:sz w:val="32"/>
          <w:szCs w:val="32"/>
          <w:highlight w:val="yellow"/>
        </w:rPr>
        <w:t>。单价</w:t>
      </w:r>
      <w:r>
        <w:rPr>
          <w:rFonts w:ascii="仿宋_GB2312" w:eastAsia="仿宋_GB2312"/>
          <w:sz w:val="32"/>
          <w:szCs w:val="32"/>
          <w:highlight w:val="yellow"/>
        </w:rPr>
        <w:t>100</w:t>
      </w:r>
      <w:r>
        <w:rPr>
          <w:rFonts w:hint="eastAsia" w:ascii="仿宋_GB2312" w:eastAsia="仿宋_GB2312"/>
          <w:sz w:val="32"/>
          <w:szCs w:val="32"/>
          <w:highlight w:val="yellow"/>
        </w:rPr>
        <w:t>万元以上设备（不含车辆）</w:t>
      </w:r>
      <w:r>
        <w:rPr>
          <w:rFonts w:hint="eastAsia" w:ascii="仿宋_GB2312" w:eastAsia="仿宋_GB2312"/>
          <w:b/>
          <w:sz w:val="32"/>
          <w:szCs w:val="32"/>
          <w:highlight w:val="yellow"/>
          <w:lang w:val="en-US" w:eastAsia="zh-CN"/>
        </w:rPr>
        <w:t>0</w:t>
      </w:r>
      <w:r>
        <w:rPr>
          <w:rFonts w:hint="eastAsia" w:ascii="仿宋_GB2312" w:eastAsia="仿宋_GB2312"/>
          <w:sz w:val="32"/>
          <w:szCs w:val="32"/>
          <w:highlight w:val="yellow"/>
        </w:rPr>
        <w:t>台（套）。</w:t>
      </w:r>
    </w:p>
    <w:p w14:paraId="1ED49257">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3CD8CBA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9313DAB">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XX</w:t>
      </w:r>
      <w:r>
        <w:rPr>
          <w:rFonts w:hint="eastAsia" w:ascii="仿宋_GB2312" w:eastAsia="仿宋_GB2312"/>
          <w:sz w:val="32"/>
          <w:szCs w:val="32"/>
        </w:rPr>
        <w:t>项目（项目名称）等</w:t>
      </w:r>
      <w:r>
        <w:rPr>
          <w:rFonts w:hint="eastAsia" w:ascii="仿宋_GB2312" w:eastAsia="仿宋_GB2312"/>
          <w:sz w:val="32"/>
          <w:szCs w:val="32"/>
          <w:lang w:val="en-US" w:eastAsia="zh-CN"/>
        </w:rPr>
        <w:t>X</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休养老人生活费2</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w:t>
      </w:r>
      <w:r>
        <w:rPr>
          <w:rFonts w:hint="eastAsia" w:ascii="仿宋_GB2312" w:eastAsia="仿宋_GB2312"/>
          <w:sz w:val="32"/>
          <w:szCs w:val="32"/>
        </w:rPr>
        <w:t>个项目开展绩效自评，绩效自评表详见第四部分附件。</w:t>
      </w:r>
    </w:p>
    <w:p w14:paraId="71A878F4">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ACA2AE6">
      <w:pPr>
        <w:numPr>
          <w:ilvl w:val="0"/>
          <w:numId w:val="5"/>
        </w:numPr>
        <w:spacing w:line="600" w:lineRule="exact"/>
        <w:ind w:firstLine="660" w:firstLineChars="150"/>
        <w:jc w:val="center"/>
        <w:outlineLvl w:val="0"/>
        <w:rPr>
          <w:rStyle w:val="27"/>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7"/>
          <w:rFonts w:hint="eastAsia" w:ascii="黑体" w:hAnsi="黑体" w:eastAsia="黑体"/>
          <w:b w:val="0"/>
        </w:rPr>
        <w:t>词解释</w:t>
      </w:r>
      <w:bookmarkEnd w:id="55"/>
      <w:bookmarkEnd w:id="56"/>
    </w:p>
    <w:p w14:paraId="3EAE76A5">
      <w:pPr>
        <w:spacing w:line="600" w:lineRule="exact"/>
        <w:jc w:val="left"/>
        <w:rPr>
          <w:rFonts w:ascii="宋体"/>
          <w:b/>
          <w:sz w:val="44"/>
          <w:szCs w:val="44"/>
        </w:rPr>
      </w:pPr>
    </w:p>
    <w:p w14:paraId="4F80F6A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4AB87A7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56CF180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5C460DA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55B62C3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2D829E8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468BC4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7F31D58">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56B2A23">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9.社会保障和就业(208)行政事业单位养老支出(05)其他行政事业单位养老支出(99):指用于行政事业单位养老方面的支出。</w:t>
      </w:r>
    </w:p>
    <w:p w14:paraId="6D04783D">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10.社会保障和就业(208)抚恤(08)优抚事业单位支出(07）：指光荣院运行及管理维护服务支出。</w:t>
      </w:r>
    </w:p>
    <w:p w14:paraId="076FBF27">
      <w:pPr>
        <w:spacing w:line="600" w:lineRule="exact"/>
        <w:ind w:firstLine="640" w:firstLineChars="200"/>
        <w:rPr>
          <w:rFonts w:hint="eastAsia" w:ascii="仿宋_GB2312" w:hAnsi="Times New Roman" w:eastAsia="仿宋_GB2312" w:cs="Times New Roman"/>
          <w:b w:val="0"/>
          <w:color w:val="000000"/>
          <w:kern w:val="2"/>
          <w:sz w:val="32"/>
          <w:szCs w:val="32"/>
          <w:lang w:val="en-US" w:eastAsia="zh-CN" w:bidi="ar-SA"/>
        </w:rPr>
      </w:pPr>
      <w:r>
        <w:rPr>
          <w:rFonts w:hint="eastAsia" w:ascii="仿宋_GB2312" w:hAnsi="Times New Roman" w:eastAsia="仿宋_GB2312" w:cs="Times New Roman"/>
          <w:b w:val="0"/>
          <w:color w:val="000000"/>
          <w:kern w:val="2"/>
          <w:sz w:val="32"/>
          <w:szCs w:val="32"/>
          <w:lang w:val="en-US" w:eastAsia="zh-CN" w:bidi="ar-SA"/>
        </w:rPr>
        <w:t>11社会保障和就业(208)其他社会保障和就业支出(99)其他社会保障和就业支出(99):</w:t>
      </w:r>
      <w:r>
        <w:rPr>
          <w:rFonts w:hint="eastAsia" w:ascii="仿宋_GB2312" w:eastAsia="仿宋_GB2312"/>
          <w:color w:val="000000"/>
          <w:sz w:val="32"/>
          <w:szCs w:val="32"/>
          <w:lang w:val="en-US" w:eastAsia="zh-CN"/>
        </w:rPr>
        <w:t>指其他用于社会保障和就业方面的支出。</w:t>
      </w:r>
    </w:p>
    <w:p w14:paraId="6EC48ECA">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12.卫生健康支出（210）行政事业单位医疗（11）事业单位医疗（02）:指财政部门安排的事业单位基本医疗保险经费。</w:t>
      </w:r>
    </w:p>
    <w:p w14:paraId="7BE2C1AC">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13.住房保障支出(221)住房改革支出(02)住房公积金(01):指用于行政事业单位按人力资源和社会保障部、财政部规定的基本工资和津贴补贴及规定比例为职工缴纳的住房公积金支出。</w:t>
      </w:r>
    </w:p>
    <w:p w14:paraId="4E7E45FA">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091AD836">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4460688E">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F06ABF5">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44D3F0B6">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0E125FC">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bookmarkStart w:id="73" w:name="_GoBack"/>
      <w:bookmarkEnd w:id="73"/>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552E96">
      <w:pPr>
        <w:pStyle w:val="25"/>
        <w:spacing w:line="560" w:lineRule="exact"/>
        <w:ind w:firstLine="640" w:firstLineChars="200"/>
        <w:rPr>
          <w:rFonts w:ascii="仿宋_GB2312" w:eastAsia="仿宋_GB2312" w:cs="黑体"/>
          <w:color w:val="auto"/>
          <w:sz w:val="32"/>
          <w:szCs w:val="32"/>
        </w:rPr>
      </w:pPr>
    </w:p>
    <w:p w14:paraId="0029FD32">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0C1A9CA7">
      <w:pPr>
        <w:spacing w:line="600" w:lineRule="exact"/>
        <w:jc w:val="center"/>
        <w:outlineLvl w:val="0"/>
        <w:rPr>
          <w:rStyle w:val="27"/>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7"/>
          <w:rFonts w:hint="eastAsia" w:ascii="黑体" w:hAnsi="黑体" w:eastAsia="黑体"/>
          <w:b w:val="0"/>
        </w:rPr>
        <w:t>四部分 附件</w:t>
      </w:r>
      <w:bookmarkEnd w:id="58"/>
    </w:p>
    <w:p w14:paraId="1734A6D0">
      <w:pPr>
        <w:widowControl/>
        <w:spacing w:line="580" w:lineRule="exact"/>
        <w:contextualSpacing/>
        <w:jc w:val="center"/>
        <w:rPr>
          <w:rFonts w:hint="eastAsia" w:ascii="宋体" w:hAnsi="宋体" w:eastAsia="宋体"/>
          <w:b/>
          <w:sz w:val="44"/>
          <w:szCs w:val="44"/>
          <w:shd w:val="clear" w:color="auto" w:fill="FFFFFF"/>
          <w:lang w:val="en-US" w:eastAsia="zh-CN"/>
        </w:rPr>
      </w:pPr>
    </w:p>
    <w:p w14:paraId="2E955966">
      <w:pPr>
        <w:widowControl/>
        <w:spacing w:line="580" w:lineRule="exact"/>
        <w:contextualSpacing/>
        <w:jc w:val="center"/>
        <w:rPr>
          <w:rFonts w:hint="eastAsia" w:ascii="宋体" w:hAnsi="宋体" w:eastAsia="宋体"/>
          <w:b/>
          <w:sz w:val="44"/>
          <w:szCs w:val="44"/>
          <w:shd w:val="clear" w:color="auto" w:fill="FFFFFF"/>
          <w:lang w:val="en-US" w:eastAsia="zh-CN"/>
        </w:rPr>
      </w:pPr>
      <w:r>
        <w:rPr>
          <w:rFonts w:hint="eastAsia" w:ascii="宋体" w:hAnsi="宋体" w:eastAsia="宋体"/>
          <w:b/>
          <w:sz w:val="44"/>
          <w:szCs w:val="44"/>
          <w:shd w:val="clear" w:color="auto" w:fill="FFFFFF"/>
          <w:lang w:val="en-US" w:eastAsia="zh-CN"/>
        </w:rPr>
        <w:t>大竹县光荣院</w:t>
      </w:r>
    </w:p>
    <w:p w14:paraId="2CF901FE">
      <w:pPr>
        <w:widowControl/>
        <w:spacing w:line="580" w:lineRule="exact"/>
        <w:contextualSpacing/>
        <w:jc w:val="center"/>
        <w:rPr>
          <w:rFonts w:ascii="黑体" w:hAnsi="宋体" w:eastAsia="黑体" w:cs="宋体"/>
          <w:color w:val="000000"/>
          <w:kern w:val="0"/>
          <w:sz w:val="24"/>
          <w:szCs w:val="32"/>
          <w:shd w:val="clear" w:color="auto" w:fill="FFFFFF"/>
        </w:rPr>
      </w:pPr>
      <w:r>
        <w:rPr>
          <w:rFonts w:hint="eastAsia" w:ascii="宋体" w:hAnsi="宋体" w:eastAsia="宋体"/>
          <w:b/>
          <w:sz w:val="44"/>
          <w:szCs w:val="44"/>
          <w:shd w:val="clear" w:color="auto" w:fill="FFFFFF"/>
        </w:rPr>
        <w:t>20</w:t>
      </w:r>
      <w:r>
        <w:rPr>
          <w:rFonts w:hint="eastAsia" w:ascii="宋体" w:hAnsi="宋体" w:eastAsia="宋体"/>
          <w:b/>
          <w:sz w:val="44"/>
          <w:szCs w:val="44"/>
          <w:shd w:val="clear" w:color="auto" w:fill="FFFFFF"/>
          <w:lang w:val="en-US" w:eastAsia="zh-CN"/>
        </w:rPr>
        <w:t>23</w:t>
      </w:r>
      <w:r>
        <w:rPr>
          <w:rFonts w:hint="eastAsia" w:ascii="宋体" w:hAnsi="宋体" w:eastAsia="宋体"/>
          <w:b/>
          <w:sz w:val="44"/>
          <w:szCs w:val="44"/>
          <w:shd w:val="clear" w:color="auto" w:fill="FFFFFF"/>
        </w:rPr>
        <w:t>年部门整体支出绩效</w:t>
      </w:r>
      <w:r>
        <w:rPr>
          <w:rFonts w:hint="eastAsia" w:ascii="宋体" w:hAnsi="宋体" w:eastAsia="宋体"/>
          <w:b/>
          <w:sz w:val="44"/>
          <w:szCs w:val="44"/>
          <w:shd w:val="clear" w:color="auto" w:fill="FFFFFF"/>
          <w:lang w:val="en-US" w:eastAsia="zh-CN"/>
        </w:rPr>
        <w:t>自评</w:t>
      </w:r>
      <w:r>
        <w:rPr>
          <w:rFonts w:hint="eastAsia" w:ascii="宋体" w:hAnsi="宋体" w:eastAsia="宋体"/>
          <w:b/>
          <w:sz w:val="44"/>
          <w:szCs w:val="44"/>
          <w:shd w:val="clear" w:color="auto" w:fill="FFFFFF"/>
        </w:rPr>
        <w:t>报告</w:t>
      </w:r>
    </w:p>
    <w:p w14:paraId="6F1329DD">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5638FC3E">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黑体" w:hAnsi="宋体" w:eastAsia="黑体" w:cs="Times New Roman"/>
          <w:sz w:val="32"/>
          <w:szCs w:val="32"/>
          <w:highlight w:val="none"/>
        </w:rPr>
      </w:pPr>
      <w:r>
        <w:rPr>
          <w:rFonts w:hint="eastAsia" w:ascii="黑体" w:hAnsi="宋体" w:eastAsia="黑体" w:cs="Times New Roman"/>
          <w:sz w:val="32"/>
          <w:szCs w:val="32"/>
          <w:highlight w:val="none"/>
          <w:lang w:val="zh-CN"/>
        </w:rPr>
        <w:t>一、</w:t>
      </w:r>
      <w:r>
        <w:rPr>
          <w:rFonts w:hint="default" w:ascii="黑体" w:hAnsi="宋体" w:eastAsia="黑体" w:cs="Times New Roman"/>
          <w:sz w:val="32"/>
          <w:szCs w:val="32"/>
          <w:highlight w:val="none"/>
          <w:lang w:val="zh-CN"/>
        </w:rPr>
        <w:t>部门（单位）基本情况</w:t>
      </w:r>
    </w:p>
    <w:p w14:paraId="3935AADA">
      <w:pPr>
        <w:ind w:firstLine="643" w:firstLineChars="200"/>
        <w:rPr>
          <w:rFonts w:hint="default" w:ascii="Times New Roman" w:hAnsi="Times New Roman" w:cs="Times New Roman"/>
          <w:szCs w:val="32"/>
        </w:rPr>
      </w:pPr>
      <w:r>
        <w:rPr>
          <w:rFonts w:hint="eastAsia" w:ascii="楷体_GB2312" w:hAnsi="宋体" w:eastAsia="楷体_GB2312" w:cs="Times New Roman"/>
          <w:b/>
          <w:color w:val="auto"/>
          <w:sz w:val="32"/>
          <w:szCs w:val="32"/>
          <w:highlight w:val="none"/>
          <w:u w:val="none"/>
          <w:lang w:val="zh-CN"/>
        </w:rPr>
        <w:t>（一）</w:t>
      </w:r>
      <w:r>
        <w:rPr>
          <w:rFonts w:hint="default" w:ascii="楷体_GB2312" w:hAnsi="宋体" w:eastAsia="楷体_GB2312" w:cs="Times New Roman"/>
          <w:b/>
          <w:color w:val="auto"/>
          <w:sz w:val="32"/>
          <w:szCs w:val="32"/>
          <w:highlight w:val="none"/>
          <w:u w:val="none"/>
          <w:lang w:val="zh-CN"/>
        </w:rPr>
        <w:t>机构组成。</w:t>
      </w:r>
      <w:r>
        <w:rPr>
          <w:rFonts w:hint="eastAsia" w:ascii="Times New Roman" w:hAnsi="Times New Roman" w:eastAsia="仿宋_GB2312" w:cs="Times New Roman"/>
          <w:color w:val="000000"/>
          <w:sz w:val="32"/>
          <w:szCs w:val="32"/>
          <w:lang w:val="en-US" w:eastAsia="en-US" w:bidi="en-US"/>
        </w:rPr>
        <w:t>大竹县</w:t>
      </w:r>
      <w:r>
        <w:rPr>
          <w:rFonts w:hint="eastAsia" w:ascii="Times New Roman" w:hAnsi="Times New Roman" w:eastAsia="仿宋_GB2312" w:cs="Times New Roman"/>
          <w:color w:val="000000"/>
          <w:sz w:val="32"/>
          <w:szCs w:val="32"/>
          <w:lang w:val="en-US" w:eastAsia="zh-CN" w:bidi="en-US"/>
        </w:rPr>
        <w:t>光荣院</w:t>
      </w:r>
      <w:r>
        <w:rPr>
          <w:rFonts w:hint="eastAsia" w:ascii="Times New Roman" w:hAnsi="Times New Roman" w:eastAsia="仿宋_GB2312" w:cs="Times New Roman"/>
          <w:color w:val="000000"/>
          <w:sz w:val="32"/>
          <w:szCs w:val="32"/>
          <w:lang w:val="en-US" w:eastAsia="en-US" w:bidi="en-US"/>
        </w:rPr>
        <w:t>属财政全额拨款</w:t>
      </w:r>
      <w:r>
        <w:rPr>
          <w:rFonts w:hint="eastAsia" w:ascii="Times New Roman" w:hAnsi="Times New Roman" w:eastAsia="仿宋_GB2312" w:cs="Times New Roman"/>
          <w:color w:val="000000"/>
          <w:sz w:val="32"/>
          <w:szCs w:val="32"/>
          <w:lang w:val="en-US" w:eastAsia="zh-CN" w:bidi="en-US"/>
        </w:rPr>
        <w:t>事业</w:t>
      </w:r>
      <w:r>
        <w:rPr>
          <w:rFonts w:hint="eastAsia" w:ascii="Times New Roman" w:hAnsi="Times New Roman" w:eastAsia="仿宋_GB2312" w:cs="Times New Roman"/>
          <w:color w:val="000000"/>
          <w:sz w:val="32"/>
          <w:szCs w:val="32"/>
          <w:lang w:val="en-US" w:eastAsia="en-US" w:bidi="en-US"/>
        </w:rPr>
        <w:t>单位，</w:t>
      </w:r>
      <w:r>
        <w:rPr>
          <w:rFonts w:hint="eastAsia" w:ascii="Times New Roman" w:hAnsi="Times New Roman" w:eastAsia="仿宋_GB2312" w:cs="Times New Roman"/>
          <w:color w:val="000000"/>
          <w:sz w:val="32"/>
          <w:szCs w:val="32"/>
          <w:lang w:val="en-US" w:eastAsia="zh-CN" w:bidi="en-US"/>
        </w:rPr>
        <w:t>是退役军人事务局下属单位</w:t>
      </w:r>
    </w:p>
    <w:p w14:paraId="3B8309E0">
      <w:pPr>
        <w:ind w:firstLine="643" w:firstLineChars="200"/>
        <w:rPr>
          <w:rFonts w:hint="eastAsia" w:ascii="Times New Roman" w:hAnsi="Times New Roman" w:eastAsia="仿宋_GB2312" w:cs="Times New Roman"/>
          <w:color w:val="000000"/>
          <w:sz w:val="32"/>
          <w:szCs w:val="32"/>
          <w:lang w:val="en-US" w:eastAsia="en-US" w:bidi="en-US"/>
        </w:rPr>
      </w:pPr>
      <w:r>
        <w:rPr>
          <w:rFonts w:hint="default"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zh-CN"/>
        </w:rPr>
        <w:t>机构职能</w:t>
      </w:r>
      <w:r>
        <w:rPr>
          <w:rFonts w:hint="eastAsia" w:ascii="楷体_GB2312" w:hAnsi="宋体" w:eastAsia="楷体_GB2312" w:cs="Times New Roman"/>
          <w:b/>
          <w:color w:val="auto"/>
          <w:sz w:val="32"/>
          <w:szCs w:val="32"/>
          <w:highlight w:val="none"/>
          <w:u w:val="none"/>
          <w:lang w:val="zh-CN"/>
        </w:rPr>
        <w:t>。</w:t>
      </w:r>
      <w:r>
        <w:rPr>
          <w:rFonts w:hint="eastAsia" w:ascii="Times New Roman" w:hAnsi="Times New Roman" w:eastAsia="仿宋_GB2312" w:cs="Times New Roman"/>
          <w:color w:val="000000"/>
          <w:sz w:val="32"/>
          <w:szCs w:val="32"/>
          <w:lang w:val="en-US" w:eastAsia="en-US" w:bidi="en-US"/>
        </w:rPr>
        <w:t>大竹县</w:t>
      </w:r>
      <w:r>
        <w:rPr>
          <w:rFonts w:hint="eastAsia" w:ascii="Times New Roman" w:hAnsi="Times New Roman" w:eastAsia="仿宋_GB2312" w:cs="Times New Roman"/>
          <w:color w:val="000000"/>
          <w:sz w:val="32"/>
          <w:szCs w:val="32"/>
          <w:lang w:val="en-US" w:eastAsia="zh-CN" w:bidi="en-US"/>
        </w:rPr>
        <w:t>光荣院</w:t>
      </w:r>
      <w:r>
        <w:rPr>
          <w:rFonts w:hint="eastAsia" w:ascii="Times New Roman" w:hAnsi="Times New Roman" w:eastAsia="仿宋_GB2312" w:cs="Times New Roman"/>
          <w:color w:val="000000"/>
          <w:sz w:val="32"/>
          <w:szCs w:val="32"/>
          <w:lang w:val="en-US" w:eastAsia="en-US" w:bidi="en-US"/>
        </w:rPr>
        <w:t>是贯彻执行国家财税政策，承担各项财政收支管理责任，负责</w:t>
      </w:r>
      <w:r>
        <w:rPr>
          <w:rFonts w:hint="eastAsia" w:ascii="Times New Roman" w:hAnsi="Times New Roman" w:eastAsia="仿宋_GB2312" w:cs="Times New Roman"/>
          <w:color w:val="000000"/>
          <w:sz w:val="32"/>
          <w:szCs w:val="32"/>
          <w:lang w:val="en-US" w:eastAsia="zh-CN" w:bidi="en-US"/>
        </w:rPr>
        <w:t>落实</w:t>
      </w:r>
      <w:r>
        <w:rPr>
          <w:rFonts w:hint="eastAsia" w:ascii="Times New Roman" w:hAnsi="Times New Roman" w:eastAsia="仿宋_GB2312" w:cs="Times New Roman"/>
          <w:color w:val="000000"/>
          <w:sz w:val="32"/>
          <w:szCs w:val="32"/>
          <w:lang w:val="en-US" w:eastAsia="en-US" w:bidi="en-US"/>
        </w:rPr>
        <w:t>国家优抚方面政策，承担对全县三无优抚对象管理和服务的责任。为孤老烈属、孤老退伍红军老战士、孤老西路军红军老战士、孤老残疾、复员、退伍军人及未满十六周岁的烈士遗孤和患有残病生活不能自理，家中无人照顾的烈士子女服务。</w:t>
      </w:r>
    </w:p>
    <w:p w14:paraId="48D0256C">
      <w:pPr>
        <w:widowControl/>
        <w:adjustRightInd w:val="0"/>
        <w:snapToGrid w:val="0"/>
        <w:spacing w:line="580" w:lineRule="exact"/>
        <w:ind w:firstLine="643" w:firstLineChars="200"/>
        <w:contextualSpacing/>
        <w:jc w:val="left"/>
        <w:rPr>
          <w:rFonts w:hint="default" w:ascii="Times New Roman" w:hAnsi="Times New Roman" w:eastAsia="仿宋_GB2312" w:cs="Times New Roman"/>
          <w:color w:val="000000"/>
          <w:sz w:val="32"/>
          <w:szCs w:val="32"/>
          <w:lang w:val="en-US" w:eastAsia="en-US" w:bidi="en-US"/>
        </w:rPr>
      </w:pPr>
      <w:r>
        <w:rPr>
          <w:rFonts w:hint="default" w:ascii="楷体_GB2312" w:hAnsi="宋体" w:eastAsia="楷体_GB2312" w:cs="Times New Roman"/>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三</w:t>
      </w:r>
      <w:r>
        <w:rPr>
          <w:rFonts w:hint="default" w:ascii="楷体_GB2312" w:hAnsi="宋体" w:eastAsia="楷体_GB2312" w:cs="Times New Roman"/>
          <w:b/>
          <w:color w:val="auto"/>
          <w:sz w:val="32"/>
          <w:szCs w:val="32"/>
          <w:highlight w:val="none"/>
          <w:u w:val="none"/>
          <w:lang w:val="zh-CN"/>
        </w:rPr>
        <w:t>）人员概况</w:t>
      </w:r>
      <w:r>
        <w:rPr>
          <w:rFonts w:hint="eastAsia" w:ascii="楷体_GB2312" w:hAnsi="宋体" w:eastAsia="楷体_GB2312" w:cs="Times New Roman"/>
          <w:b/>
          <w:color w:val="auto"/>
          <w:sz w:val="32"/>
          <w:szCs w:val="32"/>
          <w:highlight w:val="none"/>
          <w:u w:val="none"/>
          <w:lang w:val="zh-CN"/>
        </w:rPr>
        <w:t>。</w:t>
      </w:r>
      <w:r>
        <w:rPr>
          <w:rFonts w:hint="eastAsia" w:ascii="Times New Roman" w:hAnsi="Times New Roman" w:eastAsia="仿宋_GB2312" w:cs="Times New Roman"/>
          <w:color w:val="000000"/>
          <w:sz w:val="32"/>
          <w:szCs w:val="32"/>
          <w:lang w:val="en-US" w:eastAsia="zh-CN" w:bidi="en-US"/>
        </w:rPr>
        <w:t>我单位均为事业编制人员，编制数5人，在编在职人员4人，退休人员2人。</w:t>
      </w:r>
    </w:p>
    <w:p w14:paraId="42B2531D">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黑体" w:hAnsi="宋体" w:eastAsia="黑体" w:cs="Times New Roman"/>
          <w:sz w:val="32"/>
          <w:szCs w:val="32"/>
          <w:highlight w:val="none"/>
          <w:lang w:val="zh-CN"/>
        </w:rPr>
      </w:pPr>
      <w:r>
        <w:rPr>
          <w:rFonts w:hint="default" w:ascii="黑体" w:hAnsi="宋体" w:eastAsia="黑体" w:cs="Times New Roman"/>
          <w:sz w:val="32"/>
          <w:szCs w:val="32"/>
          <w:highlight w:val="none"/>
          <w:lang w:val="zh-CN"/>
        </w:rPr>
        <w:t>二、</w:t>
      </w:r>
      <w:r>
        <w:rPr>
          <w:rFonts w:hint="default" w:ascii="黑体" w:hAnsi="宋体" w:eastAsia="黑体" w:cs="Times New Roman"/>
          <w:sz w:val="32"/>
          <w:szCs w:val="32"/>
          <w:highlight w:val="none"/>
          <w:lang w:val="zh-CN" w:eastAsia="zh-CN"/>
        </w:rPr>
        <w:t>部门</w:t>
      </w:r>
      <w:r>
        <w:rPr>
          <w:rFonts w:hint="default" w:ascii="黑体" w:hAnsi="宋体" w:eastAsia="黑体" w:cs="Times New Roman"/>
          <w:sz w:val="32"/>
          <w:szCs w:val="32"/>
          <w:highlight w:val="none"/>
          <w:lang w:val="zh-CN"/>
        </w:rPr>
        <w:t>资金收支情况</w:t>
      </w:r>
    </w:p>
    <w:p w14:paraId="634B818A">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000000"/>
          <w:sz w:val="32"/>
          <w:szCs w:val="32"/>
          <w:lang w:val="en-US" w:eastAsia="zh-CN" w:bidi="en-US"/>
        </w:rPr>
      </w:pPr>
      <w:r>
        <w:rPr>
          <w:rFonts w:hint="default"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zh-CN"/>
        </w:rPr>
        <w:t>收入情况</w:t>
      </w:r>
      <w:r>
        <w:rPr>
          <w:rFonts w:hint="default" w:ascii="楷体_GB2312" w:hAnsi="宋体" w:eastAsia="楷体_GB2312" w:cs="Times New Roman"/>
          <w:b/>
          <w:color w:val="auto"/>
          <w:sz w:val="32"/>
          <w:szCs w:val="32"/>
          <w:highlight w:val="none"/>
          <w:u w:val="none"/>
          <w:lang w:val="zh-CN"/>
        </w:rPr>
        <w:t>。</w:t>
      </w:r>
      <w:r>
        <w:rPr>
          <w:rFonts w:hint="eastAsia" w:ascii="Times New Roman" w:hAnsi="Times New Roman" w:eastAsia="仿宋_GB2312" w:cs="Times New Roman"/>
          <w:color w:val="000000"/>
          <w:sz w:val="32"/>
          <w:szCs w:val="32"/>
          <w:lang w:val="en-US" w:eastAsia="zh-CN" w:bidi="en-US"/>
        </w:rPr>
        <w:t>大竹县光荣院2023年年初预算收入123.04万元；决算报表本年收入107.21万元。</w:t>
      </w:r>
    </w:p>
    <w:p w14:paraId="09A0399D">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000000"/>
          <w:sz w:val="32"/>
          <w:szCs w:val="32"/>
          <w:lang w:val="zh-CN" w:eastAsia="zh-CN" w:bidi="en-US"/>
        </w:rPr>
      </w:pPr>
      <w:r>
        <w:rPr>
          <w:rFonts w:hint="default" w:ascii="楷体_GB2312" w:hAnsi="宋体" w:eastAsia="楷体_GB2312" w:cs="Times New Roman"/>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支出情况</w:t>
      </w:r>
      <w:r>
        <w:rPr>
          <w:rFonts w:hint="default" w:ascii="楷体_GB2312" w:hAnsi="宋体" w:eastAsia="楷体_GB2312" w:cs="Times New Roman"/>
          <w:b/>
          <w:color w:val="auto"/>
          <w:sz w:val="32"/>
          <w:szCs w:val="32"/>
          <w:highlight w:val="none"/>
          <w:u w:val="none"/>
          <w:lang w:val="zh-CN"/>
        </w:rPr>
        <w:t>。</w:t>
      </w:r>
      <w:r>
        <w:rPr>
          <w:rFonts w:hint="eastAsia" w:ascii="Times New Roman" w:hAnsi="Times New Roman" w:eastAsia="仿宋_GB2312" w:cs="Times New Roman"/>
          <w:color w:val="000000"/>
          <w:sz w:val="32"/>
          <w:szCs w:val="32"/>
          <w:lang w:val="en-US" w:eastAsia="zh-CN" w:bidi="en-US"/>
        </w:rPr>
        <w:t>大竹县光荣院2023年年初预算支出123.04万元，其中按功能分类：社会保障和就业支出116.75万元、卫生健康支出1.94万元、住房保障支出4.36万元；决算报表支出107.21万元，其中：社会保障和就业支出105.3万元、卫生健康支出1.9万元。2023年年初预算按支出性质和经济分类：基本支出60.8万元，其中：人员经费51.61万元，公用经费9.19万元，项目支出62.24万元；决算报表基本支出56.36万元，其中：人员经费51.94万元，公用经费4.42万元，项目支出50.85万元。</w:t>
      </w:r>
    </w:p>
    <w:p w14:paraId="3448A22D">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000000"/>
          <w:sz w:val="32"/>
          <w:szCs w:val="32"/>
          <w:lang w:val="zh-CN" w:eastAsia="zh-CN" w:bidi="en-US"/>
        </w:rPr>
      </w:pPr>
      <w:r>
        <w:rPr>
          <w:rFonts w:hint="default" w:ascii="楷体_GB2312" w:hAnsi="宋体" w:eastAsia="楷体_GB2312" w:cs="Times New Roman"/>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三</w:t>
      </w:r>
      <w:r>
        <w:rPr>
          <w:rFonts w:hint="default" w:ascii="楷体_GB2312" w:hAnsi="宋体" w:eastAsia="楷体_GB2312" w:cs="Times New Roman"/>
          <w:b/>
          <w:color w:val="auto"/>
          <w:sz w:val="32"/>
          <w:szCs w:val="32"/>
          <w:highlight w:val="none"/>
          <w:u w:val="none"/>
          <w:lang w:val="zh-CN"/>
        </w:rPr>
        <w:t>）结余分配和结转结余情况</w:t>
      </w:r>
      <w:r>
        <w:rPr>
          <w:rFonts w:hint="eastAsia" w:ascii="楷体_GB2312" w:hAnsi="宋体" w:eastAsia="楷体_GB2312" w:cs="Times New Roman"/>
          <w:b/>
          <w:color w:val="auto"/>
          <w:sz w:val="32"/>
          <w:szCs w:val="32"/>
          <w:highlight w:val="none"/>
          <w:u w:val="none"/>
          <w:lang w:val="zh-CN" w:eastAsia="zh-CN"/>
        </w:rPr>
        <w:t>。</w:t>
      </w:r>
      <w:r>
        <w:rPr>
          <w:rFonts w:hint="eastAsia" w:ascii="Times New Roman" w:hAnsi="Times New Roman" w:eastAsia="仿宋_GB2312" w:cs="Times New Roman"/>
          <w:color w:val="000000"/>
          <w:sz w:val="32"/>
          <w:szCs w:val="32"/>
          <w:lang w:val="en-US" w:eastAsia="zh-CN" w:bidi="en-US"/>
        </w:rPr>
        <w:t>大竹县光荣院2023年决算报表无</w:t>
      </w:r>
      <w:r>
        <w:rPr>
          <w:rFonts w:hint="default" w:ascii="Times New Roman" w:hAnsi="Times New Roman" w:eastAsia="仿宋_GB2312" w:cs="Times New Roman"/>
          <w:color w:val="000000"/>
          <w:sz w:val="32"/>
          <w:szCs w:val="32"/>
          <w:lang w:val="en-US" w:eastAsia="zh-CN" w:bidi="en-US"/>
        </w:rPr>
        <w:t>结转结余</w:t>
      </w:r>
      <w:r>
        <w:rPr>
          <w:rFonts w:hint="eastAsia" w:ascii="Times New Roman" w:hAnsi="Times New Roman" w:eastAsia="仿宋_GB2312" w:cs="Times New Roman"/>
          <w:color w:val="000000"/>
          <w:sz w:val="32"/>
          <w:szCs w:val="32"/>
          <w:lang w:val="en-US" w:eastAsia="zh-CN" w:bidi="en-US"/>
        </w:rPr>
        <w:t>资金</w:t>
      </w:r>
      <w:r>
        <w:rPr>
          <w:rFonts w:hint="default" w:ascii="Times New Roman" w:hAnsi="Times New Roman" w:eastAsia="仿宋_GB2312" w:cs="Times New Roman"/>
          <w:color w:val="000000"/>
          <w:sz w:val="32"/>
          <w:szCs w:val="32"/>
          <w:lang w:val="en-US" w:eastAsia="zh-CN" w:bidi="en-US"/>
        </w:rPr>
        <w:t>。</w:t>
      </w:r>
    </w:p>
    <w:p w14:paraId="74D88B47">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黑体" w:hAnsi="宋体" w:eastAsia="黑体" w:cs="Times New Roman"/>
          <w:sz w:val="32"/>
          <w:szCs w:val="32"/>
          <w:highlight w:val="none"/>
          <w:lang w:val="zh-CN"/>
        </w:rPr>
      </w:pPr>
      <w:r>
        <w:rPr>
          <w:rFonts w:hint="default" w:ascii="黑体" w:hAnsi="宋体" w:eastAsia="黑体" w:cs="Times New Roman"/>
          <w:sz w:val="32"/>
          <w:szCs w:val="32"/>
          <w:highlight w:val="none"/>
          <w:lang w:val="zh-CN"/>
        </w:rPr>
        <w:t>三、部门</w:t>
      </w:r>
      <w:r>
        <w:rPr>
          <w:rFonts w:hint="default" w:ascii="黑体" w:hAnsi="宋体" w:eastAsia="黑体" w:cs="Times New Roman"/>
          <w:sz w:val="32"/>
          <w:szCs w:val="32"/>
          <w:highlight w:val="none"/>
          <w:lang w:val="zh-CN" w:eastAsia="zh-CN"/>
        </w:rPr>
        <w:t>预算</w:t>
      </w:r>
      <w:r>
        <w:rPr>
          <w:rFonts w:hint="default" w:ascii="黑体" w:hAnsi="宋体" w:eastAsia="黑体" w:cs="Times New Roman"/>
          <w:sz w:val="32"/>
          <w:szCs w:val="32"/>
          <w:highlight w:val="none"/>
          <w:lang w:val="zh-CN"/>
        </w:rPr>
        <w:t>绩效</w:t>
      </w:r>
      <w:r>
        <w:rPr>
          <w:rFonts w:hint="default" w:ascii="黑体" w:hAnsi="宋体" w:eastAsia="黑体" w:cs="Times New Roman"/>
          <w:sz w:val="32"/>
          <w:szCs w:val="32"/>
          <w:highlight w:val="none"/>
          <w:lang w:val="zh-CN" w:eastAsia="zh-CN"/>
        </w:rPr>
        <w:t>分析</w:t>
      </w:r>
    </w:p>
    <w:p w14:paraId="750B0A8A">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000000"/>
          <w:sz w:val="32"/>
          <w:szCs w:val="32"/>
          <w:lang w:val="zh-CN" w:eastAsia="zh-CN" w:bidi="en-US"/>
        </w:rPr>
      </w:pPr>
      <w:r>
        <w:rPr>
          <w:rFonts w:hint="default"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zh-CN"/>
        </w:rPr>
        <w:t>部门预算</w:t>
      </w:r>
      <w:r>
        <w:rPr>
          <w:rFonts w:hint="default" w:ascii="楷体_GB2312" w:hAnsi="宋体" w:eastAsia="楷体_GB2312" w:cs="Times New Roman"/>
          <w:b/>
          <w:color w:val="auto"/>
          <w:sz w:val="32"/>
          <w:szCs w:val="32"/>
          <w:highlight w:val="none"/>
          <w:u w:val="none"/>
          <w:lang w:val="zh-CN"/>
        </w:rPr>
        <w:t>总体绩效分析。</w:t>
      </w:r>
      <w:r>
        <w:rPr>
          <w:rFonts w:hint="default" w:ascii="Times New Roman" w:hAnsi="Times New Roman" w:eastAsia="仿宋_GB2312" w:cs="Times New Roman"/>
          <w:color w:val="000000"/>
          <w:sz w:val="32"/>
          <w:szCs w:val="32"/>
          <w:lang w:val="zh-CN" w:eastAsia="zh-CN" w:bidi="en-US"/>
        </w:rPr>
        <w:t>根据部门预算绩效评价指标体系“总体绩效”涉及</w:t>
      </w:r>
      <w:r>
        <w:rPr>
          <w:rFonts w:hint="eastAsia" w:ascii="Times New Roman" w:hAnsi="Times New Roman" w:eastAsia="仿宋_GB2312" w:cs="Times New Roman"/>
          <w:color w:val="000000"/>
          <w:sz w:val="32"/>
          <w:szCs w:val="32"/>
          <w:lang w:val="zh-CN" w:eastAsia="zh-CN" w:bidi="en-US"/>
        </w:rPr>
        <w:t>二、三级</w:t>
      </w:r>
      <w:r>
        <w:rPr>
          <w:rFonts w:hint="default" w:ascii="Times New Roman" w:hAnsi="Times New Roman" w:eastAsia="仿宋_GB2312" w:cs="Times New Roman"/>
          <w:color w:val="000000"/>
          <w:sz w:val="32"/>
          <w:szCs w:val="32"/>
          <w:lang w:val="zh-CN" w:eastAsia="zh-CN" w:bidi="en-US"/>
        </w:rPr>
        <w:t>指标进行</w:t>
      </w:r>
      <w:r>
        <w:rPr>
          <w:rFonts w:hint="eastAsia" w:ascii="Times New Roman" w:hAnsi="Times New Roman" w:eastAsia="仿宋_GB2312" w:cs="Times New Roman"/>
          <w:color w:val="000000"/>
          <w:sz w:val="32"/>
          <w:szCs w:val="32"/>
          <w:lang w:val="zh-CN" w:eastAsia="zh-CN" w:bidi="en-US"/>
        </w:rPr>
        <w:t>逐项</w:t>
      </w:r>
      <w:r>
        <w:rPr>
          <w:rFonts w:hint="default" w:ascii="Times New Roman" w:hAnsi="Times New Roman" w:eastAsia="仿宋_GB2312" w:cs="Times New Roman"/>
          <w:color w:val="000000"/>
          <w:sz w:val="32"/>
          <w:szCs w:val="32"/>
          <w:lang w:val="zh-CN" w:eastAsia="zh-CN" w:bidi="en-US"/>
        </w:rPr>
        <w:t>绩效分析</w:t>
      </w:r>
      <w:r>
        <w:rPr>
          <w:rFonts w:hint="eastAsia" w:ascii="Times New Roman" w:hAnsi="Times New Roman" w:eastAsia="仿宋_GB2312" w:cs="Times New Roman"/>
          <w:color w:val="000000"/>
          <w:sz w:val="32"/>
          <w:szCs w:val="32"/>
          <w:lang w:val="zh-CN" w:eastAsia="zh-CN" w:bidi="en-US"/>
        </w:rPr>
        <w:t>并评分</w:t>
      </w:r>
      <w:r>
        <w:rPr>
          <w:rFonts w:hint="default" w:ascii="Times New Roman" w:hAnsi="Times New Roman" w:eastAsia="仿宋_GB2312" w:cs="Times New Roman"/>
          <w:color w:val="000000"/>
          <w:sz w:val="32"/>
          <w:szCs w:val="32"/>
          <w:lang w:val="zh-CN" w:eastAsia="zh-CN" w:bidi="en-US"/>
        </w:rPr>
        <w:t>，依次包括履职效能、预算管理、财务管理、资产管理、采购管理等情况。</w:t>
      </w:r>
    </w:p>
    <w:p w14:paraId="592521D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1.</w:t>
      </w:r>
      <w:r>
        <w:rPr>
          <w:rFonts w:hint="eastAsia" w:ascii="Times New Roman" w:hAnsi="Times New Roman" w:eastAsia="仿宋_GB2312" w:cs="Times New Roman"/>
          <w:color w:val="000000"/>
          <w:sz w:val="32"/>
          <w:szCs w:val="32"/>
          <w:lang w:val="zh-CN" w:eastAsia="zh-CN" w:bidi="en-US"/>
        </w:rPr>
        <w:t>履职效能。</w:t>
      </w:r>
      <w:r>
        <w:rPr>
          <w:rFonts w:hint="eastAsia" w:ascii="Times New Roman" w:hAnsi="Times New Roman" w:eastAsia="仿宋_GB2312" w:cs="Times New Roman"/>
          <w:color w:val="000000"/>
          <w:sz w:val="32"/>
          <w:szCs w:val="32"/>
          <w:lang w:val="en-US" w:eastAsia="zh-CN" w:bidi="en-US"/>
        </w:rPr>
        <w:t>大竹县光荣院</w:t>
      </w:r>
      <w:r>
        <w:rPr>
          <w:rFonts w:hint="eastAsia" w:ascii="Times New Roman" w:hAnsi="Times New Roman" w:eastAsia="仿宋_GB2312" w:cs="Times New Roman"/>
          <w:color w:val="000000"/>
          <w:sz w:val="32"/>
          <w:szCs w:val="32"/>
          <w:lang w:val="zh-CN" w:eastAsia="zh-CN" w:bidi="en-US"/>
        </w:rPr>
        <w:t>通过加强</w:t>
      </w:r>
      <w:r>
        <w:rPr>
          <w:rFonts w:hint="eastAsia" w:ascii="Times New Roman" w:hAnsi="Times New Roman" w:eastAsia="仿宋_GB2312" w:cs="Times New Roman"/>
          <w:color w:val="000000"/>
          <w:sz w:val="32"/>
          <w:szCs w:val="32"/>
          <w:lang w:val="en-US" w:eastAsia="zh-CN" w:bidi="en-US"/>
        </w:rPr>
        <w:t>光荣院</w:t>
      </w:r>
      <w:r>
        <w:rPr>
          <w:rFonts w:hint="eastAsia" w:ascii="Times New Roman" w:hAnsi="Times New Roman" w:eastAsia="仿宋_GB2312" w:cs="Times New Roman"/>
          <w:color w:val="000000"/>
          <w:sz w:val="32"/>
          <w:szCs w:val="32"/>
          <w:lang w:val="zh-CN" w:eastAsia="zh-CN" w:bidi="en-US"/>
        </w:rPr>
        <w:t>日常管理，</w:t>
      </w:r>
      <w:r>
        <w:rPr>
          <w:rFonts w:hint="eastAsia" w:ascii="Times New Roman" w:hAnsi="Times New Roman" w:eastAsia="仿宋_GB2312" w:cs="Times New Roman"/>
          <w:color w:val="000000"/>
          <w:sz w:val="32"/>
          <w:szCs w:val="32"/>
          <w:lang w:val="en-US" w:eastAsia="zh-CN" w:bidi="en-US"/>
        </w:rPr>
        <w:t>保证让每一位休养老兵生活得到保障，我院休养老兵12人，全年实际完成值12人，每月让休养老兵衣食住行等到良好的保障，全年支出8.34万元，休养老兵满意度达100%，对群体保持了良好的稳定作用；光荣院运行经费全年支出41.31万元，全面做好平时休养老人的生活起居，进一步做好对县内重点优抚对象的短期疗养工作，以及为他们组织丰富的娱乐活动等，让休养老人身心健康。保障和改善民生，提高资金使用绩效，得到广大人民群众一至好评。绩效自评得15分。</w:t>
      </w:r>
    </w:p>
    <w:p w14:paraId="5A9DBA98">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sz w:val="32"/>
          <w:szCs w:val="32"/>
          <w:lang w:val="zh-CN" w:eastAsia="zh-CN" w:bidi="en-US"/>
        </w:rPr>
      </w:pPr>
      <w:r>
        <w:rPr>
          <w:rFonts w:hint="eastAsia" w:ascii="Times New Roman" w:hAnsi="Times New Roman" w:eastAsia="仿宋_GB2312" w:cs="Times New Roman"/>
          <w:color w:val="000000"/>
          <w:sz w:val="32"/>
          <w:szCs w:val="32"/>
          <w:lang w:val="en-US" w:eastAsia="zh-CN" w:bidi="en-US"/>
        </w:rPr>
        <w:t>2.</w:t>
      </w:r>
      <w:r>
        <w:rPr>
          <w:rFonts w:hint="default" w:ascii="Times New Roman" w:hAnsi="Times New Roman" w:eastAsia="仿宋_GB2312" w:cs="Times New Roman"/>
          <w:color w:val="000000"/>
          <w:sz w:val="32"/>
          <w:szCs w:val="32"/>
          <w:lang w:val="zh-CN" w:eastAsia="zh-CN" w:bidi="en-US"/>
        </w:rPr>
        <w:t>预算管理</w:t>
      </w:r>
      <w:r>
        <w:rPr>
          <w:rFonts w:hint="eastAsia" w:ascii="Times New Roman" w:hAnsi="Times New Roman" w:eastAsia="仿宋_GB2312" w:cs="Times New Roman"/>
          <w:color w:val="000000"/>
          <w:sz w:val="32"/>
          <w:szCs w:val="32"/>
          <w:lang w:val="zh-CN" w:eastAsia="zh-CN" w:bidi="en-US"/>
        </w:rPr>
        <w:t>。</w:t>
      </w:r>
      <w:r>
        <w:rPr>
          <w:rFonts w:hint="eastAsia" w:ascii="Times New Roman" w:hAnsi="Times New Roman" w:eastAsia="仿宋_GB2312" w:cs="Times New Roman"/>
          <w:color w:val="000000"/>
          <w:sz w:val="32"/>
          <w:szCs w:val="32"/>
          <w:lang w:val="en-US" w:eastAsia="zh-CN" w:bidi="en-US"/>
        </w:rPr>
        <w:t>我单位无收入。年初严格做好预算工作，将有限的财力用在急需的领域和项目上，切实发挥“保运转、保民生、促发展”的工作要求，坚持“先有预算、后有支出”的理念，认真编制全口径预算，严格按批准的预算执行。严控一般性支出，确保重点支出，牢固树立“过紧日子”思想。绩效自评得25分。</w:t>
      </w:r>
    </w:p>
    <w:p w14:paraId="6C7E464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3.</w:t>
      </w:r>
      <w:r>
        <w:rPr>
          <w:rFonts w:hint="default" w:ascii="Times New Roman" w:hAnsi="Times New Roman" w:eastAsia="仿宋_GB2312" w:cs="Times New Roman"/>
          <w:color w:val="000000"/>
          <w:sz w:val="32"/>
          <w:szCs w:val="32"/>
          <w:lang w:val="zh-CN" w:eastAsia="zh-CN" w:bidi="en-US"/>
        </w:rPr>
        <w:t>财务管理</w:t>
      </w:r>
      <w:r>
        <w:rPr>
          <w:rFonts w:hint="eastAsia" w:ascii="Times New Roman" w:hAnsi="Times New Roman" w:eastAsia="仿宋_GB2312" w:cs="Times New Roman"/>
          <w:color w:val="000000"/>
          <w:sz w:val="32"/>
          <w:szCs w:val="32"/>
          <w:lang w:val="zh-CN" w:eastAsia="zh-CN" w:bidi="en-US"/>
        </w:rPr>
        <w:t>。</w:t>
      </w:r>
      <w:r>
        <w:rPr>
          <w:rFonts w:hint="eastAsia" w:ascii="Times New Roman" w:hAnsi="Times New Roman" w:eastAsia="仿宋_GB2312" w:cs="Times New Roman"/>
          <w:color w:val="000000"/>
          <w:sz w:val="32"/>
          <w:szCs w:val="32"/>
          <w:lang w:val="en-US" w:eastAsia="zh-CN" w:bidi="en-US"/>
        </w:rPr>
        <w:t>我单位</w:t>
      </w:r>
      <w:r>
        <w:rPr>
          <w:rFonts w:hint="eastAsia" w:ascii="Times New Roman" w:hAnsi="Times New Roman" w:eastAsia="仿宋_GB2312" w:cs="Times New Roman"/>
          <w:color w:val="000000"/>
          <w:sz w:val="32"/>
          <w:szCs w:val="32"/>
          <w:lang w:val="zh-CN" w:eastAsia="zh-CN" w:bidi="en-US"/>
        </w:rPr>
        <w:t>建立健全财务管理制度，完善内部控制制度，对财务活动进行管理和监督；组织会计核算，完整、准确、及时编制决算；定期编制财务报告，反映财务收支和预算执行等情况，进行财务活动分析；</w:t>
      </w:r>
      <w:r>
        <w:rPr>
          <w:rFonts w:hint="eastAsia" w:ascii="Times New Roman" w:hAnsi="Times New Roman" w:eastAsia="仿宋_GB2312" w:cs="Times New Roman"/>
          <w:color w:val="000000"/>
          <w:sz w:val="32"/>
          <w:szCs w:val="32"/>
          <w:lang w:val="en-US" w:eastAsia="zh-CN" w:bidi="en-US"/>
        </w:rPr>
        <w:t>以及</w:t>
      </w:r>
      <w:r>
        <w:rPr>
          <w:rFonts w:hint="eastAsia" w:ascii="Times New Roman" w:hAnsi="Times New Roman" w:eastAsia="仿宋_GB2312" w:cs="Times New Roman"/>
          <w:color w:val="000000"/>
          <w:sz w:val="32"/>
          <w:szCs w:val="32"/>
          <w:lang w:val="zh-CN" w:eastAsia="zh-CN" w:bidi="en-US"/>
        </w:rPr>
        <w:t>指导、监督、检查下属单位财务管理工作。</w:t>
      </w:r>
      <w:r>
        <w:rPr>
          <w:rFonts w:hint="eastAsia" w:ascii="Times New Roman" w:hAnsi="Times New Roman" w:eastAsia="仿宋_GB2312" w:cs="Times New Roman"/>
          <w:color w:val="000000"/>
          <w:sz w:val="32"/>
          <w:szCs w:val="32"/>
          <w:lang w:val="en-US" w:eastAsia="zh-CN" w:bidi="en-US"/>
        </w:rPr>
        <w:t>绩效自评得10分。</w:t>
      </w:r>
    </w:p>
    <w:p w14:paraId="7B396DA5">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4.</w:t>
      </w:r>
      <w:r>
        <w:rPr>
          <w:rFonts w:hint="default" w:ascii="Times New Roman" w:hAnsi="Times New Roman" w:eastAsia="仿宋_GB2312" w:cs="Times New Roman"/>
          <w:color w:val="000000"/>
          <w:sz w:val="32"/>
          <w:szCs w:val="32"/>
          <w:lang w:val="zh-CN" w:eastAsia="zh-CN" w:bidi="en-US"/>
        </w:rPr>
        <w:t>资产管理</w:t>
      </w:r>
      <w:r>
        <w:rPr>
          <w:rFonts w:hint="eastAsia" w:ascii="Times New Roman" w:hAnsi="Times New Roman" w:eastAsia="仿宋_GB2312" w:cs="Times New Roman"/>
          <w:color w:val="000000"/>
          <w:sz w:val="32"/>
          <w:szCs w:val="32"/>
          <w:lang w:val="zh-CN" w:eastAsia="zh-CN" w:bidi="en-US"/>
        </w:rPr>
        <w:t>。</w:t>
      </w:r>
      <w:r>
        <w:rPr>
          <w:rFonts w:hint="eastAsia" w:ascii="Times New Roman" w:hAnsi="Times New Roman" w:eastAsia="仿宋_GB2312" w:cs="Times New Roman"/>
          <w:color w:val="000000"/>
          <w:sz w:val="32"/>
          <w:szCs w:val="32"/>
          <w:lang w:val="en-US" w:eastAsia="zh-CN" w:bidi="en-US"/>
        </w:rPr>
        <w:t>我单位</w:t>
      </w:r>
      <w:r>
        <w:rPr>
          <w:rFonts w:hint="default" w:ascii="Times New Roman" w:hAnsi="Times New Roman" w:eastAsia="仿宋_GB2312" w:cs="Times New Roman"/>
          <w:color w:val="000000"/>
          <w:sz w:val="32"/>
          <w:szCs w:val="32"/>
          <w:lang w:val="zh-CN" w:eastAsia="zh-CN" w:bidi="en-US"/>
        </w:rPr>
        <w:t>加强资产管理，</w:t>
      </w:r>
      <w:r>
        <w:rPr>
          <w:rFonts w:hint="eastAsia" w:ascii="Times New Roman" w:hAnsi="Times New Roman" w:eastAsia="仿宋_GB2312" w:cs="Times New Roman"/>
          <w:color w:val="000000"/>
          <w:sz w:val="32"/>
          <w:szCs w:val="32"/>
          <w:lang w:val="zh-CN" w:eastAsia="zh-CN" w:bidi="en-US"/>
        </w:rPr>
        <w:t>实行资产管理与预算管理、资产管理与财务管理、实物管理与价值管理、保障服务与提高效益相结合，</w:t>
      </w:r>
      <w:r>
        <w:rPr>
          <w:rFonts w:hint="default" w:ascii="Times New Roman" w:hAnsi="Times New Roman" w:eastAsia="仿宋_GB2312" w:cs="Times New Roman"/>
          <w:color w:val="000000"/>
          <w:sz w:val="32"/>
          <w:szCs w:val="32"/>
          <w:lang w:val="zh-CN" w:eastAsia="zh-CN" w:bidi="en-US"/>
        </w:rPr>
        <w:t>合理配置、有效利用、规范处置资产，防止国有资产流失</w:t>
      </w:r>
      <w:r>
        <w:rPr>
          <w:rFonts w:hint="eastAsia" w:ascii="Times New Roman" w:hAnsi="Times New Roman" w:eastAsia="仿宋_GB2312" w:cs="Times New Roman"/>
          <w:color w:val="000000"/>
          <w:sz w:val="32"/>
          <w:szCs w:val="32"/>
          <w:lang w:val="zh-CN" w:eastAsia="zh-CN" w:bidi="en-US"/>
        </w:rPr>
        <w:t>。</w:t>
      </w:r>
      <w:r>
        <w:rPr>
          <w:rFonts w:hint="eastAsia" w:ascii="Times New Roman" w:hAnsi="Times New Roman" w:eastAsia="仿宋_GB2312" w:cs="Times New Roman"/>
          <w:color w:val="000000"/>
          <w:sz w:val="32"/>
          <w:szCs w:val="32"/>
          <w:lang w:val="en-US" w:eastAsia="zh-CN" w:bidi="en-US"/>
        </w:rPr>
        <w:t>绩效自评得9分。</w:t>
      </w:r>
    </w:p>
    <w:p w14:paraId="73275814">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5.</w:t>
      </w:r>
      <w:r>
        <w:rPr>
          <w:rFonts w:hint="default" w:ascii="Times New Roman" w:hAnsi="Times New Roman" w:eastAsia="仿宋_GB2312" w:cs="Times New Roman"/>
          <w:color w:val="000000"/>
          <w:sz w:val="32"/>
          <w:szCs w:val="32"/>
          <w:lang w:val="zh-CN" w:eastAsia="zh-CN" w:bidi="en-US"/>
        </w:rPr>
        <w:t>采购管理</w:t>
      </w:r>
      <w:r>
        <w:rPr>
          <w:rFonts w:hint="eastAsia" w:ascii="Times New Roman" w:hAnsi="Times New Roman" w:eastAsia="仿宋_GB2312" w:cs="Times New Roman"/>
          <w:color w:val="000000"/>
          <w:sz w:val="32"/>
          <w:szCs w:val="32"/>
          <w:lang w:val="zh-CN" w:eastAsia="zh-CN" w:bidi="en-US"/>
        </w:rPr>
        <w:t>。</w:t>
      </w:r>
      <w:r>
        <w:rPr>
          <w:rFonts w:hint="eastAsia" w:ascii="Times New Roman" w:hAnsi="Times New Roman" w:eastAsia="仿宋_GB2312" w:cs="Times New Roman"/>
          <w:color w:val="000000"/>
          <w:sz w:val="32"/>
          <w:szCs w:val="32"/>
          <w:lang w:val="en-US" w:eastAsia="zh-CN" w:bidi="en-US"/>
        </w:rPr>
        <w:t>我单位建立了</w:t>
      </w:r>
      <w:r>
        <w:rPr>
          <w:rFonts w:hint="default" w:ascii="Times New Roman" w:hAnsi="Times New Roman" w:eastAsia="仿宋_GB2312" w:cs="Times New Roman"/>
          <w:color w:val="000000"/>
          <w:sz w:val="32"/>
          <w:szCs w:val="32"/>
          <w:lang w:val="zh-CN" w:eastAsia="zh-CN" w:bidi="en-US"/>
        </w:rPr>
        <w:t>明确的采购政策和流程</w:t>
      </w:r>
      <w:r>
        <w:rPr>
          <w:rFonts w:hint="eastAsia" w:ascii="Times New Roman" w:hAnsi="Times New Roman" w:eastAsia="仿宋_GB2312" w:cs="Times New Roman"/>
          <w:color w:val="000000"/>
          <w:sz w:val="32"/>
          <w:szCs w:val="32"/>
          <w:lang w:val="zh-CN" w:eastAsia="zh-CN" w:bidi="en-US"/>
        </w:rPr>
        <w:t>，</w:t>
      </w:r>
      <w:r>
        <w:rPr>
          <w:rFonts w:hint="default" w:ascii="Times New Roman" w:hAnsi="Times New Roman" w:eastAsia="仿宋_GB2312" w:cs="Times New Roman"/>
          <w:color w:val="000000"/>
          <w:sz w:val="32"/>
          <w:szCs w:val="32"/>
          <w:lang w:val="zh-CN" w:eastAsia="zh-CN" w:bidi="en-US"/>
        </w:rPr>
        <w:t>将违规的风险降到最低，</w:t>
      </w:r>
      <w:r>
        <w:rPr>
          <w:rFonts w:hint="eastAsia" w:ascii="Times New Roman" w:hAnsi="Times New Roman" w:eastAsia="仿宋_GB2312" w:cs="Times New Roman"/>
          <w:color w:val="000000"/>
          <w:sz w:val="32"/>
          <w:szCs w:val="32"/>
          <w:lang w:val="en-US" w:eastAsia="zh-CN" w:bidi="en-US"/>
        </w:rPr>
        <w:t>也</w:t>
      </w:r>
      <w:r>
        <w:rPr>
          <w:rFonts w:hint="default" w:ascii="Times New Roman" w:hAnsi="Times New Roman" w:eastAsia="仿宋_GB2312" w:cs="Times New Roman"/>
          <w:color w:val="000000"/>
          <w:sz w:val="32"/>
          <w:szCs w:val="32"/>
          <w:lang w:val="zh-CN" w:eastAsia="zh-CN" w:bidi="en-US"/>
        </w:rPr>
        <w:t>有助于确保利益相关者对采购过程有清晰的了解</w:t>
      </w:r>
      <w:r>
        <w:rPr>
          <w:rFonts w:hint="eastAsia" w:ascii="Times New Roman" w:hAnsi="Times New Roman" w:eastAsia="仿宋_GB2312" w:cs="Times New Roman"/>
          <w:color w:val="000000"/>
          <w:sz w:val="32"/>
          <w:szCs w:val="32"/>
          <w:lang w:val="zh-CN" w:eastAsia="zh-CN" w:bidi="en-US"/>
        </w:rPr>
        <w:t>。</w:t>
      </w:r>
      <w:r>
        <w:rPr>
          <w:rFonts w:hint="eastAsia" w:ascii="Times New Roman" w:hAnsi="Times New Roman" w:eastAsia="仿宋_GB2312" w:cs="Times New Roman"/>
          <w:color w:val="000000"/>
          <w:sz w:val="32"/>
          <w:szCs w:val="32"/>
          <w:lang w:val="en-US" w:eastAsia="zh-CN" w:bidi="en-US"/>
        </w:rPr>
        <w:t>加大对</w:t>
      </w:r>
      <w:r>
        <w:rPr>
          <w:rFonts w:hint="default" w:ascii="Times New Roman" w:hAnsi="Times New Roman" w:eastAsia="仿宋_GB2312" w:cs="Times New Roman"/>
          <w:color w:val="000000"/>
          <w:sz w:val="32"/>
          <w:szCs w:val="32"/>
          <w:lang w:val="zh-CN" w:eastAsia="zh-CN" w:bidi="en-US"/>
        </w:rPr>
        <w:t>进行市场研究</w:t>
      </w:r>
      <w:r>
        <w:rPr>
          <w:rFonts w:hint="eastAsia" w:ascii="Times New Roman" w:hAnsi="Times New Roman" w:eastAsia="仿宋_GB2312" w:cs="Times New Roman"/>
          <w:color w:val="000000"/>
          <w:sz w:val="32"/>
          <w:szCs w:val="32"/>
          <w:lang w:val="zh-CN" w:eastAsia="zh-CN" w:bidi="en-US"/>
        </w:rPr>
        <w:t>，</w:t>
      </w:r>
      <w:r>
        <w:rPr>
          <w:rFonts w:hint="default" w:ascii="Times New Roman" w:hAnsi="Times New Roman" w:eastAsia="仿宋_GB2312" w:cs="Times New Roman"/>
          <w:color w:val="000000"/>
          <w:sz w:val="32"/>
          <w:szCs w:val="32"/>
          <w:lang w:val="zh-CN" w:eastAsia="zh-CN" w:bidi="en-US"/>
        </w:rPr>
        <w:t>建立明确的绩效指标对于确保供应商提供符合组织要求的货物和服务。</w:t>
      </w:r>
      <w:r>
        <w:rPr>
          <w:rFonts w:hint="eastAsia" w:ascii="Times New Roman" w:hAnsi="Times New Roman" w:eastAsia="仿宋_GB2312" w:cs="Times New Roman"/>
          <w:color w:val="000000"/>
          <w:sz w:val="32"/>
          <w:szCs w:val="32"/>
          <w:lang w:val="en-US" w:eastAsia="zh-CN" w:bidi="en-US"/>
        </w:rPr>
        <w:t>绩效自评得6分。</w:t>
      </w:r>
    </w:p>
    <w:p w14:paraId="08618712">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000000"/>
          <w:sz w:val="32"/>
          <w:szCs w:val="32"/>
          <w:lang w:val="zh-CN" w:eastAsia="zh-CN" w:bidi="en-US"/>
        </w:rPr>
      </w:pPr>
      <w:r>
        <w:rPr>
          <w:rFonts w:hint="default" w:ascii="楷体_GB2312" w:hAnsi="宋体" w:eastAsia="楷体_GB2312" w:cs="Times New Roman"/>
          <w:b/>
          <w:color w:val="auto"/>
          <w:sz w:val="32"/>
          <w:szCs w:val="32"/>
          <w:highlight w:val="none"/>
          <w:u w:val="none"/>
          <w:lang w:val="zh-CN"/>
        </w:rPr>
        <w:t>（二）部门预算项目绩效分析。</w:t>
      </w:r>
      <w:r>
        <w:rPr>
          <w:rFonts w:hint="eastAsia" w:ascii="Times New Roman" w:hAnsi="Times New Roman" w:eastAsia="仿宋_GB2312" w:cs="Times New Roman"/>
          <w:color w:val="000000"/>
          <w:sz w:val="32"/>
          <w:szCs w:val="32"/>
          <w:lang w:val="en-US" w:eastAsia="zh-CN" w:bidi="en-US"/>
        </w:rPr>
        <w:t>我单位</w:t>
      </w:r>
      <w:r>
        <w:rPr>
          <w:rFonts w:hint="eastAsia" w:ascii="Times New Roman" w:hAnsi="Times New Roman" w:eastAsia="仿宋_GB2312" w:cs="Times New Roman"/>
          <w:color w:val="000000"/>
          <w:sz w:val="32"/>
          <w:szCs w:val="32"/>
          <w:lang w:val="en-US" w:eastAsia="en-US" w:bidi="en-US"/>
        </w:rPr>
        <w:t>负责</w:t>
      </w:r>
      <w:r>
        <w:rPr>
          <w:rFonts w:hint="eastAsia" w:ascii="Times New Roman" w:hAnsi="Times New Roman" w:eastAsia="仿宋_GB2312" w:cs="Times New Roman"/>
          <w:color w:val="000000"/>
          <w:sz w:val="32"/>
          <w:szCs w:val="32"/>
          <w:lang w:val="en-US" w:eastAsia="zh-CN" w:bidi="en-US"/>
        </w:rPr>
        <w:t>落实</w:t>
      </w:r>
      <w:r>
        <w:rPr>
          <w:rFonts w:hint="eastAsia" w:ascii="Times New Roman" w:hAnsi="Times New Roman" w:eastAsia="仿宋_GB2312" w:cs="Times New Roman"/>
          <w:color w:val="000000"/>
          <w:sz w:val="32"/>
          <w:szCs w:val="32"/>
          <w:lang w:val="en-US" w:eastAsia="en-US" w:bidi="en-US"/>
        </w:rPr>
        <w:t>国家优抚方面政策，承担对全县三无优抚对象管理和服务的责任。</w:t>
      </w:r>
      <w:r>
        <w:rPr>
          <w:rFonts w:hint="eastAsia" w:ascii="Times New Roman" w:hAnsi="Times New Roman" w:eastAsia="仿宋_GB2312" w:cs="Times New Roman"/>
          <w:color w:val="000000"/>
          <w:sz w:val="32"/>
          <w:szCs w:val="32"/>
          <w:lang w:val="zh-CN" w:eastAsia="zh-CN" w:bidi="en-US"/>
        </w:rPr>
        <w:t>为孤老烈属、孤老退伍红军老战士、孤老西路军红军老战士、孤老残疾、复员、退伍军人及未满十六周岁的烈士遗孤和患有残病生活不能自理，家中无人照顾的烈士子女服务。</w:t>
      </w:r>
      <w:r>
        <w:rPr>
          <w:rFonts w:hint="eastAsia" w:ascii="Times New Roman" w:hAnsi="Times New Roman" w:eastAsia="仿宋_GB2312" w:cs="Times New Roman"/>
          <w:color w:val="000000"/>
          <w:sz w:val="32"/>
          <w:szCs w:val="32"/>
          <w:lang w:val="en-US" w:eastAsia="zh-CN" w:bidi="en-US"/>
        </w:rPr>
        <w:t>按职能职责共承担</w:t>
      </w:r>
      <w:r>
        <w:rPr>
          <w:rFonts w:hint="default" w:ascii="Times New Roman" w:hAnsi="Times New Roman" w:eastAsia="仿宋_GB2312" w:cs="Times New Roman"/>
          <w:color w:val="000000"/>
          <w:sz w:val="32"/>
          <w:szCs w:val="32"/>
          <w:lang w:val="zh-CN" w:eastAsia="zh-CN" w:bidi="en-US"/>
        </w:rPr>
        <w:t>项目总数</w:t>
      </w:r>
      <w:r>
        <w:rPr>
          <w:rFonts w:hint="eastAsia" w:ascii="Times New Roman" w:hAnsi="Times New Roman" w:eastAsia="仿宋_GB2312" w:cs="Times New Roman"/>
          <w:color w:val="000000"/>
          <w:sz w:val="32"/>
          <w:szCs w:val="32"/>
          <w:lang w:val="en-US" w:eastAsia="zh-CN" w:bidi="en-US"/>
        </w:rPr>
        <w:t>3</w:t>
      </w:r>
      <w:r>
        <w:rPr>
          <w:rFonts w:hint="default" w:ascii="Times New Roman" w:hAnsi="Times New Roman" w:eastAsia="仿宋_GB2312" w:cs="Times New Roman"/>
          <w:color w:val="000000"/>
          <w:sz w:val="32"/>
          <w:szCs w:val="32"/>
          <w:lang w:val="zh-CN" w:eastAsia="zh-CN" w:bidi="en-US"/>
        </w:rPr>
        <w:t>个，涉及预算总金额</w:t>
      </w:r>
      <w:r>
        <w:rPr>
          <w:rFonts w:hint="eastAsia" w:ascii="Times New Roman" w:hAnsi="Times New Roman" w:eastAsia="仿宋_GB2312" w:cs="Times New Roman"/>
          <w:color w:val="000000"/>
          <w:sz w:val="32"/>
          <w:szCs w:val="32"/>
          <w:lang w:val="en-US" w:eastAsia="zh-CN" w:bidi="en-US"/>
        </w:rPr>
        <w:t>50.85</w:t>
      </w:r>
      <w:r>
        <w:rPr>
          <w:rFonts w:hint="default" w:ascii="Times New Roman" w:hAnsi="Times New Roman" w:eastAsia="仿宋_GB2312" w:cs="Times New Roman"/>
          <w:color w:val="000000"/>
          <w:sz w:val="32"/>
          <w:szCs w:val="32"/>
          <w:lang w:val="zh-CN" w:eastAsia="zh-CN" w:bidi="en-US"/>
        </w:rPr>
        <w:t>万元，1</w:t>
      </w:r>
      <w:r>
        <w:rPr>
          <w:rFonts w:hint="eastAsia" w:ascii="Times New Roman" w:hAnsi="Times New Roman" w:eastAsia="仿宋_GB2312" w:cs="Times New Roman"/>
          <w:color w:val="000000"/>
          <w:sz w:val="32"/>
          <w:szCs w:val="32"/>
          <w:lang w:val="zh-CN" w:eastAsia="zh-CN" w:bidi="en-US"/>
        </w:rPr>
        <w:t>—</w:t>
      </w:r>
      <w:r>
        <w:rPr>
          <w:rFonts w:hint="default" w:ascii="Times New Roman" w:hAnsi="Times New Roman" w:eastAsia="仿宋_GB2312" w:cs="Times New Roman"/>
          <w:color w:val="000000"/>
          <w:sz w:val="32"/>
          <w:szCs w:val="32"/>
          <w:lang w:val="zh-CN" w:eastAsia="zh-CN" w:bidi="en-US"/>
        </w:rPr>
        <w:t>1</w:t>
      </w:r>
      <w:r>
        <w:rPr>
          <w:rFonts w:hint="default" w:ascii="Times New Roman" w:hAnsi="Times New Roman" w:eastAsia="仿宋_GB2312" w:cs="Times New Roman"/>
          <w:color w:val="000000"/>
          <w:sz w:val="32"/>
          <w:szCs w:val="32"/>
          <w:lang w:val="en-US" w:eastAsia="zh-CN" w:bidi="en-US"/>
        </w:rPr>
        <w:t>2</w:t>
      </w:r>
      <w:r>
        <w:rPr>
          <w:rFonts w:hint="default" w:ascii="Times New Roman" w:hAnsi="Times New Roman" w:eastAsia="仿宋_GB2312" w:cs="Times New Roman"/>
          <w:color w:val="000000"/>
          <w:sz w:val="32"/>
          <w:szCs w:val="32"/>
          <w:lang w:val="zh-CN" w:eastAsia="zh-CN" w:bidi="en-US"/>
        </w:rPr>
        <w:t>月预算执行总体进度为</w:t>
      </w:r>
      <w:r>
        <w:rPr>
          <w:rFonts w:hint="eastAsia" w:ascii="Times New Roman" w:hAnsi="Times New Roman" w:eastAsia="仿宋_GB2312" w:cs="Times New Roman"/>
          <w:color w:val="000000"/>
          <w:sz w:val="32"/>
          <w:szCs w:val="32"/>
          <w:lang w:val="en-US" w:eastAsia="zh-CN" w:bidi="en-US"/>
        </w:rPr>
        <w:t>100</w:t>
      </w:r>
      <w:r>
        <w:rPr>
          <w:rFonts w:hint="default" w:ascii="Times New Roman" w:hAnsi="Times New Roman" w:eastAsia="仿宋_GB2312" w:cs="Times New Roman"/>
          <w:color w:val="000000"/>
          <w:sz w:val="32"/>
          <w:szCs w:val="32"/>
          <w:lang w:val="zh-CN" w:eastAsia="zh-CN" w:bidi="en-US"/>
        </w:rPr>
        <w:t>%。</w:t>
      </w:r>
    </w:p>
    <w:p w14:paraId="1DADFBA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1.</w:t>
      </w:r>
      <w:r>
        <w:rPr>
          <w:rFonts w:hint="eastAsia" w:ascii="Times New Roman" w:hAnsi="Times New Roman" w:eastAsia="仿宋_GB2312" w:cs="Times New Roman"/>
          <w:color w:val="000000"/>
          <w:sz w:val="32"/>
          <w:szCs w:val="32"/>
          <w:lang w:val="zh-CN" w:eastAsia="zh-CN" w:bidi="en-US"/>
        </w:rPr>
        <w:t>项目决策。</w:t>
      </w:r>
      <w:r>
        <w:rPr>
          <w:rFonts w:hint="eastAsia" w:ascii="Times New Roman" w:hAnsi="Times New Roman" w:eastAsia="仿宋_GB2312" w:cs="Times New Roman"/>
          <w:color w:val="000000"/>
          <w:sz w:val="32"/>
          <w:szCs w:val="32"/>
          <w:lang w:val="en-US" w:eastAsia="zh-CN" w:bidi="en-US"/>
        </w:rPr>
        <w:t>我单位以</w:t>
      </w:r>
      <w:r>
        <w:rPr>
          <w:rFonts w:hint="default" w:ascii="Times New Roman" w:hAnsi="Times New Roman" w:eastAsia="仿宋_GB2312" w:cs="Times New Roman"/>
          <w:color w:val="000000"/>
          <w:sz w:val="32"/>
          <w:szCs w:val="32"/>
          <w:lang w:val="zh-CN" w:eastAsia="zh-CN" w:bidi="en-US"/>
        </w:rPr>
        <w:t>保</w:t>
      </w:r>
      <w:r>
        <w:rPr>
          <w:rFonts w:hint="eastAsia" w:ascii="Times New Roman" w:hAnsi="Times New Roman" w:eastAsia="仿宋_GB2312" w:cs="Times New Roman"/>
          <w:color w:val="000000"/>
          <w:sz w:val="32"/>
          <w:szCs w:val="32"/>
          <w:lang w:val="zh-CN" w:eastAsia="zh-CN" w:bidi="en-US"/>
        </w:rPr>
        <w:t>障好</w:t>
      </w:r>
      <w:r>
        <w:rPr>
          <w:rFonts w:hint="eastAsia" w:ascii="Times New Roman" w:hAnsi="Times New Roman" w:eastAsia="仿宋_GB2312" w:cs="Times New Roman"/>
          <w:color w:val="000000"/>
          <w:sz w:val="32"/>
          <w:szCs w:val="32"/>
          <w:lang w:val="en-US" w:eastAsia="zh-CN" w:bidi="en-US"/>
        </w:rPr>
        <w:t>休养老兵生活</w:t>
      </w:r>
      <w:r>
        <w:rPr>
          <w:rFonts w:hint="eastAsia" w:ascii="Times New Roman" w:hAnsi="Times New Roman" w:eastAsia="仿宋_GB2312" w:cs="Times New Roman"/>
          <w:color w:val="000000"/>
          <w:sz w:val="32"/>
          <w:szCs w:val="32"/>
          <w:lang w:val="zh-CN" w:eastAsia="zh-CN" w:bidi="en-US"/>
        </w:rPr>
        <w:t>，加强</w:t>
      </w:r>
      <w:r>
        <w:rPr>
          <w:rFonts w:hint="eastAsia" w:ascii="Times New Roman" w:hAnsi="Times New Roman" w:eastAsia="仿宋_GB2312" w:cs="Times New Roman"/>
          <w:color w:val="000000"/>
          <w:sz w:val="32"/>
          <w:szCs w:val="32"/>
          <w:lang w:val="en-US" w:eastAsia="zh-CN" w:bidi="en-US"/>
        </w:rPr>
        <w:t>休养老兵</w:t>
      </w:r>
      <w:r>
        <w:rPr>
          <w:rFonts w:hint="eastAsia" w:ascii="Times New Roman" w:hAnsi="Times New Roman" w:eastAsia="仿宋_GB2312" w:cs="Times New Roman"/>
          <w:color w:val="000000"/>
          <w:sz w:val="32"/>
          <w:szCs w:val="32"/>
          <w:lang w:val="zh-CN" w:eastAsia="zh-CN" w:bidi="en-US"/>
        </w:rPr>
        <w:t>思想政治工作，建立健全集中统一、职责清晰的</w:t>
      </w:r>
      <w:r>
        <w:rPr>
          <w:rFonts w:hint="eastAsia" w:ascii="Times New Roman" w:hAnsi="Times New Roman" w:eastAsia="仿宋_GB2312" w:cs="Times New Roman"/>
          <w:color w:val="000000"/>
          <w:sz w:val="32"/>
          <w:szCs w:val="32"/>
          <w:lang w:val="en-US" w:eastAsia="zh-CN" w:bidi="en-US"/>
        </w:rPr>
        <w:t>休养老兵</w:t>
      </w:r>
      <w:r>
        <w:rPr>
          <w:rFonts w:hint="eastAsia" w:ascii="Times New Roman" w:hAnsi="Times New Roman" w:eastAsia="仿宋_GB2312" w:cs="Times New Roman"/>
          <w:color w:val="000000"/>
          <w:sz w:val="32"/>
          <w:szCs w:val="32"/>
          <w:lang w:val="zh-CN" w:eastAsia="zh-CN" w:bidi="en-US"/>
        </w:rPr>
        <w:t>服务管理保障体系</w:t>
      </w:r>
      <w:r>
        <w:rPr>
          <w:rFonts w:hint="eastAsia" w:ascii="Times New Roman" w:hAnsi="Times New Roman" w:eastAsia="仿宋_GB2312" w:cs="Times New Roman"/>
          <w:color w:val="000000"/>
          <w:sz w:val="32"/>
          <w:szCs w:val="32"/>
          <w:lang w:val="en-US" w:eastAsia="zh-CN" w:bidi="en-US"/>
        </w:rPr>
        <w:t>根据我县具体情况，及退役军人人数设定项目，做好项目入库，部门项目预算编制。绩效自评得12分。</w:t>
      </w:r>
    </w:p>
    <w:p w14:paraId="7AC4221E">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sz w:val="32"/>
          <w:szCs w:val="32"/>
          <w:lang w:val="zh-CN" w:eastAsia="zh-CN" w:bidi="en-US"/>
        </w:rPr>
      </w:pPr>
      <w:r>
        <w:rPr>
          <w:rFonts w:hint="eastAsia" w:ascii="Times New Roman" w:hAnsi="Times New Roman" w:eastAsia="仿宋_GB2312" w:cs="Times New Roman"/>
          <w:color w:val="000000"/>
          <w:sz w:val="32"/>
          <w:szCs w:val="32"/>
          <w:lang w:val="en-US" w:eastAsia="zh-CN" w:bidi="en-US"/>
        </w:rPr>
        <w:t>2.项目执行。我单位</w:t>
      </w:r>
      <w:r>
        <w:rPr>
          <w:rFonts w:hint="eastAsia" w:ascii="Times New Roman" w:hAnsi="Times New Roman" w:eastAsia="仿宋_GB2312" w:cs="Times New Roman"/>
          <w:color w:val="000000"/>
          <w:sz w:val="32"/>
          <w:szCs w:val="32"/>
          <w:lang w:val="zh-CN" w:eastAsia="zh-CN" w:bidi="en-US"/>
        </w:rPr>
        <w:t>严格按照</w:t>
      </w:r>
      <w:r>
        <w:rPr>
          <w:rFonts w:hint="eastAsia" w:ascii="Times New Roman" w:hAnsi="Times New Roman" w:eastAsia="仿宋_GB2312" w:cs="Times New Roman"/>
          <w:color w:val="000000"/>
          <w:sz w:val="32"/>
          <w:szCs w:val="32"/>
          <w:lang w:val="en-US" w:eastAsia="zh-CN" w:bidi="en-US"/>
        </w:rPr>
        <w:t>每个</w:t>
      </w:r>
      <w:r>
        <w:rPr>
          <w:rFonts w:hint="eastAsia" w:ascii="Times New Roman" w:hAnsi="Times New Roman" w:eastAsia="仿宋_GB2312" w:cs="Times New Roman"/>
          <w:color w:val="000000"/>
          <w:sz w:val="32"/>
          <w:szCs w:val="32"/>
          <w:lang w:val="zh-CN" w:eastAsia="zh-CN" w:bidi="en-US"/>
        </w:rPr>
        <w:t>项目的</w:t>
      </w:r>
      <w:r>
        <w:rPr>
          <w:rFonts w:hint="eastAsia" w:ascii="Times New Roman" w:hAnsi="Times New Roman" w:eastAsia="仿宋_GB2312" w:cs="Times New Roman"/>
          <w:color w:val="000000"/>
          <w:sz w:val="32"/>
          <w:szCs w:val="32"/>
          <w:lang w:val="en-US" w:eastAsia="zh-CN" w:bidi="en-US"/>
        </w:rPr>
        <w:t>目标和</w:t>
      </w:r>
      <w:r>
        <w:rPr>
          <w:rFonts w:hint="eastAsia" w:ascii="Times New Roman" w:hAnsi="Times New Roman" w:eastAsia="仿宋_GB2312" w:cs="Times New Roman"/>
          <w:color w:val="000000"/>
          <w:sz w:val="32"/>
          <w:szCs w:val="32"/>
          <w:lang w:val="zh-CN" w:eastAsia="zh-CN" w:bidi="en-US"/>
        </w:rPr>
        <w:t>标准规定执行，及时足额发放</w:t>
      </w:r>
      <w:r>
        <w:rPr>
          <w:rFonts w:hint="eastAsia" w:ascii="Times New Roman" w:hAnsi="Times New Roman" w:eastAsia="仿宋_GB2312" w:cs="Times New Roman"/>
          <w:color w:val="000000"/>
          <w:sz w:val="32"/>
          <w:szCs w:val="32"/>
          <w:lang w:val="en-US" w:eastAsia="zh-CN" w:bidi="en-US"/>
        </w:rPr>
        <w:t>各项</w:t>
      </w:r>
      <w:r>
        <w:rPr>
          <w:rFonts w:hint="eastAsia" w:ascii="Times New Roman" w:hAnsi="Times New Roman" w:eastAsia="仿宋_GB2312" w:cs="Times New Roman"/>
          <w:color w:val="000000"/>
          <w:sz w:val="32"/>
          <w:szCs w:val="32"/>
          <w:lang w:val="zh-CN" w:eastAsia="zh-CN" w:bidi="en-US"/>
        </w:rPr>
        <w:t>补助金，保障资金落实到实处。在资金管理方面严格按专项资金管理及使用要求，做到专款专用。</w:t>
      </w:r>
      <w:r>
        <w:rPr>
          <w:rFonts w:hint="eastAsia" w:ascii="Times New Roman" w:hAnsi="Times New Roman" w:eastAsia="仿宋_GB2312" w:cs="Times New Roman"/>
          <w:color w:val="000000"/>
          <w:sz w:val="32"/>
          <w:szCs w:val="32"/>
          <w:lang w:val="en-US" w:eastAsia="zh-CN" w:bidi="en-US"/>
        </w:rPr>
        <w:t>绩效自评得12分。</w:t>
      </w:r>
    </w:p>
    <w:p w14:paraId="04B48E1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000000"/>
          <w:sz w:val="32"/>
          <w:szCs w:val="32"/>
          <w:lang w:val="zh-CN" w:eastAsia="zh-CN" w:bidi="en-US"/>
        </w:rPr>
      </w:pPr>
      <w:r>
        <w:rPr>
          <w:rFonts w:hint="eastAsia" w:ascii="Times New Roman" w:hAnsi="Times New Roman" w:eastAsia="仿宋_GB2312" w:cs="Times New Roman"/>
          <w:color w:val="000000"/>
          <w:sz w:val="32"/>
          <w:szCs w:val="32"/>
          <w:lang w:val="en-US" w:eastAsia="zh-CN" w:bidi="en-US"/>
        </w:rPr>
        <w:t>3.</w:t>
      </w:r>
      <w:r>
        <w:rPr>
          <w:rFonts w:hint="eastAsia" w:ascii="Times New Roman" w:hAnsi="Times New Roman" w:eastAsia="仿宋_GB2312" w:cs="Times New Roman"/>
          <w:color w:val="000000"/>
          <w:sz w:val="32"/>
          <w:szCs w:val="32"/>
          <w:lang w:val="zh-CN" w:eastAsia="zh-CN" w:bidi="en-US"/>
        </w:rPr>
        <w:t>目标实现。</w:t>
      </w:r>
      <w:r>
        <w:rPr>
          <w:rFonts w:hint="eastAsia" w:ascii="Times New Roman" w:hAnsi="Times New Roman" w:eastAsia="仿宋_GB2312" w:cs="Times New Roman"/>
          <w:color w:val="000000"/>
          <w:sz w:val="32"/>
          <w:szCs w:val="32"/>
          <w:lang w:val="en-US" w:eastAsia="zh-CN" w:bidi="en-US"/>
        </w:rPr>
        <w:t>我单位工作人员认真负责、积极推进各项工作，预算项目绩效目标完成率100%，项目绩效目标数量指标实现程度与预期目标无偏离，绩效目标效益指标实施效果良好。服务对象满意度达100%以上，社会评价良好。绩效自评得11分。</w:t>
      </w:r>
    </w:p>
    <w:p w14:paraId="3860880E">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sz w:val="32"/>
          <w:szCs w:val="32"/>
          <w:lang w:val="en-US" w:eastAsia="zh-CN" w:bidi="en-US"/>
        </w:rPr>
      </w:pPr>
      <w:r>
        <w:rPr>
          <w:rFonts w:hint="default" w:ascii="楷体_GB2312" w:hAnsi="宋体" w:eastAsia="楷体_GB2312" w:cs="Times New Roman"/>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en-US" w:eastAsia="zh-CN"/>
        </w:rPr>
        <w:t>三</w:t>
      </w:r>
      <w:r>
        <w:rPr>
          <w:rFonts w:hint="default" w:ascii="楷体_GB2312" w:hAnsi="宋体" w:eastAsia="楷体_GB2312" w:cs="Times New Roman"/>
          <w:b/>
          <w:color w:val="auto"/>
          <w:sz w:val="32"/>
          <w:szCs w:val="32"/>
          <w:highlight w:val="none"/>
          <w:u w:val="none"/>
          <w:lang w:val="zh-CN"/>
        </w:rPr>
        <w:t>）绩效结果应用情况</w:t>
      </w:r>
      <w:r>
        <w:rPr>
          <w:rFonts w:hint="eastAsia" w:ascii="楷体_GB2312" w:hAnsi="宋体" w:eastAsia="楷体_GB2312" w:cs="Times New Roman"/>
          <w:b/>
          <w:color w:val="auto"/>
          <w:sz w:val="32"/>
          <w:szCs w:val="32"/>
          <w:highlight w:val="none"/>
          <w:u w:val="none"/>
          <w:lang w:val="zh-CN" w:eastAsia="zh-CN"/>
        </w:rPr>
        <w:t>。</w:t>
      </w:r>
      <w:r>
        <w:rPr>
          <w:rFonts w:hint="default" w:ascii="Times New Roman" w:hAnsi="Times New Roman" w:eastAsia="仿宋_GB2312" w:cs="Times New Roman"/>
          <w:color w:val="000000"/>
          <w:sz w:val="32"/>
          <w:szCs w:val="32"/>
          <w:lang w:val="zh-CN" w:eastAsia="zh-CN" w:bidi="en-US"/>
        </w:rPr>
        <w:t>加大政策落实力度</w:t>
      </w:r>
      <w:r>
        <w:rPr>
          <w:rFonts w:hint="eastAsia" w:ascii="Times New Roman" w:hAnsi="Times New Roman" w:eastAsia="仿宋_GB2312" w:cs="Times New Roman"/>
          <w:color w:val="000000"/>
          <w:sz w:val="32"/>
          <w:szCs w:val="32"/>
          <w:lang w:val="zh-CN" w:eastAsia="zh-CN" w:bidi="en-US"/>
        </w:rPr>
        <w:t>，</w:t>
      </w:r>
      <w:r>
        <w:rPr>
          <w:rFonts w:hint="default" w:ascii="Times New Roman" w:hAnsi="Times New Roman" w:eastAsia="仿宋_GB2312" w:cs="Times New Roman"/>
          <w:color w:val="000000"/>
          <w:sz w:val="32"/>
          <w:szCs w:val="32"/>
          <w:lang w:val="zh-CN" w:eastAsia="zh-CN" w:bidi="en-US"/>
        </w:rPr>
        <w:t>充分利用基层人力资源和社会保障平台、报纸、网络等各种渠道，加大</w:t>
      </w:r>
      <w:r>
        <w:rPr>
          <w:rFonts w:hint="eastAsia" w:ascii="Times New Roman" w:hAnsi="Times New Roman" w:eastAsia="仿宋_GB2312" w:cs="Times New Roman"/>
          <w:color w:val="000000"/>
          <w:sz w:val="32"/>
          <w:szCs w:val="32"/>
          <w:lang w:val="en-US" w:eastAsia="en-US" w:bidi="en-US"/>
        </w:rPr>
        <w:t>国家优抚方面政策</w:t>
      </w:r>
      <w:r>
        <w:rPr>
          <w:rFonts w:hint="eastAsia" w:ascii="Times New Roman" w:hAnsi="Times New Roman" w:eastAsia="仿宋_GB2312" w:cs="Times New Roman"/>
          <w:color w:val="000000"/>
          <w:sz w:val="32"/>
          <w:szCs w:val="32"/>
          <w:lang w:val="en-US" w:eastAsia="zh-CN" w:bidi="en-US"/>
        </w:rPr>
        <w:t>宣传</w:t>
      </w:r>
      <w:r>
        <w:rPr>
          <w:rFonts w:hint="default" w:ascii="Times New Roman" w:hAnsi="Times New Roman" w:eastAsia="仿宋_GB2312" w:cs="Times New Roman"/>
          <w:color w:val="000000"/>
          <w:sz w:val="32"/>
          <w:szCs w:val="32"/>
          <w:lang w:val="zh-CN" w:eastAsia="zh-CN" w:bidi="en-US"/>
        </w:rPr>
        <w:t>提高各项政策的认知度。</w:t>
      </w:r>
    </w:p>
    <w:p w14:paraId="7F4EE5BC">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黑体" w:hAnsi="宋体" w:eastAsia="黑体" w:cs="Times New Roman"/>
          <w:sz w:val="32"/>
          <w:szCs w:val="32"/>
          <w:highlight w:val="none"/>
          <w:lang w:val="zh-CN"/>
        </w:rPr>
      </w:pPr>
      <w:r>
        <w:rPr>
          <w:rFonts w:hint="default" w:ascii="黑体" w:hAnsi="宋体" w:eastAsia="黑体" w:cs="Times New Roman"/>
          <w:sz w:val="32"/>
          <w:szCs w:val="32"/>
          <w:highlight w:val="none"/>
          <w:lang w:val="zh-CN" w:eastAsia="zh-CN"/>
        </w:rPr>
        <w:t>四、</w:t>
      </w:r>
      <w:r>
        <w:rPr>
          <w:rFonts w:hint="default" w:ascii="黑体" w:hAnsi="宋体" w:eastAsia="黑体" w:cs="Times New Roman"/>
          <w:sz w:val="32"/>
          <w:szCs w:val="32"/>
          <w:highlight w:val="none"/>
          <w:lang w:val="zh-CN"/>
        </w:rPr>
        <w:t>评价结论及建议</w:t>
      </w:r>
    </w:p>
    <w:p w14:paraId="35537188">
      <w:pPr>
        <w:widowControl/>
        <w:adjustRightInd w:val="0"/>
        <w:snapToGrid w:val="0"/>
        <w:spacing w:line="578" w:lineRule="exact"/>
        <w:ind w:firstLine="720"/>
        <w:jc w:val="left"/>
        <w:outlineLvl w:val="0"/>
        <w:rPr>
          <w:rFonts w:hint="default" w:ascii="Times New Roman" w:hAnsi="Times New Roman" w:eastAsia="仿宋_GB2312" w:cs="Times New Roman"/>
          <w:color w:val="000000"/>
          <w:sz w:val="32"/>
          <w:szCs w:val="32"/>
          <w:lang w:val="en-US" w:eastAsia="zh-CN" w:bidi="en-US"/>
        </w:rPr>
      </w:pPr>
      <w:r>
        <w:rPr>
          <w:rFonts w:hint="default" w:ascii="楷体_GB2312" w:hAnsi="宋体" w:eastAsia="楷体_GB2312" w:cs="Times New Roman"/>
          <w:b/>
          <w:color w:val="auto"/>
          <w:sz w:val="32"/>
          <w:szCs w:val="32"/>
          <w:highlight w:val="none"/>
          <w:u w:val="none"/>
          <w:lang w:val="zh-CN"/>
        </w:rPr>
        <w:t>（一）评价结论。</w:t>
      </w:r>
      <w:r>
        <w:rPr>
          <w:rFonts w:hint="eastAsia" w:ascii="Times New Roman" w:hAnsi="Times New Roman" w:eastAsia="仿宋_GB2312" w:cs="Times New Roman"/>
          <w:color w:val="000000"/>
          <w:sz w:val="32"/>
          <w:szCs w:val="32"/>
          <w:lang w:val="zh-CN" w:eastAsia="zh-CN" w:bidi="en-US"/>
        </w:rPr>
        <w:t>我单位总体评价是：资金管理和使用合理，监管到位。</w:t>
      </w:r>
      <w:r>
        <w:rPr>
          <w:rFonts w:hint="eastAsia" w:ascii="Times New Roman" w:hAnsi="Times New Roman" w:eastAsia="仿宋_GB2312" w:cs="Times New Roman"/>
          <w:color w:val="000000"/>
          <w:sz w:val="32"/>
          <w:szCs w:val="32"/>
          <w:lang w:val="en-US" w:eastAsia="zh-CN" w:bidi="en-US"/>
        </w:rPr>
        <w:t>自评得分100分，</w:t>
      </w:r>
      <w:r>
        <w:rPr>
          <w:rFonts w:hint="default" w:ascii="Times New Roman" w:hAnsi="Times New Roman" w:eastAsia="仿宋_GB2312" w:cs="Times New Roman"/>
          <w:color w:val="000000"/>
          <w:sz w:val="32"/>
          <w:szCs w:val="32"/>
          <w:lang w:val="zh-CN" w:eastAsia="zh-CN" w:bidi="en-US"/>
        </w:rPr>
        <w:t>自评等级为优秀。</w:t>
      </w:r>
    </w:p>
    <w:p w14:paraId="4ECCC886">
      <w:pPr>
        <w:widowControl/>
        <w:adjustRightInd w:val="0"/>
        <w:snapToGrid w:val="0"/>
        <w:spacing w:line="578" w:lineRule="exact"/>
        <w:ind w:firstLine="720"/>
        <w:jc w:val="left"/>
        <w:outlineLvl w:val="0"/>
        <w:rPr>
          <w:rFonts w:hint="default" w:ascii="楷体_GB2312" w:hAnsi="宋体" w:eastAsia="楷体_GB2312" w:cs="Times New Roman"/>
          <w:b/>
          <w:color w:val="auto"/>
          <w:sz w:val="32"/>
          <w:szCs w:val="32"/>
          <w:highlight w:val="none"/>
          <w:u w:val="none"/>
          <w:lang w:val="zh-CN"/>
        </w:rPr>
      </w:pPr>
      <w:r>
        <w:rPr>
          <w:rFonts w:hint="default" w:ascii="楷体_GB2312" w:hAnsi="宋体" w:eastAsia="楷体_GB2312" w:cs="Times New Roman"/>
          <w:b/>
          <w:color w:val="auto"/>
          <w:sz w:val="32"/>
          <w:szCs w:val="32"/>
          <w:highlight w:val="none"/>
          <w:u w:val="none"/>
          <w:lang w:val="zh-CN"/>
        </w:rPr>
        <w:t>（二）存在问题。</w:t>
      </w:r>
    </w:p>
    <w:p w14:paraId="5A90F668">
      <w:pPr>
        <w:widowControl/>
        <w:adjustRightInd w:val="0"/>
        <w:snapToGrid w:val="0"/>
        <w:spacing w:line="578" w:lineRule="exact"/>
        <w:ind w:firstLine="720"/>
        <w:jc w:val="left"/>
        <w:outlineLvl w:val="0"/>
        <w:rPr>
          <w:rFonts w:hint="eastAsia" w:ascii="Times New Roman" w:hAnsi="Times New Roman" w:eastAsia="仿宋_GB2312" w:cs="Times New Roman"/>
          <w:color w:val="000000"/>
          <w:sz w:val="32"/>
          <w:szCs w:val="32"/>
          <w:lang w:val="zh-CN" w:eastAsia="zh-CN" w:bidi="en-US"/>
        </w:rPr>
      </w:pPr>
      <w:r>
        <w:rPr>
          <w:rFonts w:hint="eastAsia" w:ascii="Times New Roman" w:hAnsi="Times New Roman" w:eastAsia="仿宋_GB2312" w:cs="Times New Roman"/>
          <w:color w:val="000000"/>
          <w:sz w:val="32"/>
          <w:szCs w:val="32"/>
          <w:lang w:val="en-US" w:eastAsia="zh-CN" w:bidi="en-US"/>
        </w:rPr>
        <w:t>1.</w:t>
      </w:r>
      <w:r>
        <w:rPr>
          <w:rFonts w:hint="eastAsia" w:ascii="Times New Roman" w:hAnsi="Times New Roman" w:eastAsia="仿宋_GB2312" w:cs="Times New Roman"/>
          <w:color w:val="000000"/>
          <w:sz w:val="32"/>
          <w:szCs w:val="32"/>
          <w:lang w:val="zh-CN" w:eastAsia="zh-CN" w:bidi="en-US"/>
        </w:rPr>
        <w:t>资金使用效能化还有进一步提高的空间；</w:t>
      </w:r>
    </w:p>
    <w:p w14:paraId="073DE686">
      <w:pPr>
        <w:widowControl/>
        <w:adjustRightInd w:val="0"/>
        <w:snapToGrid w:val="0"/>
        <w:spacing w:line="578" w:lineRule="exact"/>
        <w:ind w:firstLine="720"/>
        <w:jc w:val="left"/>
        <w:outlineLvl w:val="0"/>
        <w:rPr>
          <w:rFonts w:hint="eastAsia" w:ascii="Times New Roman" w:hAnsi="Times New Roman" w:eastAsia="仿宋_GB2312" w:cs="Times New Roman"/>
          <w:color w:val="000000"/>
          <w:sz w:val="32"/>
          <w:szCs w:val="32"/>
          <w:lang w:val="zh-CN" w:eastAsia="zh-CN" w:bidi="en-US"/>
        </w:rPr>
      </w:pPr>
      <w:r>
        <w:rPr>
          <w:rFonts w:hint="eastAsia" w:ascii="Times New Roman" w:hAnsi="Times New Roman" w:eastAsia="仿宋_GB2312" w:cs="Times New Roman"/>
          <w:color w:val="000000"/>
          <w:sz w:val="32"/>
          <w:szCs w:val="32"/>
          <w:lang w:val="en-US" w:eastAsia="zh-CN" w:bidi="en-US"/>
        </w:rPr>
        <w:t>2.掌握休养老人身体情况</w:t>
      </w:r>
      <w:r>
        <w:rPr>
          <w:rFonts w:hint="eastAsia" w:ascii="Times New Roman" w:hAnsi="Times New Roman" w:eastAsia="仿宋_GB2312" w:cs="Times New Roman"/>
          <w:color w:val="000000"/>
          <w:sz w:val="32"/>
          <w:szCs w:val="32"/>
          <w:lang w:val="zh-CN" w:eastAsia="zh-CN" w:bidi="en-US"/>
        </w:rPr>
        <w:t>有待加强；</w:t>
      </w:r>
    </w:p>
    <w:p w14:paraId="5F64B073">
      <w:pPr>
        <w:widowControl/>
        <w:adjustRightInd w:val="0"/>
        <w:snapToGrid w:val="0"/>
        <w:spacing w:line="578" w:lineRule="exact"/>
        <w:ind w:firstLine="720"/>
        <w:jc w:val="left"/>
        <w:outlineLvl w:val="0"/>
        <w:rPr>
          <w:rFonts w:hint="eastAsia" w:cs="Times New Roman"/>
          <w:color w:val="000000"/>
          <w:kern w:val="0"/>
          <w:szCs w:val="32"/>
          <w:highlight w:val="none"/>
          <w:shd w:val="clear" w:color="auto" w:fill="FFFFFF"/>
          <w:lang w:val="zh-CN" w:eastAsia="zh-CN"/>
        </w:rPr>
      </w:pPr>
      <w:r>
        <w:rPr>
          <w:rFonts w:hint="eastAsia" w:ascii="Times New Roman" w:hAnsi="Times New Roman" w:eastAsia="仿宋_GB2312" w:cs="Times New Roman"/>
          <w:color w:val="000000"/>
          <w:sz w:val="32"/>
          <w:szCs w:val="32"/>
          <w:lang w:val="en-US" w:eastAsia="zh-CN" w:bidi="en-US"/>
        </w:rPr>
        <w:t>3.</w:t>
      </w:r>
      <w:r>
        <w:rPr>
          <w:rFonts w:hint="eastAsia" w:ascii="Times New Roman" w:hAnsi="Times New Roman" w:eastAsia="仿宋_GB2312" w:cs="Times New Roman"/>
          <w:color w:val="000000"/>
          <w:sz w:val="32"/>
          <w:szCs w:val="32"/>
          <w:lang w:val="zh-CN" w:eastAsia="zh-CN" w:bidi="en-US"/>
        </w:rPr>
        <w:t>单位内部管理制度有待加强。</w:t>
      </w:r>
    </w:p>
    <w:p w14:paraId="161A62D5">
      <w:pPr>
        <w:widowControl/>
        <w:adjustRightInd w:val="0"/>
        <w:snapToGrid w:val="0"/>
        <w:spacing w:line="578" w:lineRule="exact"/>
        <w:ind w:firstLine="720"/>
        <w:jc w:val="left"/>
        <w:outlineLvl w:val="0"/>
        <w:rPr>
          <w:rFonts w:hint="default"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zh-CN" w:eastAsia="zh-CN"/>
        </w:rPr>
        <w:t>（三）改进建议。</w:t>
      </w:r>
    </w:p>
    <w:p w14:paraId="2DE51240">
      <w:pPr>
        <w:widowControl/>
        <w:adjustRightInd w:val="0"/>
        <w:snapToGrid w:val="0"/>
        <w:spacing w:line="578" w:lineRule="exact"/>
        <w:ind w:firstLine="720"/>
        <w:jc w:val="left"/>
        <w:outlineLvl w:val="0"/>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１、加强财务管理，严格财务审核；</w:t>
      </w:r>
    </w:p>
    <w:p w14:paraId="13049AED">
      <w:pPr>
        <w:widowControl/>
        <w:adjustRightInd w:val="0"/>
        <w:snapToGrid w:val="0"/>
        <w:spacing w:line="578" w:lineRule="exact"/>
        <w:ind w:firstLine="720"/>
        <w:jc w:val="left"/>
        <w:outlineLvl w:val="0"/>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２.加大对休养老人的管理教育以及生活情况，营造良好氛围，让休养老人，老有所养，老有所医，老有所乐；</w:t>
      </w:r>
    </w:p>
    <w:p w14:paraId="4EEFDE44">
      <w:pPr>
        <w:widowControl/>
        <w:adjustRightInd w:val="0"/>
        <w:snapToGrid w:val="0"/>
        <w:spacing w:line="578" w:lineRule="exact"/>
        <w:ind w:firstLine="720"/>
        <w:jc w:val="left"/>
        <w:outlineLvl w:val="0"/>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３.加强对光荣院的管理，确保每一位休养老人生活得到保障；</w:t>
      </w:r>
    </w:p>
    <w:p w14:paraId="75513452">
      <w:pPr>
        <w:widowControl/>
        <w:adjustRightInd w:val="0"/>
        <w:snapToGrid w:val="0"/>
        <w:spacing w:line="578" w:lineRule="exact"/>
        <w:ind w:firstLine="720"/>
        <w:jc w:val="left"/>
        <w:outlineLvl w:val="0"/>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４.强化内部管理，建立健全制度；</w:t>
      </w:r>
    </w:p>
    <w:p w14:paraId="5FCEB775">
      <w:pPr>
        <w:widowControl/>
        <w:adjustRightInd w:val="0"/>
        <w:snapToGrid w:val="0"/>
        <w:spacing w:line="578" w:lineRule="exact"/>
        <w:ind w:firstLine="720"/>
        <w:jc w:val="left"/>
        <w:outlineLvl w:val="0"/>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５.营造浓厚的学习氛围，提高干部职工的整体素质。</w:t>
      </w:r>
    </w:p>
    <w:p w14:paraId="236A64BA">
      <w:pPr>
        <w:widowControl/>
        <w:spacing w:line="580" w:lineRule="exact"/>
        <w:contextualSpacing/>
        <w:jc w:val="center"/>
        <w:rPr>
          <w:rFonts w:hint="eastAsia" w:ascii="宋体" w:hAnsi="宋体" w:eastAsia="宋体"/>
          <w:b/>
          <w:sz w:val="44"/>
          <w:szCs w:val="44"/>
          <w:shd w:val="clear" w:color="auto" w:fill="FFFFFF"/>
          <w:lang w:val="en-US" w:eastAsia="zh-CN"/>
        </w:rPr>
      </w:pPr>
    </w:p>
    <w:p w14:paraId="69523A49">
      <w:pPr>
        <w:pStyle w:val="34"/>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sz w:val="44"/>
          <w:szCs w:val="44"/>
          <w:lang w:val="en-US" w:eastAsia="zh-CN"/>
        </w:rPr>
      </w:pPr>
      <w:bookmarkStart w:id="59" w:name="_Toc15396618"/>
      <w:r>
        <w:rPr>
          <w:rFonts w:hint="eastAsia" w:ascii="方正小标宋简体" w:hAnsi="宋体" w:eastAsia="方正小标宋简体"/>
          <w:sz w:val="44"/>
          <w:szCs w:val="44"/>
          <w:lang w:val="en-US" w:eastAsia="zh-CN"/>
        </w:rPr>
        <w:t>大竹县光荣院</w:t>
      </w:r>
    </w:p>
    <w:p w14:paraId="1C00B9A7">
      <w:pPr>
        <w:pStyle w:val="34"/>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2023年</w:t>
      </w:r>
      <w:r>
        <w:rPr>
          <w:rFonts w:hint="eastAsia" w:ascii="方正小标宋简体" w:hAnsi="宋体" w:eastAsia="方正小标宋简体"/>
          <w:sz w:val="44"/>
          <w:szCs w:val="44"/>
          <w:lang w:eastAsia="zh-CN"/>
        </w:rPr>
        <w:t>项目支出</w:t>
      </w:r>
      <w:r>
        <w:rPr>
          <w:rFonts w:hint="eastAsia" w:ascii="方正小标宋简体" w:hAnsi="宋体" w:eastAsia="方正小标宋简体"/>
          <w:sz w:val="44"/>
          <w:szCs w:val="44"/>
        </w:rPr>
        <w:t>绩效自评报告</w:t>
      </w:r>
    </w:p>
    <w:p w14:paraId="66B7612E">
      <w:pPr>
        <w:spacing w:line="600" w:lineRule="exact"/>
        <w:jc w:val="center"/>
        <w:rPr>
          <w:rFonts w:hint="eastAsia" w:ascii="仿宋" w:hAnsi="仿宋" w:eastAsia="仿宋" w:cs="仿宋"/>
          <w:lang w:val="en-US" w:eastAsia="zh-CN"/>
        </w:rPr>
      </w:pPr>
      <w:r>
        <w:rPr>
          <w:rFonts w:hint="eastAsia" w:ascii="仿宋" w:hAnsi="仿宋" w:eastAsia="仿宋" w:cs="仿宋"/>
          <w:lang w:val="en-US" w:eastAsia="zh-CN"/>
        </w:rPr>
        <w:t>（休养老人生活费）</w:t>
      </w:r>
    </w:p>
    <w:p w14:paraId="34878211">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14:paraId="68D19BC4">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黑体" w:hAnsi="宋体" w:eastAsia="黑体" w:cs="Times New Roman"/>
          <w:sz w:val="32"/>
          <w:szCs w:val="32"/>
          <w:highlight w:val="none"/>
          <w:lang w:val="zh-CN" w:eastAsia="zh-CN"/>
        </w:rPr>
      </w:pPr>
      <w:r>
        <w:rPr>
          <w:rFonts w:hint="eastAsia" w:ascii="黑体" w:hAnsi="宋体" w:eastAsia="黑体" w:cs="Times New Roman"/>
          <w:sz w:val="32"/>
          <w:szCs w:val="32"/>
          <w:highlight w:val="none"/>
          <w:lang w:val="zh-CN" w:eastAsia="zh-CN"/>
        </w:rPr>
        <w:t>一、项目概况</w:t>
      </w:r>
    </w:p>
    <w:p w14:paraId="4C437423">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（一）设立背景及基本情况。</w:t>
      </w:r>
      <w:r>
        <w:rPr>
          <w:rFonts w:hint="eastAsia" w:ascii="Times New Roman" w:hAnsi="Times New Roman" w:eastAsia="仿宋_GB2312" w:cs="Times New Roman"/>
          <w:color w:val="000000"/>
          <w:sz w:val="32"/>
          <w:szCs w:val="32"/>
          <w:lang w:val="en-US" w:eastAsia="zh-CN" w:bidi="en-US"/>
        </w:rPr>
        <w:t>休养老人生活费项目主要是休养老人全年生活</w:t>
      </w:r>
      <w:r>
        <w:rPr>
          <w:rFonts w:hint="eastAsia" w:ascii="Times New Roman" w:hAnsi="Times New Roman" w:eastAsia="仿宋_GB2312" w:cs="Times New Roman"/>
          <w:color w:val="000000"/>
          <w:sz w:val="32"/>
          <w:szCs w:val="32"/>
          <w:lang w:val="zh-CN" w:eastAsia="zh-CN" w:bidi="en-US"/>
        </w:rPr>
        <w:t>。现将</w:t>
      </w:r>
      <w:r>
        <w:rPr>
          <w:rFonts w:hint="eastAsia" w:ascii="Times New Roman" w:hAnsi="Times New Roman" w:eastAsia="仿宋_GB2312" w:cs="Times New Roman"/>
          <w:color w:val="000000"/>
          <w:sz w:val="32"/>
          <w:szCs w:val="32"/>
          <w:lang w:val="en-US" w:eastAsia="zh-CN" w:bidi="en-US"/>
        </w:rPr>
        <w:t>我单位2023年休养老人生活费</w:t>
      </w:r>
      <w:r>
        <w:rPr>
          <w:rFonts w:hint="eastAsia" w:ascii="Times New Roman" w:hAnsi="Times New Roman" w:eastAsia="仿宋_GB2312" w:cs="Times New Roman"/>
          <w:color w:val="000000"/>
          <w:sz w:val="32"/>
          <w:szCs w:val="32"/>
          <w:lang w:val="zh-CN" w:eastAsia="zh-CN" w:bidi="en-US"/>
        </w:rPr>
        <w:t>项目情况说明如下。</w:t>
      </w:r>
    </w:p>
    <w:p w14:paraId="24301714">
      <w:pPr>
        <w:numPr>
          <w:ilvl w:val="0"/>
          <w:numId w:val="0"/>
        </w:numPr>
        <w:spacing w:line="560" w:lineRule="exact"/>
        <w:ind w:firstLine="643" w:firstLineChars="200"/>
        <w:rPr>
          <w:rFonts w:hint="eastAsia" w:ascii="Times New Roman" w:hAnsi="Times New Roman" w:eastAsia="仿宋_GB2312" w:cs="Times New Roman"/>
          <w:color w:val="000000"/>
          <w:sz w:val="32"/>
          <w:szCs w:val="32"/>
          <w:lang w:val="zh-CN" w:eastAsia="zh-CN" w:bidi="en-US"/>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Times New Roman" w:hAnsi="Times New Roman" w:eastAsia="仿宋_GB2312" w:cs="Times New Roman"/>
          <w:color w:val="000000"/>
          <w:sz w:val="32"/>
          <w:szCs w:val="32"/>
          <w:lang w:val="en-US" w:eastAsia="zh-CN" w:bidi="en-US"/>
        </w:rPr>
        <w:t>项目实施目的是保障光荣院休养老兵生活及医疗补助。</w:t>
      </w:r>
    </w:p>
    <w:p w14:paraId="130AF1CE">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color w:val="000000"/>
          <w:sz w:val="32"/>
          <w:szCs w:val="32"/>
          <w:lang w:val="zh-CN" w:eastAsia="zh-CN" w:bidi="en-US"/>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Times New Roman" w:hAnsi="Times New Roman" w:eastAsia="仿宋_GB2312" w:cs="Times New Roman"/>
          <w:color w:val="000000"/>
          <w:sz w:val="32"/>
          <w:szCs w:val="32"/>
          <w:lang w:val="zh-CN" w:eastAsia="zh-CN" w:bidi="en-US"/>
        </w:rPr>
        <w:t>202</w:t>
      </w:r>
      <w:r>
        <w:rPr>
          <w:rFonts w:hint="eastAsia" w:ascii="Times New Roman" w:hAnsi="Times New Roman" w:eastAsia="仿宋_GB2312" w:cs="Times New Roman"/>
          <w:color w:val="000000"/>
          <w:sz w:val="32"/>
          <w:szCs w:val="32"/>
          <w:lang w:val="en-US" w:eastAsia="zh-CN" w:bidi="en-US"/>
        </w:rPr>
        <w:t>3</w:t>
      </w:r>
      <w:r>
        <w:rPr>
          <w:rFonts w:hint="eastAsia" w:ascii="Times New Roman" w:hAnsi="Times New Roman" w:eastAsia="仿宋_GB2312" w:cs="Times New Roman"/>
          <w:color w:val="000000"/>
          <w:sz w:val="32"/>
          <w:szCs w:val="32"/>
          <w:lang w:val="zh-CN" w:eastAsia="zh-CN" w:bidi="en-US"/>
        </w:rPr>
        <w:t>年，</w:t>
      </w:r>
      <w:r>
        <w:rPr>
          <w:rFonts w:hint="eastAsia" w:ascii="Times New Roman" w:hAnsi="Times New Roman" w:eastAsia="仿宋_GB2312" w:cs="Times New Roman"/>
          <w:color w:val="000000"/>
          <w:sz w:val="32"/>
          <w:szCs w:val="32"/>
          <w:lang w:val="en-US" w:eastAsia="zh-CN" w:bidi="en-US"/>
        </w:rPr>
        <w:t>我局</w:t>
      </w:r>
      <w:r>
        <w:rPr>
          <w:rFonts w:hint="eastAsia" w:ascii="Times New Roman" w:hAnsi="Times New Roman" w:eastAsia="仿宋_GB2312" w:cs="Times New Roman"/>
          <w:color w:val="000000"/>
          <w:sz w:val="32"/>
          <w:szCs w:val="32"/>
          <w:lang w:val="zh-CN" w:eastAsia="zh-CN" w:bidi="en-US"/>
        </w:rPr>
        <w:t>财政</w:t>
      </w:r>
      <w:r>
        <w:rPr>
          <w:rFonts w:hint="eastAsia" w:ascii="Times New Roman" w:hAnsi="Times New Roman" w:eastAsia="仿宋_GB2312" w:cs="Times New Roman"/>
          <w:color w:val="000000"/>
          <w:sz w:val="32"/>
          <w:szCs w:val="32"/>
          <w:lang w:val="en-US" w:eastAsia="zh-CN" w:bidi="en-US"/>
        </w:rPr>
        <w:t>休养老人生活费</w:t>
      </w:r>
      <w:r>
        <w:rPr>
          <w:rFonts w:hint="eastAsia" w:ascii="Times New Roman" w:hAnsi="Times New Roman" w:eastAsia="仿宋_GB2312" w:cs="Times New Roman"/>
          <w:color w:val="000000"/>
          <w:sz w:val="32"/>
          <w:szCs w:val="32"/>
          <w:lang w:val="zh-CN" w:eastAsia="zh-CN" w:bidi="en-US"/>
        </w:rPr>
        <w:t>项目经费</w:t>
      </w:r>
      <w:r>
        <w:rPr>
          <w:rFonts w:hint="eastAsia" w:ascii="Times New Roman" w:hAnsi="Times New Roman" w:eastAsia="仿宋_GB2312" w:cs="Times New Roman"/>
          <w:color w:val="000000"/>
          <w:sz w:val="32"/>
          <w:szCs w:val="32"/>
          <w:lang w:val="en-US" w:eastAsia="zh-CN" w:bidi="en-US"/>
        </w:rPr>
        <w:t>8.34万元，县财政局批复休养老人生活费项目8.34万元。</w:t>
      </w:r>
    </w:p>
    <w:p w14:paraId="3028B791">
      <w:pPr>
        <w:numPr>
          <w:ilvl w:val="0"/>
          <w:numId w:val="0"/>
        </w:numPr>
        <w:spacing w:line="560" w:lineRule="exact"/>
        <w:ind w:firstLine="643" w:firstLineChars="200"/>
        <w:rPr>
          <w:rFonts w:hint="default" w:ascii="Times New Roman" w:hAnsi="Times New Roman" w:eastAsia="仿宋_GB2312" w:cs="Times New Roman"/>
          <w:color w:val="000000"/>
          <w:sz w:val="32"/>
          <w:szCs w:val="32"/>
          <w:lang w:val="zh-CN" w:eastAsia="zh-CN" w:bidi="en-US"/>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Times New Roman" w:hAnsi="Times New Roman" w:eastAsia="仿宋_GB2312" w:cs="Times New Roman"/>
          <w:color w:val="000000"/>
          <w:sz w:val="32"/>
          <w:szCs w:val="32"/>
          <w:lang w:val="en-US" w:eastAsia="zh-CN" w:bidi="en-US"/>
        </w:rPr>
        <w:t>项目总体目标是：保障</w:t>
      </w:r>
      <w:r>
        <w:rPr>
          <w:rFonts w:hint="eastAsia" w:ascii="Times New Roman" w:hAnsi="Times New Roman" w:eastAsia="仿宋_GB2312" w:cs="Times New Roman"/>
          <w:color w:val="000000"/>
          <w:sz w:val="32"/>
          <w:szCs w:val="32"/>
          <w:lang w:val="zh-CN" w:eastAsia="zh-CN" w:bidi="en-US"/>
        </w:rPr>
        <w:t>光荣院休养老兵</w:t>
      </w:r>
      <w:r>
        <w:rPr>
          <w:rFonts w:hint="eastAsia" w:ascii="Times New Roman" w:hAnsi="Times New Roman" w:eastAsia="仿宋_GB2312" w:cs="Times New Roman"/>
          <w:color w:val="000000"/>
          <w:sz w:val="32"/>
          <w:szCs w:val="32"/>
          <w:lang w:val="en-US" w:eastAsia="zh-CN" w:bidi="en-US"/>
        </w:rPr>
        <w:t>一日三餐</w:t>
      </w:r>
      <w:r>
        <w:rPr>
          <w:rFonts w:hint="eastAsia" w:ascii="Times New Roman" w:hAnsi="Times New Roman" w:eastAsia="仿宋_GB2312" w:cs="Times New Roman"/>
          <w:color w:val="000000"/>
          <w:sz w:val="32"/>
          <w:szCs w:val="32"/>
          <w:lang w:val="zh-CN" w:eastAsia="zh-CN" w:bidi="en-US"/>
        </w:rPr>
        <w:t>。</w:t>
      </w:r>
    </w:p>
    <w:p w14:paraId="23FFFD7F">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s="Times New Roman"/>
          <w:sz w:val="32"/>
          <w:szCs w:val="32"/>
          <w:highlight w:val="none"/>
          <w:lang w:val="zh-CN" w:eastAsia="zh-CN"/>
        </w:rPr>
      </w:pPr>
      <w:r>
        <w:rPr>
          <w:rFonts w:hint="eastAsia" w:ascii="黑体" w:hAnsi="宋体" w:eastAsia="黑体" w:cs="Times New Roman"/>
          <w:sz w:val="32"/>
          <w:szCs w:val="32"/>
          <w:highlight w:val="none"/>
          <w:lang w:val="zh-CN" w:eastAsia="zh-CN"/>
        </w:rPr>
        <w:t>二、评价实施</w:t>
      </w:r>
    </w:p>
    <w:p w14:paraId="0D51012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color w:val="000000"/>
          <w:sz w:val="32"/>
          <w:szCs w:val="32"/>
          <w:lang w:val="en-US" w:eastAsia="zh-CN" w:bidi="en-US"/>
        </w:rPr>
      </w:pPr>
      <w:r>
        <w:rPr>
          <w:rFonts w:hint="eastAsia" w:ascii="楷体_GB2312" w:hAnsi="宋体" w:eastAsia="楷体_GB2312"/>
          <w:b/>
          <w:color w:val="auto"/>
          <w:sz w:val="32"/>
          <w:szCs w:val="32"/>
          <w:highlight w:val="none"/>
          <w:u w:val="none"/>
          <w:lang w:val="zh-CN"/>
        </w:rPr>
        <w:t>（一）评价目的。</w:t>
      </w:r>
      <w:r>
        <w:rPr>
          <w:rFonts w:hint="eastAsia" w:ascii="Times New Roman" w:hAnsi="Times New Roman" w:eastAsia="仿宋_GB2312" w:cs="Times New Roman"/>
          <w:color w:val="000000"/>
          <w:sz w:val="32"/>
          <w:szCs w:val="32"/>
          <w:lang w:val="en-US" w:eastAsia="zh-CN" w:bidi="en-US"/>
        </w:rPr>
        <w:t>通过项目绩效自评要实现的目的是通过拨付休养老人生活费，有针对性的搞好调查摸底，用足用活现有政策，扎实做好帮扶解困。</w:t>
      </w:r>
    </w:p>
    <w:p w14:paraId="7C0220D6">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Times New Roman" w:hAnsi="Times New Roman" w:eastAsia="仿宋_GB2312" w:cs="Times New Roman"/>
          <w:color w:val="000000"/>
          <w:sz w:val="32"/>
          <w:szCs w:val="32"/>
          <w:lang w:val="en-US" w:eastAsia="zh-CN" w:bidi="en-US"/>
        </w:rPr>
      </w:pPr>
      <w:r>
        <w:rPr>
          <w:rFonts w:hint="eastAsia" w:ascii="楷体_GB2312" w:hAnsi="宋体" w:eastAsia="楷体_GB2312"/>
          <w:b/>
          <w:color w:val="auto"/>
          <w:sz w:val="32"/>
          <w:szCs w:val="32"/>
          <w:highlight w:val="none"/>
          <w:u w:val="none"/>
          <w:lang w:val="zh-CN"/>
        </w:rPr>
        <w:t>（二）预设问题及评价重点。</w:t>
      </w:r>
      <w:r>
        <w:rPr>
          <w:rFonts w:hint="eastAsia" w:ascii="Times New Roman" w:hAnsi="Times New Roman" w:eastAsia="仿宋_GB2312" w:cs="Times New Roman"/>
          <w:color w:val="000000"/>
          <w:sz w:val="32"/>
          <w:szCs w:val="32"/>
          <w:lang w:val="en-US" w:eastAsia="zh-CN" w:bidi="en-US"/>
        </w:rPr>
        <w:t>休养老人生活费项目我单位专款专用，使用过程规范，实施效果良好。</w:t>
      </w:r>
    </w:p>
    <w:p w14:paraId="4353973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color w:val="000000"/>
          <w:sz w:val="32"/>
          <w:szCs w:val="32"/>
          <w:lang w:val="en-US" w:eastAsia="zh-CN" w:bidi="en-US"/>
        </w:rPr>
      </w:pPr>
      <w:r>
        <w:rPr>
          <w:rFonts w:hint="eastAsia" w:ascii="楷体_GB2312" w:hAnsi="宋体" w:eastAsia="楷体_GB2312"/>
          <w:b/>
          <w:color w:val="auto"/>
          <w:sz w:val="32"/>
          <w:szCs w:val="32"/>
          <w:highlight w:val="none"/>
          <w:u w:val="none"/>
          <w:lang w:val="zh-CN"/>
        </w:rPr>
        <w:t>（三）评价方法。</w:t>
      </w:r>
      <w:r>
        <w:rPr>
          <w:rFonts w:hint="eastAsia" w:ascii="Times New Roman" w:hAnsi="Times New Roman" w:eastAsia="仿宋_GB2312" w:cs="Times New Roman"/>
          <w:color w:val="000000"/>
          <w:sz w:val="32"/>
          <w:szCs w:val="32"/>
          <w:lang w:val="en-US" w:eastAsia="zh-CN" w:bidi="en-US"/>
        </w:rPr>
        <w:t>我单位采用了单位自评法、座谈调研法等多种方法。</w:t>
      </w:r>
    </w:p>
    <w:p w14:paraId="237DB679">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color w:val="000000"/>
          <w:sz w:val="32"/>
          <w:szCs w:val="32"/>
          <w:lang w:val="en-US" w:eastAsia="zh-CN" w:bidi="en-US"/>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）评价组织。</w:t>
      </w:r>
      <w:r>
        <w:rPr>
          <w:rFonts w:hint="eastAsia" w:ascii="Times New Roman" w:hAnsi="Times New Roman" w:eastAsia="仿宋_GB2312" w:cs="Times New Roman"/>
          <w:color w:val="000000"/>
          <w:sz w:val="32"/>
          <w:szCs w:val="32"/>
          <w:lang w:val="en-US" w:eastAsia="zh-CN" w:bidi="en-US"/>
        </w:rPr>
        <w:t>评价组人员由我单位财务人员、具体工作人员和机关纪委人员构成。</w:t>
      </w:r>
    </w:p>
    <w:p w14:paraId="42C3E1E7">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s="Times New Roman"/>
          <w:sz w:val="32"/>
          <w:szCs w:val="32"/>
          <w:highlight w:val="none"/>
          <w:lang w:val="zh-CN" w:eastAsia="zh-CN"/>
        </w:rPr>
      </w:pPr>
      <w:r>
        <w:rPr>
          <w:rFonts w:hint="eastAsia" w:ascii="黑体" w:hAnsi="宋体" w:eastAsia="黑体" w:cs="Times New Roman"/>
          <w:sz w:val="32"/>
          <w:szCs w:val="32"/>
          <w:highlight w:val="none"/>
          <w:lang w:val="zh-CN" w:eastAsia="zh-CN"/>
        </w:rPr>
        <w:t>三、绩效分析</w:t>
      </w:r>
      <w:r>
        <w:rPr>
          <w:rFonts w:hint="eastAsia" w:ascii="黑体" w:hAnsi="宋体" w:eastAsia="黑体" w:cs="Times New Roman"/>
          <w:sz w:val="32"/>
          <w:szCs w:val="32"/>
          <w:highlight w:val="none"/>
          <w:lang w:val="zh-CN" w:eastAsia="zh-CN"/>
        </w:rPr>
        <w:tab/>
      </w:r>
    </w:p>
    <w:p w14:paraId="484E8A8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eastAsia="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楷体_GB2312" w:hAnsi="宋体" w:eastAsia="楷体_GB2312" w:cs="Times New Roman"/>
          <w:b/>
          <w:color w:val="auto"/>
          <w:sz w:val="32"/>
          <w:szCs w:val="32"/>
          <w:highlight w:val="none"/>
          <w:u w:val="none"/>
          <w:lang w:val="zh-CN" w:eastAsia="zh-CN"/>
        </w:rPr>
        <w:t>绩效分析。</w:t>
      </w:r>
    </w:p>
    <w:p w14:paraId="216A3B8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1.项目决策。根据我县具体情况，及休养老人人数设定项目，做好项目入库，部门项目预算编制。</w:t>
      </w:r>
    </w:p>
    <w:p w14:paraId="2FB5CD4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2.项目管理。我单位项目专人负责，做好支出统计经财务负责人，单位主要负责人审批，严格按专项资金管理，专款专用。</w:t>
      </w:r>
    </w:p>
    <w:p w14:paraId="23D86A2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3.项目实施。休养老人生活费项目我单位按月拨付，每年12月之前把全年应支出的足额拨付到位。</w:t>
      </w:r>
    </w:p>
    <w:p w14:paraId="1D5F0074">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4.项目结果。我单位工作人员认真负责、积极推进各项工作，预算项目绩效目标完成率100%，项目绩效目标数量指标实现程度与预期目标无偏离，绩效目标效益指标实施效果良好。服务对象满意度达100%，社会评价良好。</w:t>
      </w:r>
    </w:p>
    <w:p w14:paraId="3A074A5C">
      <w:pPr>
        <w:numPr>
          <w:ilvl w:val="0"/>
          <w:numId w:val="0"/>
        </w:numPr>
        <w:spacing w:line="560" w:lineRule="exact"/>
        <w:ind w:firstLine="643" w:firstLineChars="200"/>
        <w:rPr>
          <w:rFonts w:hint="eastAsia" w:ascii="Times New Roman" w:hAnsi="Times New Roman" w:eastAsia="仿宋_GB2312" w:cs="Times New Roman"/>
          <w:color w:val="000000"/>
          <w:sz w:val="32"/>
          <w:szCs w:val="32"/>
          <w:lang w:val="en-US" w:eastAsia="zh-CN" w:bidi="en-US"/>
        </w:rPr>
      </w:pPr>
      <w:r>
        <w:rPr>
          <w:rFonts w:hint="eastAsia" w:ascii="楷体_GB2312" w:hAnsi="宋体" w:eastAsia="楷体_GB2312" w:cs="Times New Roman"/>
          <w:b/>
          <w:color w:val="auto"/>
          <w:sz w:val="32"/>
          <w:szCs w:val="32"/>
          <w:highlight w:val="none"/>
          <w:u w:val="none"/>
          <w:lang w:val="zh-CN" w:eastAsia="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楷体_GB2312" w:hAnsi="宋体" w:eastAsia="楷体_GB2312" w:cs="Times New Roman"/>
          <w:b/>
          <w:color w:val="auto"/>
          <w:sz w:val="32"/>
          <w:szCs w:val="32"/>
          <w:highlight w:val="none"/>
          <w:u w:val="none"/>
          <w:lang w:val="zh-CN" w:eastAsia="zh-CN"/>
        </w:rPr>
        <w:t>绩效分析。</w:t>
      </w:r>
      <w:r>
        <w:rPr>
          <w:rFonts w:hint="eastAsia" w:ascii="Times New Roman" w:hAnsi="Times New Roman" w:eastAsia="仿宋_GB2312" w:cs="Times New Roman"/>
          <w:color w:val="000000"/>
          <w:sz w:val="32"/>
          <w:szCs w:val="32"/>
          <w:lang w:val="en-US" w:eastAsia="zh-CN" w:bidi="en-US"/>
        </w:rPr>
        <w:t>按照“责任全覆盖、管理全天候、检查全方位”的要求，通过建立长效机制，保障此项工作的顺利进行。财政2023年拨款8.34万元，每月按时按标准拨付，以保障休养老人生活。项目总体目标是：保障光荣院休养老兵生活及医疗补助。</w:t>
      </w:r>
    </w:p>
    <w:p w14:paraId="571759A0">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s="Times New Roman"/>
          <w:sz w:val="32"/>
          <w:szCs w:val="32"/>
          <w:highlight w:val="none"/>
          <w:lang w:val="en-US" w:eastAsia="zh-CN"/>
        </w:rPr>
      </w:pPr>
      <w:r>
        <w:rPr>
          <w:rFonts w:hint="eastAsia" w:ascii="黑体" w:hAnsi="宋体" w:eastAsia="黑体" w:cs="Times New Roman"/>
          <w:sz w:val="32"/>
          <w:szCs w:val="32"/>
          <w:highlight w:val="none"/>
          <w:lang w:val="en-US" w:eastAsia="zh-CN"/>
        </w:rPr>
        <w:t>四、评价结论</w:t>
      </w:r>
    </w:p>
    <w:p w14:paraId="7ACAF1A9">
      <w:pPr>
        <w:numPr>
          <w:ilvl w:val="0"/>
          <w:numId w:val="0"/>
        </w:numPr>
        <w:spacing w:line="560" w:lineRule="exact"/>
        <w:ind w:firstLine="640" w:firstLineChars="200"/>
        <w:rPr>
          <w:rFonts w:hint="default"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zh-CN" w:eastAsia="zh-CN" w:bidi="en-US"/>
        </w:rPr>
        <w:t>我单位总体评价是：资金管理和使用合理，监管到位。</w:t>
      </w:r>
      <w:r>
        <w:rPr>
          <w:rFonts w:hint="eastAsia" w:ascii="Times New Roman" w:hAnsi="Times New Roman" w:eastAsia="仿宋_GB2312" w:cs="Times New Roman"/>
          <w:color w:val="000000"/>
          <w:sz w:val="32"/>
          <w:szCs w:val="32"/>
          <w:lang w:val="en-US" w:eastAsia="zh-CN" w:bidi="en-US"/>
        </w:rPr>
        <w:t>自评得分100分，</w:t>
      </w:r>
      <w:r>
        <w:rPr>
          <w:rFonts w:hint="default" w:ascii="Times New Roman" w:hAnsi="Times New Roman" w:eastAsia="仿宋_GB2312" w:cs="Times New Roman"/>
          <w:color w:val="000000"/>
          <w:sz w:val="32"/>
          <w:szCs w:val="32"/>
          <w:lang w:val="en-US" w:eastAsia="zh-CN" w:bidi="en-US"/>
        </w:rPr>
        <w:t>自评等级为优秀。</w:t>
      </w:r>
    </w:p>
    <w:p w14:paraId="0BD211A9">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s="Times New Roman"/>
          <w:sz w:val="32"/>
          <w:szCs w:val="32"/>
          <w:highlight w:val="none"/>
          <w:lang w:val="zh-CN" w:eastAsia="zh-CN"/>
        </w:rPr>
      </w:pPr>
      <w:r>
        <w:rPr>
          <w:rFonts w:hint="eastAsia" w:ascii="黑体" w:hAnsi="宋体" w:eastAsia="黑体" w:cs="Times New Roman"/>
          <w:sz w:val="32"/>
          <w:szCs w:val="32"/>
          <w:highlight w:val="none"/>
          <w:lang w:val="en-US" w:eastAsia="zh-CN"/>
        </w:rPr>
        <w:t>五</w:t>
      </w:r>
      <w:r>
        <w:rPr>
          <w:rFonts w:hint="eastAsia" w:ascii="黑体" w:hAnsi="宋体" w:eastAsia="黑体" w:cs="Times New Roman"/>
          <w:sz w:val="32"/>
          <w:szCs w:val="32"/>
          <w:highlight w:val="none"/>
          <w:lang w:val="zh-CN" w:eastAsia="zh-CN"/>
        </w:rPr>
        <w:t>、改进建议</w:t>
      </w:r>
    </w:p>
    <w:p w14:paraId="7E5C0C31">
      <w:pPr>
        <w:numPr>
          <w:ilvl w:val="0"/>
          <w:numId w:val="0"/>
        </w:numPr>
        <w:spacing w:line="560" w:lineRule="exact"/>
        <w:ind w:firstLine="640" w:firstLineChars="200"/>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认真按照</w:t>
      </w:r>
      <w:r>
        <w:rPr>
          <w:rFonts w:hint="eastAsia" w:ascii="Times New Roman" w:hAnsi="Times New Roman" w:eastAsia="仿宋_GB2312" w:cs="Times New Roman"/>
          <w:color w:val="000000"/>
          <w:sz w:val="32"/>
          <w:szCs w:val="32"/>
          <w:lang w:val="zh-CN" w:eastAsia="zh-CN" w:bidi="en-US"/>
        </w:rPr>
        <w:t>2020年4月10日退役军人事务部令第3号修订的</w:t>
      </w:r>
      <w:r>
        <w:rPr>
          <w:rFonts w:hint="eastAsia" w:ascii="Times New Roman" w:hAnsi="Times New Roman" w:eastAsia="仿宋_GB2312" w:cs="Times New Roman"/>
          <w:color w:val="000000"/>
          <w:sz w:val="32"/>
          <w:szCs w:val="32"/>
          <w:lang w:val="en-US" w:eastAsia="zh-CN" w:bidi="en-US"/>
        </w:rPr>
        <w:t>《光荣院管理办法》，</w:t>
      </w:r>
      <w:r>
        <w:rPr>
          <w:rFonts w:hint="eastAsia" w:ascii="Times New Roman" w:hAnsi="Times New Roman" w:eastAsia="仿宋_GB2312" w:cs="Times New Roman"/>
          <w:color w:val="000000"/>
          <w:sz w:val="32"/>
          <w:szCs w:val="32"/>
          <w:lang w:val="zh-CN" w:eastAsia="zh-CN" w:bidi="en-US"/>
        </w:rPr>
        <w:t>所需经费列入同级地方政府预算，满足集中供养和服务需求</w:t>
      </w:r>
      <w:r>
        <w:rPr>
          <w:rFonts w:hint="eastAsia" w:ascii="Times New Roman" w:hAnsi="Times New Roman" w:eastAsia="仿宋_GB2312" w:cs="Times New Roman"/>
          <w:color w:val="000000"/>
          <w:sz w:val="32"/>
          <w:szCs w:val="32"/>
          <w:lang w:val="en-US" w:eastAsia="zh-CN" w:bidi="en-US"/>
        </w:rPr>
        <w:t>。</w:t>
      </w:r>
    </w:p>
    <w:p w14:paraId="7324E3FB">
      <w:pPr>
        <w:pStyle w:val="2"/>
        <w:rPr>
          <w:rFonts w:hint="eastAsia"/>
          <w:lang w:val="en-US" w:eastAsia="zh-CN"/>
        </w:rPr>
      </w:pPr>
    </w:p>
    <w:p w14:paraId="6BB99F7F">
      <w:pPr>
        <w:pStyle w:val="34"/>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大竹县光荣院</w:t>
      </w:r>
    </w:p>
    <w:p w14:paraId="79F66C4E">
      <w:pPr>
        <w:pStyle w:val="34"/>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2023年</w:t>
      </w:r>
      <w:r>
        <w:rPr>
          <w:rFonts w:hint="eastAsia" w:ascii="方正小标宋简体" w:hAnsi="宋体" w:eastAsia="方正小标宋简体"/>
          <w:sz w:val="44"/>
          <w:szCs w:val="44"/>
          <w:lang w:eastAsia="zh-CN"/>
        </w:rPr>
        <w:t>项目支出</w:t>
      </w:r>
      <w:r>
        <w:rPr>
          <w:rFonts w:hint="eastAsia" w:ascii="方正小标宋简体" w:hAnsi="宋体" w:eastAsia="方正小标宋简体"/>
          <w:sz w:val="44"/>
          <w:szCs w:val="44"/>
        </w:rPr>
        <w:t>绩效自评报告</w:t>
      </w:r>
    </w:p>
    <w:p w14:paraId="3F05AB0D">
      <w:pPr>
        <w:numPr>
          <w:ilvl w:val="0"/>
          <w:numId w:val="0"/>
        </w:numPr>
        <w:spacing w:line="560" w:lineRule="exact"/>
        <w:ind w:firstLine="640" w:firstLineChars="200"/>
        <w:jc w:val="center"/>
        <w:rPr>
          <w:rFonts w:hint="eastAsia" w:ascii="Times New Roman" w:hAnsi="Times New Roman" w:eastAsia="仿宋_GB2312" w:cs="Times New Roman"/>
          <w:color w:val="000000"/>
          <w:sz w:val="32"/>
          <w:szCs w:val="32"/>
          <w:lang w:val="en-US" w:eastAsia="zh-CN" w:bidi="en-US"/>
        </w:rPr>
      </w:pPr>
      <w:r>
        <w:rPr>
          <w:rFonts w:hint="eastAsia" w:ascii="Times New Roman" w:hAnsi="Times New Roman" w:eastAsia="仿宋_GB2312" w:cs="Times New Roman"/>
          <w:color w:val="000000"/>
          <w:sz w:val="32"/>
          <w:szCs w:val="32"/>
          <w:lang w:val="en-US" w:eastAsia="zh-CN" w:bidi="en-US"/>
        </w:rPr>
        <w:t>（光荣院运行经费）</w:t>
      </w:r>
    </w:p>
    <w:p w14:paraId="584A9416">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14:paraId="728C6ECB">
      <w:pPr>
        <w:pStyle w:val="6"/>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2"/>
          <w:position w:val="0"/>
          <w:sz w:val="32"/>
          <w:szCs w:val="32"/>
          <w:highlight w:val="none"/>
          <w:u w:val="none"/>
          <w:lang w:val="zh-CN" w:eastAsia="zh-CN" w:bidi="ar-SA"/>
        </w:rPr>
      </w:pPr>
      <w:r>
        <w:rPr>
          <w:rFonts w:hint="eastAsia" w:ascii="黑体" w:hAnsi="宋体" w:eastAsia="黑体" w:cs="Times New Roman"/>
          <w:color w:val="auto"/>
          <w:kern w:val="2"/>
          <w:position w:val="0"/>
          <w:sz w:val="32"/>
          <w:szCs w:val="32"/>
          <w:highlight w:val="none"/>
          <w:u w:val="none"/>
          <w:lang w:val="en-US" w:eastAsia="zh-CN" w:bidi="ar-SA"/>
        </w:rPr>
        <w:t>一、</w:t>
      </w:r>
      <w:r>
        <w:rPr>
          <w:rFonts w:hint="eastAsia" w:ascii="黑体" w:hAnsi="宋体" w:eastAsia="黑体" w:cs="Times New Roman"/>
          <w:color w:val="auto"/>
          <w:kern w:val="2"/>
          <w:position w:val="0"/>
          <w:sz w:val="32"/>
          <w:szCs w:val="32"/>
          <w:highlight w:val="none"/>
          <w:u w:val="none"/>
          <w:lang w:val="zh-CN" w:eastAsia="zh-CN" w:bidi="ar-SA"/>
        </w:rPr>
        <w:t>项目概况</w:t>
      </w:r>
    </w:p>
    <w:p w14:paraId="4A122A16">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Calibri" w:eastAsia="仿宋_GB2312" w:cs="仿宋"/>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Calibri" w:eastAsia="仿宋_GB2312" w:cs="仿宋"/>
          <w:kern w:val="2"/>
          <w:sz w:val="32"/>
          <w:szCs w:val="32"/>
          <w:lang w:val="en-US" w:eastAsia="zh-CN" w:bidi="ar-SA"/>
        </w:rPr>
        <w:t>光荣院运行经费项目主要是解决光荣院休养老兵居住环境、水电、燃气、生活必需品、电视、护理、保健、学习娱乐、精神关怀、清洁卫生、安全保卫、心理抚慰等</w:t>
      </w:r>
      <w:r>
        <w:rPr>
          <w:rFonts w:hint="eastAsia" w:ascii="仿宋_GB2312" w:hAnsi="Calibri" w:eastAsia="仿宋_GB2312" w:cs="仿宋"/>
          <w:kern w:val="2"/>
          <w:sz w:val="32"/>
          <w:szCs w:val="32"/>
          <w:lang w:val="zh-CN" w:eastAsia="zh-CN" w:bidi="ar-SA"/>
        </w:rPr>
        <w:t>。现将</w:t>
      </w:r>
      <w:r>
        <w:rPr>
          <w:rFonts w:hint="eastAsia" w:ascii="仿宋_GB2312" w:hAnsi="Calibri" w:eastAsia="仿宋_GB2312" w:cs="仿宋"/>
          <w:kern w:val="2"/>
          <w:sz w:val="32"/>
          <w:szCs w:val="32"/>
          <w:lang w:val="en-US" w:eastAsia="zh-CN" w:bidi="ar-SA"/>
        </w:rPr>
        <w:t>我单位2022年光荣院运行经费</w:t>
      </w:r>
      <w:r>
        <w:rPr>
          <w:rFonts w:hint="eastAsia" w:ascii="仿宋_GB2312" w:hAnsi="Calibri" w:eastAsia="仿宋_GB2312" w:cs="仿宋"/>
          <w:kern w:val="2"/>
          <w:sz w:val="32"/>
          <w:szCs w:val="32"/>
          <w:lang w:val="zh-CN" w:eastAsia="zh-CN" w:bidi="ar-SA"/>
        </w:rPr>
        <w:t>项目情况说明如下。</w:t>
      </w:r>
    </w:p>
    <w:p w14:paraId="00483941">
      <w:pPr>
        <w:adjustRightInd w:val="0"/>
        <w:snapToGrid w:val="0"/>
        <w:spacing w:line="600" w:lineRule="exact"/>
        <w:ind w:firstLine="720"/>
        <w:rPr>
          <w:rFonts w:hint="eastAsia" w:ascii="仿宋_GB2312" w:hAnsi="Calibri" w:eastAsia="仿宋_GB2312" w:cs="仿宋"/>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Calibri" w:eastAsia="仿宋_GB2312" w:cs="仿宋"/>
          <w:kern w:val="2"/>
          <w:sz w:val="32"/>
          <w:szCs w:val="32"/>
          <w:lang w:val="en-US" w:eastAsia="zh-CN" w:bidi="ar-SA"/>
        </w:rPr>
        <w:t>此项目由我县本级财政资金负责，项目总体目标是：</w:t>
      </w:r>
      <w:r>
        <w:rPr>
          <w:rFonts w:hint="eastAsia" w:ascii="仿宋_GB2312" w:hAnsi="Calibri" w:eastAsia="仿宋_GB2312" w:cs="仿宋"/>
          <w:kern w:val="2"/>
          <w:sz w:val="32"/>
          <w:szCs w:val="32"/>
          <w:lang w:val="zh-CN" w:eastAsia="zh-CN" w:bidi="ar-SA"/>
        </w:rPr>
        <w:t>保障光荣院休养老兵居住环境、水电、燃气、生活必需品、电视、护理、保健、学习娱乐、精神关怀、清洁卫生、安全保卫、心理抚慰等工作正常运行。</w:t>
      </w:r>
    </w:p>
    <w:p w14:paraId="702F3D7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Calibri" w:eastAsia="仿宋_GB2312" w:cs="仿宋"/>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Calibri" w:eastAsia="仿宋_GB2312" w:cs="仿宋"/>
          <w:kern w:val="2"/>
          <w:sz w:val="32"/>
          <w:szCs w:val="32"/>
          <w:lang w:val="zh-CN" w:eastAsia="zh-CN" w:bidi="ar-SA"/>
        </w:rPr>
        <w:t>202</w:t>
      </w:r>
      <w:r>
        <w:rPr>
          <w:rFonts w:hint="eastAsia" w:ascii="仿宋_GB2312" w:hAnsi="Calibri" w:eastAsia="仿宋_GB2312" w:cs="仿宋"/>
          <w:kern w:val="2"/>
          <w:sz w:val="32"/>
          <w:szCs w:val="32"/>
          <w:lang w:val="en-US" w:eastAsia="zh-CN" w:bidi="ar-SA"/>
        </w:rPr>
        <w:t>3</w:t>
      </w:r>
      <w:r>
        <w:rPr>
          <w:rFonts w:hint="eastAsia" w:ascii="仿宋_GB2312" w:hAnsi="Calibri" w:eastAsia="仿宋_GB2312" w:cs="仿宋"/>
          <w:kern w:val="2"/>
          <w:sz w:val="32"/>
          <w:szCs w:val="32"/>
          <w:lang w:val="zh-CN" w:eastAsia="zh-CN" w:bidi="ar-SA"/>
        </w:rPr>
        <w:t>年，</w:t>
      </w:r>
      <w:r>
        <w:rPr>
          <w:rFonts w:hint="eastAsia" w:ascii="仿宋_GB2312" w:hAnsi="Calibri" w:eastAsia="仿宋_GB2312" w:cs="仿宋"/>
          <w:kern w:val="2"/>
          <w:sz w:val="32"/>
          <w:szCs w:val="32"/>
          <w:lang w:val="en-US" w:eastAsia="zh-CN" w:bidi="ar-SA"/>
        </w:rPr>
        <w:t>我局</w:t>
      </w:r>
      <w:r>
        <w:rPr>
          <w:rFonts w:hint="eastAsia" w:ascii="仿宋_GB2312" w:hAnsi="Calibri" w:eastAsia="仿宋_GB2312" w:cs="仿宋"/>
          <w:kern w:val="2"/>
          <w:sz w:val="32"/>
          <w:szCs w:val="32"/>
          <w:lang w:val="zh-CN" w:eastAsia="zh-CN" w:bidi="ar-SA"/>
        </w:rPr>
        <w:t>财政</w:t>
      </w:r>
      <w:r>
        <w:rPr>
          <w:rFonts w:hint="eastAsia" w:ascii="仿宋_GB2312" w:hAnsi="Calibri" w:eastAsia="仿宋_GB2312" w:cs="仿宋"/>
          <w:kern w:val="2"/>
          <w:sz w:val="32"/>
          <w:szCs w:val="32"/>
          <w:lang w:val="en-US" w:eastAsia="zh-CN" w:bidi="ar-SA"/>
        </w:rPr>
        <w:t>光荣院运行经费</w:t>
      </w:r>
      <w:r>
        <w:rPr>
          <w:rFonts w:hint="eastAsia" w:ascii="仿宋_GB2312" w:hAnsi="Calibri" w:eastAsia="仿宋_GB2312" w:cs="仿宋"/>
          <w:kern w:val="2"/>
          <w:sz w:val="32"/>
          <w:szCs w:val="32"/>
          <w:lang w:val="zh-CN" w:eastAsia="zh-CN" w:bidi="ar-SA"/>
        </w:rPr>
        <w:t>项目</w:t>
      </w:r>
      <w:r>
        <w:rPr>
          <w:rFonts w:hint="eastAsia" w:ascii="仿宋_GB2312" w:hAnsi="Calibri" w:eastAsia="仿宋_GB2312" w:cs="仿宋"/>
          <w:kern w:val="2"/>
          <w:sz w:val="32"/>
          <w:szCs w:val="32"/>
          <w:lang w:val="en-US" w:eastAsia="zh-CN" w:bidi="ar-SA"/>
        </w:rPr>
        <w:t>41.31万元，县财政局批复光荣院运行经费项目41.31万元。</w:t>
      </w:r>
    </w:p>
    <w:p w14:paraId="388E322B">
      <w:pPr>
        <w:numPr>
          <w:ilvl w:val="0"/>
          <w:numId w:val="0"/>
        </w:numPr>
        <w:spacing w:line="560" w:lineRule="exact"/>
        <w:ind w:firstLine="643" w:firstLineChars="200"/>
        <w:rPr>
          <w:rFonts w:hint="default" w:ascii="仿宋_GB2312" w:hAnsi="Calibri" w:eastAsia="仿宋_GB2312" w:cs="仿宋"/>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Calibri" w:eastAsia="仿宋_GB2312" w:cs="仿宋"/>
          <w:kern w:val="2"/>
          <w:sz w:val="32"/>
          <w:szCs w:val="32"/>
          <w:lang w:val="en-US" w:eastAsia="zh-CN" w:bidi="ar-SA"/>
        </w:rPr>
        <w:t>项目总体目标是：有效改善光荣院休养老兵居住环境及水电、燃气、生活必需品、电视、护理、保健、学习娱乐、精神关怀、清洁卫生、安全保卫、心理抚慰服务等工</w:t>
      </w:r>
    </w:p>
    <w:p w14:paraId="7277ACE4">
      <w:pPr>
        <w:pStyle w:val="6"/>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2"/>
          <w:position w:val="0"/>
          <w:sz w:val="32"/>
          <w:szCs w:val="32"/>
          <w:highlight w:val="none"/>
          <w:u w:val="none"/>
          <w:lang w:val="en-US" w:eastAsia="zh-CN" w:bidi="ar-SA"/>
        </w:rPr>
      </w:pPr>
      <w:r>
        <w:rPr>
          <w:rFonts w:hint="eastAsia" w:ascii="黑体" w:hAnsi="宋体" w:eastAsia="黑体" w:cs="Times New Roman"/>
          <w:color w:val="auto"/>
          <w:kern w:val="2"/>
          <w:position w:val="0"/>
          <w:sz w:val="32"/>
          <w:szCs w:val="32"/>
          <w:highlight w:val="none"/>
          <w:u w:val="none"/>
          <w:lang w:val="en-US" w:eastAsia="zh-CN" w:bidi="ar-SA"/>
        </w:rPr>
        <w:t>二、评价实施</w:t>
      </w:r>
    </w:p>
    <w:p w14:paraId="5C6AFEE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Calibri" w:eastAsia="仿宋_GB2312" w:cs="仿宋"/>
          <w:kern w:val="2"/>
          <w:sz w:val="32"/>
          <w:szCs w:val="32"/>
          <w:lang w:val="en-US"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Calibri" w:eastAsia="仿宋_GB2312" w:cs="仿宋"/>
          <w:kern w:val="2"/>
          <w:sz w:val="32"/>
          <w:szCs w:val="32"/>
          <w:lang w:val="en-US" w:eastAsia="zh-CN" w:bidi="ar-SA"/>
        </w:rPr>
        <w:t>通过项目绩效自评要实现的目的是通过拨付光荣院运行经费，有针对性的搞好调查摸底，用足用活现有政策，扎实做好帮扶解困。</w:t>
      </w:r>
    </w:p>
    <w:p w14:paraId="511CB444">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仿宋_GB2312" w:hAnsi="Calibri" w:eastAsia="仿宋_GB2312" w:cs="仿宋"/>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Calibri" w:eastAsia="仿宋_GB2312" w:cs="仿宋"/>
          <w:kern w:val="2"/>
          <w:sz w:val="32"/>
          <w:szCs w:val="32"/>
          <w:lang w:val="en-US" w:eastAsia="zh-CN" w:bidi="ar-SA"/>
        </w:rPr>
        <w:t>光荣院运行经费项目我单位专款专用，使用过程规范，实施效果良好。</w:t>
      </w:r>
    </w:p>
    <w:p w14:paraId="2A16C08B">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Calibri" w:eastAsia="仿宋_GB2312" w:cs="仿宋"/>
          <w:kern w:val="2"/>
          <w:sz w:val="32"/>
          <w:szCs w:val="32"/>
          <w:lang w:val="en-US" w:eastAsia="zh-CN" w:bidi="ar-SA"/>
        </w:rPr>
      </w:pPr>
      <w:r>
        <w:rPr>
          <w:rFonts w:hint="eastAsia" w:ascii="楷体_GB2312" w:hAnsi="宋体" w:eastAsia="楷体_GB2312"/>
          <w:b/>
          <w:color w:val="auto"/>
          <w:sz w:val="32"/>
          <w:szCs w:val="32"/>
          <w:highlight w:val="none"/>
          <w:u w:val="none"/>
          <w:lang w:val="zh-CN"/>
        </w:rPr>
        <w:t>（三）评价方法。</w:t>
      </w:r>
      <w:r>
        <w:rPr>
          <w:rFonts w:hint="eastAsia" w:ascii="仿宋_GB2312" w:hAnsi="Calibri" w:eastAsia="仿宋_GB2312" w:cs="仿宋"/>
          <w:kern w:val="2"/>
          <w:sz w:val="32"/>
          <w:szCs w:val="32"/>
          <w:lang w:val="en-US" w:eastAsia="zh-CN" w:bidi="ar-SA"/>
        </w:rPr>
        <w:t>我单位采用了单位自评法、座谈调研法等多种方法。</w:t>
      </w:r>
    </w:p>
    <w:p w14:paraId="38D2A69D">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Calibri" w:eastAsia="仿宋_GB2312" w:cs="仿宋"/>
          <w:kern w:val="2"/>
          <w:sz w:val="32"/>
          <w:szCs w:val="32"/>
          <w:lang w:val="en-US"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b/>
          <w:color w:val="auto"/>
          <w:sz w:val="32"/>
          <w:szCs w:val="32"/>
          <w:highlight w:val="none"/>
          <w:u w:val="none"/>
          <w:lang w:val="en-US" w:eastAsia="zh-CN"/>
        </w:rPr>
        <w:t>四</w:t>
      </w:r>
      <w:r>
        <w:rPr>
          <w:rFonts w:hint="eastAsia" w:ascii="楷体_GB2312" w:hAnsi="宋体" w:eastAsia="楷体_GB2312"/>
          <w:b/>
          <w:color w:val="auto"/>
          <w:sz w:val="32"/>
          <w:szCs w:val="32"/>
          <w:highlight w:val="none"/>
          <w:u w:val="none"/>
          <w:lang w:val="zh-CN"/>
        </w:rPr>
        <w:t>）评价组织。</w:t>
      </w:r>
      <w:r>
        <w:rPr>
          <w:rFonts w:hint="eastAsia" w:ascii="仿宋_GB2312" w:hAnsi="Calibri" w:eastAsia="仿宋_GB2312" w:cs="仿宋"/>
          <w:kern w:val="2"/>
          <w:sz w:val="32"/>
          <w:szCs w:val="32"/>
          <w:lang w:val="en-US" w:eastAsia="zh-CN" w:bidi="ar-SA"/>
        </w:rPr>
        <w:t>评价组人员由我单位财务人员、具体工作人员和机关纪委人员构成。</w:t>
      </w:r>
    </w:p>
    <w:p w14:paraId="45319910">
      <w:pPr>
        <w:pStyle w:val="6"/>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2"/>
          <w:position w:val="0"/>
          <w:sz w:val="32"/>
          <w:szCs w:val="32"/>
          <w:highlight w:val="none"/>
          <w:u w:val="none"/>
          <w:lang w:val="zh-CN" w:eastAsia="zh-CN" w:bidi="ar-SA"/>
        </w:rPr>
      </w:pPr>
      <w:r>
        <w:rPr>
          <w:rFonts w:hint="eastAsia" w:ascii="黑体" w:hAnsi="宋体" w:eastAsia="黑体" w:cs="Times New Roman"/>
          <w:color w:val="auto"/>
          <w:kern w:val="2"/>
          <w:position w:val="0"/>
          <w:sz w:val="32"/>
          <w:szCs w:val="32"/>
          <w:highlight w:val="none"/>
          <w:u w:val="none"/>
          <w:lang w:val="en-US" w:eastAsia="zh-CN" w:bidi="ar-SA"/>
        </w:rPr>
        <w:t>三、绩效分析</w:t>
      </w:r>
      <w:r>
        <w:rPr>
          <w:rFonts w:hint="eastAsia" w:ascii="黑体" w:hAnsi="宋体" w:eastAsia="黑体" w:cs="Times New Roman"/>
          <w:color w:val="auto"/>
          <w:kern w:val="2"/>
          <w:position w:val="0"/>
          <w:sz w:val="32"/>
          <w:szCs w:val="32"/>
          <w:highlight w:val="none"/>
          <w:u w:val="none"/>
          <w:lang w:val="zh-CN" w:eastAsia="zh-CN" w:bidi="ar-SA"/>
        </w:rPr>
        <w:tab/>
      </w:r>
    </w:p>
    <w:p w14:paraId="50C8590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楷体_GB2312" w:hAnsi="宋体" w:eastAsia="楷体_GB2312" w:cs="Times New Roman"/>
          <w:b/>
          <w:color w:val="auto"/>
          <w:sz w:val="32"/>
          <w:szCs w:val="32"/>
          <w:highlight w:val="none"/>
          <w:u w:val="none"/>
          <w:lang w:val="zh-CN"/>
        </w:rPr>
        <w:t>绩效分析。</w:t>
      </w:r>
    </w:p>
    <w:p w14:paraId="104F95FC">
      <w:pPr>
        <w:adjustRightInd w:val="0"/>
        <w:snapToGrid w:val="0"/>
        <w:spacing w:line="600" w:lineRule="exact"/>
        <w:ind w:firstLine="720"/>
        <w:rPr>
          <w:rFonts w:hint="eastAsia" w:ascii="仿宋_GB2312" w:hAnsi="Calibri" w:eastAsia="仿宋_GB2312" w:cs="仿宋"/>
          <w:kern w:val="2"/>
          <w:sz w:val="32"/>
          <w:szCs w:val="32"/>
          <w:lang w:val="en-US" w:eastAsia="zh-CN" w:bidi="ar-SA"/>
        </w:rPr>
      </w:pPr>
      <w:r>
        <w:rPr>
          <w:rFonts w:hint="eastAsia" w:ascii="仿宋_GB2312" w:hAnsi="Calibri" w:eastAsia="仿宋_GB2312" w:cs="仿宋"/>
          <w:kern w:val="2"/>
          <w:sz w:val="32"/>
          <w:szCs w:val="32"/>
          <w:lang w:val="en-US" w:eastAsia="zh-CN" w:bidi="ar-SA"/>
        </w:rPr>
        <w:t>1.项目决策。根据我县具体情况，及休养老人人数设定项目，做好项目入库，部门项目预算编制。</w:t>
      </w:r>
    </w:p>
    <w:p w14:paraId="6933C406">
      <w:pPr>
        <w:adjustRightInd w:val="0"/>
        <w:snapToGrid w:val="0"/>
        <w:spacing w:line="600" w:lineRule="exact"/>
        <w:ind w:firstLine="720"/>
        <w:rPr>
          <w:rFonts w:hint="eastAsia" w:ascii="仿宋_GB2312" w:hAnsi="Calibri" w:eastAsia="仿宋_GB2312" w:cs="仿宋"/>
          <w:kern w:val="2"/>
          <w:sz w:val="32"/>
          <w:szCs w:val="32"/>
          <w:lang w:val="en-US" w:eastAsia="zh-CN" w:bidi="ar-SA"/>
        </w:rPr>
      </w:pPr>
      <w:r>
        <w:rPr>
          <w:rFonts w:hint="eastAsia" w:ascii="仿宋_GB2312" w:hAnsi="Calibri" w:eastAsia="仿宋_GB2312" w:cs="仿宋"/>
          <w:kern w:val="2"/>
          <w:sz w:val="32"/>
          <w:szCs w:val="32"/>
          <w:lang w:val="en-US" w:eastAsia="zh-CN" w:bidi="ar-SA"/>
        </w:rPr>
        <w:t>2.项目管理。我单位项目专人负责，做好支出统计经财务负责人，单位主要负责人审批，严格按专项资金管理，专款专用。</w:t>
      </w:r>
    </w:p>
    <w:p w14:paraId="393BA66A">
      <w:pPr>
        <w:adjustRightInd w:val="0"/>
        <w:snapToGrid w:val="0"/>
        <w:spacing w:line="600" w:lineRule="exact"/>
        <w:ind w:firstLine="720"/>
        <w:rPr>
          <w:rFonts w:hint="default" w:ascii="仿宋_GB2312" w:hAnsi="Calibri" w:eastAsia="仿宋_GB2312" w:cs="仿宋"/>
          <w:kern w:val="2"/>
          <w:sz w:val="32"/>
          <w:szCs w:val="32"/>
          <w:lang w:val="en-US" w:eastAsia="zh-CN" w:bidi="ar-SA"/>
        </w:rPr>
      </w:pPr>
      <w:r>
        <w:rPr>
          <w:rFonts w:hint="eastAsia" w:ascii="仿宋_GB2312" w:hAnsi="Calibri" w:eastAsia="仿宋_GB2312" w:cs="仿宋"/>
          <w:kern w:val="2"/>
          <w:sz w:val="32"/>
          <w:szCs w:val="32"/>
          <w:lang w:val="en-US" w:eastAsia="zh-CN" w:bidi="ar-SA"/>
        </w:rPr>
        <w:t>3.项目实施。光荣院运行经费项目我单位按月拨付，每年12月之前把全年应支出的足额拨付到位。</w:t>
      </w:r>
    </w:p>
    <w:p w14:paraId="6C967FBB">
      <w:pPr>
        <w:adjustRightInd w:val="0"/>
        <w:snapToGrid w:val="0"/>
        <w:spacing w:line="600" w:lineRule="exact"/>
        <w:ind w:firstLine="720"/>
        <w:rPr>
          <w:rFonts w:hint="eastAsia" w:ascii="仿宋_GB2312" w:hAnsi="Calibri" w:eastAsia="仿宋_GB2312" w:cs="仿宋"/>
          <w:kern w:val="2"/>
          <w:sz w:val="32"/>
          <w:szCs w:val="32"/>
          <w:lang w:val="en-US" w:eastAsia="zh-CN" w:bidi="ar-SA"/>
        </w:rPr>
      </w:pPr>
      <w:r>
        <w:rPr>
          <w:rFonts w:hint="eastAsia" w:ascii="仿宋_GB2312" w:hAnsi="Calibri" w:eastAsia="仿宋_GB2312" w:cs="仿宋"/>
          <w:kern w:val="2"/>
          <w:sz w:val="32"/>
          <w:szCs w:val="32"/>
          <w:lang w:val="en-US" w:eastAsia="zh-CN" w:bidi="ar-SA"/>
        </w:rPr>
        <w:t>4.项目结果。我单位工作人员认真负责、积极推进各项工作，预算项目绩效目标完成率100%，项目绩效目标数量指标实现程度与预期目标无偏离，绩效目标效益指标实施效果良好。服务对象满意度达100%，社会评价良好。</w:t>
      </w:r>
    </w:p>
    <w:p w14:paraId="4219D60F">
      <w:pPr>
        <w:adjustRightInd w:val="0"/>
        <w:snapToGrid w:val="0"/>
        <w:spacing w:line="600" w:lineRule="exact"/>
        <w:ind w:firstLine="720"/>
        <w:rPr>
          <w:rFonts w:hint="eastAsia" w:ascii="仿宋_GB2312" w:hAnsi="Calibri" w:eastAsia="仿宋_GB2312" w:cs="仿宋"/>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楷体_GB2312" w:hAnsi="宋体" w:eastAsia="楷体_GB2312" w:cs="Times New Roman"/>
          <w:b/>
          <w:color w:val="auto"/>
          <w:sz w:val="32"/>
          <w:szCs w:val="32"/>
          <w:highlight w:val="none"/>
          <w:u w:val="none"/>
          <w:lang w:val="zh-CN" w:eastAsia="zh-CN"/>
        </w:rPr>
        <w:t>绩效分析。</w:t>
      </w:r>
      <w:r>
        <w:rPr>
          <w:rFonts w:hint="eastAsia" w:ascii="仿宋_GB2312" w:hAnsi="Calibri" w:eastAsia="仿宋_GB2312" w:cs="仿宋"/>
          <w:kern w:val="2"/>
          <w:sz w:val="32"/>
          <w:szCs w:val="32"/>
          <w:lang w:val="en-US" w:eastAsia="zh-CN" w:bidi="ar-SA"/>
        </w:rPr>
        <w:t>按照“责任全覆盖、管理全天候、检查全方位”的要求，通过建立长效机制，保障此项工作的顺利进行。财政2023年拨款41.31万元，每月按时按标准拨付，以保障休养老人生活。项目总体目标已实现</w:t>
      </w:r>
      <w:r>
        <w:rPr>
          <w:rFonts w:hint="eastAsia" w:ascii="仿宋_GB2312" w:hAnsi="Calibri" w:eastAsia="仿宋_GB2312" w:cs="仿宋"/>
          <w:kern w:val="2"/>
          <w:sz w:val="32"/>
          <w:szCs w:val="32"/>
          <w:lang w:val="zh-CN" w:eastAsia="zh-CN" w:bidi="ar-SA"/>
        </w:rPr>
        <w:t>光荣院休养老兵</w:t>
      </w:r>
      <w:r>
        <w:rPr>
          <w:rFonts w:hint="eastAsia" w:ascii="仿宋_GB2312" w:hAnsi="Calibri" w:eastAsia="仿宋_GB2312" w:cs="仿宋"/>
          <w:kern w:val="2"/>
          <w:sz w:val="32"/>
          <w:szCs w:val="32"/>
          <w:lang w:val="en-US" w:eastAsia="zh-CN" w:bidi="ar-SA"/>
        </w:rPr>
        <w:t>良好的</w:t>
      </w:r>
      <w:r>
        <w:rPr>
          <w:rFonts w:hint="eastAsia" w:ascii="仿宋_GB2312" w:hAnsi="Calibri" w:eastAsia="仿宋_GB2312" w:cs="仿宋"/>
          <w:kern w:val="2"/>
          <w:sz w:val="32"/>
          <w:szCs w:val="32"/>
          <w:lang w:val="zh-CN" w:eastAsia="zh-CN" w:bidi="ar-SA"/>
        </w:rPr>
        <w:t>居住环境、水电、燃气、生活必需品、电视、护理、保健、学习娱乐、精神关怀、清洁卫生、安全保卫、心理抚慰等。</w:t>
      </w:r>
    </w:p>
    <w:p w14:paraId="0BDB21C2">
      <w:pPr>
        <w:pStyle w:val="6"/>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2"/>
          <w:position w:val="0"/>
          <w:sz w:val="32"/>
          <w:szCs w:val="32"/>
          <w:highlight w:val="none"/>
          <w:u w:val="none"/>
          <w:lang w:val="en-US" w:eastAsia="zh-CN" w:bidi="ar-SA"/>
        </w:rPr>
      </w:pPr>
      <w:r>
        <w:rPr>
          <w:rFonts w:hint="eastAsia" w:ascii="黑体" w:hAnsi="宋体" w:eastAsia="黑体" w:cs="Times New Roman"/>
          <w:color w:val="auto"/>
          <w:kern w:val="2"/>
          <w:position w:val="0"/>
          <w:sz w:val="32"/>
          <w:szCs w:val="32"/>
          <w:highlight w:val="none"/>
          <w:u w:val="none"/>
          <w:lang w:val="en-US" w:eastAsia="zh-CN" w:bidi="ar-SA"/>
        </w:rPr>
        <w:t>四、评价结论</w:t>
      </w:r>
    </w:p>
    <w:p w14:paraId="4C3CAE21">
      <w:pPr>
        <w:adjustRightInd w:val="0"/>
        <w:snapToGrid w:val="0"/>
        <w:spacing w:line="600" w:lineRule="exact"/>
        <w:ind w:firstLine="640" w:firstLineChars="200"/>
        <w:rPr>
          <w:rFonts w:hint="default" w:ascii="仿宋_GB2312" w:hAnsi="Calibri" w:eastAsia="仿宋_GB2312" w:cs="仿宋"/>
          <w:kern w:val="2"/>
          <w:sz w:val="32"/>
          <w:szCs w:val="32"/>
          <w:lang w:val="en-US" w:eastAsia="zh-CN" w:bidi="ar-SA"/>
        </w:rPr>
      </w:pPr>
      <w:r>
        <w:rPr>
          <w:rFonts w:hint="eastAsia" w:ascii="仿宋_GB2312" w:hAnsi="Calibri" w:eastAsia="仿宋_GB2312" w:cs="仿宋"/>
          <w:kern w:val="2"/>
          <w:sz w:val="32"/>
          <w:szCs w:val="32"/>
          <w:lang w:val="zh-CN" w:eastAsia="zh-CN" w:bidi="ar-SA"/>
        </w:rPr>
        <w:t>我单位总体评价是：资金管理和使用合理，监管到位。</w:t>
      </w:r>
      <w:r>
        <w:rPr>
          <w:rFonts w:hint="eastAsia" w:ascii="仿宋_GB2312" w:hAnsi="Calibri" w:eastAsia="仿宋_GB2312" w:cs="仿宋"/>
          <w:kern w:val="2"/>
          <w:sz w:val="32"/>
          <w:szCs w:val="32"/>
          <w:lang w:val="en-US" w:eastAsia="zh-CN" w:bidi="ar-SA"/>
        </w:rPr>
        <w:t>自评得分100分，</w:t>
      </w:r>
      <w:r>
        <w:rPr>
          <w:rFonts w:hint="default" w:ascii="仿宋_GB2312" w:hAnsi="Calibri" w:eastAsia="仿宋_GB2312" w:cs="仿宋"/>
          <w:kern w:val="2"/>
          <w:sz w:val="32"/>
          <w:szCs w:val="32"/>
          <w:lang w:val="en-US" w:eastAsia="zh-CN" w:bidi="ar-SA"/>
        </w:rPr>
        <w:t>自评等级为优秀。</w:t>
      </w:r>
    </w:p>
    <w:p w14:paraId="472E539D">
      <w:pPr>
        <w:pStyle w:val="6"/>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2"/>
          <w:position w:val="0"/>
          <w:sz w:val="32"/>
          <w:szCs w:val="32"/>
          <w:highlight w:val="none"/>
          <w:u w:val="none"/>
          <w:lang w:val="zh-CN" w:eastAsia="zh-CN" w:bidi="ar-SA"/>
        </w:rPr>
      </w:pPr>
      <w:r>
        <w:rPr>
          <w:rFonts w:hint="eastAsia" w:ascii="黑体" w:hAnsi="宋体" w:eastAsia="黑体" w:cs="Times New Roman"/>
          <w:color w:val="auto"/>
          <w:kern w:val="2"/>
          <w:position w:val="0"/>
          <w:sz w:val="32"/>
          <w:szCs w:val="32"/>
          <w:highlight w:val="none"/>
          <w:u w:val="none"/>
          <w:lang w:val="en-US" w:eastAsia="zh-CN" w:bidi="ar-SA"/>
        </w:rPr>
        <w:t>五</w:t>
      </w:r>
      <w:r>
        <w:rPr>
          <w:rFonts w:hint="eastAsia" w:ascii="黑体" w:hAnsi="宋体" w:eastAsia="黑体" w:cs="Times New Roman"/>
          <w:color w:val="auto"/>
          <w:kern w:val="2"/>
          <w:position w:val="0"/>
          <w:sz w:val="32"/>
          <w:szCs w:val="32"/>
          <w:highlight w:val="none"/>
          <w:u w:val="none"/>
          <w:lang w:val="zh-CN" w:eastAsia="zh-CN" w:bidi="ar-SA"/>
        </w:rPr>
        <w:t>、改进建议</w:t>
      </w:r>
    </w:p>
    <w:p w14:paraId="79D83C2D">
      <w:pPr>
        <w:adjustRightInd w:val="0"/>
        <w:snapToGrid w:val="0"/>
        <w:spacing w:line="600" w:lineRule="exact"/>
        <w:ind w:firstLine="640" w:firstLineChars="200"/>
        <w:rPr>
          <w:rFonts w:hint="eastAsia" w:ascii="仿宋_GB2312" w:hAnsi="仿宋_GB2312" w:eastAsia="仿宋_GB2312" w:cs="仿宋_GB2312"/>
          <w:color w:val="auto"/>
          <w:lang w:val="en-US" w:eastAsia="zh-CN"/>
        </w:rPr>
      </w:pPr>
      <w:r>
        <w:rPr>
          <w:rFonts w:hint="eastAsia" w:ascii="仿宋_GB2312" w:hAnsi="Calibri" w:eastAsia="仿宋_GB2312" w:cs="仿宋"/>
          <w:kern w:val="2"/>
          <w:sz w:val="32"/>
          <w:szCs w:val="32"/>
          <w:lang w:val="en-US" w:eastAsia="zh-CN" w:bidi="ar-SA"/>
        </w:rPr>
        <w:t>认真按照2020年4月10日退役军人事务部令第3号修订的《光荣院管理办法》，所需经费列入同级地方政府预算，满足集中供养和服务需求。</w:t>
      </w:r>
    </w:p>
    <w:p w14:paraId="79FEC089">
      <w:pPr>
        <w:pStyle w:val="14"/>
        <w:spacing w:line="560" w:lineRule="exact"/>
        <w:ind w:left="0" w:leftChars="0" w:firstLine="640"/>
        <w:rPr>
          <w:rFonts w:hint="eastAsia" w:hAnsi="Calibri" w:eastAsia="仿宋_GB2312" w:cs="仿宋"/>
          <w:sz w:val="32"/>
        </w:rPr>
      </w:pPr>
    </w:p>
    <w:p w14:paraId="1A89EDCC">
      <w:pPr>
        <w:pStyle w:val="14"/>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187AAC25">
      <w:pPr>
        <w:pStyle w:val="6"/>
        <w:spacing w:before="93"/>
        <w:rPr>
          <w:rFonts w:hAnsi="Calibri" w:cs="仿宋"/>
          <w:sz w:val="32"/>
          <w:szCs w:val="32"/>
        </w:rPr>
      </w:pPr>
    </w:p>
    <w:p w14:paraId="1B394B68">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7"/>
      <w:bookmarkEnd w:id="59"/>
      <w:bookmarkStart w:id="60" w:name="_Toc15396619"/>
    </w:p>
    <w:p w14:paraId="19B0B837">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60"/>
    </w:p>
    <w:p w14:paraId="30E3ACEC">
      <w:pPr>
        <w:pStyle w:val="4"/>
        <w:rPr>
          <w:rFonts w:ascii="仿宋" w:hAnsi="仿宋" w:eastAsia="仿宋"/>
        </w:rPr>
      </w:pPr>
      <w:bookmarkStart w:id="61" w:name="_Toc15396620"/>
      <w:r>
        <w:rPr>
          <w:rFonts w:hint="eastAsia" w:ascii="仿宋" w:hAnsi="仿宋" w:eastAsia="仿宋"/>
          <w:b w:val="0"/>
        </w:rPr>
        <w:t>二、收</w:t>
      </w:r>
      <w:r>
        <w:rPr>
          <w:rStyle w:val="28"/>
          <w:rFonts w:hint="eastAsia" w:ascii="仿宋" w:hAnsi="仿宋" w:eastAsia="仿宋"/>
          <w:b w:val="0"/>
          <w:bCs w:val="0"/>
        </w:rPr>
        <w:t>入决算表</w:t>
      </w:r>
      <w:bookmarkEnd w:id="61"/>
    </w:p>
    <w:p w14:paraId="6A8386E6">
      <w:pPr>
        <w:pStyle w:val="4"/>
        <w:rPr>
          <w:rFonts w:ascii="仿宋" w:hAnsi="仿宋" w:eastAsia="仿宋"/>
        </w:rPr>
      </w:pPr>
      <w:bookmarkStart w:id="62"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62"/>
    </w:p>
    <w:p w14:paraId="2F5931C8">
      <w:pPr>
        <w:pStyle w:val="4"/>
        <w:rPr>
          <w:rFonts w:ascii="仿宋" w:hAnsi="仿宋" w:eastAsia="仿宋"/>
          <w:b w:val="0"/>
        </w:rPr>
      </w:pPr>
      <w:bookmarkStart w:id="63"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3"/>
    </w:p>
    <w:p w14:paraId="271AAE1B">
      <w:pPr>
        <w:pStyle w:val="4"/>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4"/>
      <w:bookmarkStart w:id="65" w:name="_Toc15396624"/>
    </w:p>
    <w:p w14:paraId="76885401">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5"/>
    </w:p>
    <w:p w14:paraId="323FCF43">
      <w:pPr>
        <w:pStyle w:val="4"/>
        <w:rPr>
          <w:rFonts w:ascii="仿宋" w:hAnsi="仿宋" w:eastAsia="仿宋"/>
        </w:rPr>
      </w:pPr>
      <w:bookmarkStart w:id="66"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6"/>
    </w:p>
    <w:p w14:paraId="10FB14ED">
      <w:pPr>
        <w:pStyle w:val="4"/>
        <w:rPr>
          <w:rFonts w:ascii="仿宋" w:hAnsi="仿宋" w:eastAsia="仿宋"/>
        </w:rPr>
      </w:pPr>
      <w:bookmarkStart w:id="67"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7"/>
    </w:p>
    <w:p w14:paraId="1D5C986D">
      <w:pPr>
        <w:pStyle w:val="4"/>
        <w:rPr>
          <w:rFonts w:ascii="仿宋" w:hAnsi="仿宋" w:eastAsia="仿宋"/>
        </w:rPr>
      </w:pPr>
      <w:bookmarkStart w:id="68"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8"/>
    </w:p>
    <w:p w14:paraId="3E181503">
      <w:pPr>
        <w:pStyle w:val="4"/>
        <w:rPr>
          <w:rFonts w:ascii="仿宋" w:hAnsi="仿宋" w:eastAsia="仿宋"/>
        </w:rPr>
      </w:pPr>
      <w:bookmarkStart w:id="69" w:name="_Toc15396628"/>
      <w:r>
        <w:rPr>
          <w:rStyle w:val="28"/>
          <w:rFonts w:hint="eastAsia" w:ascii="仿宋" w:hAnsi="仿宋" w:eastAsia="仿宋"/>
          <w:b w:val="0"/>
          <w:bCs w:val="0"/>
        </w:rPr>
        <w:t>十、</w:t>
      </w:r>
      <w:bookmarkEnd w:id="69"/>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3476B443">
      <w:pPr>
        <w:pStyle w:val="4"/>
        <w:rPr>
          <w:rFonts w:ascii="仿宋" w:hAnsi="仿宋" w:eastAsia="仿宋"/>
        </w:rPr>
      </w:pPr>
      <w:bookmarkStart w:id="70" w:name="_Toc15396629"/>
      <w:r>
        <w:rPr>
          <w:rStyle w:val="28"/>
          <w:rFonts w:hint="eastAsia" w:ascii="仿宋" w:hAnsi="仿宋" w:eastAsia="仿宋"/>
          <w:b w:val="0"/>
          <w:bCs w:val="0"/>
        </w:rPr>
        <w:t>十一、</w:t>
      </w:r>
      <w:bookmarkEnd w:id="70"/>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3BCA341D">
      <w:pPr>
        <w:pStyle w:val="4"/>
        <w:rPr>
          <w:rFonts w:ascii="仿宋" w:hAnsi="仿宋" w:eastAsia="仿宋"/>
        </w:rPr>
      </w:pPr>
      <w:bookmarkStart w:id="71" w:name="_Toc15396630"/>
      <w:r>
        <w:rPr>
          <w:rStyle w:val="28"/>
          <w:rFonts w:hint="eastAsia" w:ascii="仿宋" w:hAnsi="仿宋" w:eastAsia="仿宋"/>
          <w:b w:val="0"/>
          <w:bCs w:val="0"/>
        </w:rPr>
        <w:t>十二、</w:t>
      </w:r>
      <w:bookmarkEnd w:id="71"/>
      <w:r>
        <w:rPr>
          <w:rStyle w:val="28"/>
          <w:rFonts w:hint="eastAsia" w:ascii="仿宋" w:hAnsi="仿宋" w:eastAsia="仿宋"/>
          <w:b w:val="0"/>
          <w:bCs w:val="0"/>
        </w:rPr>
        <w:t>国有资本经营预算财政拨款支出决算表</w:t>
      </w:r>
    </w:p>
    <w:p w14:paraId="340BCC3D">
      <w:pPr>
        <w:pStyle w:val="4"/>
        <w:rPr>
          <w:rFonts w:eastAsia="仿宋"/>
        </w:rPr>
      </w:pPr>
      <w:bookmarkStart w:id="72" w:name="_Toc15396631"/>
      <w:r>
        <w:rPr>
          <w:rStyle w:val="28"/>
          <w:rFonts w:hint="eastAsia" w:ascii="仿宋" w:hAnsi="仿宋" w:eastAsia="仿宋"/>
          <w:b w:val="0"/>
          <w:bCs w:val="0"/>
        </w:rPr>
        <w:t>十三、</w:t>
      </w:r>
      <w:bookmarkEnd w:id="72"/>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
    <w:altName w:val="仿宋"/>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5138BF7">
        <w:pPr>
          <w:pStyle w:val="10"/>
          <w:jc w:val="center"/>
        </w:pPr>
        <w:r>
          <w:fldChar w:fldCharType="begin"/>
        </w:r>
        <w:r>
          <w:instrText xml:space="preserve">PAGE   \* MERGEFORMAT</w:instrText>
        </w:r>
        <w:r>
          <w:fldChar w:fldCharType="separate"/>
        </w:r>
        <w:r>
          <w:rPr>
            <w:lang w:val="zh-CN"/>
          </w:rPr>
          <w:t>15</w:t>
        </w:r>
        <w:r>
          <w:fldChar w:fldCharType="end"/>
        </w:r>
      </w:p>
    </w:sdtContent>
  </w:sdt>
  <w:p w14:paraId="09A1331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ACC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3CBBD7DB"/>
    <w:multiLevelType w:val="singleLevel"/>
    <w:tmpl w:val="3CBBD7DB"/>
    <w:lvl w:ilvl="0" w:tentative="0">
      <w:start w:val="3"/>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ZGE4YzEzN2M3NWY1NDc3MjIzMmY5MmMwMGM1ZD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77139"/>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40E5734"/>
    <w:rsid w:val="042633AF"/>
    <w:rsid w:val="06363530"/>
    <w:rsid w:val="06937516"/>
    <w:rsid w:val="069F5975"/>
    <w:rsid w:val="073C31C4"/>
    <w:rsid w:val="081B5E94"/>
    <w:rsid w:val="0929283D"/>
    <w:rsid w:val="0A2032A3"/>
    <w:rsid w:val="0B8A37D8"/>
    <w:rsid w:val="0F5FFB2F"/>
    <w:rsid w:val="0FFFCF60"/>
    <w:rsid w:val="106C0D64"/>
    <w:rsid w:val="10C055FF"/>
    <w:rsid w:val="11436FD4"/>
    <w:rsid w:val="118107EC"/>
    <w:rsid w:val="11B70E14"/>
    <w:rsid w:val="11DD6519"/>
    <w:rsid w:val="12E65FA8"/>
    <w:rsid w:val="13830CE4"/>
    <w:rsid w:val="14226AC5"/>
    <w:rsid w:val="163D12B5"/>
    <w:rsid w:val="16BB723D"/>
    <w:rsid w:val="17E42975"/>
    <w:rsid w:val="18015F3F"/>
    <w:rsid w:val="19DC6298"/>
    <w:rsid w:val="1B671528"/>
    <w:rsid w:val="1BB73AA7"/>
    <w:rsid w:val="1BE8440E"/>
    <w:rsid w:val="1D155CEE"/>
    <w:rsid w:val="1DD401DD"/>
    <w:rsid w:val="1E6A25DB"/>
    <w:rsid w:val="1FDBBF84"/>
    <w:rsid w:val="20F57F95"/>
    <w:rsid w:val="228951FD"/>
    <w:rsid w:val="240371BF"/>
    <w:rsid w:val="251A3303"/>
    <w:rsid w:val="25711CC6"/>
    <w:rsid w:val="25C741E6"/>
    <w:rsid w:val="2705317A"/>
    <w:rsid w:val="271C5D6C"/>
    <w:rsid w:val="276F80C0"/>
    <w:rsid w:val="27842671"/>
    <w:rsid w:val="2940493E"/>
    <w:rsid w:val="29FD04D3"/>
    <w:rsid w:val="2ABE7A3E"/>
    <w:rsid w:val="2AFF09B6"/>
    <w:rsid w:val="2B4A36D2"/>
    <w:rsid w:val="2CA234A8"/>
    <w:rsid w:val="2DE003FC"/>
    <w:rsid w:val="2EFA178C"/>
    <w:rsid w:val="2EFDF86C"/>
    <w:rsid w:val="2F9D17E1"/>
    <w:rsid w:val="30386264"/>
    <w:rsid w:val="30B46D73"/>
    <w:rsid w:val="319F7F4E"/>
    <w:rsid w:val="32D61E6F"/>
    <w:rsid w:val="356A28F1"/>
    <w:rsid w:val="357C035A"/>
    <w:rsid w:val="368E000D"/>
    <w:rsid w:val="369849BD"/>
    <w:rsid w:val="383D272C"/>
    <w:rsid w:val="38F972BE"/>
    <w:rsid w:val="39AE70AB"/>
    <w:rsid w:val="3A4DCE41"/>
    <w:rsid w:val="3BCB56FA"/>
    <w:rsid w:val="3BEE4CBC"/>
    <w:rsid w:val="3C0C0783"/>
    <w:rsid w:val="3C4D13F4"/>
    <w:rsid w:val="3D107066"/>
    <w:rsid w:val="3E2B62CD"/>
    <w:rsid w:val="3EDC6A5F"/>
    <w:rsid w:val="3EE7C2F4"/>
    <w:rsid w:val="3F371B56"/>
    <w:rsid w:val="3F792ED8"/>
    <w:rsid w:val="3F9F3A96"/>
    <w:rsid w:val="3FECA4B2"/>
    <w:rsid w:val="3FF58C48"/>
    <w:rsid w:val="415D232C"/>
    <w:rsid w:val="42FF6694"/>
    <w:rsid w:val="43E066A9"/>
    <w:rsid w:val="48572FD4"/>
    <w:rsid w:val="48BF60AB"/>
    <w:rsid w:val="493C27E9"/>
    <w:rsid w:val="496F39ED"/>
    <w:rsid w:val="49FF41D3"/>
    <w:rsid w:val="4A6022F2"/>
    <w:rsid w:val="4B68207B"/>
    <w:rsid w:val="4BE068DB"/>
    <w:rsid w:val="4BF6002B"/>
    <w:rsid w:val="4BFFC6BE"/>
    <w:rsid w:val="4CAA1F4A"/>
    <w:rsid w:val="4ECE2238"/>
    <w:rsid w:val="4F454F32"/>
    <w:rsid w:val="4F8D008A"/>
    <w:rsid w:val="51025EB1"/>
    <w:rsid w:val="515A169C"/>
    <w:rsid w:val="51AB547E"/>
    <w:rsid w:val="51DB4B86"/>
    <w:rsid w:val="51DE3696"/>
    <w:rsid w:val="51F64DB0"/>
    <w:rsid w:val="53D41C2B"/>
    <w:rsid w:val="55333C3E"/>
    <w:rsid w:val="5AB14E9A"/>
    <w:rsid w:val="5BAA392B"/>
    <w:rsid w:val="5E6957C1"/>
    <w:rsid w:val="5F67802D"/>
    <w:rsid w:val="5F7DC4F2"/>
    <w:rsid w:val="5FB36814"/>
    <w:rsid w:val="5FBB8E56"/>
    <w:rsid w:val="5FFB5535"/>
    <w:rsid w:val="60B05D16"/>
    <w:rsid w:val="61C80A51"/>
    <w:rsid w:val="62EE44E7"/>
    <w:rsid w:val="64CA39A1"/>
    <w:rsid w:val="65656D3D"/>
    <w:rsid w:val="666D1CA7"/>
    <w:rsid w:val="672E668C"/>
    <w:rsid w:val="67370690"/>
    <w:rsid w:val="68465DF0"/>
    <w:rsid w:val="69630ADE"/>
    <w:rsid w:val="69BD5F13"/>
    <w:rsid w:val="69FB0B4B"/>
    <w:rsid w:val="6A15288C"/>
    <w:rsid w:val="6BFFE1FB"/>
    <w:rsid w:val="6C4A05C8"/>
    <w:rsid w:val="6C9A729C"/>
    <w:rsid w:val="6D3B1A89"/>
    <w:rsid w:val="6D993193"/>
    <w:rsid w:val="6DB7D8A3"/>
    <w:rsid w:val="6E7E4832"/>
    <w:rsid w:val="6EC78701"/>
    <w:rsid w:val="6F7A5481"/>
    <w:rsid w:val="6FB645DF"/>
    <w:rsid w:val="6FFE07A9"/>
    <w:rsid w:val="71BF4EC2"/>
    <w:rsid w:val="72734D90"/>
    <w:rsid w:val="73E75B71"/>
    <w:rsid w:val="7412278C"/>
    <w:rsid w:val="74AC4202"/>
    <w:rsid w:val="75DDCDA9"/>
    <w:rsid w:val="75FF44B1"/>
    <w:rsid w:val="77670518"/>
    <w:rsid w:val="777FA627"/>
    <w:rsid w:val="77DF1B5F"/>
    <w:rsid w:val="77EF2D9D"/>
    <w:rsid w:val="7873099C"/>
    <w:rsid w:val="792720A9"/>
    <w:rsid w:val="79BC18F0"/>
    <w:rsid w:val="79E7B28D"/>
    <w:rsid w:val="7ACFF0C2"/>
    <w:rsid w:val="7AFB9108"/>
    <w:rsid w:val="7B246142"/>
    <w:rsid w:val="7B5F075C"/>
    <w:rsid w:val="7BD5340C"/>
    <w:rsid w:val="7BFB19D2"/>
    <w:rsid w:val="7BFD1750"/>
    <w:rsid w:val="7BFDAA1B"/>
    <w:rsid w:val="7CDF9A82"/>
    <w:rsid w:val="7CFFA1BD"/>
    <w:rsid w:val="7D2E3F7A"/>
    <w:rsid w:val="7DED9490"/>
    <w:rsid w:val="7DFF4872"/>
    <w:rsid w:val="7E7487E6"/>
    <w:rsid w:val="7E7C2A54"/>
    <w:rsid w:val="7EEEFD72"/>
    <w:rsid w:val="7F160BF6"/>
    <w:rsid w:val="7F1D517C"/>
    <w:rsid w:val="7F596D35"/>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0"/>
    <w:autoRedefine/>
    <w:semiHidden/>
    <w:unhideWhenUsed/>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autoRedefine/>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30011;&#2227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30011;&#2227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Lenovo\Desktop\&#30011;&#2227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30011;&#2227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30011;&#2227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30011;&#2227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[画图.xls]Sheet1!$A$1:$A$2</c:f>
              <c:strCache>
                <c:ptCount val="2"/>
                <c:pt idx="0">
                  <c:v>2023年收入、支出</c:v>
                </c:pt>
                <c:pt idx="1">
                  <c:v>2022年收入、支出</c:v>
                </c:pt>
              </c:strCache>
            </c:strRef>
          </c:cat>
          <c:val>
            <c:numRef>
              <c:f>[画图.xls]Sheet1!$B$1:$B$2</c:f>
              <c:numCache>
                <c:formatCode>General</c:formatCode>
                <c:ptCount val="2"/>
                <c:pt idx="0">
                  <c:v>107.21</c:v>
                </c:pt>
                <c:pt idx="1">
                  <c:v>91.15</c:v>
                </c:pt>
              </c:numCache>
            </c:numRef>
          </c:val>
        </c:ser>
        <c:dLbls>
          <c:showLegendKey val="0"/>
          <c:showVal val="0"/>
          <c:showCatName val="0"/>
          <c:showSerName val="0"/>
          <c:showPercent val="0"/>
          <c:showBubbleSize val="0"/>
        </c:dLbls>
        <c:gapWidth val="246"/>
        <c:overlap val="-28"/>
        <c:axId val="70762624"/>
        <c:axId val="328623747"/>
      </c:barChart>
      <c:catAx>
        <c:axId val="707626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623747"/>
        <c:crosses val="autoZero"/>
        <c:auto val="1"/>
        <c:lblAlgn val="ctr"/>
        <c:lblOffset val="100"/>
        <c:noMultiLvlLbl val="0"/>
      </c:catAx>
      <c:valAx>
        <c:axId val="32862374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762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864a6c1-4512-49ec-b7bd-cb642a10614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manualLayout>
          <c:xMode val="edge"/>
          <c:yMode val="edge"/>
          <c:x val="0.432403297400127"/>
          <c:y val="0.0097560975609756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一般公共预算财政拨款收入</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100</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政府性基金预算财政拨款收入</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0.46</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[画图.xls]Sheet1!$A$1:$A$2</c:f>
              <c:strCache>
                <c:ptCount val="2"/>
                <c:pt idx="0">
                  <c:v>一般公共预算财政拨款收入</c:v>
                </c:pt>
              </c:strCache>
            </c:strRef>
          </c:cat>
          <c:val>
            <c:numRef>
              <c:f>[画图.xls]Sheet1!$B$1:$B$2</c:f>
              <c:numCache>
                <c:formatCode>General</c:formatCode>
                <c:ptCount val="2"/>
                <c:pt idx="0">
                  <c:v>107.21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e46bbc05-8697-490f-8379-e969610f54c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52.57</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47.43</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[画图.xls]Sheet1!$A$1:$A$2</c:f>
              <c:strCache>
                <c:ptCount val="2"/>
                <c:pt idx="0">
                  <c:v>基本支出</c:v>
                </c:pt>
                <c:pt idx="1">
                  <c:v>项目支出</c:v>
                </c:pt>
              </c:strCache>
            </c:strRef>
          </c:cat>
          <c:val>
            <c:numRef>
              <c:f>[画图.xls]Sheet1!$B$1:$B$2</c:f>
              <c:numCache>
                <c:formatCode>General</c:formatCode>
                <c:ptCount val="2"/>
                <c:pt idx="0">
                  <c:v>56.36</c:v>
                </c:pt>
                <c:pt idx="1">
                  <c:v>50.85</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41ae0979-8eac-48d3-a29e-90313665f30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manualLayout>
          <c:xMode val="edge"/>
          <c:yMode val="edge"/>
          <c:x val="0.214342105263158"/>
          <c:y val="0.0208333333333333"/>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[画图.xls]Sheet1!$A$1:$A$2</c:f>
              <c:strCache>
                <c:ptCount val="2"/>
                <c:pt idx="0">
                  <c:v>2023年</c:v>
                </c:pt>
                <c:pt idx="1">
                  <c:v>2022年</c:v>
                </c:pt>
              </c:strCache>
            </c:strRef>
          </c:cat>
          <c:val>
            <c:numRef>
              <c:f>[画图.xls]Sheet1!$B$1:$B$2</c:f>
              <c:numCache>
                <c:formatCode>General</c:formatCode>
                <c:ptCount val="2"/>
                <c:pt idx="0">
                  <c:v>107.21</c:v>
                </c:pt>
                <c:pt idx="1">
                  <c:v>91.15</c:v>
                </c:pt>
              </c:numCache>
            </c:numRef>
          </c:val>
        </c:ser>
        <c:dLbls>
          <c:showLegendKey val="0"/>
          <c:showVal val="0"/>
          <c:showCatName val="0"/>
          <c:showSerName val="0"/>
          <c:showPercent val="0"/>
          <c:showBubbleSize val="0"/>
        </c:dLbls>
        <c:gapWidth val="246"/>
        <c:overlap val="-28"/>
        <c:axId val="70762624"/>
        <c:axId val="328623747"/>
      </c:barChart>
      <c:catAx>
        <c:axId val="707626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623747"/>
        <c:crosses val="autoZero"/>
        <c:auto val="1"/>
        <c:lblAlgn val="ctr"/>
        <c:lblOffset val="100"/>
        <c:noMultiLvlLbl val="0"/>
      </c:catAx>
      <c:valAx>
        <c:axId val="32862374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762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274d90b-e4d0-4dd4-88b7-bca41b2d9ae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manualLayout>
          <c:xMode val="edge"/>
          <c:yMode val="edge"/>
          <c:x val="0.214342105263158"/>
          <c:y val="0.0208333333333333"/>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[画图.xls]Sheet1!$A$1:$A$2</c:f>
              <c:strCache>
                <c:ptCount val="2"/>
                <c:pt idx="0">
                  <c:v>2023年</c:v>
                </c:pt>
                <c:pt idx="1">
                  <c:v>2022年</c:v>
                </c:pt>
              </c:strCache>
            </c:strRef>
          </c:cat>
          <c:val>
            <c:numRef>
              <c:f>[画图.xls]Sheet1!$B$1:$B$2</c:f>
              <c:numCache>
                <c:formatCode>General</c:formatCode>
                <c:ptCount val="2"/>
                <c:pt idx="0">
                  <c:v>107.21</c:v>
                </c:pt>
                <c:pt idx="1">
                  <c:v>91.15</c:v>
                </c:pt>
              </c:numCache>
            </c:numRef>
          </c:val>
        </c:ser>
        <c:dLbls>
          <c:showLegendKey val="0"/>
          <c:showVal val="0"/>
          <c:showCatName val="0"/>
          <c:showSerName val="0"/>
          <c:showPercent val="0"/>
          <c:showBubbleSize val="0"/>
        </c:dLbls>
        <c:gapWidth val="246"/>
        <c:overlap val="-28"/>
        <c:axId val="70762624"/>
        <c:axId val="328623747"/>
      </c:barChart>
      <c:catAx>
        <c:axId val="707626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623747"/>
        <c:crosses val="autoZero"/>
        <c:auto val="1"/>
        <c:lblAlgn val="ctr"/>
        <c:lblOffset val="100"/>
        <c:noMultiLvlLbl val="0"/>
      </c:catAx>
      <c:valAx>
        <c:axId val="32862374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762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39be62d-9555-44d4-a416-b7ab0c1ed4d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社会保障和就业支出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98.22</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卫生健康支出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1.78</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441042354726305"/>
                  <c:y val="0.33303375049795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住房保障支出0</a:t>
                    </a:r>
                    <a:r>
                      <a:rPr lang="en-US" altLang="zh-CN"/>
                      <a:t>.27</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[画图.xls]Sheet1!$A$1:$A$3</c:f>
              <c:strCache>
                <c:ptCount val="3"/>
                <c:pt idx="0">
                  <c:v>社会保障和就业支出</c:v>
                </c:pt>
                <c:pt idx="1">
                  <c:v>卫生健康支出</c:v>
                </c:pt>
              </c:strCache>
            </c:strRef>
          </c:cat>
          <c:val>
            <c:numRef>
              <c:f>[画图.xls]Sheet1!$B$1:$B$3</c:f>
              <c:numCache>
                <c:formatCode>General</c:formatCode>
                <c:ptCount val="3"/>
                <c:pt idx="0">
                  <c:v>105.3</c:v>
                </c:pt>
                <c:pt idx="1">
                  <c:v>1.9</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2d35f7e7-62b8-4661-8dd4-766c4a0e23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公务用车购置及运行维护费支出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公务接待费支出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8.85</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公务用车购置及运行维护费支出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100</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[画图.xls]Sheet1!$A$1:$A$2</c:f>
              <c:strCache>
                <c:ptCount val="2"/>
                <c:pt idx="1">
                  <c:v>公务用车购置及运行维护费支出</c:v>
                </c:pt>
              </c:strCache>
            </c:strRef>
          </c:cat>
          <c:val>
            <c:numRef>
              <c:f>[画图.xls]Sheet1!$B$1:$B$2</c:f>
              <c:numCache>
                <c:formatCode>General</c:formatCode>
                <c:ptCount val="2"/>
                <c:pt idx="1">
                  <c:v>0.74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8c3b021c-0f66-4b7c-bc33-c24cfe6801b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5166</Words>
  <Characters>5598</Characters>
  <Lines>54</Lines>
  <Paragraphs>15</Paragraphs>
  <TotalTime>2</TotalTime>
  <ScaleCrop>false</ScaleCrop>
  <LinksUpToDate>false</LinksUpToDate>
  <CharactersWithSpaces>5614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2024-10-22T09:00:41Z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