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06267"/>
      <w:bookmarkStart w:id="1" w:name="_Toc15396597"/>
      <w:bookmarkStart w:id="2" w:name="_Toc15396475"/>
      <w:bookmarkStart w:id="3" w:name="_Toc15377193"/>
      <w:bookmarkStart w:id="4" w:name="_Toc15377425"/>
      <w:bookmarkStart w:id="5" w:name="_Toc15378441"/>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1959"/>
      <w:bookmarkStart w:id="7" w:name="_Toc30986"/>
      <w:bookmarkStart w:id="8" w:name="_Toc26098"/>
      <w:bookmarkStart w:id="9" w:name="_Toc13550"/>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年度</w:t>
      </w:r>
      <w:bookmarkEnd w:id="6"/>
      <w:bookmarkEnd w:id="7"/>
      <w:bookmarkEnd w:id="8"/>
      <w:bookmarkEnd w:id="9"/>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0" w:name="_Toc30445"/>
      <w:bookmarkStart w:id="11" w:name="_Toc4274"/>
      <w:bookmarkStart w:id="12" w:name="_Toc2381"/>
      <w:bookmarkStart w:id="13" w:name="_Toc11800"/>
      <w:r>
        <w:rPr>
          <w:rFonts w:hint="eastAsia" w:ascii="方正小标宋简体" w:hAnsi="方正小标宋简体" w:eastAsia="方正小标宋简体" w:cs="方正小标宋简体"/>
          <w:sz w:val="72"/>
          <w:szCs w:val="72"/>
        </w:rPr>
        <w:t>大竹县</w:t>
      </w:r>
      <w:bookmarkEnd w:id="10"/>
      <w:bookmarkEnd w:id="11"/>
      <w:bookmarkEnd w:id="12"/>
      <w:bookmarkEnd w:id="13"/>
      <w:r>
        <w:rPr>
          <w:rFonts w:hint="eastAsia" w:ascii="方正小标宋简体" w:hAnsi="方正小标宋简体" w:eastAsia="方正小标宋简体" w:cs="方正小标宋简体"/>
          <w:sz w:val="72"/>
          <w:szCs w:val="72"/>
        </w:rPr>
        <w:t>中峰中学</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18845"/>
      <w:bookmarkStart w:id="15" w:name="_Toc9725"/>
      <w:bookmarkStart w:id="16" w:name="_Toc10496"/>
      <w:bookmarkStart w:id="17" w:name="_Toc252"/>
      <w:r>
        <w:rPr>
          <w:rFonts w:hint="eastAsia" w:ascii="方正小标宋简体" w:hAnsi="方正小标宋简体" w:eastAsia="方正小标宋简体" w:cs="方正小标宋简体"/>
          <w:sz w:val="72"/>
          <w:szCs w:val="72"/>
        </w:rPr>
        <w:t>单位决算</w:t>
      </w:r>
      <w:bookmarkEnd w:id="14"/>
      <w:bookmarkEnd w:id="15"/>
      <w:bookmarkEnd w:id="16"/>
      <w:bookmarkEnd w:id="17"/>
    </w:p>
    <w:p>
      <w:pPr>
        <w:pStyle w:val="7"/>
        <w:spacing w:before="93"/>
      </w:pPr>
    </w:p>
    <w:bookmarkEnd w:id="0"/>
    <w:bookmarkEnd w:id="1"/>
    <w:bookmarkEnd w:id="2"/>
    <w:bookmarkEnd w:id="3"/>
    <w:bookmarkEnd w:id="4"/>
    <w:bookmarkEnd w:id="5"/>
    <w:p>
      <w:pPr>
        <w:pStyle w:val="2"/>
      </w:pPr>
    </w:p>
    <w:p>
      <w:pPr>
        <w:pStyle w:val="2"/>
        <w:rPr>
          <w:rFonts w:hint="eastAsia"/>
        </w:rPr>
      </w:pPr>
    </w:p>
    <w:p>
      <w:pPr>
        <w:pStyle w:val="2"/>
      </w:pPr>
    </w:p>
    <w:p>
      <w:pPr>
        <w:pStyle w:val="2"/>
      </w:pPr>
    </w:p>
    <w:p>
      <w:pPr>
        <w:pStyle w:val="2"/>
      </w:pPr>
    </w:p>
    <w:p>
      <w:pPr>
        <w:pStyle w:val="2"/>
      </w:pPr>
    </w:p>
    <w:p>
      <w:pPr>
        <w:pStyle w:val="2"/>
      </w:pPr>
    </w:p>
    <w:p>
      <w:pPr>
        <w:pStyle w:val="2"/>
        <w:tabs>
          <w:tab w:val="left" w:pos="3600"/>
        </w:tabs>
        <w:ind w:firstLine="0"/>
      </w:pPr>
      <w: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bookmarkStart w:id="18" w:name="_Toc15377196"/>
    </w:p>
    <w:p>
      <w:pPr>
        <w:pStyle w:val="12"/>
        <w:rPr>
          <w:rFonts w:hint="eastAsia"/>
        </w:rPr>
      </w:pPr>
      <w:r>
        <w:rPr>
          <w:rFonts w:hint="eastAsia"/>
        </w:rPr>
        <w:t>公开时间：202</w:t>
      </w:r>
      <w:r>
        <w:rPr>
          <w:rFonts w:hint="eastAsia"/>
          <w:lang w:val="en-US" w:eastAsia="zh-CN"/>
        </w:rPr>
        <w:t>4</w:t>
      </w:r>
      <w:r>
        <w:rPr>
          <w:rFonts w:hint="eastAsia"/>
        </w:rPr>
        <w:t>年10月</w:t>
      </w:r>
      <w:r>
        <w:rPr>
          <w:rFonts w:hint="eastAsia"/>
          <w:lang w:val="en-US" w:eastAsia="zh-CN"/>
        </w:rPr>
        <w:t>18</w:t>
      </w:r>
      <w:r>
        <w:rPr>
          <w:rFonts w:hint="eastAsia"/>
        </w:rPr>
        <w:t>日</w:t>
      </w:r>
    </w:p>
    <w:p>
      <w:pPr>
        <w:pStyle w:val="12"/>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fldChar w:fldCharType="begin"/>
      </w:r>
      <w:r>
        <w:instrText xml:space="preserve"> HYPERLINK \l "_Toc3368" </w:instrText>
      </w:r>
      <w:r>
        <w:fldChar w:fldCharType="separate"/>
      </w:r>
      <w:r>
        <w:rPr>
          <w:rFonts w:hint="eastAsia" w:ascii="黑体" w:hAnsi="黑体" w:eastAsia="黑体" w:cs="黑体"/>
        </w:rPr>
        <w:t>第一部分 单位</w:t>
      </w:r>
      <w:r>
        <w:rPr>
          <w:rFonts w:ascii="黑体" w:hAnsi="黑体" w:eastAsia="黑体" w:cs="黑体"/>
        </w:rPr>
        <w:t>概况</w:t>
      </w:r>
      <w:r>
        <w:tab/>
      </w:r>
      <w:r>
        <w:fldChar w:fldCharType="begin"/>
      </w:r>
      <w:r>
        <w:instrText xml:space="preserve"> PAGEREF _Toc3368 \h </w:instrText>
      </w:r>
      <w:r>
        <w:fldChar w:fldCharType="separate"/>
      </w:r>
      <w:r>
        <w:t>3</w:t>
      </w:r>
      <w:r>
        <w:fldChar w:fldCharType="end"/>
      </w:r>
      <w:r>
        <w:fldChar w:fldCharType="end"/>
      </w:r>
    </w:p>
    <w:p>
      <w:pPr>
        <w:pStyle w:val="14"/>
        <w:tabs>
          <w:tab w:val="right" w:leader="dot" w:pos="8306"/>
          <w:tab w:val="clear" w:pos="8296"/>
        </w:tabs>
        <w:ind w:left="400"/>
      </w:pPr>
      <w:r>
        <w:fldChar w:fldCharType="begin"/>
      </w:r>
      <w:r>
        <w:instrText xml:space="preserve"> HYPERLINK \l "_Toc4126" </w:instrText>
      </w:r>
      <w:r>
        <w:fldChar w:fldCharType="separate"/>
      </w:r>
      <w:r>
        <w:rPr>
          <w:rFonts w:hint="eastAsia" w:ascii="黑体" w:eastAsia="黑体"/>
        </w:rPr>
        <w:t>一、</w:t>
      </w:r>
      <w:r>
        <w:rPr>
          <w:rFonts w:ascii="黑体" w:eastAsia="黑体" w:cs="黑体"/>
        </w:rPr>
        <w:t>主要职责</w:t>
      </w:r>
      <w:r>
        <w:tab/>
      </w:r>
      <w:r>
        <w:fldChar w:fldCharType="begin"/>
      </w:r>
      <w:r>
        <w:instrText xml:space="preserve"> PAGEREF _Toc4126 \h </w:instrText>
      </w:r>
      <w:r>
        <w:fldChar w:fldCharType="separate"/>
      </w:r>
      <w:r>
        <w:t>3</w:t>
      </w:r>
      <w:r>
        <w:fldChar w:fldCharType="end"/>
      </w:r>
      <w:r>
        <w:fldChar w:fldCharType="end"/>
      </w:r>
    </w:p>
    <w:p>
      <w:pPr>
        <w:pStyle w:val="14"/>
        <w:tabs>
          <w:tab w:val="right" w:leader="dot" w:pos="8306"/>
          <w:tab w:val="clear" w:pos="8296"/>
        </w:tabs>
        <w:ind w:left="400"/>
      </w:pPr>
      <w:r>
        <w:fldChar w:fldCharType="begin"/>
      </w:r>
      <w:r>
        <w:instrText xml:space="preserve"> HYPERLINK \l "_Toc5389" </w:instrText>
      </w:r>
      <w:r>
        <w:fldChar w:fldCharType="separate"/>
      </w:r>
      <w:r>
        <w:rPr>
          <w:rFonts w:hint="eastAsia" w:ascii="黑体" w:eastAsia="黑体"/>
        </w:rPr>
        <w:t>二、机构设置</w:t>
      </w:r>
      <w:r>
        <w:tab/>
      </w:r>
      <w:r>
        <w:fldChar w:fldCharType="begin"/>
      </w:r>
      <w:r>
        <w:instrText xml:space="preserve"> PAGEREF _Toc5389 \h </w:instrText>
      </w:r>
      <w:r>
        <w:fldChar w:fldCharType="separate"/>
      </w:r>
      <w:r>
        <w:t>3</w:t>
      </w:r>
      <w:r>
        <w:fldChar w:fldCharType="end"/>
      </w:r>
      <w:r>
        <w:fldChar w:fldCharType="end"/>
      </w:r>
    </w:p>
    <w:p>
      <w:pPr>
        <w:pStyle w:val="12"/>
        <w:tabs>
          <w:tab w:val="right" w:leader="dot" w:pos="8306"/>
          <w:tab w:val="clear" w:pos="8296"/>
        </w:tabs>
      </w:pPr>
      <w:r>
        <w:fldChar w:fldCharType="begin"/>
      </w:r>
      <w:r>
        <w:instrText xml:space="preserve"> HYPERLINK \l "_Toc4730" </w:instrText>
      </w:r>
      <w: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rPr>
        <w:t>年度</w:t>
      </w:r>
      <w:r>
        <w:rPr>
          <w:rFonts w:hint="eastAsia" w:ascii="黑体" w:hAnsi="黑体" w:eastAsia="黑体" w:cs="黑体"/>
        </w:rPr>
        <w:t>单位决算情况说明</w:t>
      </w:r>
      <w:r>
        <w:tab/>
      </w:r>
      <w:r>
        <w:fldChar w:fldCharType="begin"/>
      </w:r>
      <w:r>
        <w:instrText xml:space="preserve"> PAGEREF _Toc4730 \h </w:instrText>
      </w:r>
      <w:r>
        <w:fldChar w:fldCharType="separate"/>
      </w:r>
      <w:r>
        <w:t>4</w:t>
      </w:r>
      <w:r>
        <w:fldChar w:fldCharType="end"/>
      </w:r>
      <w:r>
        <w:fldChar w:fldCharType="end"/>
      </w:r>
    </w:p>
    <w:p>
      <w:pPr>
        <w:pStyle w:val="14"/>
        <w:tabs>
          <w:tab w:val="right" w:leader="dot" w:pos="8306"/>
          <w:tab w:val="clear" w:pos="8296"/>
        </w:tabs>
        <w:ind w:left="400"/>
      </w:pPr>
      <w:r>
        <w:fldChar w:fldCharType="begin"/>
      </w:r>
      <w:r>
        <w:instrText xml:space="preserve"> HYPERLINK \l "_Toc5235" </w:instrText>
      </w:r>
      <w:r>
        <w:fldChar w:fldCharType="separate"/>
      </w:r>
      <w:r>
        <w:rPr>
          <w:rFonts w:hint="eastAsia" w:ascii="黑体" w:eastAsia="黑体"/>
        </w:rPr>
        <w:t>一、收入支出决算总体情况说明</w:t>
      </w:r>
      <w:r>
        <w:tab/>
      </w:r>
      <w:r>
        <w:fldChar w:fldCharType="begin"/>
      </w:r>
      <w:r>
        <w:instrText xml:space="preserve"> PAGEREF _Toc5235 \h </w:instrText>
      </w:r>
      <w:r>
        <w:fldChar w:fldCharType="separate"/>
      </w:r>
      <w:r>
        <w:t>4</w:t>
      </w:r>
      <w:r>
        <w:fldChar w:fldCharType="end"/>
      </w:r>
      <w:r>
        <w:fldChar w:fldCharType="end"/>
      </w:r>
    </w:p>
    <w:p>
      <w:pPr>
        <w:pStyle w:val="14"/>
        <w:tabs>
          <w:tab w:val="right" w:leader="dot" w:pos="8306"/>
          <w:tab w:val="clear" w:pos="8296"/>
        </w:tabs>
        <w:ind w:left="400"/>
      </w:pPr>
      <w:r>
        <w:fldChar w:fldCharType="begin"/>
      </w:r>
      <w:r>
        <w:instrText xml:space="preserve"> HYPERLINK \l "_Toc762" </w:instrText>
      </w:r>
      <w:r>
        <w:fldChar w:fldCharType="separate"/>
      </w:r>
      <w:r>
        <w:rPr>
          <w:rFonts w:hint="eastAsia" w:ascii="黑体" w:eastAsia="黑体"/>
        </w:rPr>
        <w:t>二、收入决算情况说明</w:t>
      </w:r>
      <w:r>
        <w:tab/>
      </w:r>
      <w:r>
        <w:fldChar w:fldCharType="begin"/>
      </w:r>
      <w:r>
        <w:instrText xml:space="preserve"> PAGEREF _Toc762 \h </w:instrText>
      </w:r>
      <w:r>
        <w:fldChar w:fldCharType="separate"/>
      </w:r>
      <w:r>
        <w:t>4</w:t>
      </w:r>
      <w:r>
        <w:fldChar w:fldCharType="end"/>
      </w:r>
      <w:r>
        <w:fldChar w:fldCharType="end"/>
      </w:r>
    </w:p>
    <w:p>
      <w:pPr>
        <w:pStyle w:val="14"/>
        <w:tabs>
          <w:tab w:val="right" w:leader="dot" w:pos="8306"/>
          <w:tab w:val="clear" w:pos="8296"/>
        </w:tabs>
        <w:ind w:left="400"/>
      </w:pPr>
      <w:r>
        <w:fldChar w:fldCharType="begin"/>
      </w:r>
      <w:r>
        <w:instrText xml:space="preserve"> HYPERLINK \l "_Toc28797" </w:instrText>
      </w:r>
      <w:r>
        <w:fldChar w:fldCharType="separate"/>
      </w:r>
      <w:r>
        <w:rPr>
          <w:rFonts w:hint="eastAsia" w:ascii="黑体" w:eastAsia="黑体"/>
        </w:rPr>
        <w:t>三、支出决算情况说明</w:t>
      </w:r>
      <w:r>
        <w:tab/>
      </w:r>
      <w:r>
        <w:fldChar w:fldCharType="begin"/>
      </w:r>
      <w:r>
        <w:instrText xml:space="preserve"> PAGEREF _Toc28797 \h </w:instrText>
      </w:r>
      <w:r>
        <w:fldChar w:fldCharType="separate"/>
      </w:r>
      <w:r>
        <w:t>5</w:t>
      </w:r>
      <w:r>
        <w:fldChar w:fldCharType="end"/>
      </w:r>
      <w:r>
        <w:fldChar w:fldCharType="end"/>
      </w:r>
    </w:p>
    <w:p>
      <w:pPr>
        <w:pStyle w:val="14"/>
        <w:tabs>
          <w:tab w:val="right" w:leader="dot" w:pos="8306"/>
          <w:tab w:val="clear" w:pos="8296"/>
        </w:tabs>
        <w:ind w:left="400"/>
      </w:pPr>
      <w:r>
        <w:fldChar w:fldCharType="begin"/>
      </w:r>
      <w:r>
        <w:instrText xml:space="preserve"> HYPERLINK \l "_Toc31069" </w:instrText>
      </w:r>
      <w:r>
        <w:fldChar w:fldCharType="separate"/>
      </w:r>
      <w:r>
        <w:rPr>
          <w:rFonts w:hint="eastAsia" w:ascii="黑体" w:eastAsia="黑体"/>
        </w:rPr>
        <w:t>四、财政拨款收入支出决算总体情况说明</w:t>
      </w:r>
      <w:r>
        <w:tab/>
      </w:r>
      <w:r>
        <w:fldChar w:fldCharType="begin"/>
      </w:r>
      <w:r>
        <w:instrText xml:space="preserve"> PAGEREF _Toc31069 \h </w:instrText>
      </w:r>
      <w:r>
        <w:fldChar w:fldCharType="separate"/>
      </w:r>
      <w:r>
        <w:t>6</w:t>
      </w:r>
      <w:r>
        <w:fldChar w:fldCharType="end"/>
      </w:r>
      <w:r>
        <w:fldChar w:fldCharType="end"/>
      </w:r>
    </w:p>
    <w:p>
      <w:pPr>
        <w:pStyle w:val="14"/>
        <w:tabs>
          <w:tab w:val="right" w:leader="dot" w:pos="8306"/>
          <w:tab w:val="clear" w:pos="8296"/>
        </w:tabs>
        <w:ind w:left="400"/>
      </w:pPr>
      <w:r>
        <w:fldChar w:fldCharType="begin"/>
      </w:r>
      <w:r>
        <w:instrText xml:space="preserve"> HYPERLINK \l "_Toc13426" </w:instrText>
      </w:r>
      <w:r>
        <w:fldChar w:fldCharType="separate"/>
      </w:r>
      <w:r>
        <w:rPr>
          <w:rFonts w:hint="eastAsia" w:ascii="黑体" w:eastAsia="黑体"/>
        </w:rPr>
        <w:t>五、一般公共预算财政拨款支出决算情况说明</w:t>
      </w:r>
      <w:r>
        <w:tab/>
      </w:r>
      <w:r>
        <w:fldChar w:fldCharType="begin"/>
      </w:r>
      <w:r>
        <w:instrText xml:space="preserve"> PAGEREF _Toc13426 \h </w:instrText>
      </w:r>
      <w:r>
        <w:fldChar w:fldCharType="separate"/>
      </w:r>
      <w:r>
        <w:t>7</w:t>
      </w:r>
      <w:r>
        <w:fldChar w:fldCharType="end"/>
      </w:r>
      <w:r>
        <w:fldChar w:fldCharType="end"/>
      </w:r>
    </w:p>
    <w:p>
      <w:pPr>
        <w:pStyle w:val="14"/>
        <w:tabs>
          <w:tab w:val="right" w:leader="dot" w:pos="8306"/>
          <w:tab w:val="clear" w:pos="8296"/>
        </w:tabs>
        <w:ind w:left="400"/>
      </w:pPr>
      <w:r>
        <w:fldChar w:fldCharType="begin"/>
      </w:r>
      <w:r>
        <w:instrText xml:space="preserve"> HYPERLINK \l "_Toc25675" </w:instrText>
      </w:r>
      <w:r>
        <w:fldChar w:fldCharType="separate"/>
      </w:r>
      <w:r>
        <w:rPr>
          <w:rFonts w:hint="eastAsia" w:ascii="黑体" w:eastAsia="黑体"/>
        </w:rPr>
        <w:t>六、一般公共预算财政拨款基本支出决算情况说明</w:t>
      </w:r>
      <w:r>
        <w:tab/>
      </w:r>
      <w:r>
        <w:fldChar w:fldCharType="begin"/>
      </w:r>
      <w:r>
        <w:instrText xml:space="preserve"> PAGEREF _Toc25675 \h </w:instrText>
      </w:r>
      <w:r>
        <w:fldChar w:fldCharType="separate"/>
      </w:r>
      <w:r>
        <w:t>10</w:t>
      </w:r>
      <w:r>
        <w:fldChar w:fldCharType="end"/>
      </w:r>
      <w:r>
        <w:fldChar w:fldCharType="end"/>
      </w:r>
    </w:p>
    <w:p>
      <w:pPr>
        <w:pStyle w:val="14"/>
        <w:tabs>
          <w:tab w:val="right" w:leader="dot" w:pos="8306"/>
          <w:tab w:val="clear" w:pos="8296"/>
        </w:tabs>
        <w:ind w:left="400"/>
      </w:pPr>
      <w:r>
        <w:fldChar w:fldCharType="begin"/>
      </w:r>
      <w:r>
        <w:instrText xml:space="preserve"> HYPERLINK \l "_Toc19176" </w:instrText>
      </w:r>
      <w:r>
        <w:fldChar w:fldCharType="separate"/>
      </w:r>
      <w:r>
        <w:rPr>
          <w:rFonts w:hint="eastAsia" w:ascii="黑体" w:eastAsia="黑体"/>
        </w:rPr>
        <w:t>七、“三公”经费财政拨款支出决算情况说明</w:t>
      </w:r>
      <w:r>
        <w:tab/>
      </w:r>
      <w:r>
        <w:fldChar w:fldCharType="begin"/>
      </w:r>
      <w:r>
        <w:instrText xml:space="preserve"> PAGEREF _Toc19176 \h </w:instrText>
      </w:r>
      <w:r>
        <w:fldChar w:fldCharType="separate"/>
      </w:r>
      <w:r>
        <w:t>11</w:t>
      </w:r>
      <w:r>
        <w:fldChar w:fldCharType="end"/>
      </w:r>
      <w:r>
        <w:fldChar w:fldCharType="end"/>
      </w:r>
    </w:p>
    <w:p>
      <w:pPr>
        <w:pStyle w:val="14"/>
        <w:tabs>
          <w:tab w:val="right" w:leader="dot" w:pos="8306"/>
          <w:tab w:val="clear" w:pos="8296"/>
        </w:tabs>
        <w:ind w:left="400"/>
      </w:pPr>
      <w:r>
        <w:fldChar w:fldCharType="begin"/>
      </w:r>
      <w:r>
        <w:instrText xml:space="preserve"> HYPERLINK \l "_Toc10308" </w:instrText>
      </w:r>
      <w:r>
        <w:fldChar w:fldCharType="separate"/>
      </w:r>
      <w:r>
        <w:rPr>
          <w:rFonts w:hint="eastAsia" w:ascii="黑体" w:eastAsia="黑体"/>
        </w:rPr>
        <w:t>八、政府性基金预算支出决算情况说明</w:t>
      </w:r>
      <w:r>
        <w:tab/>
      </w:r>
      <w:r>
        <w:fldChar w:fldCharType="begin"/>
      </w:r>
      <w:r>
        <w:instrText xml:space="preserve"> PAGEREF _Toc10308 \h </w:instrText>
      </w:r>
      <w:r>
        <w:fldChar w:fldCharType="separate"/>
      </w:r>
      <w:r>
        <w:t>12</w:t>
      </w:r>
      <w:r>
        <w:fldChar w:fldCharType="end"/>
      </w:r>
      <w:r>
        <w:fldChar w:fldCharType="end"/>
      </w:r>
    </w:p>
    <w:p>
      <w:pPr>
        <w:pStyle w:val="14"/>
        <w:tabs>
          <w:tab w:val="right" w:leader="dot" w:pos="8306"/>
          <w:tab w:val="clear" w:pos="8296"/>
        </w:tabs>
        <w:ind w:left="400"/>
      </w:pPr>
      <w:r>
        <w:fldChar w:fldCharType="begin"/>
      </w:r>
      <w:r>
        <w:instrText xml:space="preserve"> HYPERLINK \l "_Toc16770" </w:instrText>
      </w:r>
      <w:r>
        <w:fldChar w:fldCharType="separate"/>
      </w:r>
      <w:r>
        <w:rPr>
          <w:rFonts w:hint="eastAsia" w:ascii="黑体" w:eastAsia="黑体"/>
        </w:rPr>
        <w:t>九、国有资本经营预算支出决算情况说明</w:t>
      </w:r>
      <w:r>
        <w:tab/>
      </w:r>
      <w:r>
        <w:fldChar w:fldCharType="begin"/>
      </w:r>
      <w:r>
        <w:instrText xml:space="preserve"> PAGEREF _Toc16770 \h </w:instrText>
      </w:r>
      <w:r>
        <w:fldChar w:fldCharType="separate"/>
      </w:r>
      <w:r>
        <w:t>12</w:t>
      </w:r>
      <w:r>
        <w:fldChar w:fldCharType="end"/>
      </w:r>
      <w:r>
        <w:fldChar w:fldCharType="end"/>
      </w:r>
    </w:p>
    <w:p>
      <w:pPr>
        <w:pStyle w:val="14"/>
        <w:tabs>
          <w:tab w:val="right" w:leader="dot" w:pos="8306"/>
          <w:tab w:val="clear" w:pos="8296"/>
        </w:tabs>
        <w:ind w:left="400"/>
      </w:pPr>
      <w:r>
        <w:fldChar w:fldCharType="begin"/>
      </w:r>
      <w:r>
        <w:instrText xml:space="preserve"> HYPERLINK \l "_Toc29441" </w:instrText>
      </w:r>
      <w:r>
        <w:fldChar w:fldCharType="separate"/>
      </w:r>
      <w:r>
        <w:rPr>
          <w:rFonts w:hint="eastAsia" w:ascii="黑体" w:eastAsia="黑体"/>
        </w:rPr>
        <w:t>十、其他重要事项的情况说明</w:t>
      </w:r>
      <w:r>
        <w:tab/>
      </w:r>
      <w:r>
        <w:fldChar w:fldCharType="begin"/>
      </w:r>
      <w:r>
        <w:instrText xml:space="preserve"> PAGEREF _Toc29441 \h </w:instrText>
      </w:r>
      <w:r>
        <w:fldChar w:fldCharType="separate"/>
      </w:r>
      <w:r>
        <w:t>13</w:t>
      </w:r>
      <w:r>
        <w:fldChar w:fldCharType="end"/>
      </w:r>
      <w:r>
        <w:fldChar w:fldCharType="end"/>
      </w:r>
    </w:p>
    <w:p>
      <w:pPr>
        <w:pStyle w:val="12"/>
        <w:tabs>
          <w:tab w:val="right" w:leader="dot" w:pos="8306"/>
          <w:tab w:val="clear" w:pos="8296"/>
        </w:tabs>
      </w:pPr>
      <w:r>
        <w:fldChar w:fldCharType="begin"/>
      </w:r>
      <w:r>
        <w:instrText xml:space="preserve"> HYPERLINK \l "_Toc29516" </w:instrText>
      </w:r>
      <w:r>
        <w:fldChar w:fldCharType="separate"/>
      </w:r>
      <w:r>
        <w:rPr>
          <w:rFonts w:hint="eastAsia" w:ascii="黑体" w:hAnsi="黑体" w:eastAsia="黑体" w:cs="黑体"/>
        </w:rPr>
        <w:t>第三部分 名词解释</w:t>
      </w:r>
      <w:r>
        <w:tab/>
      </w:r>
      <w:r>
        <w:fldChar w:fldCharType="begin"/>
      </w:r>
      <w:r>
        <w:instrText xml:space="preserve"> PAGEREF _Toc29516 \h </w:instrText>
      </w:r>
      <w:r>
        <w:fldChar w:fldCharType="separate"/>
      </w:r>
      <w:r>
        <w:t>14</w:t>
      </w:r>
      <w:r>
        <w:fldChar w:fldCharType="end"/>
      </w:r>
      <w:r>
        <w:fldChar w:fldCharType="end"/>
      </w:r>
    </w:p>
    <w:p>
      <w:pPr>
        <w:pStyle w:val="12"/>
        <w:tabs>
          <w:tab w:val="right" w:leader="dot" w:pos="8306"/>
          <w:tab w:val="clear" w:pos="8296"/>
        </w:tabs>
      </w:pPr>
      <w:r>
        <w:fldChar w:fldCharType="begin"/>
      </w:r>
      <w:r>
        <w:instrText xml:space="preserve"> HYPERLINK \l "_Toc20167" </w:instrText>
      </w:r>
      <w:r>
        <w:fldChar w:fldCharType="separate"/>
      </w:r>
      <w:r>
        <w:rPr>
          <w:rFonts w:hint="eastAsia" w:ascii="黑体" w:hAnsi="黑体" w:eastAsia="黑体" w:cs="黑体"/>
        </w:rPr>
        <w:t>第四部分 附件</w:t>
      </w:r>
      <w:r>
        <w:tab/>
      </w:r>
      <w:r>
        <w:fldChar w:fldCharType="begin"/>
      </w:r>
      <w:r>
        <w:instrText xml:space="preserve"> PAGEREF _Toc20167 \h </w:instrText>
      </w:r>
      <w:r>
        <w:fldChar w:fldCharType="separate"/>
      </w:r>
      <w:r>
        <w:t>18</w:t>
      </w:r>
      <w:r>
        <w:fldChar w:fldCharType="end"/>
      </w:r>
      <w:r>
        <w:fldChar w:fldCharType="end"/>
      </w:r>
    </w:p>
    <w:p>
      <w:pPr>
        <w:pStyle w:val="12"/>
        <w:tabs>
          <w:tab w:val="right" w:leader="dot" w:pos="8306"/>
          <w:tab w:val="clear" w:pos="8296"/>
        </w:tabs>
      </w:pPr>
      <w:r>
        <w:fldChar w:fldCharType="begin"/>
      </w:r>
      <w:r>
        <w:instrText xml:space="preserve"> HYPERLINK \l "_Toc5939" </w:instrText>
      </w:r>
      <w:r>
        <w:fldChar w:fldCharType="separate"/>
      </w:r>
      <w:r>
        <w:rPr>
          <w:rFonts w:hint="eastAsia" w:ascii="黑体" w:hAnsi="黑体" w:eastAsia="黑体" w:cs="黑体"/>
        </w:rPr>
        <w:t>第五部分 附表</w:t>
      </w:r>
      <w:r>
        <w:tab/>
      </w:r>
      <w:r>
        <w:fldChar w:fldCharType="begin"/>
      </w:r>
      <w:r>
        <w:instrText xml:space="preserve"> PAGEREF _Toc5939 \h </w:instrText>
      </w:r>
      <w:r>
        <w:fldChar w:fldCharType="separate"/>
      </w:r>
      <w:r>
        <w:t>20</w:t>
      </w:r>
      <w:r>
        <w:fldChar w:fldCharType="end"/>
      </w:r>
      <w:r>
        <w:fldChar w:fldCharType="end"/>
      </w:r>
    </w:p>
    <w:p>
      <w:pPr>
        <w:pStyle w:val="14"/>
        <w:tabs>
          <w:tab w:val="right" w:leader="dot" w:pos="8306"/>
          <w:tab w:val="clear" w:pos="8296"/>
        </w:tabs>
        <w:ind w:left="400"/>
      </w:pPr>
      <w:r>
        <w:fldChar w:fldCharType="begin"/>
      </w:r>
      <w:r>
        <w:instrText xml:space="preserve"> HYPERLINK \l "_Toc7558" </w:instrText>
      </w:r>
      <w:r>
        <w:fldChar w:fldCharType="separate"/>
      </w:r>
      <w:r>
        <w:rPr>
          <w:rFonts w:hint="eastAsia" w:ascii="黑体" w:eastAsia="黑体"/>
        </w:rPr>
        <w:t>一、收入支出决算总表</w:t>
      </w:r>
      <w:r>
        <w:tab/>
      </w:r>
      <w:r>
        <w:fldChar w:fldCharType="begin"/>
      </w:r>
      <w:r>
        <w:instrText xml:space="preserve"> PAGEREF _Toc7558 \h </w:instrText>
      </w:r>
      <w:r>
        <w:fldChar w:fldCharType="separate"/>
      </w:r>
      <w:r>
        <w:t>20</w:t>
      </w:r>
      <w:r>
        <w:fldChar w:fldCharType="end"/>
      </w:r>
      <w:r>
        <w:fldChar w:fldCharType="end"/>
      </w:r>
    </w:p>
    <w:p>
      <w:pPr>
        <w:pStyle w:val="14"/>
        <w:tabs>
          <w:tab w:val="right" w:leader="dot" w:pos="8306"/>
          <w:tab w:val="clear" w:pos="8296"/>
        </w:tabs>
        <w:ind w:left="400"/>
      </w:pPr>
      <w:r>
        <w:fldChar w:fldCharType="begin"/>
      </w:r>
      <w:r>
        <w:instrText xml:space="preserve"> HYPERLINK \l "_Toc23357" </w:instrText>
      </w:r>
      <w:r>
        <w:fldChar w:fldCharType="separate"/>
      </w:r>
      <w:r>
        <w:rPr>
          <w:rFonts w:hint="eastAsia" w:ascii="黑体" w:eastAsia="黑体"/>
        </w:rPr>
        <w:t>二、收入决算表</w:t>
      </w:r>
      <w:r>
        <w:tab/>
      </w:r>
      <w:r>
        <w:fldChar w:fldCharType="begin"/>
      </w:r>
      <w:r>
        <w:instrText xml:space="preserve"> PAGEREF _Toc23357 \h </w:instrText>
      </w:r>
      <w:r>
        <w:fldChar w:fldCharType="separate"/>
      </w:r>
      <w:r>
        <w:t>20</w:t>
      </w:r>
      <w:r>
        <w:fldChar w:fldCharType="end"/>
      </w:r>
      <w:r>
        <w:fldChar w:fldCharType="end"/>
      </w:r>
    </w:p>
    <w:p>
      <w:pPr>
        <w:pStyle w:val="14"/>
        <w:tabs>
          <w:tab w:val="right" w:leader="dot" w:pos="8306"/>
          <w:tab w:val="clear" w:pos="8296"/>
        </w:tabs>
        <w:ind w:left="400"/>
      </w:pPr>
      <w:r>
        <w:fldChar w:fldCharType="begin"/>
      </w:r>
      <w:r>
        <w:instrText xml:space="preserve"> HYPERLINK \l "_Toc8630" </w:instrText>
      </w:r>
      <w:r>
        <w:fldChar w:fldCharType="separate"/>
      </w:r>
      <w:r>
        <w:rPr>
          <w:rFonts w:hint="eastAsia" w:ascii="黑体" w:eastAsia="黑体"/>
        </w:rPr>
        <w:t>三、支出决算表</w:t>
      </w:r>
      <w:r>
        <w:tab/>
      </w:r>
      <w:r>
        <w:fldChar w:fldCharType="begin"/>
      </w:r>
      <w:r>
        <w:instrText xml:space="preserve"> PAGEREF _Toc8630 \h </w:instrText>
      </w:r>
      <w:r>
        <w:fldChar w:fldCharType="separate"/>
      </w:r>
      <w:r>
        <w:t>20</w:t>
      </w:r>
      <w:r>
        <w:fldChar w:fldCharType="end"/>
      </w:r>
      <w:r>
        <w:fldChar w:fldCharType="end"/>
      </w:r>
    </w:p>
    <w:p>
      <w:pPr>
        <w:pStyle w:val="14"/>
        <w:tabs>
          <w:tab w:val="right" w:leader="dot" w:pos="8306"/>
          <w:tab w:val="clear" w:pos="8296"/>
        </w:tabs>
        <w:ind w:left="400"/>
      </w:pPr>
      <w:r>
        <w:fldChar w:fldCharType="begin"/>
      </w:r>
      <w:r>
        <w:instrText xml:space="preserve"> HYPERLINK \l "_Toc14945" </w:instrText>
      </w:r>
      <w:r>
        <w:fldChar w:fldCharType="separate"/>
      </w:r>
      <w:r>
        <w:rPr>
          <w:rFonts w:hint="eastAsia" w:ascii="黑体" w:eastAsia="黑体"/>
        </w:rPr>
        <w:t>四、财政拨款收入支出决算总表</w:t>
      </w:r>
      <w:r>
        <w:tab/>
      </w:r>
      <w:r>
        <w:fldChar w:fldCharType="begin"/>
      </w:r>
      <w:r>
        <w:instrText xml:space="preserve"> PAGEREF _Toc14945 \h </w:instrText>
      </w:r>
      <w:r>
        <w:fldChar w:fldCharType="separate"/>
      </w:r>
      <w:r>
        <w:t>20</w:t>
      </w:r>
      <w:r>
        <w:fldChar w:fldCharType="end"/>
      </w:r>
      <w:r>
        <w:fldChar w:fldCharType="end"/>
      </w:r>
    </w:p>
    <w:p>
      <w:pPr>
        <w:pStyle w:val="14"/>
        <w:tabs>
          <w:tab w:val="right" w:leader="dot" w:pos="8306"/>
          <w:tab w:val="clear" w:pos="8296"/>
        </w:tabs>
        <w:ind w:left="400"/>
      </w:pPr>
      <w:r>
        <w:fldChar w:fldCharType="begin"/>
      </w:r>
      <w:r>
        <w:instrText xml:space="preserve"> HYPERLINK \l "_Toc11086" </w:instrText>
      </w:r>
      <w:r>
        <w:fldChar w:fldCharType="separate"/>
      </w:r>
      <w:r>
        <w:rPr>
          <w:rFonts w:hint="eastAsia" w:ascii="黑体" w:eastAsia="黑体"/>
        </w:rPr>
        <w:t>五、财政拨款支出决算明细表</w:t>
      </w:r>
      <w:r>
        <w:tab/>
      </w:r>
      <w:r>
        <w:fldChar w:fldCharType="begin"/>
      </w:r>
      <w:r>
        <w:instrText xml:space="preserve"> PAGEREF _Toc11086 \h </w:instrText>
      </w:r>
      <w:r>
        <w:fldChar w:fldCharType="separate"/>
      </w:r>
      <w:r>
        <w:t>20</w:t>
      </w:r>
      <w:r>
        <w:fldChar w:fldCharType="end"/>
      </w:r>
      <w:r>
        <w:fldChar w:fldCharType="end"/>
      </w:r>
    </w:p>
    <w:p>
      <w:pPr>
        <w:pStyle w:val="14"/>
        <w:tabs>
          <w:tab w:val="right" w:leader="dot" w:pos="8306"/>
          <w:tab w:val="clear" w:pos="8296"/>
        </w:tabs>
        <w:ind w:left="400"/>
      </w:pPr>
      <w:r>
        <w:fldChar w:fldCharType="begin"/>
      </w:r>
      <w:r>
        <w:instrText xml:space="preserve"> HYPERLINK \l "_Toc27180" </w:instrText>
      </w:r>
      <w:r>
        <w:fldChar w:fldCharType="separate"/>
      </w:r>
      <w:r>
        <w:rPr>
          <w:rFonts w:hint="eastAsia" w:ascii="黑体" w:eastAsia="黑体"/>
        </w:rPr>
        <w:t>六、一般公共预算财政拨款支出决算表</w:t>
      </w:r>
      <w:r>
        <w:tab/>
      </w:r>
      <w:r>
        <w:fldChar w:fldCharType="begin"/>
      </w:r>
      <w:r>
        <w:instrText xml:space="preserve"> PAGEREF _Toc27180 \h </w:instrText>
      </w:r>
      <w:r>
        <w:fldChar w:fldCharType="separate"/>
      </w:r>
      <w:r>
        <w:t>20</w:t>
      </w:r>
      <w:r>
        <w:fldChar w:fldCharType="end"/>
      </w:r>
      <w:r>
        <w:fldChar w:fldCharType="end"/>
      </w:r>
    </w:p>
    <w:p>
      <w:pPr>
        <w:pStyle w:val="14"/>
        <w:tabs>
          <w:tab w:val="right" w:leader="dot" w:pos="8306"/>
          <w:tab w:val="clear" w:pos="8296"/>
        </w:tabs>
        <w:ind w:left="400"/>
      </w:pPr>
      <w:r>
        <w:fldChar w:fldCharType="begin"/>
      </w:r>
      <w:r>
        <w:instrText xml:space="preserve"> HYPERLINK \l "_Toc29007" </w:instrText>
      </w:r>
      <w:r>
        <w:fldChar w:fldCharType="separate"/>
      </w:r>
      <w:r>
        <w:rPr>
          <w:rFonts w:hint="eastAsia" w:ascii="黑体" w:eastAsia="黑体"/>
        </w:rPr>
        <w:t>七、一般公共预算财政拨款支出决算明细表</w:t>
      </w:r>
      <w:r>
        <w:tab/>
      </w:r>
      <w:r>
        <w:fldChar w:fldCharType="begin"/>
      </w:r>
      <w:r>
        <w:instrText xml:space="preserve"> PAGEREF _Toc29007 \h </w:instrText>
      </w:r>
      <w:r>
        <w:fldChar w:fldCharType="separate"/>
      </w:r>
      <w:r>
        <w:t>20</w:t>
      </w:r>
      <w:r>
        <w:fldChar w:fldCharType="end"/>
      </w:r>
      <w:r>
        <w:fldChar w:fldCharType="end"/>
      </w:r>
    </w:p>
    <w:p>
      <w:pPr>
        <w:pStyle w:val="14"/>
        <w:tabs>
          <w:tab w:val="right" w:leader="dot" w:pos="8306"/>
          <w:tab w:val="clear" w:pos="8296"/>
        </w:tabs>
        <w:ind w:left="400"/>
      </w:pPr>
      <w:r>
        <w:fldChar w:fldCharType="begin"/>
      </w:r>
      <w:r>
        <w:instrText xml:space="preserve"> HYPERLINK \l "_Toc26272" </w:instrText>
      </w:r>
      <w:r>
        <w:fldChar w:fldCharType="separate"/>
      </w:r>
      <w:r>
        <w:rPr>
          <w:rFonts w:hint="eastAsia" w:ascii="黑体" w:eastAsia="黑体"/>
        </w:rPr>
        <w:t>八、一般公共预算财政拨款基本支出决算表</w:t>
      </w:r>
      <w:r>
        <w:tab/>
      </w:r>
      <w:r>
        <w:fldChar w:fldCharType="begin"/>
      </w:r>
      <w:r>
        <w:instrText xml:space="preserve"> PAGEREF _Toc26272 \h </w:instrText>
      </w:r>
      <w:r>
        <w:fldChar w:fldCharType="separate"/>
      </w:r>
      <w:r>
        <w:t>20</w:t>
      </w:r>
      <w:r>
        <w:fldChar w:fldCharType="end"/>
      </w:r>
      <w:r>
        <w:fldChar w:fldCharType="end"/>
      </w:r>
    </w:p>
    <w:p>
      <w:pPr>
        <w:pStyle w:val="14"/>
        <w:tabs>
          <w:tab w:val="right" w:leader="dot" w:pos="8306"/>
          <w:tab w:val="clear" w:pos="8296"/>
        </w:tabs>
        <w:ind w:left="400"/>
      </w:pPr>
      <w:r>
        <w:fldChar w:fldCharType="begin"/>
      </w:r>
      <w:r>
        <w:instrText xml:space="preserve"> HYPERLINK \l "_Toc9392" </w:instrText>
      </w:r>
      <w:r>
        <w:fldChar w:fldCharType="separate"/>
      </w:r>
      <w:r>
        <w:rPr>
          <w:rFonts w:hint="eastAsia" w:ascii="黑体" w:eastAsia="黑体"/>
        </w:rPr>
        <w:t>九、一般公共预算财政拨款项目支出决算表</w:t>
      </w:r>
      <w:r>
        <w:tab/>
      </w:r>
      <w:r>
        <w:fldChar w:fldCharType="begin"/>
      </w:r>
      <w:r>
        <w:instrText xml:space="preserve"> PAGEREF _Toc9392 \h </w:instrText>
      </w:r>
      <w:r>
        <w:fldChar w:fldCharType="separate"/>
      </w:r>
      <w:r>
        <w:t>20</w:t>
      </w:r>
      <w:r>
        <w:fldChar w:fldCharType="end"/>
      </w:r>
      <w:r>
        <w:fldChar w:fldCharType="end"/>
      </w:r>
    </w:p>
    <w:p>
      <w:pPr>
        <w:pStyle w:val="14"/>
        <w:tabs>
          <w:tab w:val="right" w:leader="dot" w:pos="8306"/>
          <w:tab w:val="clear" w:pos="8296"/>
        </w:tabs>
        <w:ind w:left="400"/>
      </w:pPr>
      <w:r>
        <w:fldChar w:fldCharType="begin"/>
      </w:r>
      <w:r>
        <w:instrText xml:space="preserve"> HYPERLINK \l "_Toc5609" </w:instrText>
      </w:r>
      <w:r>
        <w:fldChar w:fldCharType="separate"/>
      </w:r>
      <w:r>
        <w:rPr>
          <w:rFonts w:hint="eastAsia" w:ascii="黑体" w:eastAsia="黑体"/>
        </w:rPr>
        <w:t>十、政府性基金预算财政拨款收入支出决算表</w:t>
      </w:r>
      <w:r>
        <w:tab/>
      </w:r>
      <w:r>
        <w:fldChar w:fldCharType="begin"/>
      </w:r>
      <w:r>
        <w:instrText xml:space="preserve"> PAGEREF _Toc5609 \h </w:instrText>
      </w:r>
      <w:r>
        <w:fldChar w:fldCharType="separate"/>
      </w:r>
      <w:r>
        <w:t>20</w:t>
      </w:r>
      <w:r>
        <w:fldChar w:fldCharType="end"/>
      </w:r>
      <w:r>
        <w:fldChar w:fldCharType="end"/>
      </w:r>
    </w:p>
    <w:p>
      <w:pPr>
        <w:pStyle w:val="14"/>
        <w:tabs>
          <w:tab w:val="right" w:leader="dot" w:pos="8306"/>
          <w:tab w:val="clear" w:pos="8296"/>
        </w:tabs>
        <w:ind w:left="400"/>
      </w:pPr>
      <w:r>
        <w:fldChar w:fldCharType="begin"/>
      </w:r>
      <w:r>
        <w:instrText xml:space="preserve"> HYPERLINK \l "_Toc28596" </w:instrText>
      </w:r>
      <w:r>
        <w:fldChar w:fldCharType="separate"/>
      </w:r>
      <w:r>
        <w:rPr>
          <w:rFonts w:hint="eastAsia" w:ascii="黑体" w:eastAsia="黑体"/>
        </w:rPr>
        <w:t>十一、国有资本经营预算财政拨款收入支出决算表</w:t>
      </w:r>
      <w:r>
        <w:tab/>
      </w:r>
      <w:r>
        <w:fldChar w:fldCharType="begin"/>
      </w:r>
      <w:r>
        <w:instrText xml:space="preserve"> PAGEREF _Toc28596 \h </w:instrText>
      </w:r>
      <w:r>
        <w:fldChar w:fldCharType="separate"/>
      </w:r>
      <w:r>
        <w:t>20</w:t>
      </w:r>
      <w:r>
        <w:fldChar w:fldCharType="end"/>
      </w:r>
      <w:r>
        <w:fldChar w:fldCharType="end"/>
      </w:r>
    </w:p>
    <w:p>
      <w:pPr>
        <w:pStyle w:val="14"/>
        <w:tabs>
          <w:tab w:val="right" w:leader="dot" w:pos="8306"/>
          <w:tab w:val="clear" w:pos="8296"/>
        </w:tabs>
        <w:ind w:left="400"/>
      </w:pPr>
      <w:r>
        <w:fldChar w:fldCharType="begin"/>
      </w:r>
      <w:r>
        <w:instrText xml:space="preserve"> HYPERLINK \l "_Toc2782" </w:instrText>
      </w:r>
      <w:r>
        <w:fldChar w:fldCharType="separate"/>
      </w:r>
      <w:r>
        <w:rPr>
          <w:rFonts w:hint="eastAsia" w:ascii="黑体" w:eastAsia="黑体"/>
        </w:rPr>
        <w:t>十二、国有资本经营预算财政拨款支出决算表</w:t>
      </w:r>
      <w:r>
        <w:tab/>
      </w:r>
      <w:r>
        <w:fldChar w:fldCharType="begin"/>
      </w:r>
      <w:r>
        <w:instrText xml:space="preserve"> PAGEREF _Toc2782 \h </w:instrText>
      </w:r>
      <w:r>
        <w:fldChar w:fldCharType="separate"/>
      </w:r>
      <w:r>
        <w:t>20</w:t>
      </w:r>
      <w:r>
        <w:fldChar w:fldCharType="end"/>
      </w:r>
      <w:r>
        <w:fldChar w:fldCharType="end"/>
      </w:r>
    </w:p>
    <w:p>
      <w:pPr>
        <w:pStyle w:val="14"/>
        <w:tabs>
          <w:tab w:val="right" w:leader="dot" w:pos="8306"/>
          <w:tab w:val="clear" w:pos="8296"/>
        </w:tabs>
        <w:ind w:left="400"/>
      </w:pPr>
      <w:r>
        <w:fldChar w:fldCharType="begin"/>
      </w:r>
      <w:r>
        <w:instrText xml:space="preserve"> HYPERLINK \l "_Toc27892" </w:instrText>
      </w:r>
      <w:r>
        <w:fldChar w:fldCharType="separate"/>
      </w:r>
      <w:r>
        <w:rPr>
          <w:rFonts w:hint="eastAsia" w:ascii="黑体" w:eastAsia="黑体"/>
        </w:rPr>
        <w:t>十三、财政拨款“三公”经费支出决算表</w:t>
      </w:r>
      <w:r>
        <w:tab/>
      </w:r>
      <w:r>
        <w:fldChar w:fldCharType="begin"/>
      </w:r>
      <w:r>
        <w:instrText xml:space="preserve"> PAGEREF _Toc27892 \h </w:instrText>
      </w:r>
      <w:r>
        <w:fldChar w:fldCharType="separate"/>
      </w:r>
      <w:r>
        <w:t>20</w:t>
      </w:r>
      <w:r>
        <w:fldChar w:fldCharType="end"/>
      </w:r>
      <w:r>
        <w:fldChar w:fldCharType="end"/>
      </w:r>
    </w:p>
    <w:p>
      <w:pPr>
        <w:pStyle w:val="2"/>
      </w:pPr>
      <w:r>
        <w:rPr>
          <w:smallCaps/>
        </w:rPr>
        <w:fldChar w:fldCharType="end"/>
      </w:r>
    </w:p>
    <w:p>
      <w:pPr>
        <w:pStyle w:val="3"/>
        <w:jc w:val="center"/>
        <w:rPr>
          <w:rFonts w:ascii="黑体" w:hAnsi="黑体" w:eastAsia="黑体" w:cs="黑体"/>
          <w:b w:val="0"/>
          <w:bCs w:val="0"/>
        </w:rPr>
      </w:pPr>
      <w:bookmarkStart w:id="19" w:name="_Toc3368"/>
      <w:bookmarkStart w:id="20" w:name="_Toc111208495"/>
      <w:r>
        <w:rPr>
          <w:rFonts w:hint="eastAsia" w:ascii="黑体" w:hAnsi="黑体" w:eastAsia="黑体" w:cs="黑体"/>
        </w:rPr>
        <w:t xml:space="preserve">第一部分 </w:t>
      </w:r>
      <w:r>
        <w:rPr>
          <w:rStyle w:val="28"/>
          <w:rFonts w:hint="eastAsia" w:ascii="黑体" w:hAnsi="黑体" w:eastAsia="黑体" w:cs="黑体"/>
          <w:b/>
          <w:bCs w:val="0"/>
        </w:rPr>
        <w:t>单位</w:t>
      </w:r>
      <w:r>
        <w:rPr>
          <w:rStyle w:val="28"/>
          <w:rFonts w:ascii="黑体" w:hAnsi="黑体" w:eastAsia="黑体" w:cs="黑体"/>
          <w:b/>
          <w:bCs w:val="0"/>
        </w:rPr>
        <w:t>概况</w:t>
      </w:r>
      <w:bookmarkEnd w:id="18"/>
      <w:bookmarkEnd w:id="19"/>
      <w:bookmarkEnd w:id="20"/>
    </w:p>
    <w:p>
      <w:pPr>
        <w:pStyle w:val="4"/>
        <w:ind w:firstLine="643" w:firstLineChars="200"/>
        <w:rPr>
          <w:rFonts w:ascii="黑体" w:eastAsia="黑体" w:cs="Times New Roman"/>
          <w:bCs w:val="0"/>
          <w:color w:val="000000"/>
        </w:rPr>
      </w:pPr>
      <w:bookmarkStart w:id="21" w:name="_Toc111208496"/>
      <w:bookmarkStart w:id="22" w:name="_Toc15377197"/>
      <w:bookmarkStart w:id="23" w:name="_Toc4126"/>
      <w:r>
        <w:rPr>
          <w:rFonts w:hint="eastAsia" w:ascii="黑体" w:eastAsia="黑体" w:cs="Times New Roman"/>
          <w:bCs w:val="0"/>
          <w:color w:val="000000"/>
        </w:rPr>
        <w:t>一、</w:t>
      </w:r>
      <w:bookmarkEnd w:id="21"/>
      <w:bookmarkEnd w:id="22"/>
      <w:bookmarkStart w:id="24" w:name="_Toc15377198"/>
      <w:bookmarkStart w:id="25" w:name="_Toc15378445"/>
      <w:r>
        <w:rPr>
          <w:rFonts w:hint="eastAsia" w:ascii="黑体" w:eastAsia="黑体" w:cs="Times New Roman"/>
          <w:bCs w:val="0"/>
          <w:color w:val="000000"/>
        </w:rPr>
        <w:t>主要职责</w:t>
      </w:r>
      <w:bookmarkEnd w:id="23"/>
    </w:p>
    <w:bookmarkEnd w:id="24"/>
    <w:bookmarkEnd w:id="25"/>
    <w:p>
      <w:pPr>
        <w:ind w:firstLine="640" w:firstLineChars="200"/>
        <w:rPr>
          <w:rFonts w:ascii="仿宋" w:hAnsi="仿宋" w:eastAsia="仿宋"/>
          <w:color w:val="000000"/>
          <w:sz w:val="32"/>
          <w:szCs w:val="32"/>
        </w:rPr>
      </w:pPr>
      <w:r>
        <w:rPr>
          <w:rFonts w:ascii="仿宋" w:hAnsi="仿宋" w:eastAsia="仿宋"/>
          <w:color w:val="000000"/>
          <w:sz w:val="32"/>
          <w:szCs w:val="32"/>
        </w:rPr>
        <w:t>宣传贯彻执行党和国家的教育方针、教育政策、教育法律和教育法规，贯彻执行上级教育行政部门的行政规章。根据县委、县政府制定的教育事业发展规划，结合实际制定并组织实施本校的教育事业发展规划。按照九年义务教育课程计划开齐课程开足课时，认真实施初中教育教学管理，全面推进素质教育，全面提高教育教学质量。</w:t>
      </w:r>
      <w:bookmarkStart w:id="26" w:name="_Toc15377200"/>
    </w:p>
    <w:p>
      <w:pPr>
        <w:pStyle w:val="4"/>
        <w:ind w:firstLine="643" w:firstLineChars="200"/>
        <w:rPr>
          <w:rFonts w:ascii="黑体" w:eastAsia="黑体" w:cs="Times New Roman"/>
          <w:bCs w:val="0"/>
          <w:color w:val="000000"/>
        </w:rPr>
      </w:pPr>
      <w:bookmarkStart w:id="27" w:name="_Toc111208497"/>
      <w:bookmarkStart w:id="28" w:name="_Toc5389"/>
      <w:r>
        <w:rPr>
          <w:rFonts w:hint="eastAsia" w:ascii="黑体" w:eastAsia="黑体" w:cs="Times New Roman"/>
          <w:bCs w:val="0"/>
          <w:color w:val="000000"/>
        </w:rPr>
        <w:t>二、机构设置</w:t>
      </w:r>
      <w:bookmarkEnd w:id="26"/>
      <w:bookmarkEnd w:id="27"/>
      <w:bookmarkEnd w:id="28"/>
    </w:p>
    <w:p>
      <w:pPr>
        <w:ind w:firstLine="640" w:firstLineChars="200"/>
        <w:rPr>
          <w:rFonts w:ascii="仿宋" w:hAnsi="仿宋" w:eastAsia="仿宋"/>
          <w:color w:val="000000"/>
          <w:sz w:val="32"/>
          <w:szCs w:val="32"/>
        </w:rPr>
      </w:pPr>
      <w:r>
        <w:rPr>
          <w:rFonts w:ascii="仿宋" w:hAnsi="仿宋" w:eastAsia="仿宋"/>
          <w:color w:val="000000"/>
          <w:sz w:val="32"/>
          <w:szCs w:val="32"/>
        </w:rPr>
        <w:t>大竹县中峰中学为一级预算单位，下属二级预算单位0个，其中行政单位0个，参照公务员法管理的事业单位0个，其他事业单位0个。</w:t>
      </w:r>
    </w:p>
    <w:p>
      <w:pPr>
        <w:widowControl/>
        <w:jc w:val="left"/>
        <w:rPr>
          <w:rFonts w:ascii="仿宋_GB2312" w:hAnsi="黑体" w:eastAsia="仿宋_GB2312"/>
          <w:b/>
          <w:bCs/>
          <w:color w:val="000000"/>
          <w:kern w:val="44"/>
          <w:sz w:val="44"/>
          <w:szCs w:val="44"/>
        </w:rPr>
      </w:pPr>
      <w:bookmarkStart w:id="29" w:name="_Toc15377204"/>
      <w:r>
        <w:rPr>
          <w:rFonts w:ascii="仿宋_GB2312" w:hAnsi="黑体" w:eastAsia="仿宋_GB2312"/>
          <w:color w:val="000000"/>
        </w:rPr>
        <w:br w:type="page"/>
      </w:r>
    </w:p>
    <w:p>
      <w:pPr>
        <w:pStyle w:val="3"/>
        <w:jc w:val="center"/>
        <w:rPr>
          <w:rFonts w:ascii="黑体" w:hAnsi="黑体" w:eastAsia="黑体" w:cs="黑体"/>
        </w:rPr>
      </w:pPr>
      <w:bookmarkStart w:id="30" w:name="_Toc111208498"/>
      <w:bookmarkStart w:id="31" w:name="_Toc4730"/>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w:t>
      </w:r>
      <w:r>
        <w:rPr>
          <w:rFonts w:hint="eastAsia" w:ascii="黑体" w:hAnsi="黑体" w:eastAsia="黑体" w:cs="黑体"/>
          <w:lang w:val="en-US" w:eastAsia="zh-CN"/>
        </w:rPr>
        <w:t>3</w:t>
      </w:r>
      <w:r>
        <w:rPr>
          <w:rFonts w:ascii="黑体" w:hAnsi="黑体" w:eastAsia="黑体" w:cs="黑体"/>
        </w:rPr>
        <w:t>年度</w:t>
      </w:r>
      <w:r>
        <w:rPr>
          <w:rFonts w:hint="eastAsia" w:ascii="黑体" w:hAnsi="黑体" w:eastAsia="黑体" w:cs="黑体"/>
        </w:rPr>
        <w:t>单位决算情况说明</w:t>
      </w:r>
      <w:bookmarkEnd w:id="29"/>
      <w:bookmarkEnd w:id="30"/>
      <w:bookmarkEnd w:id="31"/>
    </w:p>
    <w:p>
      <w:pPr>
        <w:pStyle w:val="4"/>
        <w:ind w:firstLine="643" w:firstLineChars="200"/>
        <w:rPr>
          <w:rFonts w:ascii="黑体" w:eastAsia="黑体" w:cs="Times New Roman"/>
          <w:bCs w:val="0"/>
          <w:color w:val="000000"/>
        </w:rPr>
      </w:pPr>
      <w:bookmarkStart w:id="32" w:name="_Toc15377205"/>
      <w:bookmarkStart w:id="33" w:name="_Toc5235"/>
      <w:bookmarkStart w:id="34" w:name="_Toc111208499"/>
      <w:r>
        <w:rPr>
          <w:rFonts w:hint="eastAsia" w:ascii="黑体" w:eastAsia="黑体" w:cs="Times New Roman"/>
          <w:bCs w:val="0"/>
          <w:color w:val="000000"/>
        </w:rPr>
        <w:t>一、收入支出决算总体情况说</w:t>
      </w:r>
      <w:bookmarkEnd w:id="32"/>
      <w:r>
        <w:rPr>
          <w:rFonts w:hint="eastAsia" w:ascii="黑体" w:eastAsia="黑体" w:cs="Times New Roman"/>
          <w:bCs w:val="0"/>
          <w:color w:val="000000"/>
        </w:rPr>
        <w:t>明</w:t>
      </w:r>
      <w:bookmarkEnd w:id="33"/>
      <w:bookmarkEnd w:id="34"/>
    </w:p>
    <w:p>
      <w:pPr>
        <w:spacing w:line="600" w:lineRule="exact"/>
        <w:ind w:firstLine="640" w:firstLineChars="200"/>
        <w:rPr>
          <w:rFonts w:hint="eastAsia"/>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年度收、支总计1563.86万元。与</w:t>
      </w: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年相比，收、支总计各</w:t>
      </w:r>
      <w:r>
        <w:rPr>
          <w:rFonts w:hint="eastAsia" w:ascii="仿宋" w:hAnsi="仿宋" w:eastAsia="仿宋"/>
          <w:color w:val="000000"/>
          <w:sz w:val="32"/>
          <w:szCs w:val="32"/>
          <w:lang w:val="en-US" w:eastAsia="zh-CN"/>
        </w:rPr>
        <w:t>增加313.77</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增加25.10</w:t>
      </w:r>
      <w:r>
        <w:rPr>
          <w:rFonts w:hint="eastAsia" w:ascii="仿宋" w:hAnsi="仿宋" w:eastAsia="仿宋"/>
          <w:color w:val="000000"/>
          <w:sz w:val="32"/>
          <w:szCs w:val="32"/>
        </w:rPr>
        <w:t xml:space="preserve"> %。</w:t>
      </w:r>
      <w:r>
        <w:rPr>
          <w:rFonts w:ascii="仿宋" w:hAnsi="仿宋" w:eastAsia="仿宋"/>
          <w:color w:val="000000"/>
          <w:sz w:val="32"/>
        </w:rPr>
        <w:t>主要变动原因是项目</w:t>
      </w:r>
      <w:r>
        <w:rPr>
          <w:rFonts w:hint="eastAsia" w:ascii="仿宋" w:hAnsi="仿宋" w:eastAsia="仿宋"/>
          <w:color w:val="000000"/>
          <w:sz w:val="32"/>
          <w:lang w:val="en-US" w:eastAsia="zh-CN"/>
        </w:rPr>
        <w:t>增加</w:t>
      </w:r>
      <w:r>
        <w:rPr>
          <w:rFonts w:ascii="仿宋" w:hAnsi="仿宋" w:eastAsia="仿宋"/>
          <w:color w:val="000000"/>
          <w:sz w:val="32"/>
        </w:rPr>
        <w:t>，部分费用正在报销中，资金尚未支付</w:t>
      </w:r>
      <w:r>
        <w:rPr>
          <w:rFonts w:hint="eastAsia" w:ascii="仿宋" w:hAnsi="仿宋" w:eastAsia="仿宋"/>
          <w:color w:val="000000"/>
          <w:sz w:val="32"/>
          <w:lang w:eastAsia="zh-CN"/>
        </w:rPr>
        <w:t>。</w:t>
      </w:r>
    </w:p>
    <w:p>
      <w:pPr>
        <w:pStyle w:val="2"/>
      </w:pPr>
      <w:r>
        <w:rPr>
          <w:rFonts w:hint="eastAsia" w:ascii="仿宋" w:hAnsi="仿宋" w:eastAsia="仿宋"/>
          <w:color w:val="000000"/>
          <w:sz w:val="32"/>
          <w:szCs w:val="32"/>
        </w:rPr>
        <w:t>（图1：收、支决算总计变动情况图）</w:t>
      </w:r>
    </w:p>
    <w:p>
      <w:pPr>
        <w:pStyle w:val="2"/>
        <w:rPr>
          <w:rFonts w:hint="eastAsia" w:eastAsia="宋体"/>
          <w:lang w:eastAsia="zh-CN"/>
        </w:rPr>
      </w:pPr>
      <w:r>
        <w:rPr>
          <w:rFonts w:hint="eastAsia" w:eastAsia="宋体"/>
          <w:lang w:eastAsia="zh-CN"/>
        </w:rPr>
        <w:drawing>
          <wp:inline distT="0" distB="0" distL="114300" distR="114300">
            <wp:extent cx="5256530" cy="2988310"/>
            <wp:effectExtent l="5080" t="4445" r="11430"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3" w:firstLineChars="200"/>
        <w:rPr>
          <w:rFonts w:ascii="黑体" w:eastAsia="黑体" w:cs="Times New Roman"/>
          <w:bCs w:val="0"/>
          <w:color w:val="000000"/>
        </w:rPr>
      </w:pPr>
      <w:bookmarkStart w:id="35" w:name="_Toc111208500"/>
      <w:bookmarkStart w:id="36" w:name="_Toc762"/>
      <w:bookmarkStart w:id="37" w:name="_Toc15377206"/>
      <w:r>
        <w:rPr>
          <w:rFonts w:hint="eastAsia" w:ascii="黑体" w:eastAsia="黑体" w:cs="Times New Roman"/>
          <w:bCs w:val="0"/>
          <w:color w:val="000000"/>
        </w:rPr>
        <w:t>二、收入决算情况说明</w:t>
      </w:r>
      <w:bookmarkEnd w:id="35"/>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ascii="仿宋" w:hAnsi="仿宋" w:eastAsia="仿宋"/>
          <w:color w:val="000000"/>
          <w:sz w:val="32"/>
        </w:rPr>
        <w:t>年本年收入合计</w:t>
      </w:r>
      <w:r>
        <w:rPr>
          <w:rFonts w:hint="eastAsia" w:ascii="仿宋" w:hAnsi="仿宋" w:eastAsia="仿宋"/>
          <w:color w:val="000000"/>
          <w:sz w:val="32"/>
        </w:rPr>
        <w:t>1320.30</w:t>
      </w:r>
      <w:r>
        <w:rPr>
          <w:rFonts w:ascii="仿宋" w:hAnsi="仿宋" w:eastAsia="仿宋"/>
          <w:color w:val="000000"/>
          <w:sz w:val="32"/>
        </w:rPr>
        <w:t>万元，其中：一般公共预算财政拨款收入</w:t>
      </w:r>
      <w:r>
        <w:rPr>
          <w:rFonts w:hint="eastAsia" w:ascii="仿宋" w:hAnsi="仿宋" w:eastAsia="仿宋"/>
          <w:color w:val="000000"/>
          <w:sz w:val="32"/>
        </w:rPr>
        <w:t>1320.30</w:t>
      </w:r>
      <w:r>
        <w:rPr>
          <w:rFonts w:ascii="仿宋" w:hAnsi="仿宋" w:eastAsia="仿宋"/>
          <w:color w:val="000000"/>
          <w:sz w:val="32"/>
        </w:rPr>
        <w:t>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104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3" w:firstLineChars="200"/>
        <w:rPr>
          <w:rFonts w:ascii="黑体" w:eastAsia="黑体" w:cs="Times New Roman"/>
          <w:bCs w:val="0"/>
          <w:color w:val="000000"/>
        </w:rPr>
      </w:pPr>
      <w:bookmarkStart w:id="38" w:name="_Toc111208501"/>
      <w:bookmarkStart w:id="39" w:name="_Toc15377207"/>
      <w:bookmarkStart w:id="40" w:name="_Toc28797"/>
      <w:r>
        <w:rPr>
          <w:rFonts w:hint="eastAsia" w:ascii="黑体" w:eastAsia="黑体" w:cs="Times New Roman"/>
          <w:bCs w:val="0"/>
          <w:color w:val="000000"/>
        </w:rPr>
        <w:t>三、支出决算情况说明</w:t>
      </w:r>
      <w:bookmarkEnd w:id="38"/>
      <w:bookmarkEnd w:id="39"/>
      <w:bookmarkEnd w:id="40"/>
    </w:p>
    <w:p>
      <w:pPr>
        <w:pStyle w:val="2"/>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1563.86</w:t>
      </w:r>
      <w:r>
        <w:rPr>
          <w:rFonts w:ascii="仿宋" w:hAnsi="仿宋" w:eastAsia="仿宋"/>
          <w:color w:val="000000"/>
          <w:sz w:val="32"/>
          <w:szCs w:val="32"/>
        </w:rPr>
        <w:t>万元，其中：基本支出</w:t>
      </w:r>
      <w:r>
        <w:rPr>
          <w:rFonts w:hint="eastAsia" w:ascii="仿宋" w:hAnsi="仿宋" w:eastAsia="仿宋"/>
          <w:color w:val="000000"/>
          <w:sz w:val="32"/>
          <w:szCs w:val="32"/>
        </w:rPr>
        <w:t>1192.39</w:t>
      </w:r>
      <w:r>
        <w:rPr>
          <w:rFonts w:ascii="仿宋" w:hAnsi="仿宋" w:eastAsia="仿宋"/>
          <w:color w:val="000000"/>
          <w:sz w:val="32"/>
          <w:szCs w:val="32"/>
        </w:rPr>
        <w:t>万元，占</w:t>
      </w:r>
      <w:r>
        <w:rPr>
          <w:rFonts w:hint="eastAsia" w:ascii="仿宋" w:hAnsi="仿宋" w:eastAsia="仿宋"/>
          <w:color w:val="000000"/>
          <w:sz w:val="32"/>
          <w:szCs w:val="32"/>
          <w:lang w:val="en-US" w:eastAsia="zh-CN"/>
        </w:rPr>
        <w:t>76.25</w:t>
      </w:r>
      <w:r>
        <w:rPr>
          <w:rFonts w:ascii="仿宋" w:hAnsi="仿宋" w:eastAsia="仿宋"/>
          <w:color w:val="000000"/>
          <w:sz w:val="32"/>
          <w:szCs w:val="32"/>
        </w:rPr>
        <w:t>%；项目支出</w:t>
      </w:r>
      <w:r>
        <w:rPr>
          <w:rFonts w:hint="eastAsia" w:ascii="仿宋" w:hAnsi="仿宋" w:eastAsia="仿宋"/>
          <w:color w:val="000000"/>
          <w:sz w:val="32"/>
          <w:szCs w:val="32"/>
        </w:rPr>
        <w:t>371.47</w:t>
      </w:r>
      <w:r>
        <w:rPr>
          <w:rFonts w:ascii="仿宋" w:hAnsi="仿宋" w:eastAsia="仿宋"/>
          <w:color w:val="000000"/>
          <w:sz w:val="32"/>
          <w:szCs w:val="32"/>
        </w:rPr>
        <w:t>万元，占</w:t>
      </w:r>
      <w:r>
        <w:rPr>
          <w:rFonts w:hint="eastAsia" w:ascii="仿宋" w:hAnsi="仿宋" w:eastAsia="仿宋"/>
          <w:color w:val="000000"/>
          <w:sz w:val="32"/>
          <w:szCs w:val="32"/>
          <w:lang w:val="en-US" w:eastAsia="zh-CN"/>
        </w:rPr>
        <w:t>23.75</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p>
    <w:p>
      <w:pPr>
        <w:pStyle w:val="2"/>
      </w:pPr>
    </w:p>
    <w:p>
      <w:pPr>
        <w:pStyle w:val="4"/>
        <w:ind w:firstLine="643" w:firstLineChars="200"/>
        <w:rPr>
          <w:rFonts w:hint="eastAsia" w:ascii="黑体" w:eastAsia="黑体" w:cs="Times New Roman"/>
          <w:bCs w:val="0"/>
          <w:color w:val="000000"/>
          <w:lang w:eastAsia="zh-CN"/>
        </w:rPr>
      </w:pPr>
      <w:bookmarkStart w:id="41" w:name="_Toc15377208"/>
      <w:bookmarkStart w:id="42" w:name="_Toc31069"/>
      <w:bookmarkStart w:id="43" w:name="_Toc111208502"/>
      <w:r>
        <w:rPr>
          <w:rFonts w:hint="eastAsia" w:ascii="黑体" w:eastAsia="黑体" w:cs="Times New Roman"/>
          <w:bCs w:val="0"/>
          <w:color w:val="000000"/>
          <w:lang w:eastAsia="zh-CN"/>
        </w:rPr>
        <w:drawing>
          <wp:inline distT="0" distB="0" distL="114300" distR="114300">
            <wp:extent cx="5256530" cy="2988310"/>
            <wp:effectExtent l="5080" t="4445" r="11430" b="40005"/>
            <wp:docPr id="13" name="图表 13" descr="7b0a202020202263686172745265734964223a2022323034373538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ind w:firstLine="643" w:firstLineChars="200"/>
        <w:rPr>
          <w:rFonts w:ascii="黑体" w:eastAsia="黑体" w:cs="Times New Roman"/>
          <w:bCs w:val="0"/>
          <w:color w:val="000000"/>
        </w:rPr>
      </w:pPr>
      <w:r>
        <w:rPr>
          <w:rFonts w:hint="eastAsia" w:ascii="黑体" w:eastAsia="黑体" w:cs="Times New Roman"/>
          <w:bCs w:val="0"/>
          <w:color w:val="000000"/>
        </w:rPr>
        <w:t>四、财政拨款收入支出决算总体情况说明</w:t>
      </w:r>
      <w:bookmarkEnd w:id="41"/>
      <w:bookmarkEnd w:id="42"/>
      <w:bookmarkEnd w:id="4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年度收、支总计1563.86万元。与</w:t>
      </w: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年相比，收、支总计各</w:t>
      </w:r>
      <w:r>
        <w:rPr>
          <w:rFonts w:hint="eastAsia" w:ascii="仿宋" w:hAnsi="仿宋" w:eastAsia="仿宋"/>
          <w:color w:val="000000"/>
          <w:sz w:val="32"/>
          <w:szCs w:val="32"/>
          <w:lang w:val="en-US" w:eastAsia="zh-CN"/>
        </w:rPr>
        <w:t>增加313.77</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增加25.10</w:t>
      </w:r>
      <w:r>
        <w:rPr>
          <w:rFonts w:hint="eastAsia" w:ascii="仿宋" w:hAnsi="仿宋" w:eastAsia="仿宋"/>
          <w:color w:val="000000"/>
          <w:sz w:val="32"/>
          <w:szCs w:val="32"/>
        </w:rPr>
        <w:t xml:space="preserve"> %。</w:t>
      </w:r>
      <w:r>
        <w:rPr>
          <w:rFonts w:ascii="仿宋" w:hAnsi="仿宋" w:eastAsia="仿宋"/>
          <w:color w:val="000000"/>
          <w:sz w:val="32"/>
        </w:rPr>
        <w:t>主要变动原因是项目减少，部分费用正在报销中，资金尚未支付</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rPr>
          <w:rFonts w:hint="eastAsia" w:eastAsia="宋体"/>
          <w:lang w:eastAsia="zh-CN"/>
        </w:rPr>
      </w:pPr>
      <w:r>
        <w:rPr>
          <w:rFonts w:hint="eastAsia" w:eastAsia="宋体"/>
          <w:lang w:eastAsia="zh-CN"/>
        </w:rPr>
        <w:drawing>
          <wp:inline distT="0" distB="0" distL="114300" distR="114300">
            <wp:extent cx="5256530" cy="2988310"/>
            <wp:effectExtent l="5080" t="4445" r="11430" b="952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left"/>
      </w:pPr>
    </w:p>
    <w:p>
      <w:pPr>
        <w:pStyle w:val="2"/>
        <w:jc w:val="center"/>
      </w:pPr>
    </w:p>
    <w:p>
      <w:pPr>
        <w:pStyle w:val="4"/>
        <w:ind w:firstLine="643" w:firstLineChars="200"/>
        <w:rPr>
          <w:rFonts w:ascii="黑体" w:eastAsia="黑体" w:cs="Times New Roman"/>
          <w:bCs w:val="0"/>
          <w:color w:val="000000"/>
        </w:rPr>
      </w:pPr>
      <w:bookmarkStart w:id="44" w:name="_Toc15377209"/>
      <w:bookmarkStart w:id="45" w:name="_Toc111208503"/>
      <w:bookmarkStart w:id="46" w:name="_Toc13426"/>
      <w:r>
        <w:rPr>
          <w:rFonts w:hint="eastAsia" w:ascii="黑体" w:eastAsia="黑体" w:cs="Times New Roman"/>
          <w:bCs w:val="0"/>
          <w:color w:val="000000"/>
        </w:rPr>
        <w:t>五、一般公共预算财政拨款支出决算情况说</w:t>
      </w:r>
      <w:bookmarkEnd w:id="44"/>
      <w:r>
        <w:rPr>
          <w:rFonts w:hint="eastAsia" w:ascii="黑体" w:eastAsia="黑体" w:cs="Times New Roman"/>
          <w:bCs w:val="0"/>
          <w:color w:val="000000"/>
        </w:rPr>
        <w:t>明</w:t>
      </w:r>
      <w:bookmarkEnd w:id="45"/>
      <w:bookmarkEnd w:id="46"/>
    </w:p>
    <w:p>
      <w:pPr>
        <w:spacing w:line="600" w:lineRule="exact"/>
        <w:ind w:firstLine="643" w:firstLineChars="200"/>
        <w:outlineLvl w:val="2"/>
        <w:rPr>
          <w:rFonts w:ascii="仿宋" w:hAnsi="仿宋" w:eastAsia="仿宋"/>
          <w:b/>
          <w:color w:val="000000"/>
          <w:sz w:val="32"/>
          <w:szCs w:val="32"/>
        </w:rPr>
      </w:pPr>
      <w:bookmarkStart w:id="47" w:name="_Toc15377210"/>
      <w:r>
        <w:rPr>
          <w:rFonts w:hint="eastAsia" w:ascii="仿宋" w:hAnsi="仿宋" w:eastAsia="仿宋"/>
          <w:b/>
          <w:color w:val="000000"/>
          <w:sz w:val="32"/>
          <w:szCs w:val="32"/>
        </w:rPr>
        <w:t>（一）一般公共预算财政拨款支出决算总体情况</w:t>
      </w:r>
      <w:bookmarkEnd w:id="47"/>
    </w:p>
    <w:p>
      <w:pPr>
        <w:spacing w:line="600" w:lineRule="exact"/>
        <w:ind w:firstLine="640" w:firstLineChars="200"/>
        <w:rPr>
          <w:rFonts w:ascii="仿宋_GB2312" w:hAnsi="仿宋" w:eastAsia="仿宋_GB2312"/>
          <w:color w:val="000000"/>
          <w:sz w:val="32"/>
          <w:szCs w:val="32"/>
        </w:rPr>
      </w:pPr>
      <w:bookmarkStart w:id="48" w:name="_Toc15377211"/>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ascii="仿宋" w:hAnsi="仿宋" w:eastAsia="仿宋"/>
          <w:color w:val="000000"/>
          <w:sz w:val="32"/>
        </w:rPr>
        <w:t>年一般公共预算财政拨款支出</w:t>
      </w:r>
      <w:r>
        <w:rPr>
          <w:rFonts w:hint="eastAsia" w:ascii="仿宋" w:hAnsi="仿宋" w:eastAsia="仿宋"/>
          <w:color w:val="000000"/>
          <w:sz w:val="32"/>
        </w:rPr>
        <w:t>1563.86</w:t>
      </w:r>
      <w:r>
        <w:rPr>
          <w:rFonts w:hint="eastAsia" w:ascii="仿宋" w:hAnsi="仿宋" w:eastAsia="仿宋"/>
          <w:color w:val="000000"/>
          <w:sz w:val="32"/>
          <w:szCs w:val="32"/>
        </w:rPr>
        <w:t>万元，占本年支出合计的</w:t>
      </w:r>
      <w:r>
        <w:rPr>
          <w:rFonts w:ascii="仿宋" w:hAnsi="仿宋" w:eastAsia="仿宋"/>
          <w:color w:val="000000"/>
          <w:sz w:val="32"/>
        </w:rPr>
        <w:t>100.00</w:t>
      </w:r>
      <w:r>
        <w:rPr>
          <w:rFonts w:hint="eastAsia" w:ascii="仿宋" w:hAnsi="仿宋" w:eastAsia="仿宋"/>
          <w:color w:val="000000"/>
          <w:sz w:val="32"/>
          <w:szCs w:val="32"/>
        </w:rPr>
        <w:t>%。与</w:t>
      </w:r>
      <w:r>
        <w:rPr>
          <w:rFonts w:ascii="仿宋" w:hAnsi="仿宋" w:eastAsia="仿宋"/>
          <w:color w:val="000000"/>
          <w:sz w:val="32"/>
        </w:rPr>
        <w:t>202</w:t>
      </w:r>
      <w:r>
        <w:rPr>
          <w:rFonts w:hint="eastAsia" w:ascii="仿宋" w:hAnsi="仿宋" w:eastAsia="仿宋"/>
          <w:color w:val="000000"/>
          <w:sz w:val="32"/>
          <w:lang w:val="en-US" w:eastAsia="zh-CN"/>
        </w:rPr>
        <w:t>2</w:t>
      </w:r>
      <w:r>
        <w:rPr>
          <w:rFonts w:ascii="仿宋" w:hAnsi="仿宋" w:eastAsia="仿宋"/>
          <w:color w:val="000000"/>
          <w:sz w:val="32"/>
        </w:rPr>
        <w:t>相比，一般公共预算财政拨款</w:t>
      </w:r>
      <w:r>
        <w:rPr>
          <w:rFonts w:hint="eastAsia" w:ascii="仿宋" w:hAnsi="仿宋" w:eastAsia="仿宋"/>
          <w:color w:val="000000"/>
          <w:sz w:val="32"/>
          <w:lang w:val="en-US" w:eastAsia="zh-CN"/>
        </w:rPr>
        <w:t>增加313.77</w:t>
      </w:r>
      <w:r>
        <w:rPr>
          <w:rFonts w:hint="eastAsia" w:ascii="仿宋" w:hAnsi="仿宋" w:eastAsia="仿宋"/>
          <w:color w:val="000000"/>
          <w:sz w:val="32"/>
          <w:szCs w:val="32"/>
        </w:rPr>
        <w:t>万元，</w:t>
      </w:r>
      <w:r>
        <w:rPr>
          <w:rFonts w:hint="eastAsia" w:ascii="仿宋" w:hAnsi="仿宋" w:eastAsia="仿宋"/>
          <w:color w:val="000000"/>
          <w:sz w:val="32"/>
          <w:lang w:val="en-US" w:eastAsia="zh-CN"/>
        </w:rPr>
        <w:t>增加25.10</w:t>
      </w:r>
      <w:r>
        <w:rPr>
          <w:rFonts w:hint="eastAsia" w:ascii="仿宋" w:hAnsi="仿宋" w:eastAsia="仿宋"/>
          <w:color w:val="000000"/>
          <w:sz w:val="32"/>
          <w:szCs w:val="32"/>
        </w:rPr>
        <w:t>%。</w:t>
      </w:r>
      <w:r>
        <w:rPr>
          <w:rFonts w:ascii="仿宋" w:hAnsi="仿宋" w:eastAsia="仿宋"/>
          <w:color w:val="000000"/>
          <w:sz w:val="32"/>
        </w:rPr>
        <w:t>主要变动原因是项目</w:t>
      </w:r>
      <w:r>
        <w:rPr>
          <w:rFonts w:hint="eastAsia" w:ascii="仿宋" w:hAnsi="仿宋" w:eastAsia="仿宋"/>
          <w:color w:val="000000"/>
          <w:sz w:val="32"/>
          <w:lang w:val="en-US" w:eastAsia="zh-CN"/>
        </w:rPr>
        <w:t>增加</w:t>
      </w:r>
      <w:r>
        <w:rPr>
          <w:rFonts w:ascii="仿宋" w:hAnsi="仿宋" w:eastAsia="仿宋"/>
          <w:color w:val="000000"/>
          <w:sz w:val="32"/>
        </w:rPr>
        <w:t>，部分费用正在报销中，资金尚未支付</w:t>
      </w:r>
    </w:p>
    <w:p>
      <w:pPr>
        <w:pStyle w:val="2"/>
        <w:ind w:firstLine="0"/>
        <w:rPr>
          <w:rFonts w:hint="eastAsia" w:ascii="仿宋_GB2312" w:hAnsi="仿宋" w:eastAsia="仿宋_GB2312"/>
          <w:b/>
          <w:color w:val="000000"/>
          <w:sz w:val="32"/>
          <w:szCs w:val="32"/>
          <w:lang w:eastAsia="zh-CN"/>
        </w:rPr>
      </w:pPr>
      <w:r>
        <w:rPr>
          <w:rFonts w:hint="eastAsia" w:ascii="仿宋_GB2312" w:hAnsi="仿宋" w:eastAsia="仿宋_GB2312"/>
          <w:b/>
          <w:color w:val="000000"/>
          <w:sz w:val="32"/>
          <w:szCs w:val="32"/>
          <w:lang w:eastAsia="zh-CN"/>
        </w:rPr>
        <w:drawing>
          <wp:inline distT="0" distB="0" distL="114300" distR="114300">
            <wp:extent cx="5256530" cy="2988310"/>
            <wp:effectExtent l="5080" t="4445" r="11430" b="952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_GB2312" w:hAnsi="仿宋" w:eastAsia="仿宋_GB2312"/>
          <w:b/>
          <w:color w:val="000000"/>
          <w:sz w:val="32"/>
          <w:szCs w:val="32"/>
        </w:rPr>
      </w:pPr>
      <w:r>
        <w:rPr>
          <w:rFonts w:hint="eastAsia" w:ascii="仿宋" w:hAnsi="仿宋" w:eastAsia="仿宋"/>
          <w:color w:val="000000"/>
          <w:sz w:val="32"/>
          <w:szCs w:val="32"/>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8"/>
      <w:r>
        <w:rPr>
          <w:rFonts w:hint="eastAsia" w:ascii="仿宋" w:hAnsi="仿宋" w:eastAsia="仿宋"/>
          <w:b/>
          <w:color w:val="000000"/>
          <w:sz w:val="32"/>
          <w:szCs w:val="32"/>
        </w:rPr>
        <w:t>（一般公共预算收支表）</w:t>
      </w:r>
    </w:p>
    <w:p>
      <w:pPr>
        <w:spacing w:line="600" w:lineRule="exact"/>
        <w:ind w:firstLine="640" w:firstLineChars="200"/>
        <w:rPr>
          <w:rFonts w:hint="eastAsia" w:ascii="仿宋_GB2312"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ascii="仿宋" w:hAnsi="仿宋" w:eastAsia="仿宋"/>
          <w:color w:val="000000"/>
          <w:sz w:val="32"/>
        </w:rPr>
        <w:t>年一般公共预算财政拨款支出</w:t>
      </w:r>
      <w:r>
        <w:rPr>
          <w:rFonts w:hint="eastAsia" w:ascii="仿宋" w:hAnsi="仿宋" w:eastAsia="仿宋"/>
          <w:color w:val="000000"/>
          <w:sz w:val="32"/>
        </w:rPr>
        <w:t>1563.86</w:t>
      </w:r>
      <w:r>
        <w:rPr>
          <w:rFonts w:hint="eastAsia" w:ascii="仿宋" w:hAnsi="仿宋" w:eastAsia="仿宋"/>
          <w:color w:val="000000"/>
          <w:sz w:val="32"/>
          <w:szCs w:val="32"/>
        </w:rPr>
        <w:t xml:space="preserve">万元，主要用于以下方面: </w:t>
      </w:r>
      <w:r>
        <w:rPr>
          <w:rFonts w:ascii="仿宋" w:hAnsi="仿宋" w:eastAsia="仿宋"/>
          <w:color w:val="000000"/>
          <w:sz w:val="32"/>
        </w:rPr>
        <w:t>教育支出</w:t>
      </w:r>
      <w:r>
        <w:rPr>
          <w:rFonts w:hint="eastAsia" w:ascii="仿宋" w:hAnsi="仿宋" w:eastAsia="仿宋"/>
          <w:color w:val="000000"/>
          <w:sz w:val="32"/>
        </w:rPr>
        <w:t>1324.74</w:t>
      </w:r>
      <w:r>
        <w:rPr>
          <w:rFonts w:ascii="仿宋" w:hAnsi="仿宋" w:eastAsia="仿宋"/>
          <w:color w:val="000000"/>
          <w:sz w:val="32"/>
        </w:rPr>
        <w:t>万元，占84.</w:t>
      </w:r>
      <w:r>
        <w:rPr>
          <w:rFonts w:hint="eastAsia" w:ascii="仿宋" w:hAnsi="仿宋" w:eastAsia="仿宋"/>
          <w:color w:val="000000"/>
          <w:sz w:val="32"/>
          <w:lang w:val="en-US" w:eastAsia="zh-CN"/>
        </w:rPr>
        <w:t>71</w:t>
      </w:r>
      <w:r>
        <w:rPr>
          <w:rFonts w:ascii="仿宋" w:hAnsi="仿宋" w:eastAsia="仿宋"/>
          <w:color w:val="000000"/>
          <w:sz w:val="32"/>
        </w:rPr>
        <w:t>%；社会保障和就业支出</w:t>
      </w:r>
      <w:r>
        <w:rPr>
          <w:rFonts w:hint="eastAsia" w:ascii="仿宋" w:hAnsi="仿宋" w:eastAsia="仿宋"/>
          <w:color w:val="000000"/>
          <w:sz w:val="32"/>
        </w:rPr>
        <w:t>152.21</w:t>
      </w:r>
      <w:r>
        <w:rPr>
          <w:rFonts w:ascii="仿宋" w:hAnsi="仿宋" w:eastAsia="仿宋"/>
          <w:color w:val="000000"/>
          <w:sz w:val="32"/>
        </w:rPr>
        <w:t>万元，占</w:t>
      </w:r>
      <w:r>
        <w:rPr>
          <w:rFonts w:hint="eastAsia" w:ascii="仿宋" w:hAnsi="仿宋" w:eastAsia="仿宋"/>
          <w:color w:val="000000"/>
          <w:sz w:val="32"/>
          <w:lang w:val="en-US" w:eastAsia="zh-CN"/>
        </w:rPr>
        <w:t>9.73</w:t>
      </w:r>
      <w:r>
        <w:rPr>
          <w:rFonts w:ascii="仿宋" w:hAnsi="仿宋" w:eastAsia="仿宋"/>
          <w:color w:val="000000"/>
          <w:sz w:val="32"/>
        </w:rPr>
        <w:t>%；卫生健康支出</w:t>
      </w:r>
      <w:r>
        <w:rPr>
          <w:rFonts w:hint="eastAsia" w:ascii="仿宋" w:hAnsi="仿宋" w:eastAsia="仿宋"/>
          <w:color w:val="000000"/>
          <w:sz w:val="32"/>
        </w:rPr>
        <w:t>44.16</w:t>
      </w:r>
      <w:r>
        <w:rPr>
          <w:rFonts w:ascii="仿宋" w:hAnsi="仿宋" w:eastAsia="仿宋"/>
          <w:color w:val="000000"/>
          <w:sz w:val="32"/>
        </w:rPr>
        <w:t>万元，占</w:t>
      </w:r>
      <w:r>
        <w:rPr>
          <w:rFonts w:hint="eastAsia" w:ascii="仿宋" w:hAnsi="仿宋" w:eastAsia="仿宋"/>
          <w:color w:val="000000"/>
          <w:sz w:val="32"/>
          <w:lang w:val="en-US" w:eastAsia="zh-CN"/>
        </w:rPr>
        <w:t>2.82</w:t>
      </w:r>
      <w:r>
        <w:rPr>
          <w:rFonts w:ascii="仿宋" w:hAnsi="仿宋" w:eastAsia="仿宋"/>
          <w:color w:val="000000"/>
          <w:sz w:val="32"/>
        </w:rPr>
        <w:t>%；住房保障支出</w:t>
      </w:r>
      <w:r>
        <w:rPr>
          <w:rFonts w:hint="eastAsia" w:ascii="仿宋" w:hAnsi="仿宋" w:eastAsia="仿宋"/>
          <w:color w:val="000000"/>
          <w:sz w:val="32"/>
          <w:lang w:val="en-US" w:eastAsia="zh-CN"/>
        </w:rPr>
        <w:t>42.76</w:t>
      </w:r>
      <w:r>
        <w:rPr>
          <w:rFonts w:ascii="仿宋" w:hAnsi="仿宋" w:eastAsia="仿宋"/>
          <w:color w:val="000000"/>
          <w:sz w:val="32"/>
        </w:rPr>
        <w:t>万元，占</w:t>
      </w:r>
      <w:r>
        <w:rPr>
          <w:rFonts w:hint="eastAsia" w:ascii="仿宋" w:hAnsi="仿宋" w:eastAsia="仿宋"/>
          <w:color w:val="000000"/>
          <w:sz w:val="32"/>
          <w:lang w:val="en-US" w:eastAsia="zh-CN"/>
        </w:rPr>
        <w:t>2.73</w:t>
      </w:r>
      <w:r>
        <w:rPr>
          <w:rFonts w:ascii="仿宋" w:hAnsi="仿宋" w:eastAsia="仿宋"/>
          <w:color w:val="000000"/>
          <w:sz w:val="32"/>
        </w:rPr>
        <w:t>%</w:t>
      </w:r>
      <w:r>
        <w:rPr>
          <w:rFonts w:hint="eastAsia" w:ascii="仿宋" w:hAnsi="仿宋" w:eastAsia="仿宋"/>
          <w:color w:val="000000"/>
          <w:sz w:val="32"/>
          <w:lang w:eastAsia="zh-CN"/>
        </w:rPr>
        <w:t>。</w:t>
      </w:r>
    </w:p>
    <w:p>
      <w:pPr>
        <w:spacing w:line="600" w:lineRule="exact"/>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9" w:name="_Toc15377212"/>
    </w:p>
    <w:p>
      <w:pPr>
        <w:pStyle w:val="2"/>
        <w:rPr>
          <w:rFonts w:hint="eastAsia" w:eastAsia="宋体"/>
          <w:lang w:eastAsia="zh-CN"/>
        </w:rPr>
      </w:pPr>
      <w:r>
        <w:rPr>
          <w:rFonts w:hint="eastAsia" w:eastAsia="宋体"/>
          <w:lang w:eastAsia="zh-CN"/>
        </w:rPr>
        <w:drawing>
          <wp:inline distT="0" distB="0" distL="114300" distR="114300">
            <wp:extent cx="5256530" cy="2988310"/>
            <wp:effectExtent l="5080" t="4445" r="11430" b="40005"/>
            <wp:docPr id="18" name="图表 18"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9"/>
    </w:p>
    <w:p>
      <w:pPr>
        <w:spacing w:line="600" w:lineRule="exact"/>
        <w:ind w:firstLine="640"/>
        <w:rPr>
          <w:rFonts w:ascii="仿宋" w:hAnsi="仿宋" w:eastAsia="仿宋"/>
          <w:color w:val="000000"/>
          <w:sz w:val="32"/>
          <w:szCs w:val="32"/>
        </w:rPr>
      </w:pPr>
      <w:bookmarkStart w:id="50" w:name="_Toc15377213"/>
      <w:bookmarkStart w:id="51" w:name="_Toc15377444"/>
      <w:bookmarkStart w:id="52" w:name="_Toc15378460"/>
      <w:r>
        <w:rPr>
          <w:rFonts w:hint="eastAsia" w:ascii="仿宋" w:hAnsi="仿宋" w:eastAsia="仿宋"/>
          <w:color w:val="000000"/>
          <w:sz w:val="32"/>
          <w:szCs w:val="32"/>
        </w:rPr>
        <w:t>2022</w:t>
      </w:r>
      <w:r>
        <w:rPr>
          <w:rFonts w:ascii="仿宋" w:hAnsi="仿宋" w:eastAsia="仿宋"/>
          <w:color w:val="000000"/>
          <w:sz w:val="32"/>
        </w:rPr>
        <w:t>年一般公共预算支出决算数为</w:t>
      </w:r>
      <w:r>
        <w:rPr>
          <w:rFonts w:hint="eastAsia" w:ascii="仿宋" w:hAnsi="仿宋" w:eastAsia="仿宋"/>
          <w:color w:val="000000"/>
          <w:sz w:val="32"/>
        </w:rPr>
        <w:t>1563.86</w:t>
      </w:r>
      <w:r>
        <w:rPr>
          <w:rFonts w:hint="eastAsia" w:ascii="仿宋" w:hAnsi="仿宋" w:eastAsia="仿宋"/>
          <w:color w:val="000000"/>
          <w:sz w:val="32"/>
          <w:szCs w:val="32"/>
        </w:rPr>
        <w:t>万元，完成预算100%。其中：</w:t>
      </w:r>
      <w:bookmarkEnd w:id="50"/>
      <w:bookmarkEnd w:id="51"/>
      <w:bookmarkEnd w:id="52"/>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1.教育支出（205）普通教育（20502）初中教育（2050203）支出决算</w:t>
      </w:r>
      <w:r>
        <w:rPr>
          <w:rFonts w:hint="eastAsia" w:ascii="仿宋" w:hAnsi="仿宋" w:eastAsia="仿宋"/>
          <w:color w:val="000000"/>
          <w:sz w:val="32"/>
        </w:rPr>
        <w:t>1324.74</w:t>
      </w:r>
      <w:r>
        <w:rPr>
          <w:rFonts w:hint="eastAsia" w:ascii="仿宋" w:hAnsi="仿宋" w:eastAsia="仿宋"/>
          <w:color w:val="000000"/>
          <w:sz w:val="32"/>
          <w:szCs w:val="32"/>
        </w:rPr>
        <w:t>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2.社会保障和就业支出（208）行政事业单位养老支出（20805）机关事业单位基本养老保险缴费支出（2080505）支出决算</w:t>
      </w:r>
      <w:r>
        <w:rPr>
          <w:rFonts w:hint="eastAsia" w:ascii="仿宋" w:hAnsi="仿宋" w:eastAsia="仿宋"/>
          <w:color w:val="000000"/>
          <w:sz w:val="32"/>
        </w:rPr>
        <w:t>63.74</w:t>
      </w:r>
      <w:r>
        <w:rPr>
          <w:rFonts w:hint="eastAsia" w:ascii="仿宋" w:hAnsi="仿宋" w:eastAsia="仿宋"/>
          <w:color w:val="000000"/>
          <w:sz w:val="32"/>
          <w:szCs w:val="32"/>
        </w:rPr>
        <w:t>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3.社会保障和就业支出（208）行政事业单位养老支出（20805）机关事业单位职业年金缴费支出（2080506）支出决算5.76万元，完成预算100%。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4.社会保障和就业支出（208）行政事业单位养老支出（20805）其他行政事业单位养老支出（2080599）支出决算74.59万元，完成预算100%。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5.社会保障和就业支出（208）抚恤（20808）死亡抚恤（2080801）支出决算2.84万元，完成预算100%。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6.卫生健康支出（210）行政事业单位医疗（21011）事业单位医疗（2101102）支出决算44.16万元，完成预算100%。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7.住房保障支出（221）住房改革支出（22102）住房公积金（2210201）支出决算42.76万元，完成预算100%。</w:t>
      </w:r>
    </w:p>
    <w:p>
      <w:pPr>
        <w:pStyle w:val="4"/>
        <w:ind w:firstLine="643" w:firstLineChars="200"/>
        <w:rPr>
          <w:rFonts w:ascii="黑体" w:eastAsia="黑体" w:cs="Times New Roman"/>
          <w:b w:val="0"/>
          <w:color w:val="000000"/>
        </w:rPr>
      </w:pPr>
      <w:bookmarkStart w:id="53" w:name="_Toc15377214"/>
      <w:bookmarkStart w:id="54" w:name="_Toc25675"/>
      <w:bookmarkStart w:id="55" w:name="_Toc111208504"/>
      <w:r>
        <w:rPr>
          <w:rFonts w:hint="eastAsia" w:ascii="黑体" w:eastAsia="黑体" w:cs="Times New Roman"/>
          <w:bCs w:val="0"/>
          <w:color w:val="000000"/>
        </w:rPr>
        <w:t>六、一般公共预算财政拨款基本支出决算情况说</w:t>
      </w:r>
      <w:bookmarkEnd w:id="53"/>
      <w:r>
        <w:rPr>
          <w:rFonts w:hint="eastAsia" w:ascii="黑体" w:eastAsia="黑体" w:cs="Times New Roman"/>
          <w:bCs w:val="0"/>
          <w:color w:val="000000"/>
        </w:rPr>
        <w:t>明</w:t>
      </w:r>
      <w:bookmarkEnd w:id="54"/>
      <w:bookmarkEnd w:id="5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ascii="仿宋" w:hAnsi="仿宋" w:eastAsia="仿宋"/>
          <w:color w:val="000000"/>
          <w:sz w:val="32"/>
        </w:rPr>
        <w:t>年一般公共预算财政拨款基本支出</w:t>
      </w:r>
      <w:r>
        <w:rPr>
          <w:rFonts w:hint="eastAsia" w:ascii="仿宋" w:hAnsi="仿宋" w:eastAsia="仿宋"/>
          <w:color w:val="000000"/>
          <w:sz w:val="32"/>
        </w:rPr>
        <w:t>1192.39</w:t>
      </w:r>
      <w:r>
        <w:rPr>
          <w:rFonts w:hint="eastAsia" w:ascii="仿宋" w:hAnsi="仿宋" w:eastAsia="仿宋"/>
          <w:color w:val="000000"/>
          <w:sz w:val="32"/>
          <w:szCs w:val="32"/>
        </w:rPr>
        <w:t>万元，其中：</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rPr>
        <w:t>1057.24</w:t>
      </w:r>
      <w:r>
        <w:rPr>
          <w:rFonts w:hint="eastAsia" w:ascii="仿宋" w:hAnsi="仿宋" w:eastAsia="仿宋"/>
          <w:color w:val="000000"/>
          <w:sz w:val="32"/>
          <w:szCs w:val="32"/>
        </w:rPr>
        <w:t>万元，主要包括：</w:t>
      </w:r>
      <w:r>
        <w:rPr>
          <w:rFonts w:ascii="仿宋" w:hAnsi="仿宋" w:eastAsia="仿宋"/>
          <w:color w:val="000000"/>
          <w:sz w:val="32"/>
        </w:rPr>
        <w:t>基本工资</w:t>
      </w:r>
      <w:r>
        <w:rPr>
          <w:rFonts w:hint="eastAsia" w:ascii="仿宋" w:hAnsi="仿宋" w:eastAsia="仿宋"/>
          <w:color w:val="000000"/>
          <w:sz w:val="32"/>
          <w:lang w:val="en-US" w:eastAsia="zh-CN"/>
        </w:rPr>
        <w:t>346.15</w:t>
      </w:r>
      <w:r>
        <w:rPr>
          <w:rFonts w:ascii="仿宋" w:hAnsi="仿宋" w:eastAsia="仿宋"/>
          <w:color w:val="000000"/>
          <w:sz w:val="32"/>
        </w:rPr>
        <w:t>万元、津贴补贴</w:t>
      </w:r>
      <w:r>
        <w:rPr>
          <w:rFonts w:hint="eastAsia" w:ascii="仿宋" w:hAnsi="仿宋" w:eastAsia="仿宋"/>
          <w:color w:val="000000"/>
          <w:sz w:val="32"/>
          <w:lang w:val="en-US" w:eastAsia="zh-CN"/>
        </w:rPr>
        <w:t>43.97</w:t>
      </w:r>
      <w:r>
        <w:rPr>
          <w:rFonts w:ascii="仿宋" w:hAnsi="仿宋" w:eastAsia="仿宋"/>
          <w:color w:val="000000"/>
          <w:sz w:val="32"/>
        </w:rPr>
        <w:t>万元、绩效工资</w:t>
      </w:r>
      <w:r>
        <w:rPr>
          <w:rFonts w:hint="eastAsia" w:ascii="仿宋" w:hAnsi="仿宋" w:eastAsia="仿宋"/>
          <w:color w:val="000000"/>
          <w:sz w:val="32"/>
          <w:lang w:val="en-US" w:eastAsia="zh-CN"/>
        </w:rPr>
        <w:t>197.33</w:t>
      </w:r>
      <w:r>
        <w:rPr>
          <w:rFonts w:ascii="仿宋" w:hAnsi="仿宋" w:eastAsia="仿宋"/>
          <w:color w:val="000000"/>
          <w:sz w:val="32"/>
        </w:rPr>
        <w:t>万元、机关事业单位基本养老保险缴费</w:t>
      </w:r>
      <w:r>
        <w:rPr>
          <w:rFonts w:hint="eastAsia" w:ascii="仿宋" w:hAnsi="仿宋" w:eastAsia="仿宋"/>
          <w:color w:val="000000"/>
          <w:sz w:val="32"/>
          <w:lang w:val="en-US" w:eastAsia="zh-CN"/>
        </w:rPr>
        <w:t>63.74</w:t>
      </w:r>
      <w:r>
        <w:rPr>
          <w:rFonts w:ascii="仿宋" w:hAnsi="仿宋" w:eastAsia="仿宋"/>
          <w:color w:val="000000"/>
          <w:sz w:val="32"/>
        </w:rPr>
        <w:t>万元、职业年金缴费</w:t>
      </w:r>
      <w:r>
        <w:rPr>
          <w:rFonts w:hint="eastAsia" w:ascii="仿宋" w:hAnsi="仿宋" w:eastAsia="仿宋"/>
          <w:color w:val="000000"/>
          <w:sz w:val="32"/>
          <w:lang w:val="en-US" w:eastAsia="zh-CN"/>
        </w:rPr>
        <w:t>5.76</w:t>
      </w:r>
      <w:r>
        <w:rPr>
          <w:rFonts w:ascii="仿宋" w:hAnsi="仿宋" w:eastAsia="仿宋"/>
          <w:color w:val="000000"/>
          <w:sz w:val="32"/>
        </w:rPr>
        <w:t>万元、职工基本医疗保险缴费</w:t>
      </w:r>
      <w:r>
        <w:rPr>
          <w:rFonts w:hint="eastAsia" w:ascii="仿宋" w:hAnsi="仿宋" w:eastAsia="仿宋"/>
          <w:color w:val="000000"/>
          <w:sz w:val="32"/>
          <w:lang w:val="en-US" w:eastAsia="zh-CN"/>
        </w:rPr>
        <w:t>41.67</w:t>
      </w:r>
      <w:r>
        <w:rPr>
          <w:rFonts w:ascii="仿宋" w:hAnsi="仿宋" w:eastAsia="仿宋"/>
          <w:color w:val="000000"/>
          <w:sz w:val="32"/>
        </w:rPr>
        <w:t>万元、住房公积金</w:t>
      </w:r>
      <w:r>
        <w:rPr>
          <w:rFonts w:hint="eastAsia" w:ascii="仿宋" w:hAnsi="仿宋" w:eastAsia="仿宋"/>
          <w:color w:val="000000"/>
          <w:sz w:val="32"/>
          <w:lang w:val="en-US" w:eastAsia="zh-CN"/>
        </w:rPr>
        <w:t>42.76</w:t>
      </w:r>
      <w:r>
        <w:rPr>
          <w:rFonts w:ascii="仿宋" w:hAnsi="仿宋" w:eastAsia="仿宋"/>
          <w:color w:val="000000"/>
          <w:sz w:val="32"/>
        </w:rPr>
        <w:t>万元、其他工资福利支出</w:t>
      </w:r>
      <w:r>
        <w:rPr>
          <w:rFonts w:hint="eastAsia" w:ascii="仿宋" w:hAnsi="仿宋" w:eastAsia="仿宋"/>
          <w:color w:val="000000"/>
          <w:sz w:val="32"/>
          <w:lang w:val="en-US" w:eastAsia="zh-CN"/>
        </w:rPr>
        <w:t>230.67</w:t>
      </w:r>
      <w:r>
        <w:rPr>
          <w:rFonts w:ascii="仿宋" w:hAnsi="仿宋" w:eastAsia="仿宋"/>
          <w:color w:val="000000"/>
          <w:sz w:val="32"/>
        </w:rPr>
        <w:t>万元、抚恤金</w:t>
      </w:r>
      <w:r>
        <w:rPr>
          <w:rFonts w:hint="eastAsia" w:ascii="仿宋" w:hAnsi="仿宋" w:eastAsia="仿宋"/>
          <w:color w:val="000000"/>
          <w:sz w:val="32"/>
          <w:lang w:val="en-US" w:eastAsia="zh-CN"/>
        </w:rPr>
        <w:t>2.84</w:t>
      </w:r>
      <w:r>
        <w:rPr>
          <w:rFonts w:ascii="仿宋" w:hAnsi="仿宋" w:eastAsia="仿宋"/>
          <w:color w:val="000000"/>
          <w:sz w:val="32"/>
        </w:rPr>
        <w:t>万元、生活补助</w:t>
      </w:r>
      <w:r>
        <w:rPr>
          <w:rFonts w:hint="eastAsia" w:ascii="仿宋" w:hAnsi="仿宋" w:eastAsia="仿宋"/>
          <w:color w:val="000000"/>
          <w:sz w:val="32"/>
          <w:lang w:val="en-US" w:eastAsia="zh-CN"/>
        </w:rPr>
        <w:t>79.87</w:t>
      </w:r>
      <w:r>
        <w:rPr>
          <w:rFonts w:ascii="仿宋" w:hAnsi="仿宋" w:eastAsia="仿宋"/>
          <w:color w:val="000000"/>
          <w:sz w:val="32"/>
        </w:rPr>
        <w:t>万元</w:t>
      </w:r>
      <w:r>
        <w:rPr>
          <w:rFonts w:hint="eastAsia" w:ascii="仿宋" w:hAnsi="仿宋" w:eastAsia="仿宋"/>
          <w:color w:val="000000"/>
          <w:sz w:val="32"/>
          <w:lang w:eastAsia="zh-CN"/>
        </w:rPr>
        <w:t>。</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hint="eastAsia" w:ascii="仿宋" w:hAnsi="仿宋" w:eastAsia="仿宋"/>
          <w:color w:val="000000"/>
          <w:sz w:val="32"/>
          <w:lang w:val="en-US" w:eastAsia="zh-CN"/>
        </w:rPr>
        <w:t>135.15</w:t>
      </w:r>
      <w:r>
        <w:rPr>
          <w:rFonts w:hint="eastAsia" w:ascii="仿宋" w:hAnsi="仿宋" w:eastAsia="仿宋"/>
          <w:color w:val="000000"/>
          <w:sz w:val="32"/>
          <w:szCs w:val="32"/>
        </w:rPr>
        <w:t>万元，主要包括：</w:t>
      </w:r>
      <w:r>
        <w:rPr>
          <w:rFonts w:ascii="仿宋" w:hAnsi="仿宋" w:eastAsia="仿宋"/>
          <w:color w:val="000000"/>
          <w:sz w:val="32"/>
        </w:rPr>
        <w:t>印刷费</w:t>
      </w:r>
      <w:r>
        <w:rPr>
          <w:rFonts w:hint="eastAsia" w:ascii="仿宋" w:hAnsi="仿宋" w:eastAsia="仿宋"/>
          <w:color w:val="000000"/>
          <w:sz w:val="32"/>
          <w:lang w:val="en-US" w:eastAsia="zh-CN"/>
        </w:rPr>
        <w:t>0.09</w:t>
      </w:r>
      <w:r>
        <w:rPr>
          <w:rFonts w:ascii="仿宋" w:hAnsi="仿宋" w:eastAsia="仿宋"/>
          <w:color w:val="000000"/>
          <w:sz w:val="32"/>
        </w:rPr>
        <w:t>万元、差旅费</w:t>
      </w:r>
      <w:r>
        <w:rPr>
          <w:rFonts w:hint="eastAsia" w:ascii="仿宋" w:hAnsi="仿宋" w:eastAsia="仿宋"/>
          <w:color w:val="000000"/>
          <w:sz w:val="32"/>
          <w:lang w:val="en-US" w:eastAsia="zh-CN"/>
        </w:rPr>
        <w:t>0.23</w:t>
      </w:r>
      <w:r>
        <w:rPr>
          <w:rFonts w:ascii="仿宋" w:hAnsi="仿宋" w:eastAsia="仿宋"/>
          <w:color w:val="000000"/>
          <w:sz w:val="32"/>
        </w:rPr>
        <w:t>万元、会议费0.1</w:t>
      </w:r>
      <w:r>
        <w:rPr>
          <w:rFonts w:hint="eastAsia" w:ascii="仿宋" w:hAnsi="仿宋" w:eastAsia="仿宋"/>
          <w:color w:val="000000"/>
          <w:sz w:val="32"/>
          <w:lang w:val="en-US" w:eastAsia="zh-CN"/>
        </w:rPr>
        <w:t>0</w:t>
      </w:r>
      <w:r>
        <w:rPr>
          <w:rFonts w:ascii="仿宋" w:hAnsi="仿宋" w:eastAsia="仿宋"/>
          <w:color w:val="000000"/>
          <w:sz w:val="32"/>
        </w:rPr>
        <w:t>万元、培训费0.</w:t>
      </w:r>
      <w:r>
        <w:rPr>
          <w:rFonts w:hint="eastAsia" w:ascii="仿宋" w:hAnsi="仿宋" w:eastAsia="仿宋"/>
          <w:color w:val="000000"/>
          <w:sz w:val="32"/>
          <w:lang w:val="en-US" w:eastAsia="zh-CN"/>
        </w:rPr>
        <w:t>20</w:t>
      </w:r>
      <w:r>
        <w:rPr>
          <w:rFonts w:ascii="仿宋" w:hAnsi="仿宋" w:eastAsia="仿宋"/>
          <w:color w:val="000000"/>
          <w:sz w:val="32"/>
        </w:rPr>
        <w:t>万元、</w:t>
      </w:r>
      <w:r>
        <w:rPr>
          <w:rFonts w:hint="eastAsia" w:ascii="仿宋" w:hAnsi="仿宋" w:eastAsia="仿宋"/>
          <w:color w:val="000000"/>
          <w:sz w:val="32"/>
          <w:lang w:val="en-US" w:eastAsia="zh-CN"/>
        </w:rPr>
        <w:t>委托业务费89.21</w:t>
      </w:r>
      <w:r>
        <w:rPr>
          <w:rFonts w:ascii="仿宋" w:hAnsi="仿宋" w:eastAsia="仿宋"/>
          <w:color w:val="000000"/>
          <w:sz w:val="32"/>
        </w:rPr>
        <w:t>万元、工会经费</w:t>
      </w:r>
      <w:r>
        <w:rPr>
          <w:rFonts w:hint="eastAsia" w:ascii="仿宋" w:hAnsi="仿宋" w:eastAsia="仿宋"/>
          <w:color w:val="000000"/>
          <w:sz w:val="32"/>
          <w:lang w:val="en-US" w:eastAsia="zh-CN"/>
        </w:rPr>
        <w:t>16.25</w:t>
      </w:r>
      <w:r>
        <w:rPr>
          <w:rFonts w:ascii="仿宋" w:hAnsi="仿宋" w:eastAsia="仿宋"/>
          <w:color w:val="000000"/>
          <w:sz w:val="32"/>
        </w:rPr>
        <w:t>万元、福利费</w:t>
      </w:r>
      <w:r>
        <w:rPr>
          <w:rFonts w:hint="eastAsia" w:ascii="仿宋" w:hAnsi="仿宋" w:eastAsia="仿宋"/>
          <w:color w:val="000000"/>
          <w:sz w:val="32"/>
          <w:lang w:val="en-US" w:eastAsia="zh-CN"/>
        </w:rPr>
        <w:t>24.07</w:t>
      </w:r>
      <w:r>
        <w:rPr>
          <w:rFonts w:ascii="仿宋" w:hAnsi="仿宋" w:eastAsia="仿宋"/>
          <w:color w:val="000000"/>
          <w:sz w:val="32"/>
        </w:rPr>
        <w:t>万元、其他商品和服务支出</w:t>
      </w:r>
      <w:r>
        <w:rPr>
          <w:rFonts w:hint="eastAsia" w:ascii="仿宋" w:hAnsi="仿宋" w:eastAsia="仿宋"/>
          <w:color w:val="000000"/>
          <w:sz w:val="32"/>
          <w:lang w:val="en-US" w:eastAsia="zh-CN"/>
        </w:rPr>
        <w:t>5</w:t>
      </w:r>
      <w:r>
        <w:rPr>
          <w:rFonts w:ascii="仿宋" w:hAnsi="仿宋" w:eastAsia="仿宋"/>
          <w:color w:val="000000"/>
          <w:sz w:val="32"/>
        </w:rPr>
        <w:t>万元</w:t>
      </w:r>
      <w:r>
        <w:rPr>
          <w:rFonts w:hint="eastAsia" w:ascii="仿宋" w:hAnsi="仿宋" w:eastAsia="仿宋"/>
          <w:color w:val="000000"/>
          <w:sz w:val="32"/>
          <w:szCs w:val="32"/>
        </w:rPr>
        <w:t>。</w:t>
      </w:r>
    </w:p>
    <w:p>
      <w:pPr>
        <w:pStyle w:val="4"/>
        <w:ind w:firstLine="643" w:firstLineChars="200"/>
        <w:rPr>
          <w:rFonts w:ascii="黑体" w:eastAsia="黑体" w:cs="Times New Roman"/>
          <w:bCs w:val="0"/>
          <w:color w:val="000000"/>
        </w:rPr>
      </w:pPr>
      <w:bookmarkStart w:id="56" w:name="_Toc15377215"/>
      <w:bookmarkStart w:id="57" w:name="_Toc111208505"/>
      <w:bookmarkStart w:id="58" w:name="_Toc19176"/>
      <w:r>
        <w:rPr>
          <w:rFonts w:hint="eastAsia" w:ascii="黑体" w:eastAsia="黑体" w:cs="Times New Roman"/>
          <w:bCs w:val="0"/>
          <w:color w:val="000000"/>
        </w:rPr>
        <w:t>七、“三公”经费财政拨款支出决算情况说明</w:t>
      </w:r>
      <w:bookmarkEnd w:id="56"/>
      <w:bookmarkEnd w:id="57"/>
      <w:bookmarkEnd w:id="58"/>
    </w:p>
    <w:p>
      <w:pPr>
        <w:spacing w:line="600" w:lineRule="exact"/>
        <w:ind w:firstLine="643" w:firstLineChars="200"/>
        <w:outlineLvl w:val="2"/>
        <w:rPr>
          <w:rFonts w:ascii="仿宋" w:hAnsi="仿宋" w:eastAsia="仿宋"/>
          <w:b/>
          <w:color w:val="000000"/>
          <w:sz w:val="32"/>
          <w:szCs w:val="32"/>
        </w:rPr>
      </w:pPr>
      <w:bookmarkStart w:id="59" w:name="_Toc15377216"/>
      <w:r>
        <w:rPr>
          <w:rFonts w:hint="eastAsia" w:ascii="仿宋" w:hAnsi="仿宋" w:eastAsia="仿宋"/>
          <w:b/>
          <w:color w:val="000000"/>
          <w:sz w:val="32"/>
          <w:szCs w:val="32"/>
        </w:rPr>
        <w:t>（一）“三公”经费财政拨款支出决算总体情况说明</w:t>
      </w:r>
      <w:bookmarkEnd w:id="5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ascii="仿宋" w:hAnsi="仿宋" w:eastAsia="仿宋"/>
          <w:color w:val="000000"/>
          <w:sz w:val="32"/>
        </w:rPr>
        <w:t>年“三公”经费财政拨款支出决算为</w:t>
      </w:r>
      <w:r>
        <w:rPr>
          <w:rFonts w:hint="eastAsia" w:ascii="仿宋" w:hAnsi="仿宋" w:eastAsia="仿宋"/>
          <w:color w:val="000000"/>
          <w:sz w:val="32"/>
          <w:lang w:val="en-US" w:eastAsia="zh-CN"/>
        </w:rPr>
        <w:t>0</w:t>
      </w:r>
      <w:r>
        <w:rPr>
          <w:rFonts w:hint="eastAsia" w:ascii="仿宋" w:hAnsi="仿宋" w:eastAsia="仿宋"/>
          <w:color w:val="000000"/>
          <w:sz w:val="32"/>
          <w:szCs w:val="32"/>
        </w:rPr>
        <w:t>万元，完成预算</w:t>
      </w:r>
      <w:r>
        <w:rPr>
          <w:rFonts w:ascii="仿宋" w:hAnsi="仿宋" w:eastAsia="仿宋"/>
          <w:color w:val="000000"/>
          <w:sz w:val="32"/>
        </w:rPr>
        <w:t>100.00</w:t>
      </w:r>
      <w:r>
        <w:rPr>
          <w:rFonts w:hint="eastAsia" w:ascii="仿宋" w:hAnsi="仿宋" w:eastAsia="仿宋"/>
          <w:color w:val="000000"/>
          <w:sz w:val="32"/>
          <w:szCs w:val="32"/>
        </w:rPr>
        <w:t>%。</w:t>
      </w:r>
      <w:bookmarkStart w:id="60"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60"/>
    </w:p>
    <w:p>
      <w:pPr>
        <w:spacing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ascii="仿宋" w:hAnsi="仿宋" w:eastAsia="仿宋"/>
          <w:color w:val="000000"/>
          <w:sz w:val="32"/>
        </w:rPr>
        <w:t>年“三公”经费财政拨款支出</w:t>
      </w:r>
      <w:r>
        <w:rPr>
          <w:rFonts w:hint="eastAsia" w:ascii="仿宋" w:hAnsi="仿宋" w:eastAsia="仿宋"/>
          <w:color w:val="000000"/>
          <w:sz w:val="32"/>
          <w:lang w:val="en-US" w:eastAsia="zh-CN"/>
        </w:rPr>
        <w:t>0</w:t>
      </w:r>
      <w:r>
        <w:rPr>
          <w:rFonts w:hint="eastAsia" w:ascii="仿宋" w:hAnsi="仿宋" w:eastAsia="仿宋"/>
          <w:color w:val="000000"/>
          <w:sz w:val="32"/>
          <w:szCs w:val="32"/>
        </w:rPr>
        <w:t>万元，因公出国（境）费支出决算</w:t>
      </w:r>
      <w:r>
        <w:rPr>
          <w:rFonts w:ascii="仿宋" w:hAnsi="仿宋" w:eastAsia="仿宋"/>
          <w:color w:val="000000"/>
          <w:sz w:val="32"/>
        </w:rPr>
        <w:t>0.00</w:t>
      </w:r>
      <w:r>
        <w:rPr>
          <w:rFonts w:hint="eastAsia" w:ascii="仿宋" w:hAnsi="仿宋" w:eastAsia="仿宋"/>
          <w:color w:val="000000"/>
          <w:sz w:val="32"/>
          <w:szCs w:val="32"/>
        </w:rPr>
        <w:t>万元，占</w:t>
      </w:r>
      <w:r>
        <w:rPr>
          <w:rFonts w:ascii="仿宋" w:hAnsi="仿宋" w:eastAsia="仿宋"/>
          <w:color w:val="000000"/>
          <w:sz w:val="32"/>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rPr>
        <w:t>0.00</w:t>
      </w:r>
      <w:r>
        <w:rPr>
          <w:rFonts w:hint="eastAsia" w:ascii="仿宋" w:hAnsi="仿宋" w:eastAsia="仿宋"/>
          <w:color w:val="000000"/>
          <w:sz w:val="32"/>
          <w:szCs w:val="32"/>
        </w:rPr>
        <w:t>万元，占</w:t>
      </w:r>
      <w:r>
        <w:rPr>
          <w:rFonts w:ascii="仿宋" w:hAnsi="仿宋" w:eastAsia="仿宋"/>
          <w:color w:val="000000"/>
          <w:sz w:val="32"/>
        </w:rPr>
        <w:t>0.00</w:t>
      </w:r>
      <w:r>
        <w:rPr>
          <w:rFonts w:hint="eastAsia" w:ascii="仿宋" w:hAnsi="仿宋" w:eastAsia="仿宋"/>
          <w:color w:val="000000"/>
          <w:sz w:val="32"/>
          <w:szCs w:val="32"/>
        </w:rPr>
        <w:t>%；公务接待费支出决算</w:t>
      </w:r>
      <w:r>
        <w:rPr>
          <w:rFonts w:hint="eastAsia" w:ascii="仿宋" w:hAnsi="仿宋" w:eastAsia="仿宋"/>
          <w:color w:val="000000"/>
          <w:sz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lang w:val="en-US" w:eastAsia="zh-CN"/>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drawing>
          <wp:inline distT="0" distB="0" distL="114300" distR="114300">
            <wp:extent cx="5256530" cy="2988310"/>
            <wp:effectExtent l="5080" t="4445" r="11430" b="9525"/>
            <wp:docPr id="19" name="图表 19"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rPr>
        <w:t>0.00</w:t>
      </w:r>
      <w:r>
        <w:rPr>
          <w:rFonts w:hint="eastAsia" w:ascii="仿宋" w:hAnsi="仿宋" w:eastAsia="仿宋"/>
          <w:color w:val="000000"/>
          <w:sz w:val="32"/>
          <w:szCs w:val="32"/>
        </w:rPr>
        <w:t>万元,完成预算100%。全年安排因公出国（境）团组</w:t>
      </w:r>
      <w:r>
        <w:rPr>
          <w:rFonts w:ascii="仿宋" w:hAnsi="仿宋" w:eastAsia="仿宋"/>
          <w:color w:val="000000"/>
          <w:sz w:val="32"/>
        </w:rPr>
        <w:t>0</w:t>
      </w:r>
      <w:r>
        <w:rPr>
          <w:rFonts w:hint="eastAsia" w:ascii="仿宋" w:hAnsi="仿宋" w:eastAsia="仿宋"/>
          <w:color w:val="000000"/>
          <w:sz w:val="32"/>
          <w:szCs w:val="32"/>
        </w:rPr>
        <w:t>次，出国（境）</w:t>
      </w:r>
      <w:r>
        <w:rPr>
          <w:rFonts w:ascii="仿宋" w:hAnsi="仿宋" w:eastAsia="仿宋"/>
          <w:color w:val="000000"/>
          <w:sz w:val="32"/>
        </w:rPr>
        <w:t>0</w:t>
      </w:r>
      <w:r>
        <w:rPr>
          <w:rFonts w:hint="eastAsia" w:ascii="仿宋" w:hAnsi="仿宋" w:eastAsia="仿宋"/>
          <w:color w:val="000000"/>
          <w:sz w:val="32"/>
          <w:szCs w:val="32"/>
        </w:rPr>
        <w:t>人。因公出国（境）支出决算比</w:t>
      </w:r>
      <w:r>
        <w:rPr>
          <w:rFonts w:ascii="仿宋" w:hAnsi="仿宋" w:eastAsia="仿宋"/>
          <w:color w:val="000000"/>
          <w:sz w:val="32"/>
        </w:rPr>
        <w:t>202</w:t>
      </w:r>
      <w:r>
        <w:rPr>
          <w:rFonts w:hint="eastAsia" w:ascii="仿宋" w:hAnsi="仿宋" w:eastAsia="仿宋"/>
          <w:color w:val="000000"/>
          <w:sz w:val="32"/>
          <w:lang w:val="en-US" w:eastAsia="zh-CN"/>
        </w:rPr>
        <w:t>2</w:t>
      </w:r>
      <w:r>
        <w:rPr>
          <w:rFonts w:ascii="仿宋" w:hAnsi="仿宋" w:eastAsia="仿宋"/>
          <w:color w:val="000000"/>
          <w:sz w:val="32"/>
        </w:rPr>
        <w:t>年增加0.00</w:t>
      </w:r>
      <w:r>
        <w:rPr>
          <w:rFonts w:hint="eastAsia" w:ascii="仿宋" w:hAnsi="仿宋" w:eastAsia="仿宋"/>
          <w:color w:val="000000"/>
          <w:sz w:val="32"/>
          <w:szCs w:val="32"/>
        </w:rPr>
        <w:t>万元，</w:t>
      </w:r>
      <w:r>
        <w:rPr>
          <w:rFonts w:ascii="仿宋" w:hAnsi="仿宋" w:eastAsia="仿宋"/>
          <w:color w:val="000000"/>
          <w:sz w:val="32"/>
        </w:rPr>
        <w:t>增加0.00</w:t>
      </w:r>
      <w:r>
        <w:rPr>
          <w:rFonts w:hint="eastAsia" w:ascii="仿宋" w:hAnsi="仿宋" w:eastAsia="仿宋"/>
          <w:color w:val="000000"/>
          <w:sz w:val="32"/>
          <w:szCs w:val="32"/>
        </w:rPr>
        <w:t xml:space="preserve"> %。</w:t>
      </w:r>
      <w:r>
        <w:rPr>
          <w:rFonts w:ascii="仿宋" w:hAnsi="仿宋" w:eastAsia="仿宋"/>
          <w:color w:val="000000"/>
          <w:sz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rPr>
        <w:t>0.00</w:t>
      </w:r>
      <w:r>
        <w:rPr>
          <w:rFonts w:hint="eastAsia" w:ascii="仿宋" w:hAnsi="仿宋" w:eastAsia="仿宋"/>
          <w:color w:val="000000"/>
          <w:sz w:val="32"/>
          <w:szCs w:val="32"/>
        </w:rPr>
        <w:t>万元,完成预算</w:t>
      </w:r>
      <w:r>
        <w:rPr>
          <w:rFonts w:ascii="仿宋" w:hAnsi="仿宋" w:eastAsia="仿宋"/>
          <w:color w:val="000000"/>
          <w:sz w:val="32"/>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rPr>
        <w:t>202</w:t>
      </w:r>
      <w:r>
        <w:rPr>
          <w:rFonts w:hint="eastAsia" w:ascii="仿宋" w:hAnsi="仿宋" w:eastAsia="仿宋"/>
          <w:color w:val="000000"/>
          <w:sz w:val="32"/>
          <w:lang w:val="en-US" w:eastAsia="zh-CN"/>
        </w:rPr>
        <w:t>2</w:t>
      </w:r>
      <w:r>
        <w:rPr>
          <w:rFonts w:ascii="仿宋" w:hAnsi="仿宋" w:eastAsia="仿宋"/>
          <w:color w:val="000000"/>
          <w:sz w:val="32"/>
        </w:rPr>
        <w:t>年增加0.00</w:t>
      </w:r>
      <w:r>
        <w:rPr>
          <w:rFonts w:hint="eastAsia" w:ascii="仿宋" w:hAnsi="仿宋" w:eastAsia="仿宋"/>
          <w:color w:val="000000"/>
          <w:sz w:val="32"/>
          <w:szCs w:val="32"/>
        </w:rPr>
        <w:t>万元，</w:t>
      </w:r>
      <w:r>
        <w:rPr>
          <w:rFonts w:ascii="仿宋" w:hAnsi="仿宋" w:eastAsia="仿宋"/>
          <w:color w:val="000000"/>
          <w:sz w:val="32"/>
        </w:rPr>
        <w:t>增加0.00</w:t>
      </w:r>
      <w:r>
        <w:rPr>
          <w:rFonts w:hint="eastAsia" w:ascii="仿宋" w:hAnsi="仿宋" w:eastAsia="仿宋"/>
          <w:color w:val="000000"/>
          <w:sz w:val="32"/>
          <w:szCs w:val="32"/>
        </w:rPr>
        <w:t>%。</w:t>
      </w:r>
      <w:r>
        <w:rPr>
          <w:rFonts w:ascii="仿宋" w:hAnsi="仿宋" w:eastAsia="仿宋"/>
          <w:color w:val="000000"/>
          <w:sz w:val="32"/>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rPr>
        <w:t>0.00万元。全年按规定更新购置公务用车0辆，其中：轿车0辆、金额0.00万元，越野车0辆、金额0.00万元，载客汽车0辆、金额0.00万元。截至</w:t>
      </w: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rPr>
        <w:t>0</w:t>
      </w:r>
      <w:r>
        <w:rPr>
          <w:rFonts w:hint="eastAsia" w:ascii="仿宋" w:hAnsi="仿宋" w:eastAsia="仿宋"/>
          <w:color w:val="000000"/>
          <w:sz w:val="32"/>
          <w:szCs w:val="32"/>
        </w:rPr>
        <w:t>辆，其中：轿车</w:t>
      </w:r>
      <w:r>
        <w:rPr>
          <w:rFonts w:ascii="仿宋" w:hAnsi="仿宋" w:eastAsia="仿宋"/>
          <w:color w:val="000000"/>
          <w:sz w:val="32"/>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rPr>
        <w:t>0.00</w:t>
      </w:r>
      <w:r>
        <w:rPr>
          <w:rFonts w:hint="eastAsia" w:ascii="仿宋" w:hAnsi="仿宋" w:eastAsia="仿宋"/>
          <w:color w:val="000000"/>
          <w:sz w:val="32"/>
          <w:szCs w:val="32"/>
        </w:rPr>
        <w:t>万元。</w:t>
      </w:r>
      <w:r>
        <w:rPr>
          <w:rFonts w:ascii="仿宋" w:hAnsi="仿宋" w:eastAsia="仿宋"/>
          <w:color w:val="000000"/>
          <w:sz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hint="eastAsia" w:ascii="仿宋" w:hAnsi="仿宋" w:eastAsia="仿宋"/>
          <w:color w:val="000000"/>
          <w:sz w:val="32"/>
          <w:lang w:val="en-US" w:eastAsia="zh-CN"/>
        </w:rPr>
        <w:t>0</w:t>
      </w:r>
      <w:r>
        <w:rPr>
          <w:rFonts w:ascii="仿宋" w:hAnsi="仿宋" w:eastAsia="仿宋"/>
          <w:color w:val="000000"/>
          <w:sz w:val="32"/>
        </w:rPr>
        <w:t>万元，完成预算100.00</w:t>
      </w:r>
      <w:r>
        <w:rPr>
          <w:rFonts w:hint="eastAsia" w:ascii="仿宋" w:hAnsi="仿宋" w:eastAsia="仿宋"/>
          <w:color w:val="000000"/>
          <w:sz w:val="32"/>
          <w:szCs w:val="32"/>
        </w:rPr>
        <w:t>%。公务接待费支出决算比</w:t>
      </w:r>
      <w:r>
        <w:rPr>
          <w:rFonts w:ascii="仿宋" w:hAnsi="仿宋" w:eastAsia="仿宋"/>
          <w:color w:val="000000"/>
          <w:sz w:val="32"/>
        </w:rPr>
        <w:t>202</w:t>
      </w:r>
      <w:r>
        <w:rPr>
          <w:rFonts w:hint="eastAsia" w:ascii="仿宋" w:hAnsi="仿宋" w:eastAsia="仿宋"/>
          <w:color w:val="000000"/>
          <w:sz w:val="32"/>
          <w:lang w:val="en-US" w:eastAsia="zh-CN"/>
        </w:rPr>
        <w:t>2</w:t>
      </w:r>
      <w:r>
        <w:rPr>
          <w:rFonts w:ascii="仿宋" w:hAnsi="仿宋" w:eastAsia="仿宋"/>
          <w:color w:val="000000"/>
          <w:sz w:val="32"/>
        </w:rPr>
        <w:t>年减少</w:t>
      </w:r>
      <w:r>
        <w:rPr>
          <w:rFonts w:hint="eastAsia" w:ascii="仿宋" w:hAnsi="仿宋" w:eastAsia="仿宋"/>
          <w:color w:val="000000"/>
          <w:sz w:val="32"/>
          <w:lang w:val="en-US" w:eastAsia="zh-CN"/>
        </w:rPr>
        <w:t>0.72</w:t>
      </w:r>
      <w:r>
        <w:rPr>
          <w:rFonts w:hint="eastAsia" w:ascii="仿宋" w:hAnsi="仿宋" w:eastAsia="仿宋"/>
          <w:color w:val="000000"/>
          <w:sz w:val="32"/>
          <w:szCs w:val="32"/>
        </w:rPr>
        <w:t>万元，</w:t>
      </w:r>
      <w:r>
        <w:rPr>
          <w:rFonts w:ascii="仿宋" w:hAnsi="仿宋" w:eastAsia="仿宋"/>
          <w:color w:val="000000"/>
          <w:sz w:val="32"/>
        </w:rPr>
        <w:t>减少</w:t>
      </w:r>
      <w:r>
        <w:rPr>
          <w:rFonts w:hint="eastAsia" w:ascii="仿宋" w:hAnsi="仿宋" w:eastAsia="仿宋"/>
          <w:color w:val="000000"/>
          <w:sz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bookmarkStart w:id="61" w:name="_Toc15377218"/>
      <w:r>
        <w:rPr>
          <w:rFonts w:hint="eastAsia" w:ascii="仿宋" w:hAnsi="仿宋" w:eastAsia="仿宋"/>
          <w:color w:val="000000"/>
          <w:sz w:val="32"/>
          <w:szCs w:val="32"/>
        </w:rPr>
        <w:t xml:space="preserve">主要原因是严格按照预算执行，厉行节约。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hint="eastAsia" w:ascii="仿宋" w:hAnsi="仿宋" w:eastAsia="仿宋"/>
          <w:color w:val="000000"/>
          <w:sz w:val="32"/>
          <w:lang w:val="en-US" w:eastAsia="zh-CN"/>
        </w:rPr>
        <w:t>0</w:t>
      </w:r>
      <w:r>
        <w:rPr>
          <w:rFonts w:ascii="仿宋" w:hAnsi="仿宋" w:eastAsia="仿宋"/>
          <w:color w:val="000000"/>
          <w:sz w:val="32"/>
        </w:rPr>
        <w:t>万元。国内公务接待</w:t>
      </w:r>
      <w:r>
        <w:rPr>
          <w:rFonts w:hint="eastAsia" w:ascii="仿宋" w:hAnsi="仿宋" w:eastAsia="仿宋"/>
          <w:color w:val="000000"/>
          <w:sz w:val="32"/>
          <w:lang w:val="en-US" w:eastAsia="zh-CN"/>
        </w:rPr>
        <w:t>0</w:t>
      </w:r>
      <w:r>
        <w:rPr>
          <w:rFonts w:ascii="仿宋" w:hAnsi="仿宋" w:eastAsia="仿宋"/>
          <w:color w:val="000000"/>
          <w:sz w:val="32"/>
        </w:rPr>
        <w:t>批次，</w:t>
      </w:r>
      <w:r>
        <w:rPr>
          <w:rFonts w:hint="eastAsia" w:ascii="仿宋" w:hAnsi="仿宋" w:eastAsia="仿宋"/>
          <w:color w:val="000000"/>
          <w:sz w:val="32"/>
          <w:lang w:val="en-US" w:eastAsia="zh-CN"/>
        </w:rPr>
        <w:t>0</w:t>
      </w:r>
      <w:r>
        <w:rPr>
          <w:rFonts w:ascii="仿宋" w:hAnsi="仿宋" w:eastAsia="仿宋"/>
          <w:color w:val="000000"/>
          <w:sz w:val="32"/>
        </w:rPr>
        <w:t>人次（不包括陪同人员），共计支出</w:t>
      </w:r>
      <w:r>
        <w:rPr>
          <w:rFonts w:hint="eastAsia" w:ascii="仿宋" w:hAnsi="仿宋" w:eastAsia="仿宋"/>
          <w:color w:val="000000"/>
          <w:sz w:val="32"/>
          <w:lang w:val="en-US" w:eastAsia="zh-CN"/>
        </w:rPr>
        <w:t>0</w:t>
      </w:r>
      <w:r>
        <w:rPr>
          <w:rFonts w:ascii="仿宋" w:hAnsi="仿宋" w:eastAsia="仿宋"/>
          <w:color w:val="000000"/>
          <w:sz w:val="32"/>
        </w:rPr>
        <w:t>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rPr>
        <w:t>0.00万元，外事接待0批次，0人，共计支出0.00万元。</w:t>
      </w:r>
    </w:p>
    <w:p>
      <w:pPr>
        <w:pStyle w:val="4"/>
        <w:ind w:firstLine="643" w:firstLineChars="200"/>
        <w:rPr>
          <w:rFonts w:ascii="黑体" w:eastAsia="黑体" w:cs="Times New Roman"/>
          <w:bCs w:val="0"/>
          <w:color w:val="000000"/>
        </w:rPr>
      </w:pPr>
      <w:bookmarkStart w:id="62" w:name="_Toc111208506"/>
      <w:bookmarkStart w:id="63" w:name="_Toc10308"/>
      <w:r>
        <w:rPr>
          <w:rFonts w:hint="eastAsia" w:ascii="黑体" w:eastAsia="黑体" w:cs="Times New Roman"/>
          <w:bCs w:val="0"/>
          <w:color w:val="000000"/>
        </w:rPr>
        <w:t>八、政府性基金预算支出决算情况说明</w:t>
      </w:r>
      <w:bookmarkEnd w:id="61"/>
      <w:bookmarkEnd w:id="62"/>
      <w:bookmarkEnd w:id="63"/>
    </w:p>
    <w:p>
      <w:pPr>
        <w:spacing w:line="600" w:lineRule="exact"/>
        <w:ind w:firstLine="640"/>
        <w:rPr>
          <w:rFonts w:ascii="仿宋" w:hAnsi="仿宋" w:eastAsia="仿宋"/>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ascii="仿宋" w:hAnsi="仿宋" w:eastAsia="仿宋"/>
          <w:color w:val="000000"/>
          <w:sz w:val="32"/>
        </w:rPr>
        <w:t>年政府性基金预算拨款支出0.00</w:t>
      </w:r>
      <w:r>
        <w:rPr>
          <w:rFonts w:hint="eastAsia" w:ascii="仿宋" w:hAnsi="仿宋" w:eastAsia="仿宋"/>
          <w:color w:val="000000"/>
          <w:sz w:val="32"/>
          <w:szCs w:val="32"/>
        </w:rPr>
        <w:t>万元。</w:t>
      </w:r>
      <w:bookmarkStart w:id="64" w:name="_Toc15377219"/>
    </w:p>
    <w:p>
      <w:pPr>
        <w:pStyle w:val="4"/>
        <w:ind w:firstLine="643" w:firstLineChars="200"/>
        <w:rPr>
          <w:rFonts w:ascii="黑体" w:eastAsia="黑体" w:cs="Times New Roman"/>
          <w:bCs w:val="0"/>
          <w:color w:val="000000"/>
        </w:rPr>
      </w:pPr>
      <w:bookmarkStart w:id="65" w:name="_Toc111208507"/>
      <w:bookmarkStart w:id="66" w:name="_Toc16770"/>
      <w:r>
        <w:rPr>
          <w:rFonts w:hint="eastAsia" w:ascii="黑体" w:eastAsia="黑体" w:cs="Times New Roman"/>
          <w:bCs w:val="0"/>
          <w:color w:val="000000"/>
        </w:rPr>
        <w:t>九、国有资本经营预算支出决算情况说明</w:t>
      </w:r>
      <w:bookmarkEnd w:id="64"/>
      <w:bookmarkEnd w:id="65"/>
      <w:bookmarkEnd w:id="66"/>
    </w:p>
    <w:p>
      <w:pPr>
        <w:spacing w:line="600" w:lineRule="exact"/>
        <w:ind w:firstLine="640"/>
        <w:rPr>
          <w:rFonts w:ascii="仿宋" w:hAnsi="仿宋" w:eastAsia="仿宋"/>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ascii="仿宋" w:hAnsi="仿宋" w:eastAsia="仿宋"/>
          <w:color w:val="000000"/>
          <w:sz w:val="32"/>
        </w:rPr>
        <w:t>年国有资本经营预算拨款支出0.00</w:t>
      </w:r>
      <w:r>
        <w:rPr>
          <w:rFonts w:hint="eastAsia" w:ascii="仿宋" w:hAnsi="仿宋" w:eastAsia="仿宋"/>
          <w:color w:val="000000"/>
          <w:sz w:val="32"/>
          <w:szCs w:val="32"/>
        </w:rPr>
        <w:t>万元。</w:t>
      </w:r>
    </w:p>
    <w:p>
      <w:pPr>
        <w:pStyle w:val="4"/>
        <w:ind w:firstLine="643" w:firstLineChars="200"/>
        <w:rPr>
          <w:rFonts w:ascii="黑体" w:eastAsia="黑体" w:cs="Times New Roman"/>
          <w:bCs w:val="0"/>
          <w:color w:val="000000"/>
        </w:rPr>
      </w:pPr>
      <w:bookmarkStart w:id="67" w:name="_Toc29441"/>
      <w:bookmarkStart w:id="68" w:name="_Toc15377221"/>
      <w:bookmarkStart w:id="69" w:name="_Toc111208508"/>
      <w:r>
        <w:rPr>
          <w:rFonts w:hint="eastAsia" w:ascii="黑体" w:eastAsia="黑体" w:cs="Times New Roman"/>
          <w:bCs w:val="0"/>
          <w:color w:val="000000"/>
        </w:rPr>
        <w:t>十、其他重要事项的情况说明</w:t>
      </w:r>
      <w:bookmarkEnd w:id="67"/>
      <w:bookmarkEnd w:id="68"/>
      <w:bookmarkEnd w:id="69"/>
    </w:p>
    <w:p>
      <w:pPr>
        <w:spacing w:line="600" w:lineRule="exact"/>
        <w:ind w:firstLine="643" w:firstLineChars="200"/>
        <w:outlineLvl w:val="2"/>
        <w:rPr>
          <w:rFonts w:ascii="仿宋" w:hAnsi="仿宋" w:eastAsia="仿宋"/>
          <w:b/>
          <w:color w:val="000000"/>
          <w:sz w:val="32"/>
          <w:szCs w:val="32"/>
        </w:rPr>
      </w:pPr>
      <w:bookmarkStart w:id="70" w:name="_Toc15377222"/>
      <w:r>
        <w:rPr>
          <w:rFonts w:hint="eastAsia" w:ascii="仿宋" w:hAnsi="仿宋" w:eastAsia="仿宋"/>
          <w:b/>
          <w:color w:val="000000"/>
          <w:sz w:val="32"/>
          <w:szCs w:val="32"/>
        </w:rPr>
        <w:t>（一）机关运行经费支出情况</w:t>
      </w:r>
      <w:bookmarkEnd w:id="70"/>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ascii="仿宋" w:hAnsi="仿宋" w:eastAsia="仿宋"/>
          <w:color w:val="000000"/>
          <w:sz w:val="32"/>
        </w:rPr>
        <w:t>年，机关运行经费支出0.00</w:t>
      </w:r>
      <w:r>
        <w:rPr>
          <w:rFonts w:hint="eastAsia" w:ascii="仿宋" w:hAnsi="仿宋" w:eastAsia="仿宋"/>
          <w:color w:val="000000"/>
          <w:sz w:val="32"/>
          <w:szCs w:val="32"/>
        </w:rPr>
        <w:t>万元，比</w:t>
      </w:r>
      <w:r>
        <w:rPr>
          <w:rFonts w:ascii="仿宋" w:hAnsi="仿宋" w:eastAsia="仿宋"/>
          <w:color w:val="000000"/>
          <w:sz w:val="32"/>
        </w:rPr>
        <w:t>2021年增加0.00</w:t>
      </w:r>
      <w:r>
        <w:rPr>
          <w:rFonts w:hint="eastAsia" w:ascii="仿宋" w:hAnsi="仿宋" w:eastAsia="仿宋"/>
          <w:color w:val="000000"/>
          <w:sz w:val="32"/>
          <w:szCs w:val="32"/>
        </w:rPr>
        <w:t>万元，</w:t>
      </w:r>
      <w:r>
        <w:rPr>
          <w:rFonts w:ascii="仿宋" w:hAnsi="仿宋" w:eastAsia="仿宋"/>
          <w:color w:val="000000"/>
          <w:sz w:val="32"/>
        </w:rPr>
        <w:t xml:space="preserve">增加0.00 %。 </w:t>
      </w:r>
    </w:p>
    <w:p>
      <w:pPr>
        <w:spacing w:line="600" w:lineRule="exact"/>
        <w:ind w:firstLine="643" w:firstLineChars="200"/>
        <w:outlineLvl w:val="2"/>
        <w:rPr>
          <w:rFonts w:ascii="仿宋" w:hAnsi="仿宋" w:eastAsia="仿宋"/>
          <w:b/>
          <w:color w:val="000000"/>
          <w:sz w:val="32"/>
          <w:szCs w:val="32"/>
        </w:rPr>
      </w:pPr>
      <w:bookmarkStart w:id="71" w:name="_Toc15377223"/>
      <w:r>
        <w:rPr>
          <w:rFonts w:hint="eastAsia" w:ascii="仿宋" w:hAnsi="仿宋" w:eastAsia="仿宋"/>
          <w:b/>
          <w:color w:val="000000"/>
          <w:sz w:val="32"/>
          <w:szCs w:val="32"/>
        </w:rPr>
        <w:t>（二）政府采购支出情况</w:t>
      </w:r>
      <w:bookmarkEnd w:id="71"/>
      <w:r>
        <w:rPr>
          <w:rFonts w:hint="eastAsia" w:ascii="仿宋" w:hAnsi="仿宋" w:eastAsia="仿宋"/>
          <w:b/>
          <w:color w:val="000000"/>
          <w:sz w:val="32"/>
          <w:szCs w:val="32"/>
        </w:rPr>
        <w:t>(机构运行信息表)</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ascii="仿宋" w:hAnsi="仿宋" w:eastAsia="仿宋"/>
          <w:color w:val="000000"/>
          <w:sz w:val="32"/>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rPr>
        <w:t>0.00</w:t>
      </w:r>
      <w:r>
        <w:rPr>
          <w:rFonts w:hint="eastAsia" w:ascii="仿宋" w:hAnsi="仿宋" w:eastAsia="仿宋"/>
          <w:color w:val="000000"/>
          <w:sz w:val="32"/>
          <w:szCs w:val="32"/>
        </w:rPr>
        <w:t>万元、政府采购工程支出</w:t>
      </w:r>
      <w:r>
        <w:rPr>
          <w:rFonts w:ascii="仿宋" w:hAnsi="仿宋" w:eastAsia="仿宋"/>
          <w:color w:val="000000"/>
          <w:sz w:val="32"/>
        </w:rPr>
        <w:t>0.00</w:t>
      </w:r>
      <w:r>
        <w:rPr>
          <w:rFonts w:hint="eastAsia" w:ascii="仿宋" w:hAnsi="仿宋" w:eastAsia="仿宋"/>
          <w:color w:val="000000"/>
          <w:sz w:val="32"/>
          <w:szCs w:val="32"/>
        </w:rPr>
        <w:t>万元、政府采购服务支出</w:t>
      </w:r>
      <w:r>
        <w:rPr>
          <w:rFonts w:ascii="仿宋" w:hAnsi="仿宋" w:eastAsia="仿宋"/>
          <w:color w:val="000000"/>
          <w:sz w:val="32"/>
        </w:rPr>
        <w:t>0.00</w:t>
      </w:r>
      <w:r>
        <w:rPr>
          <w:rFonts w:hint="eastAsia" w:ascii="仿宋" w:hAnsi="仿宋" w:eastAsia="仿宋"/>
          <w:color w:val="000000"/>
          <w:sz w:val="32"/>
          <w:szCs w:val="32"/>
        </w:rPr>
        <w:t>万元。授予中小企业合同金额</w:t>
      </w:r>
      <w:r>
        <w:rPr>
          <w:rFonts w:ascii="仿宋" w:hAnsi="仿宋" w:eastAsia="仿宋"/>
          <w:color w:val="000000"/>
          <w:sz w:val="32"/>
        </w:rPr>
        <w:t>0.00</w:t>
      </w:r>
      <w:r>
        <w:rPr>
          <w:rFonts w:hint="eastAsia" w:ascii="仿宋" w:hAnsi="仿宋" w:eastAsia="仿宋"/>
          <w:color w:val="000000"/>
          <w:sz w:val="32"/>
          <w:szCs w:val="32"/>
        </w:rPr>
        <w:t>万元，其中：授予小微企业合同金额</w:t>
      </w:r>
      <w:r>
        <w:rPr>
          <w:rFonts w:ascii="仿宋" w:hAnsi="仿宋" w:eastAsia="仿宋"/>
          <w:color w:val="000000"/>
          <w:sz w:val="32"/>
        </w:rPr>
        <w:t>0.00</w:t>
      </w:r>
      <w:r>
        <w:rPr>
          <w:rFonts w:hint="eastAsia" w:ascii="仿宋" w:hAnsi="仿宋" w:eastAsia="仿宋"/>
          <w:color w:val="000000"/>
          <w:sz w:val="32"/>
          <w:szCs w:val="32"/>
        </w:rPr>
        <w:t>万元，占总合同的</w:t>
      </w:r>
      <w:r>
        <w:rPr>
          <w:rFonts w:ascii="仿宋" w:hAnsi="仿宋" w:eastAsia="仿宋"/>
          <w:color w:val="000000"/>
          <w:sz w:val="32"/>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72" w:name="_Toc15377224"/>
      <w:r>
        <w:rPr>
          <w:rFonts w:hint="eastAsia" w:ascii="仿宋" w:hAnsi="仿宋" w:eastAsia="仿宋"/>
          <w:b/>
          <w:color w:val="000000"/>
          <w:sz w:val="32"/>
          <w:szCs w:val="32"/>
        </w:rPr>
        <w:t>（三）国有资产占有使用情况</w:t>
      </w:r>
      <w:bookmarkEnd w:id="72"/>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rPr>
        <w:t>202</w:t>
      </w:r>
      <w:r>
        <w:rPr>
          <w:rFonts w:hint="eastAsia" w:ascii="仿宋" w:hAnsi="仿宋" w:eastAsia="仿宋"/>
          <w:color w:val="000000"/>
          <w:sz w:val="32"/>
          <w:lang w:val="en-US" w:eastAsia="zh-CN"/>
        </w:rPr>
        <w:t>3</w:t>
      </w:r>
      <w:r>
        <w:rPr>
          <w:rFonts w:ascii="仿宋" w:hAnsi="仿宋" w:eastAsia="仿宋"/>
          <w:color w:val="000000"/>
          <w:sz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rPr>
        <w:t>0辆，其中：主要领导干部用车0</w:t>
      </w:r>
      <w:r>
        <w:rPr>
          <w:rFonts w:hint="eastAsia" w:ascii="仿宋" w:hAnsi="仿宋" w:eastAsia="仿宋"/>
          <w:color w:val="000000"/>
          <w:sz w:val="32"/>
          <w:szCs w:val="32"/>
        </w:rPr>
        <w:t>辆、机要通信用车</w:t>
      </w:r>
      <w:r>
        <w:rPr>
          <w:rFonts w:ascii="仿宋" w:hAnsi="仿宋" w:eastAsia="仿宋"/>
          <w:color w:val="000000"/>
          <w:sz w:val="32"/>
        </w:rPr>
        <w:t>0</w:t>
      </w:r>
      <w:r>
        <w:rPr>
          <w:rFonts w:hint="eastAsia" w:ascii="仿宋" w:hAnsi="仿宋" w:eastAsia="仿宋"/>
          <w:color w:val="000000"/>
          <w:sz w:val="32"/>
          <w:szCs w:val="32"/>
        </w:rPr>
        <w:t>辆、应急保障用车</w:t>
      </w:r>
      <w:r>
        <w:rPr>
          <w:rFonts w:ascii="仿宋" w:hAnsi="仿宋" w:eastAsia="仿宋"/>
          <w:color w:val="000000"/>
          <w:sz w:val="32"/>
        </w:rPr>
        <w:t>0</w:t>
      </w:r>
      <w:r>
        <w:rPr>
          <w:rFonts w:hint="eastAsia" w:ascii="仿宋" w:hAnsi="仿宋" w:eastAsia="仿宋"/>
          <w:color w:val="000000"/>
          <w:sz w:val="32"/>
          <w:szCs w:val="32"/>
        </w:rPr>
        <w:t>辆、其他用车</w:t>
      </w:r>
      <w:r>
        <w:rPr>
          <w:rFonts w:ascii="仿宋" w:hAnsi="仿宋" w:eastAsia="仿宋"/>
          <w:color w:val="000000"/>
          <w:sz w:val="32"/>
        </w:rPr>
        <w:t>0</w:t>
      </w:r>
      <w:r>
        <w:rPr>
          <w:rFonts w:hint="eastAsia" w:ascii="仿宋" w:hAnsi="仿宋" w:eastAsia="仿宋"/>
          <w:color w:val="000000"/>
          <w:sz w:val="32"/>
          <w:szCs w:val="32"/>
        </w:rPr>
        <w:t>辆。单价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rPr>
        <w:t>0</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eastAsia="仿宋_GB2312"/>
          <w:b/>
          <w:sz w:val="32"/>
          <w:szCs w:val="32"/>
        </w:rPr>
      </w:pPr>
      <w:r>
        <w:rPr>
          <w:rFonts w:hint="eastAsia" w:ascii="仿宋_GB2312" w:hAnsi="仿宋_GB2312" w:eastAsia="仿宋_GB2312" w:cs="仿宋_GB2312"/>
          <w:sz w:val="32"/>
          <w:szCs w:val="32"/>
        </w:rPr>
        <w:t>根据预算绩效管理要求，本单位在202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年度预算编制阶段，组织对0个预算项目开展了预算事前绩效评估，对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个项目开展绩效监控，组织对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个预算项目开展绩效自评，绩效自评表详见第四部分附件。</w:t>
      </w:r>
    </w:p>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bidi w:val="0"/>
        <w:jc w:val="center"/>
        <w:rPr>
          <w:rFonts w:hint="eastAsia" w:ascii="黑体" w:hAnsi="黑体" w:eastAsia="黑体" w:cs="黑体"/>
          <w:b/>
          <w:bCs/>
          <w:sz w:val="44"/>
          <w:szCs w:val="44"/>
        </w:rPr>
      </w:pPr>
      <w:bookmarkStart w:id="73" w:name="_Toc29516"/>
      <w:bookmarkStart w:id="74" w:name="_Toc111208509"/>
      <w:bookmarkStart w:id="75" w:name="_Toc15377225"/>
      <w:r>
        <w:rPr>
          <w:rFonts w:hint="eastAsia" w:ascii="黑体" w:hAnsi="黑体" w:eastAsia="黑体" w:cs="黑体"/>
          <w:b/>
          <w:bCs/>
          <w:sz w:val="44"/>
          <w:szCs w:val="44"/>
        </w:rPr>
        <w:t>第三部分 名词解释</w:t>
      </w:r>
      <w:bookmarkEnd w:id="73"/>
      <w:bookmarkEnd w:id="74"/>
      <w:bookmarkEnd w:id="7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9.教育支出（205）普通教育（20502）初中教育（2050203）：反映各部门举办的初中教育支出。政府各部门对社会组织等举办的初中的资助，如捐赠、补贴等，也在本科目中反映。</w:t>
      </w:r>
      <w:r>
        <w:rPr>
          <w:rFonts w:hint="eastAsia" w:ascii="仿宋" w:hAnsi="仿宋" w:eastAsia="仿宋"/>
          <w:color w:val="000000"/>
          <w:sz w:val="32"/>
          <w:szCs w:val="32"/>
        </w:rPr>
        <w:cr/>
      </w:r>
      <w:r>
        <w:rPr>
          <w:rFonts w:hint="eastAsia" w:ascii="仿宋" w:hAnsi="仿宋" w:eastAsia="仿宋"/>
          <w:color w:val="000000"/>
          <w:sz w:val="32"/>
          <w:szCs w:val="32"/>
        </w:rPr>
        <w:t xml:space="preserve">    10.社会保障和就业支出（208）行政事业单位养老支出（20805）机关事业单位基本养老保险缴费支出（2080505）：反映机关事业单位实施养老保险制度由单位缴纳的基本养老保险费支出。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 xml:space="preserve">    11.社会保障和就业支出（208）行政事业单位养老支出（20805）机关事业单位职业年金缴费支出（2080506）：反映机关事业单位实施养老保险制度由单位实际缴纳的职业年金支出。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 xml:space="preserve">    12.社会保障和就业支出（208）行政事业单位养老支出（20805）其他行政事业单位养老支出（2080599）：反映除上述项目以外其他用于行政事业单位养老方面的支出。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13.社会保障和就业支出（208）抚恤（20808）死亡抚恤（2080801）：反映按规定用于烈士和牺牲、病故人员家属的一次性和定期抚恤金以及丧葬补助费。</w:t>
      </w:r>
      <w:r>
        <w:rPr>
          <w:rFonts w:hint="eastAsia" w:ascii="仿宋" w:hAnsi="仿宋" w:eastAsia="仿宋"/>
          <w:color w:val="000000"/>
          <w:sz w:val="32"/>
          <w:szCs w:val="32"/>
        </w:rPr>
        <w:cr/>
      </w:r>
      <w:r>
        <w:rPr>
          <w:rFonts w:hint="eastAsia" w:ascii="仿宋" w:hAnsi="仿宋" w:eastAsia="仿宋"/>
          <w:color w:val="000000"/>
          <w:sz w:val="32"/>
          <w:szCs w:val="32"/>
        </w:rPr>
        <w:t xml:space="preserve">    14.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 xml:space="preserve">    15.住房保障支出（221）住房改革支出（22102）住房公积金（2210201）：反映行政事业单位按人力资源和社会保障部、财政部规定的基本工资和津贴补贴以及规定比例为职工缴纳的住房公积金。</w:t>
      </w:r>
      <w:r>
        <w:rPr>
          <w:rFonts w:hint="eastAsia" w:ascii="仿宋" w:hAnsi="仿宋" w:eastAsia="仿宋"/>
          <w:color w:val="000000"/>
          <w:sz w:val="32"/>
          <w:szCs w:val="32"/>
        </w:rPr>
        <w:cr/>
      </w:r>
      <w:r>
        <w:rPr>
          <w:rFonts w:hint="eastAsia" w:ascii="仿宋" w:hAnsi="仿宋" w:eastAsia="仿宋"/>
          <w:color w:val="000000"/>
          <w:sz w:val="32"/>
          <w:szCs w:val="32"/>
        </w:rPr>
        <w:t xml:space="preserve">    16.其他支出（229）其他支出（22999）其他支出（2299999）：无文字说明。</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17.基本支出：指为保障机构正常运转、完成日常工作任务而发生的人员支出和公用支出。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18.项目支出：指在基本支出之外为完成特定行政任务和事业发展目标所发生的支出。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22.财政应返还额度：为行政事业单位会计核算科目，用于核算实行国库集中支付的行政事业单位应收财政返还的资金额度。</w:t>
      </w:r>
    </w:p>
    <w:p>
      <w:pPr>
        <w:widowControl/>
        <w:jc w:val="left"/>
        <w:rPr>
          <w:rStyle w:val="28"/>
          <w:rFonts w:ascii="黑体" w:hAnsi="黑体" w:eastAsia="黑体"/>
        </w:rPr>
      </w:pPr>
      <w:r>
        <w:rPr>
          <w:rStyle w:val="28"/>
          <w:rFonts w:ascii="黑体" w:hAnsi="黑体" w:eastAsia="黑体"/>
        </w:rPr>
        <w:br w:type="page"/>
      </w:r>
    </w:p>
    <w:p>
      <w:pPr>
        <w:pStyle w:val="3"/>
        <w:jc w:val="center"/>
        <w:rPr>
          <w:rFonts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76" w:name="_Toc111208510"/>
      <w:bookmarkStart w:id="77" w:name="_Toc20167"/>
    </w:p>
    <w:p>
      <w:pPr>
        <w:pStyle w:val="3"/>
        <w:numPr>
          <w:ilvl w:val="0"/>
          <w:numId w:val="1"/>
        </w:numPr>
        <w:jc w:val="center"/>
        <w:rPr>
          <w:rFonts w:hint="eastAsia" w:eastAsia="宋体"/>
          <w:lang w:eastAsia="zh-CN"/>
        </w:rPr>
      </w:pPr>
      <w:r>
        <w:rPr>
          <w:rFonts w:hint="eastAsia" w:ascii="黑体" w:hAnsi="黑体" w:eastAsia="黑体" w:cs="黑体"/>
        </w:rPr>
        <w:t>附件</w:t>
      </w:r>
      <w:bookmarkEnd w:id="76"/>
      <w:bookmarkEnd w:id="77"/>
    </w:p>
    <w:tbl>
      <w:tblPr>
        <w:tblStyle w:val="15"/>
        <w:tblpPr w:leftFromText="180" w:rightFromText="180" w:vertAnchor="text" w:horzAnchor="page" w:tblpX="1443" w:tblpY="2068"/>
        <w:tblOverlap w:val="never"/>
        <w:tblW w:w="47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5"/>
        <w:gridCol w:w="1837"/>
        <w:gridCol w:w="1845"/>
        <w:gridCol w:w="3722"/>
        <w:gridCol w:w="1150"/>
        <w:gridCol w:w="1145"/>
        <w:gridCol w:w="1145"/>
        <w:gridCol w:w="651"/>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2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附表</w:t>
            </w:r>
          </w:p>
        </w:tc>
        <w:tc>
          <w:tcPr>
            <w:tcW w:w="67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68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37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4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4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24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33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舒体" w:hAnsi="方正舒体" w:eastAsia="方正舒体" w:cs="方正舒体"/>
                <w:i w:val="0"/>
                <w:iCs w:val="0"/>
                <w:color w:val="000000"/>
                <w:sz w:val="18"/>
                <w:szCs w:val="18"/>
                <w:u w:val="none"/>
              </w:rPr>
            </w:pPr>
            <w:r>
              <w:rPr>
                <w:rFonts w:hint="eastAsia" w:ascii="方正舒体" w:hAnsi="方正舒体" w:eastAsia="方正舒体" w:cs="方正舒体"/>
                <w:i w:val="0"/>
                <w:iCs w:val="0"/>
                <w:color w:val="000000"/>
                <w:kern w:val="0"/>
                <w:sz w:val="18"/>
                <w:szCs w:val="18"/>
                <w:u w:val="none"/>
                <w:lang w:val="en-US" w:eastAsia="zh-CN" w:bidi="ar"/>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67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68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137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42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4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4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578" w:type="pct"/>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部门名称</w:t>
            </w:r>
          </w:p>
        </w:tc>
        <w:tc>
          <w:tcPr>
            <w:tcW w:w="322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大竹县中峰中学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年度部门整体支出预算</w:t>
            </w:r>
          </w:p>
        </w:tc>
        <w:tc>
          <w:tcPr>
            <w:tcW w:w="13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资金总额</w:t>
            </w:r>
          </w:p>
        </w:tc>
        <w:tc>
          <w:tcPr>
            <w:tcW w:w="1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w:t>
            </w:r>
          </w:p>
        </w:tc>
        <w:tc>
          <w:tcPr>
            <w:tcW w:w="14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1324.742052</w:t>
            </w:r>
          </w:p>
        </w:tc>
        <w:tc>
          <w:tcPr>
            <w:tcW w:w="17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1324.742052</w:t>
            </w:r>
          </w:p>
        </w:tc>
        <w:tc>
          <w:tcPr>
            <w:tcW w:w="14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45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保障单位在职人员</w:t>
            </w:r>
            <w:r>
              <w:rPr>
                <w:rFonts w:hint="default" w:ascii="Times New Roman" w:hAnsi="Times New Roman" w:eastAsia="宋体" w:cs="Times New Roman"/>
                <w:i w:val="0"/>
                <w:iCs w:val="0"/>
                <w:color w:val="000000"/>
                <w:kern w:val="0"/>
                <w:sz w:val="18"/>
                <w:szCs w:val="18"/>
                <w:u w:val="none"/>
                <w:lang w:val="en-US" w:eastAsia="zh-CN" w:bidi="ar"/>
              </w:rPr>
              <w:t>76</w:t>
            </w:r>
            <w:r>
              <w:rPr>
                <w:rFonts w:hint="eastAsia" w:ascii="宋体" w:hAnsi="宋体" w:eastAsia="宋体" w:cs="宋体"/>
                <w:i w:val="0"/>
                <w:iCs w:val="0"/>
                <w:color w:val="000000"/>
                <w:kern w:val="0"/>
                <w:sz w:val="18"/>
                <w:szCs w:val="18"/>
                <w:u w:val="none"/>
                <w:lang w:val="en-US" w:eastAsia="zh-CN" w:bidi="ar"/>
              </w:rPr>
              <w:t>人、退休人员</w:t>
            </w:r>
            <w:r>
              <w:rPr>
                <w:rFonts w:hint="default" w:ascii="Times New Roman" w:hAnsi="Times New Roman" w:eastAsia="宋体" w:cs="Times New Roman"/>
                <w:i w:val="0"/>
                <w:iCs w:val="0"/>
                <w:color w:val="000000"/>
                <w:kern w:val="0"/>
                <w:sz w:val="18"/>
                <w:szCs w:val="18"/>
                <w:u w:val="none"/>
                <w:lang w:val="en-US" w:eastAsia="zh-CN" w:bidi="ar"/>
              </w:rPr>
              <w:t>35</w:t>
            </w:r>
            <w:r>
              <w:rPr>
                <w:rFonts w:hint="eastAsia" w:ascii="宋体" w:hAnsi="宋体" w:eastAsia="宋体" w:cs="宋体"/>
                <w:i w:val="0"/>
                <w:iCs w:val="0"/>
                <w:color w:val="000000"/>
                <w:kern w:val="0"/>
                <w:sz w:val="18"/>
                <w:szCs w:val="18"/>
                <w:u w:val="none"/>
                <w:lang w:val="en-US" w:eastAsia="zh-CN" w:bidi="ar"/>
              </w:rPr>
              <w:t>人，遗嘱人员</w:t>
            </w: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人，正常办公、生活秩序；坚决执行党和国家的教育方针政策；管好用好国家的教育资金，改善和优化农村的办学条件；把教职工服务和管理质量放在首位，提高教职工的幸福感，办人民满意的教育。各项工作顺利开展，经费使用已完成 100 %；听从党的指挥，做好学校各项工作；正确使用资金，使教职工条件得到了改善，教育服务有所提升；办好了人民教育，受到了教职工和人民认可。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年度主要任务</w:t>
            </w:r>
          </w:p>
        </w:tc>
        <w:tc>
          <w:tcPr>
            <w:tcW w:w="13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任务名称</w:t>
            </w:r>
          </w:p>
        </w:tc>
        <w:tc>
          <w:tcPr>
            <w:tcW w:w="322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保障学校各项工作正常运行</w:t>
            </w:r>
          </w:p>
        </w:tc>
        <w:tc>
          <w:tcPr>
            <w:tcW w:w="32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依法办学，严格执行党的教育方针政策。确保各项工作正常开展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帮助教师全面发展</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2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督促、指导学校教师的思想政治工作、德育工作、体育卫生与艺术教育、国防教育工作、安全稳定工作。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加强人才队伍建设</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2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贯彻实施各类教师资格标准。会同有关部门研究制定人才队伍建设。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完成教育教学工作</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2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指导、协调和监督教师教育教学工作。指导、管理资助经济困难学生工作。完成年度教育教学任务。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绩效制表性质</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绩效指标值</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绩效度量单位</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数值指标</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完成初中年度招生计划157人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教职工培训合格率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完成教室课桌凳配全配齐</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教室灯光达到“护眼”标准和规范要求</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完成招生计划</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节约用水用电</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对以后年度工作产生可持续影响</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学生满意度</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对社会带来积极正面的影响</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pPr>
        <w:numPr>
          <w:ilvl w:val="0"/>
          <w:numId w:val="0"/>
        </w:num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15"/>
        <w:tblW w:w="128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1842"/>
        <w:gridCol w:w="1586"/>
        <w:gridCol w:w="2031"/>
        <w:gridCol w:w="473"/>
        <w:gridCol w:w="1506"/>
        <w:gridCol w:w="530"/>
        <w:gridCol w:w="985"/>
        <w:gridCol w:w="486"/>
        <w:gridCol w:w="486"/>
        <w:gridCol w:w="2283"/>
      </w:tblGrid>
      <w:tr>
        <w:tblPrEx>
          <w:tblCellMar>
            <w:top w:w="0" w:type="dxa"/>
            <w:left w:w="108" w:type="dxa"/>
            <w:bottom w:w="0" w:type="dxa"/>
            <w:right w:w="108" w:type="dxa"/>
          </w:tblCellMar>
        </w:tblPrEx>
        <w:trPr>
          <w:trHeight w:val="904" w:hRule="atLeast"/>
        </w:trPr>
        <w:tc>
          <w:tcPr>
            <w:tcW w:w="128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51172422T000005662628-教师周转宿舍建设项目（存量）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大竹县中峰中学部门</w:t>
            </w:r>
          </w:p>
        </w:tc>
        <w:tc>
          <w:tcPr>
            <w:tcW w:w="98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大竹县中峰中学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改善教师生活教学环境，美化校园，提升教学氛围。</w:t>
            </w:r>
          </w:p>
        </w:tc>
        <w:tc>
          <w:tcPr>
            <w:tcW w:w="42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完成对教室周转宿舍的新建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新建教师周转宿舍1500平米，并按时按质完成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107.01</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107.01</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房屋修缮面积</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房屋修缮验收通过率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房屋修缮类项目持续发挥作用期限</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该项目高质量完成，验收合格，改善了教学环境。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项目负责人：廖成东</w:t>
            </w:r>
          </w:p>
        </w:tc>
        <w:tc>
          <w:tcPr>
            <w:tcW w:w="62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51172422T000005664854-运动场维修工程（存量）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大竹县中峰中学部门</w:t>
            </w:r>
          </w:p>
        </w:tc>
        <w:tc>
          <w:tcPr>
            <w:tcW w:w="98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大竹县中峰中学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改善学习环境，美化校园提升学习氛围。</w:t>
            </w:r>
          </w:p>
        </w:tc>
        <w:tc>
          <w:tcPr>
            <w:tcW w:w="42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2023年完成校园文化维修改造。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对学校足球场地，篮球场地进行美化维修改造。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325.20</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325.20</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该项目高质量完成，验收合格，改善了教学环境。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项目负责人：廖成东</w:t>
            </w:r>
          </w:p>
        </w:tc>
        <w:tc>
          <w:tcPr>
            <w:tcW w:w="62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28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51172422T000005745212-营养餐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大竹县中峰中学部门</w:t>
            </w:r>
          </w:p>
        </w:tc>
        <w:tc>
          <w:tcPr>
            <w:tcW w:w="98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大竹县中峰中学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让义务教育阶段学生享受营养餐，提高学生身体素质</w:t>
            </w:r>
          </w:p>
        </w:tc>
        <w:tc>
          <w:tcPr>
            <w:tcW w:w="42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全校学生足额享义务教育阶段营养餐改造计划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全校学生足额享义务教育阶段营养餐改造计划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47.91</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47.91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47.91</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47.91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学生、家长及社会满意度</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全校学生足额享义务教育阶段营养餐改造计划，营养餐饭菜质量好，学生和家长满意。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项目负责人：曹勇</w:t>
            </w:r>
          </w:p>
        </w:tc>
        <w:tc>
          <w:tcPr>
            <w:tcW w:w="62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8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51172423T000008009845-校舍维修改造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大竹县中峰中学部门</w:t>
            </w:r>
          </w:p>
        </w:tc>
        <w:tc>
          <w:tcPr>
            <w:tcW w:w="98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大竹县中峰中学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改善学生学习环境</w:t>
            </w:r>
          </w:p>
        </w:tc>
        <w:tc>
          <w:tcPr>
            <w:tcW w:w="42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2023年完成对教室过道厕所墙壁的维修改造。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对教室，过道，厕所墙壁重新粉刷以及维修。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94.12%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bookmarkStart w:id="95" w:name="_GoBack"/>
            <w:bookmarkEnd w:id="9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94.12%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该项目高质量完成，验收合格，改善了教学环境和学生住宿条件。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项目负责人：廖成东</w:t>
            </w:r>
          </w:p>
        </w:tc>
        <w:tc>
          <w:tcPr>
            <w:tcW w:w="62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838"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838"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838"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838"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pStyle w:val="2"/>
      </w:pPr>
    </w:p>
    <w:p>
      <w:pPr>
        <w:pStyle w:val="3"/>
        <w:jc w:val="center"/>
        <w:rPr>
          <w:rFonts w:ascii="黑体" w:hAnsi="黑体" w:eastAsia="黑体" w:cs="黑体"/>
        </w:rPr>
      </w:pPr>
      <w:bookmarkStart w:id="78" w:name="_Toc79163885"/>
      <w:bookmarkStart w:id="79" w:name="_Toc111208512"/>
      <w:bookmarkStart w:id="80" w:name="_Toc79163635"/>
      <w:bookmarkStart w:id="81" w:name="_Toc5939"/>
      <w:r>
        <w:rPr>
          <w:rFonts w:hint="eastAsia" w:ascii="黑体" w:hAnsi="黑体" w:eastAsia="黑体" w:cs="黑体"/>
        </w:rPr>
        <w:t>第五部分 附表</w:t>
      </w:r>
      <w:bookmarkEnd w:id="78"/>
      <w:bookmarkEnd w:id="79"/>
      <w:bookmarkEnd w:id="80"/>
      <w:bookmarkEnd w:id="81"/>
    </w:p>
    <w:p>
      <w:pPr>
        <w:pStyle w:val="4"/>
        <w:ind w:firstLine="640" w:firstLineChars="200"/>
        <w:rPr>
          <w:rFonts w:ascii="黑体" w:eastAsia="黑体" w:cs="Times New Roman"/>
          <w:bCs w:val="0"/>
          <w:color w:val="000000"/>
        </w:rPr>
      </w:pPr>
      <w:bookmarkStart w:id="82" w:name="_Toc7558"/>
      <w:r>
        <w:rPr>
          <w:rFonts w:hint="eastAsia" w:ascii="黑体" w:eastAsia="黑体" w:cs="Times New Roman"/>
          <w:bCs w:val="0"/>
          <w:color w:val="000000"/>
        </w:rPr>
        <w:t>一、收入支出决算总表</w:t>
      </w:r>
      <w:bookmarkEnd w:id="82"/>
    </w:p>
    <w:p>
      <w:pPr>
        <w:pStyle w:val="4"/>
        <w:ind w:firstLine="640" w:firstLineChars="200"/>
        <w:rPr>
          <w:rFonts w:ascii="黑体" w:eastAsia="黑体" w:cs="Times New Roman"/>
          <w:bCs w:val="0"/>
          <w:color w:val="000000"/>
        </w:rPr>
      </w:pPr>
      <w:bookmarkStart w:id="83" w:name="_Toc23357"/>
      <w:r>
        <w:rPr>
          <w:rFonts w:hint="eastAsia" w:ascii="黑体" w:eastAsia="黑体" w:cs="Times New Roman"/>
          <w:bCs w:val="0"/>
          <w:color w:val="000000"/>
        </w:rPr>
        <w:t>二、收入决算表</w:t>
      </w:r>
      <w:bookmarkEnd w:id="83"/>
    </w:p>
    <w:p>
      <w:pPr>
        <w:pStyle w:val="4"/>
        <w:ind w:firstLine="640" w:firstLineChars="200"/>
        <w:rPr>
          <w:rFonts w:ascii="黑体" w:eastAsia="黑体" w:cs="Times New Roman"/>
          <w:bCs w:val="0"/>
          <w:color w:val="000000"/>
        </w:rPr>
      </w:pPr>
      <w:bookmarkStart w:id="84" w:name="_Toc8630"/>
      <w:r>
        <w:rPr>
          <w:rFonts w:hint="eastAsia" w:ascii="黑体" w:eastAsia="黑体" w:cs="Times New Roman"/>
          <w:bCs w:val="0"/>
          <w:color w:val="000000"/>
        </w:rPr>
        <w:t>三、支出决算表</w:t>
      </w:r>
      <w:bookmarkEnd w:id="84"/>
    </w:p>
    <w:p>
      <w:pPr>
        <w:pStyle w:val="4"/>
        <w:ind w:firstLine="640" w:firstLineChars="200"/>
        <w:rPr>
          <w:rFonts w:ascii="黑体" w:eastAsia="黑体" w:cs="Times New Roman"/>
          <w:bCs w:val="0"/>
          <w:color w:val="000000"/>
        </w:rPr>
      </w:pPr>
      <w:bookmarkStart w:id="85" w:name="_Toc14945"/>
      <w:r>
        <w:rPr>
          <w:rFonts w:hint="eastAsia" w:ascii="黑体" w:eastAsia="黑体" w:cs="Times New Roman"/>
          <w:bCs w:val="0"/>
          <w:color w:val="000000"/>
        </w:rPr>
        <w:t>四、财政拨款收入支出决算总表</w:t>
      </w:r>
      <w:bookmarkEnd w:id="85"/>
    </w:p>
    <w:p>
      <w:pPr>
        <w:pStyle w:val="4"/>
        <w:ind w:firstLine="640" w:firstLineChars="200"/>
        <w:rPr>
          <w:rFonts w:ascii="黑体" w:eastAsia="黑体" w:cs="Times New Roman"/>
          <w:bCs w:val="0"/>
          <w:color w:val="000000"/>
        </w:rPr>
      </w:pPr>
      <w:bookmarkStart w:id="86" w:name="_Toc11086"/>
      <w:r>
        <w:rPr>
          <w:rFonts w:hint="eastAsia" w:ascii="黑体" w:eastAsia="黑体" w:cs="Times New Roman"/>
          <w:bCs w:val="0"/>
          <w:color w:val="000000"/>
        </w:rPr>
        <w:t>五、财政拨款支出决算明细表</w:t>
      </w:r>
      <w:bookmarkEnd w:id="86"/>
    </w:p>
    <w:p>
      <w:pPr>
        <w:pStyle w:val="4"/>
        <w:ind w:firstLine="640" w:firstLineChars="200"/>
        <w:rPr>
          <w:rFonts w:ascii="黑体" w:eastAsia="黑体" w:cs="Times New Roman"/>
          <w:bCs w:val="0"/>
          <w:color w:val="000000"/>
        </w:rPr>
      </w:pPr>
      <w:bookmarkStart w:id="87" w:name="_Toc27180"/>
      <w:r>
        <w:rPr>
          <w:rFonts w:hint="eastAsia" w:ascii="黑体" w:eastAsia="黑体" w:cs="Times New Roman"/>
          <w:bCs w:val="0"/>
          <w:color w:val="000000"/>
        </w:rPr>
        <w:t>六、一般公共预算财政拨款支出决算表</w:t>
      </w:r>
      <w:bookmarkEnd w:id="87"/>
    </w:p>
    <w:p>
      <w:pPr>
        <w:pStyle w:val="4"/>
        <w:ind w:firstLine="640" w:firstLineChars="200"/>
        <w:rPr>
          <w:rFonts w:ascii="黑体" w:eastAsia="黑体" w:cs="Times New Roman"/>
          <w:bCs w:val="0"/>
          <w:color w:val="000000"/>
        </w:rPr>
      </w:pPr>
      <w:bookmarkStart w:id="88" w:name="_Toc29007"/>
      <w:r>
        <w:rPr>
          <w:rFonts w:hint="eastAsia" w:ascii="黑体" w:eastAsia="黑体" w:cs="Times New Roman"/>
          <w:bCs w:val="0"/>
          <w:color w:val="000000"/>
        </w:rPr>
        <w:t>七、一般公共预算财政拨款支出决算明细表</w:t>
      </w:r>
      <w:bookmarkEnd w:id="88"/>
    </w:p>
    <w:p>
      <w:pPr>
        <w:pStyle w:val="4"/>
        <w:ind w:firstLine="640" w:firstLineChars="200"/>
        <w:rPr>
          <w:rFonts w:ascii="黑体" w:eastAsia="黑体" w:cs="Times New Roman"/>
          <w:bCs w:val="0"/>
          <w:color w:val="000000"/>
        </w:rPr>
      </w:pPr>
      <w:bookmarkStart w:id="89" w:name="_Toc26272"/>
      <w:r>
        <w:rPr>
          <w:rFonts w:hint="eastAsia" w:ascii="黑体" w:eastAsia="黑体" w:cs="Times New Roman"/>
          <w:bCs w:val="0"/>
          <w:color w:val="000000"/>
        </w:rPr>
        <w:t>八、一般公共预算财政拨款基本支出决算表</w:t>
      </w:r>
      <w:bookmarkEnd w:id="89"/>
    </w:p>
    <w:p>
      <w:pPr>
        <w:pStyle w:val="4"/>
        <w:ind w:firstLine="640" w:firstLineChars="200"/>
        <w:rPr>
          <w:rFonts w:ascii="黑体" w:eastAsia="黑体" w:cs="Times New Roman"/>
          <w:bCs w:val="0"/>
          <w:color w:val="000000"/>
        </w:rPr>
      </w:pPr>
      <w:bookmarkStart w:id="90" w:name="_Toc9392"/>
      <w:r>
        <w:rPr>
          <w:rFonts w:hint="eastAsia" w:ascii="黑体" w:eastAsia="黑体" w:cs="Times New Roman"/>
          <w:bCs w:val="0"/>
          <w:color w:val="000000"/>
        </w:rPr>
        <w:t>九、一般公共预算财政拨款项目支出决算表</w:t>
      </w:r>
      <w:bookmarkEnd w:id="90"/>
    </w:p>
    <w:p>
      <w:pPr>
        <w:pStyle w:val="4"/>
        <w:ind w:firstLine="640" w:firstLineChars="200"/>
        <w:rPr>
          <w:rFonts w:ascii="黑体" w:eastAsia="黑体" w:cs="Times New Roman"/>
          <w:bCs w:val="0"/>
          <w:color w:val="000000"/>
        </w:rPr>
      </w:pPr>
      <w:bookmarkStart w:id="91" w:name="_Toc5609"/>
      <w:r>
        <w:rPr>
          <w:rFonts w:hint="eastAsia" w:ascii="黑体" w:eastAsia="黑体" w:cs="Times New Roman"/>
          <w:bCs w:val="0"/>
          <w:color w:val="000000"/>
        </w:rPr>
        <w:t>十、政府性基金预算财政拨款收入支出决算表</w:t>
      </w:r>
      <w:bookmarkEnd w:id="91"/>
    </w:p>
    <w:p>
      <w:pPr>
        <w:pStyle w:val="4"/>
        <w:ind w:firstLine="640" w:firstLineChars="200"/>
        <w:rPr>
          <w:rFonts w:ascii="黑体" w:eastAsia="黑体" w:cs="Times New Roman"/>
          <w:bCs w:val="0"/>
          <w:color w:val="000000"/>
        </w:rPr>
      </w:pPr>
      <w:bookmarkStart w:id="92" w:name="_Toc28596"/>
      <w:r>
        <w:rPr>
          <w:rFonts w:hint="eastAsia" w:ascii="黑体" w:eastAsia="黑体" w:cs="Times New Roman"/>
          <w:bCs w:val="0"/>
          <w:color w:val="000000"/>
        </w:rPr>
        <w:t>十一、国有资本经营预算财政拨款收入支出决算表</w:t>
      </w:r>
      <w:bookmarkEnd w:id="92"/>
    </w:p>
    <w:p>
      <w:pPr>
        <w:pStyle w:val="4"/>
        <w:ind w:firstLine="640" w:firstLineChars="200"/>
        <w:rPr>
          <w:rFonts w:ascii="黑体" w:eastAsia="黑体" w:cs="Times New Roman"/>
          <w:bCs w:val="0"/>
          <w:color w:val="000000"/>
        </w:rPr>
      </w:pPr>
      <w:bookmarkStart w:id="93" w:name="_Toc2782"/>
      <w:r>
        <w:rPr>
          <w:rFonts w:hint="eastAsia" w:ascii="黑体" w:eastAsia="黑体" w:cs="Times New Roman"/>
          <w:bCs w:val="0"/>
          <w:color w:val="000000"/>
        </w:rPr>
        <w:t>十二、国有资本经营预算财政拨款支出决算表</w:t>
      </w:r>
      <w:bookmarkEnd w:id="93"/>
    </w:p>
    <w:p>
      <w:pPr>
        <w:pStyle w:val="4"/>
        <w:ind w:firstLine="640" w:firstLineChars="200"/>
        <w:rPr>
          <w:rFonts w:ascii="黑体" w:eastAsia="黑体" w:cs="Times New Roman"/>
          <w:b w:val="0"/>
          <w:color w:val="000000"/>
        </w:rPr>
      </w:pPr>
      <w:bookmarkStart w:id="94" w:name="_Toc27892"/>
      <w:r>
        <w:rPr>
          <w:rFonts w:hint="eastAsia" w:ascii="黑体" w:eastAsia="黑体" w:cs="Times New Roman"/>
          <w:bCs w:val="0"/>
          <w:color w:val="000000"/>
        </w:rPr>
        <w:t>十三、财政拨款“三公”经费支出决算表</w:t>
      </w:r>
      <w:bookmarkEnd w:id="94"/>
    </w:p>
    <w:sectPr>
      <w:pgSz w:w="16838" w:h="11906" w:orient="landscape"/>
      <w:pgMar w:top="1797" w:right="1440" w:bottom="1797" w:left="1440" w:header="851" w:footer="992" w:gutter="0"/>
      <w:pgNumType w:start="1"/>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07E4B"/>
    <w:multiLevelType w:val="singleLevel"/>
    <w:tmpl w:val="48807E4B"/>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71E"/>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2EC8"/>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5BEA"/>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D43F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1F7D"/>
    <w:rsid w:val="00317D41"/>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A7F31"/>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6B9"/>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455A3"/>
    <w:rsid w:val="00550726"/>
    <w:rsid w:val="00550F95"/>
    <w:rsid w:val="0055106D"/>
    <w:rsid w:val="005559A4"/>
    <w:rsid w:val="0056304B"/>
    <w:rsid w:val="005651E3"/>
    <w:rsid w:val="00565577"/>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E6AFB"/>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64AA"/>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4FBA"/>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BA9"/>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A03"/>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97FAD"/>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5D13"/>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3950"/>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293"/>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4E73FB"/>
    <w:rsid w:val="01CF32DE"/>
    <w:rsid w:val="01D74DB7"/>
    <w:rsid w:val="01D86637"/>
    <w:rsid w:val="01F04616"/>
    <w:rsid w:val="03F359AA"/>
    <w:rsid w:val="043F51F2"/>
    <w:rsid w:val="0463543B"/>
    <w:rsid w:val="04A56E6E"/>
    <w:rsid w:val="051A6F96"/>
    <w:rsid w:val="06951176"/>
    <w:rsid w:val="07001BE1"/>
    <w:rsid w:val="07267DE7"/>
    <w:rsid w:val="089C4B49"/>
    <w:rsid w:val="09081517"/>
    <w:rsid w:val="091B747D"/>
    <w:rsid w:val="0A19737C"/>
    <w:rsid w:val="0B7218AA"/>
    <w:rsid w:val="0B99373B"/>
    <w:rsid w:val="0BA37CB5"/>
    <w:rsid w:val="0BCB2779"/>
    <w:rsid w:val="0D0429D6"/>
    <w:rsid w:val="0D093B48"/>
    <w:rsid w:val="0D322E51"/>
    <w:rsid w:val="0D6C338E"/>
    <w:rsid w:val="0DB37F58"/>
    <w:rsid w:val="0E8B1BD0"/>
    <w:rsid w:val="0F5E6610"/>
    <w:rsid w:val="10C055FF"/>
    <w:rsid w:val="110F7602"/>
    <w:rsid w:val="11D56DF6"/>
    <w:rsid w:val="11ED6591"/>
    <w:rsid w:val="13367661"/>
    <w:rsid w:val="13C7650B"/>
    <w:rsid w:val="16BB723D"/>
    <w:rsid w:val="17BC7656"/>
    <w:rsid w:val="17EA348C"/>
    <w:rsid w:val="1840212F"/>
    <w:rsid w:val="184656CF"/>
    <w:rsid w:val="19943114"/>
    <w:rsid w:val="1AB026BC"/>
    <w:rsid w:val="1ABB32B6"/>
    <w:rsid w:val="1BF70747"/>
    <w:rsid w:val="1C06153F"/>
    <w:rsid w:val="1C756A5A"/>
    <w:rsid w:val="1C986C96"/>
    <w:rsid w:val="1CC67594"/>
    <w:rsid w:val="1D7371C3"/>
    <w:rsid w:val="1DDC2BB3"/>
    <w:rsid w:val="1E34479D"/>
    <w:rsid w:val="1EF81F78"/>
    <w:rsid w:val="1F620905"/>
    <w:rsid w:val="201A6AB0"/>
    <w:rsid w:val="203B66A0"/>
    <w:rsid w:val="211A679A"/>
    <w:rsid w:val="21752AA9"/>
    <w:rsid w:val="229B692C"/>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FD04D3"/>
    <w:rsid w:val="2CAE1BBE"/>
    <w:rsid w:val="2CCF04B2"/>
    <w:rsid w:val="2E4C04E0"/>
    <w:rsid w:val="2E53182D"/>
    <w:rsid w:val="2F803D16"/>
    <w:rsid w:val="31810DA9"/>
    <w:rsid w:val="31903F88"/>
    <w:rsid w:val="319F7F4E"/>
    <w:rsid w:val="323A1C2F"/>
    <w:rsid w:val="329448A6"/>
    <w:rsid w:val="32F45598"/>
    <w:rsid w:val="35244754"/>
    <w:rsid w:val="364D41F6"/>
    <w:rsid w:val="36FD0156"/>
    <w:rsid w:val="384B3688"/>
    <w:rsid w:val="38F8371D"/>
    <w:rsid w:val="39226F5F"/>
    <w:rsid w:val="39902098"/>
    <w:rsid w:val="3A3A0F35"/>
    <w:rsid w:val="3A4E1148"/>
    <w:rsid w:val="3B8B7C9A"/>
    <w:rsid w:val="3C8D2F9D"/>
    <w:rsid w:val="3CE0510E"/>
    <w:rsid w:val="3D1927CA"/>
    <w:rsid w:val="3D1E4B3E"/>
    <w:rsid w:val="3D8344ED"/>
    <w:rsid w:val="3E03620E"/>
    <w:rsid w:val="3E343C22"/>
    <w:rsid w:val="3F512FA9"/>
    <w:rsid w:val="3FAC4683"/>
    <w:rsid w:val="3FEA5DFB"/>
    <w:rsid w:val="401C35B7"/>
    <w:rsid w:val="4119235A"/>
    <w:rsid w:val="41677310"/>
    <w:rsid w:val="422C2C46"/>
    <w:rsid w:val="4251506E"/>
    <w:rsid w:val="42E33BAB"/>
    <w:rsid w:val="43684120"/>
    <w:rsid w:val="444F07DA"/>
    <w:rsid w:val="44601E28"/>
    <w:rsid w:val="45E701C3"/>
    <w:rsid w:val="475E72DC"/>
    <w:rsid w:val="47F514AF"/>
    <w:rsid w:val="4839282C"/>
    <w:rsid w:val="48FD75BD"/>
    <w:rsid w:val="4A745623"/>
    <w:rsid w:val="4B58746D"/>
    <w:rsid w:val="4D135D42"/>
    <w:rsid w:val="4D846266"/>
    <w:rsid w:val="4D8D78A2"/>
    <w:rsid w:val="4DF123A8"/>
    <w:rsid w:val="4E832A53"/>
    <w:rsid w:val="4F6F7A34"/>
    <w:rsid w:val="4FD74194"/>
    <w:rsid w:val="4FDA49F5"/>
    <w:rsid w:val="50AD5229"/>
    <w:rsid w:val="50AE413E"/>
    <w:rsid w:val="51E1640E"/>
    <w:rsid w:val="51EE42CA"/>
    <w:rsid w:val="52302EF2"/>
    <w:rsid w:val="52ED6284"/>
    <w:rsid w:val="5322283B"/>
    <w:rsid w:val="532B0C13"/>
    <w:rsid w:val="533E0A2A"/>
    <w:rsid w:val="53BE2B80"/>
    <w:rsid w:val="541505F1"/>
    <w:rsid w:val="54992FD0"/>
    <w:rsid w:val="55872E29"/>
    <w:rsid w:val="56D0674C"/>
    <w:rsid w:val="58BA52C3"/>
    <w:rsid w:val="59E11CD3"/>
    <w:rsid w:val="5BCF1D02"/>
    <w:rsid w:val="5BE202EA"/>
    <w:rsid w:val="5CFA7F1D"/>
    <w:rsid w:val="5E2506F8"/>
    <w:rsid w:val="5EA316D6"/>
    <w:rsid w:val="5F3A07D2"/>
    <w:rsid w:val="5F593A88"/>
    <w:rsid w:val="60651EAC"/>
    <w:rsid w:val="60BB3927"/>
    <w:rsid w:val="62A42EE2"/>
    <w:rsid w:val="630D013F"/>
    <w:rsid w:val="63347FC4"/>
    <w:rsid w:val="63604CB9"/>
    <w:rsid w:val="64A36D0B"/>
    <w:rsid w:val="64C656C1"/>
    <w:rsid w:val="65DF63C9"/>
    <w:rsid w:val="662A7F2C"/>
    <w:rsid w:val="68DA2DB6"/>
    <w:rsid w:val="69725134"/>
    <w:rsid w:val="6A733703"/>
    <w:rsid w:val="6B4666B6"/>
    <w:rsid w:val="6CC85DA9"/>
    <w:rsid w:val="6D8F2D6B"/>
    <w:rsid w:val="6DC31436"/>
    <w:rsid w:val="6E35746E"/>
    <w:rsid w:val="6E533D98"/>
    <w:rsid w:val="6ECB49CF"/>
    <w:rsid w:val="6ECB5A2B"/>
    <w:rsid w:val="6FC525E8"/>
    <w:rsid w:val="70202A42"/>
    <w:rsid w:val="72227D09"/>
    <w:rsid w:val="72CE7E91"/>
    <w:rsid w:val="72E476B5"/>
    <w:rsid w:val="73BE3A62"/>
    <w:rsid w:val="746C7E4B"/>
    <w:rsid w:val="750E6C6B"/>
    <w:rsid w:val="751228D6"/>
    <w:rsid w:val="755E374E"/>
    <w:rsid w:val="76377F56"/>
    <w:rsid w:val="764B35A7"/>
    <w:rsid w:val="78A4106B"/>
    <w:rsid w:val="79975481"/>
    <w:rsid w:val="79F60BE5"/>
    <w:rsid w:val="7A1B4027"/>
    <w:rsid w:val="7A965738"/>
    <w:rsid w:val="7ABC1C9C"/>
    <w:rsid w:val="7AE53FCA"/>
    <w:rsid w:val="7B022DCE"/>
    <w:rsid w:val="7B272834"/>
    <w:rsid w:val="7B8F71DF"/>
    <w:rsid w:val="7CB2612E"/>
    <w:rsid w:val="7CC25607"/>
    <w:rsid w:val="7CE7227B"/>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35"/>
    <w:qFormat/>
    <w:uiPriority w:val="99"/>
    <w:pPr>
      <w:spacing w:beforeLines="30"/>
    </w:pPr>
    <w:rPr>
      <w:rFonts w:ascii="仿宋_GB2312" w:eastAsia="仿宋_GB2312"/>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3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33"/>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character" w:customStyle="1" w:styleId="33">
    <w:name w:val="页眉 字符1"/>
    <w:basedOn w:val="16"/>
    <w:link w:val="11"/>
    <w:qFormat/>
    <w:uiPriority w:val="99"/>
    <w:rPr>
      <w:sz w:val="18"/>
      <w:szCs w:val="18"/>
    </w:rPr>
  </w:style>
  <w:style w:type="character" w:customStyle="1" w:styleId="34">
    <w:name w:val="页脚 字符1"/>
    <w:basedOn w:val="16"/>
    <w:link w:val="10"/>
    <w:qFormat/>
    <w:uiPriority w:val="99"/>
    <w:rPr>
      <w:sz w:val="18"/>
      <w:szCs w:val="18"/>
    </w:rPr>
  </w:style>
  <w:style w:type="character" w:customStyle="1" w:styleId="35">
    <w:name w:val="正文文本 字符1"/>
    <w:basedOn w:val="16"/>
    <w:link w:val="7"/>
    <w:qFormat/>
    <w:uiPriority w:val="99"/>
    <w:rPr>
      <w:rFonts w:ascii="仿宋_GB2312" w:hAnsi="Times New Roman" w:eastAsia="仿宋_GB2312" w:cs="Times New Roman"/>
      <w:kern w:val="0"/>
      <w:sz w:val="30"/>
      <w:szCs w:val="24"/>
    </w:rPr>
  </w:style>
  <w:style w:type="character" w:customStyle="1" w:styleId="36">
    <w:name w:val="font51"/>
    <w:basedOn w:val="16"/>
    <w:qFormat/>
    <w:uiPriority w:val="0"/>
    <w:rPr>
      <w:rFonts w:hint="eastAsia" w:ascii="宋体" w:hAnsi="宋体" w:eastAsia="宋体"/>
      <w:color w:val="000000"/>
      <w:sz w:val="18"/>
      <w:szCs w:val="18"/>
      <w:u w:val="none"/>
    </w:rPr>
  </w:style>
  <w:style w:type="character" w:customStyle="1" w:styleId="37">
    <w:name w:val="font41"/>
    <w:basedOn w:val="16"/>
    <w:qFormat/>
    <w:uiPriority w:val="0"/>
    <w:rPr>
      <w:rFonts w:hint="eastAsia" w:ascii="宋体" w:hAnsi="宋体" w:eastAsia="宋体" w:cs="宋体"/>
      <w:color w:val="000000"/>
      <w:sz w:val="28"/>
      <w:szCs w:val="28"/>
      <w:u w:val="none"/>
    </w:rPr>
  </w:style>
  <w:style w:type="character" w:customStyle="1" w:styleId="38">
    <w:name w:val="font61"/>
    <w:basedOn w:val="16"/>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3.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manualLayout>
          <c:xMode val="edge"/>
          <c:yMode val="edge"/>
          <c:x val="0.28883788354675"/>
          <c:y val="0.0229494262643434"/>
        </c:manualLayout>
      </c:layout>
      <c:overlay val="0"/>
      <c:spPr>
        <a:noFill/>
        <a:ln>
          <a:noFill/>
        </a:ln>
        <a:effectLst/>
      </c:spPr>
    </c:title>
    <c:autoTitleDeleted val="0"/>
    <c:plotArea>
      <c:layout>
        <c:manualLayout>
          <c:layoutTarget val="inner"/>
          <c:xMode val="edge"/>
          <c:yMode val="edge"/>
          <c:x val="0.0430780381734719"/>
          <c:y val="0.167020824479388"/>
          <c:w val="0.930345494080696"/>
          <c:h val="0.638631534211645"/>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1250.09</c:v>
                </c:pt>
                <c:pt idx="1">
                  <c:v>1563.86</c:v>
                </c:pt>
              </c:numCache>
            </c:numRef>
          </c:val>
        </c:ser>
        <c:ser>
          <c:idx val="1"/>
          <c:order val="1"/>
          <c:tx>
            <c:strRef>
              <c:f>Sheet1!$C$1</c:f>
              <c:strCache>
                <c:ptCount val="1"/>
                <c:pt idx="0">
                  <c:v>系列 2</c:v>
                </c:pt>
              </c:strCache>
            </c:strRef>
          </c:tx>
          <c:spPr>
            <a:solidFill>
              <a:schemeClr val="accent2"/>
            </a:solidFill>
            <a:ln>
              <a:noFill/>
            </a:ln>
            <a:effectLst/>
          </c:spPr>
          <c:invertIfNegative val="0"/>
          <c:dLbls>
            <c:delete val="1"/>
          </c:dLbls>
          <c:cat>
            <c:numRef>
              <c:f>Sheet1!$A$2:$A$3</c:f>
              <c:numCache>
                <c:formatCode>General</c:formatCode>
                <c:ptCount val="2"/>
                <c:pt idx="0">
                  <c:v>2022</c:v>
                </c:pt>
                <c:pt idx="1">
                  <c:v>2023</c:v>
                </c:pt>
              </c:numCache>
            </c:numRef>
          </c:cat>
          <c:val>
            <c:numRef>
              <c:f>Sheet1!$C$2:$C$3</c:f>
              <c:numCache>
                <c:formatCode>General</c:formatCode>
                <c:ptCount val="2"/>
                <c:pt idx="0">
                  <c:v>1250.09</c:v>
                </c:pt>
                <c:pt idx="1">
                  <c:v>1563.86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66622461"/>
        <c:axId val="909350760"/>
      </c:barChart>
      <c:catAx>
        <c:axId val="5666224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350760"/>
        <c:crosses val="autoZero"/>
        <c:auto val="1"/>
        <c:lblAlgn val="ctr"/>
        <c:lblOffset val="100"/>
        <c:noMultiLvlLbl val="0"/>
      </c:catAx>
      <c:valAx>
        <c:axId val="90935076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6622461"/>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1"/>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{12414704.55,0,0,0,0,0,0,0}</c:f>
              <c:numCache>
                <c:formatCode>General</c:formatCode>
                <c:ptCount val="8"/>
                <c:pt idx="0">
                  <c:v>12414704.55</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销售额</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a:ln w="15875">
              <a:solidFill>
                <a:schemeClr val="bg1"/>
              </a:solidFill>
            </a:ln>
            <a:effectLst>
              <a:outerShdw blurRad="50800" dist="38100" dir="2700000" algn="tl" rotWithShape="0">
                <a:prstClr val="black">
                  <a:alpha val="40000"/>
                </a:prstClr>
              </a:outerShdw>
            </a:effectLst>
            <a:sp3d contourW="15875"/>
          </c:spPr>
          <c:explosion val="0"/>
          <c:dPt>
            <c:idx val="0"/>
            <c:bubble3D val="0"/>
            <c:explosion val="9"/>
            <c:spPr>
              <a:gradFill>
                <a:gsLst>
                  <a:gs pos="0">
                    <a:schemeClr val="accent6">
                      <a:lumMod val="60000"/>
                      <a:lumOff val="40000"/>
                    </a:schemeClr>
                  </a:gs>
                  <a:gs pos="83000">
                    <a:schemeClr val="accent6"/>
                  </a:gs>
                </a:gsLst>
                <a:lin ang="2700000"/>
              </a:gradFill>
              <a:ln w="15875">
                <a:solidFill>
                  <a:schemeClr val="bg1"/>
                </a:solidFill>
              </a:ln>
              <a:effectLst>
                <a:outerShdw blurRad="50800" dist="38100" dir="2700000" algn="tl" rotWithShape="0">
                  <a:schemeClr val="accent6">
                    <a:lumMod val="50000"/>
                    <a:alpha val="40000"/>
                  </a:schemeClr>
                </a:outerShdw>
              </a:effectLst>
              <a:sp3d contourW="15875"/>
            </c:spPr>
          </c:dPt>
          <c:dPt>
            <c:idx val="1"/>
            <c:bubble3D val="0"/>
            <c:spPr>
              <a:gradFill>
                <a:gsLst>
                  <a:gs pos="0">
                    <a:schemeClr val="accent2">
                      <a:lumMod val="60000"/>
                      <a:lumOff val="40000"/>
                    </a:schemeClr>
                  </a:gs>
                  <a:gs pos="83000">
                    <a:schemeClr val="accent2"/>
                  </a:gs>
                </a:gsLst>
                <a:lin ang="2700000"/>
              </a:gradFill>
              <a:ln w="15875">
                <a:solidFill>
                  <a:schemeClr val="bg1"/>
                </a:solidFill>
              </a:ln>
              <a:effectLst>
                <a:outerShdw blurRad="50800" dist="38100" dir="2700000" algn="tl" rotWithShape="0">
                  <a:schemeClr val="accent2">
                    <a:lumMod val="50000"/>
                    <a:alpha val="40000"/>
                  </a:schemeClr>
                </a:outerShdw>
              </a:effectLst>
              <a:sp3d contourW="15875"/>
            </c:spPr>
          </c:dPt>
          <c:dPt>
            <c:idx val="2"/>
            <c:bubble3D val="0"/>
            <c:spPr>
              <a:gradFill>
                <a:gsLst>
                  <a:gs pos="0">
                    <a:schemeClr val="accent5">
                      <a:lumMod val="60000"/>
                      <a:lumOff val="40000"/>
                    </a:schemeClr>
                  </a:gs>
                  <a:gs pos="83000">
                    <a:schemeClr val="accent5"/>
                  </a:gs>
                </a:gsLst>
                <a:lin ang="2700000"/>
              </a:gradFill>
              <a:ln w="19050">
                <a:solidFill>
                  <a:schemeClr val="bg1"/>
                </a:solidFill>
              </a:ln>
              <a:effectLst>
                <a:outerShdw blurRad="50800" dist="38100" dir="2700000" algn="tl" rotWithShape="0">
                  <a:schemeClr val="accent5">
                    <a:lumMod val="50000"/>
                    <a:alpha val="40000"/>
                  </a:schemeClr>
                </a:outerShdw>
              </a:effectLst>
              <a:sp3d contourW="19050"/>
            </c:spPr>
          </c:dPt>
          <c:dPt>
            <c:idx val="3"/>
            <c:bubble3D val="0"/>
            <c:spPr>
              <a:solidFill>
                <a:schemeClr val="accent4"/>
              </a:solidFill>
              <a:ln w="15875">
                <a:solidFill>
                  <a:schemeClr val="bg1"/>
                </a:solidFill>
              </a:ln>
              <a:effectLst>
                <a:outerShdw blurRad="50800" dist="38100" dir="2700000" algn="tl" rotWithShape="0">
                  <a:prstClr val="black">
                    <a:alpha val="40000"/>
                  </a:prstClr>
                </a:outerShdw>
              </a:effectLst>
              <a:sp3d contourW="15875"/>
            </c:spPr>
          </c:dPt>
          <c:dPt>
            <c:idx val="4"/>
            <c:bubble3D val="0"/>
            <c:spPr>
              <a:solidFill>
                <a:schemeClr val="accent5"/>
              </a:solidFill>
              <a:ln w="15875">
                <a:solidFill>
                  <a:schemeClr val="bg1"/>
                </a:solidFill>
              </a:ln>
              <a:effectLst>
                <a:outerShdw blurRad="50800" dist="38100" dir="2700000" algn="tl" rotWithShape="0">
                  <a:prstClr val="black">
                    <a:alpha val="40000"/>
                  </a:prstClr>
                </a:outerShdw>
              </a:effectLst>
              <a:sp3d contourW="1587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补助支出</c:v>
                </c:pt>
              </c:strCache>
            </c:strRef>
          </c:cat>
          <c:val>
            <c:numRef>
              <c:f>Sheet1!$B$2:$B$6</c:f>
              <c:numCache>
                <c:formatCode>General</c:formatCode>
                <c:ptCount val="5"/>
                <c:pt idx="0">
                  <c:v>76.25</c:v>
                </c:pt>
                <c:pt idx="1">
                  <c:v>23.75</c:v>
                </c:pt>
                <c:pt idx="2">
                  <c:v>0</c:v>
                </c:pt>
                <c:pt idx="3">
                  <c:v>0</c:v>
                </c:pt>
                <c:pt idx="4">
                  <c:v>0</c:v>
                </c:pt>
              </c:numCache>
            </c:numRef>
          </c:val>
        </c:ser>
        <c:dLbls>
          <c:showLegendKey val="0"/>
          <c:showVal val="1"/>
          <c:showCatName val="0"/>
          <c:showSerName val="0"/>
          <c:showPercent val="0"/>
          <c:showBubbleSize val="0"/>
          <c:showLeaderLines val="1"/>
        </c:dLbls>
        <c:firstSliceAng val="36"/>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1250.09</c:v>
                </c:pt>
                <c:pt idx="1">
                  <c:v>1563.86</c:v>
                </c:pt>
              </c:numCache>
            </c:numRef>
          </c:val>
        </c:ser>
        <c:ser>
          <c:idx val="1"/>
          <c:order val="1"/>
          <c:tx>
            <c:strRef>
              <c:f>Sheet1!$C$1</c:f>
              <c:strCache>
                <c:ptCount val="1"/>
                <c:pt idx="0">
                  <c:v>系列 2</c:v>
                </c:pt>
              </c:strCache>
            </c:strRef>
          </c:tx>
          <c:spPr>
            <a:solidFill>
              <a:schemeClr val="accent2"/>
            </a:solidFill>
            <a:ln>
              <a:noFill/>
            </a:ln>
            <a:effectLst/>
          </c:spPr>
          <c:invertIfNegative val="0"/>
          <c:dLbls>
            <c:delete val="1"/>
          </c:dLbls>
          <c:cat>
            <c:numRef>
              <c:f>Sheet1!$A$2:$A$3</c:f>
              <c:numCache>
                <c:formatCode>General</c:formatCode>
                <c:ptCount val="2"/>
                <c:pt idx="0">
                  <c:v>2022</c:v>
                </c:pt>
                <c:pt idx="1">
                  <c:v>2023</c:v>
                </c:pt>
              </c:numCache>
            </c:numRef>
          </c:cat>
          <c:val>
            <c:numRef>
              <c:f>Sheet1!$C$2:$C$3</c:f>
              <c:numCache>
                <c:formatCode>General</c:formatCode>
                <c:ptCount val="2"/>
                <c:pt idx="0">
                  <c:v>1250.09</c:v>
                </c:pt>
                <c:pt idx="1">
                  <c:v>1563.86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56834829"/>
        <c:axId val="178057629"/>
      </c:barChart>
      <c:catAx>
        <c:axId val="5568348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057629"/>
        <c:crosses val="autoZero"/>
        <c:auto val="1"/>
        <c:lblAlgn val="ctr"/>
        <c:lblOffset val="100"/>
        <c:noMultiLvlLbl val="0"/>
      </c:catAx>
      <c:valAx>
        <c:axId val="17805762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834829"/>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bg2">
                <a:lumMod val="75000"/>
              </a:schemeClr>
            </a:solidFill>
            <a:ln>
              <a:noFill/>
            </a:ln>
            <a:effectLst/>
          </c:spPr>
          <c:invertIfNegative val="0"/>
          <c:dPt>
            <c:idx val="0"/>
            <c:invertIfNegative val="0"/>
            <c:bubble3D val="0"/>
            <c:spPr>
              <a:solidFill>
                <a:schemeClr val="accent2">
                  <a:lumMod val="40000"/>
                  <a:lumOff val="60000"/>
                </a:schemeClr>
              </a:solidFill>
              <a:ln>
                <a:noFill/>
              </a:ln>
              <a:effectLst/>
            </c:spPr>
          </c:dPt>
          <c:dPt>
            <c:idx val="1"/>
            <c:invertIfNegative val="0"/>
            <c:bubble3D val="0"/>
          </c:dPt>
          <c:dLbls>
            <c:delete val="1"/>
          </c:dLbls>
          <c:cat>
            <c:numRef>
              <c:f>Sheet1!$A$2:$A$3</c:f>
              <c:numCache>
                <c:formatCode>General</c:formatCode>
                <c:ptCount val="2"/>
                <c:pt idx="0">
                  <c:v>2022</c:v>
                </c:pt>
                <c:pt idx="1">
                  <c:v>2023</c:v>
                </c:pt>
              </c:numCache>
            </c:numRef>
          </c:cat>
          <c:val>
            <c:numRef>
              <c:f>Sheet1!$B$2:$B$3</c:f>
              <c:numCache>
                <c:formatCode>General</c:formatCode>
                <c:ptCount val="2"/>
                <c:pt idx="0">
                  <c:v>1250.09</c:v>
                </c:pt>
                <c:pt idx="1">
                  <c:v>1563.86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626975789"/>
        <c:axId val="445843636"/>
      </c:barChart>
      <c:catAx>
        <c:axId val="6269757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5843636"/>
        <c:crosses val="autoZero"/>
        <c:auto val="1"/>
        <c:lblAlgn val="ctr"/>
        <c:lblOffset val="100"/>
        <c:noMultiLvlLbl val="0"/>
      </c:catAx>
      <c:valAx>
        <c:axId val="44584363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6975789"/>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销售额</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a:ln w="15875">
              <a:solidFill>
                <a:schemeClr val="bg1"/>
              </a:solidFill>
            </a:ln>
            <a:effectLst>
              <a:outerShdw blurRad="50800" dist="38100" dir="2700000" algn="tl" rotWithShape="0">
                <a:prstClr val="black">
                  <a:alpha val="40000"/>
                </a:prstClr>
              </a:outerShdw>
            </a:effectLst>
            <a:sp3d contourW="15875"/>
          </c:spPr>
          <c:explosion val="0"/>
          <c:dPt>
            <c:idx val="0"/>
            <c:bubble3D val="0"/>
            <c:spPr>
              <a:gradFill>
                <a:gsLst>
                  <a:gs pos="0">
                    <a:schemeClr val="accent6">
                      <a:lumMod val="60000"/>
                      <a:lumOff val="40000"/>
                    </a:schemeClr>
                  </a:gs>
                  <a:gs pos="83000">
                    <a:schemeClr val="accent6"/>
                  </a:gs>
                </a:gsLst>
                <a:lin ang="2700000"/>
              </a:gradFill>
              <a:ln w="15875">
                <a:solidFill>
                  <a:schemeClr val="bg1"/>
                </a:solidFill>
              </a:ln>
              <a:effectLst>
                <a:outerShdw blurRad="50800" dist="38100" dir="2700000" algn="tl" rotWithShape="0">
                  <a:schemeClr val="accent6">
                    <a:lumMod val="50000"/>
                    <a:alpha val="40000"/>
                  </a:schemeClr>
                </a:outerShdw>
              </a:effectLst>
              <a:sp3d contourW="15875"/>
            </c:spPr>
          </c:dPt>
          <c:dPt>
            <c:idx val="1"/>
            <c:bubble3D val="0"/>
            <c:spPr>
              <a:gradFill>
                <a:gsLst>
                  <a:gs pos="0">
                    <a:schemeClr val="accent3">
                      <a:lumMod val="60000"/>
                      <a:lumOff val="40000"/>
                    </a:schemeClr>
                  </a:gs>
                  <a:gs pos="83000">
                    <a:schemeClr val="accent3"/>
                  </a:gs>
                </a:gsLst>
                <a:lin ang="2700000"/>
              </a:gradFill>
              <a:ln w="15875">
                <a:solidFill>
                  <a:schemeClr val="bg1"/>
                </a:solidFill>
              </a:ln>
              <a:effectLst>
                <a:outerShdw blurRad="50800" dist="38100" dir="2700000" algn="tl" rotWithShape="0">
                  <a:schemeClr val="accent2">
                    <a:lumMod val="50000"/>
                    <a:alpha val="40000"/>
                  </a:schemeClr>
                </a:outerShdw>
              </a:effectLst>
              <a:sp3d contourW="15875"/>
            </c:spPr>
          </c:dPt>
          <c:dPt>
            <c:idx val="2"/>
            <c:bubble3D val="0"/>
            <c:spPr>
              <a:gradFill>
                <a:gsLst>
                  <a:gs pos="0">
                    <a:schemeClr val="accent5">
                      <a:lumMod val="60000"/>
                      <a:lumOff val="40000"/>
                    </a:schemeClr>
                  </a:gs>
                  <a:gs pos="83000">
                    <a:schemeClr val="accent5"/>
                  </a:gs>
                </a:gsLst>
                <a:lin ang="2700000"/>
              </a:gradFill>
              <a:ln w="19050">
                <a:solidFill>
                  <a:schemeClr val="bg1"/>
                </a:solidFill>
              </a:ln>
              <a:effectLst>
                <a:outerShdw blurRad="50800" dist="38100" dir="2700000" algn="tl" rotWithShape="0">
                  <a:schemeClr val="accent5">
                    <a:lumMod val="50000"/>
                    <a:alpha val="40000"/>
                  </a:schemeClr>
                </a:outerShdw>
              </a:effectLst>
              <a:sp3d contourW="19050"/>
            </c:spPr>
          </c:dPt>
          <c:dPt>
            <c:idx val="3"/>
            <c:bubble3D val="0"/>
            <c:spPr>
              <a:solidFill>
                <a:schemeClr val="accent4"/>
              </a:solidFill>
              <a:ln w="15875">
                <a:solidFill>
                  <a:schemeClr val="bg1"/>
                </a:solidFill>
              </a:ln>
              <a:effectLst>
                <a:outerShdw blurRad="50800" dist="38100" dir="2700000" algn="tl" rotWithShape="0">
                  <a:prstClr val="black">
                    <a:alpha val="40000"/>
                  </a:prstClr>
                </a:outerShdw>
              </a:effectLst>
              <a:sp3d contourW="15875"/>
            </c:spPr>
          </c:dPt>
          <c:dPt>
            <c:idx val="4"/>
            <c:bubble3D val="0"/>
            <c:spPr>
              <a:solidFill>
                <a:schemeClr val="accent5"/>
              </a:solidFill>
              <a:ln w="15875">
                <a:solidFill>
                  <a:schemeClr val="bg1"/>
                </a:solidFill>
              </a:ln>
              <a:effectLst>
                <a:outerShdw blurRad="50800" dist="38100" dir="2700000" algn="tl" rotWithShape="0">
                  <a:prstClr val="black">
                    <a:alpha val="40000"/>
                  </a:prstClr>
                </a:outerShdw>
              </a:effectLst>
              <a:sp3d contourW="1587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教育支出</c:v>
                </c:pt>
                <c:pt idx="1">
                  <c:v>社会保障就业支出</c:v>
                </c:pt>
                <c:pt idx="2">
                  <c:v>卫生健康支出</c:v>
                </c:pt>
                <c:pt idx="3">
                  <c:v>住房保障支出</c:v>
                </c:pt>
              </c:strCache>
            </c:strRef>
          </c:cat>
          <c:val>
            <c:numRef>
              <c:f>Sheet1!$B$2:$B$6</c:f>
              <c:numCache>
                <c:formatCode>General</c:formatCode>
                <c:ptCount val="5"/>
                <c:pt idx="0">
                  <c:v>84.71</c:v>
                </c:pt>
                <c:pt idx="1">
                  <c:v>9.73</c:v>
                </c:pt>
                <c:pt idx="2">
                  <c:v>2.82</c:v>
                </c:pt>
                <c:pt idx="3">
                  <c:v>2.73</c:v>
                </c:pt>
              </c:numCache>
            </c:numRef>
          </c:val>
        </c:ser>
        <c:dLbls>
          <c:showLegendKey val="0"/>
          <c:showVal val="1"/>
          <c:showCatName val="0"/>
          <c:showSerName val="0"/>
          <c:showPercent val="0"/>
          <c:showBubbleSize val="0"/>
          <c:showLeaderLines val="1"/>
        </c:dLbls>
        <c:firstSliceAng val="36"/>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三公经费支出结构图</a:t>
            </a:r>
          </a:p>
        </c:rich>
      </c:tx>
      <c:layout/>
      <c:overlay val="0"/>
      <c:spPr>
        <a:noFill/>
        <a:ln>
          <a:noFill/>
        </a:ln>
        <a:effectLst/>
      </c:spPr>
    </c:title>
    <c:autoTitleDeleted val="0"/>
    <c:plotArea>
      <c:layout/>
      <c:pieChart>
        <c:varyColors val="1"/>
        <c:ser>
          <c:idx val="1"/>
          <c:order val="0"/>
          <c:tx>
            <c:strRef>
              <c:f>Sheet1!$B$1</c:f>
              <c:strCache>
                <c:ptCount val="1"/>
                <c:pt idx="0">
                  <c:v>三公经费支出结构图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c:v>
                </c:pt>
                <c:pt idx="1">
                  <c:v>公务用车</c:v>
                </c:pt>
                <c:pt idx="2">
                  <c:v>公务接待</c:v>
                </c:pt>
              </c:strCache>
            </c:strRef>
          </c:cat>
          <c:val>
            <c:numRef>
              <c:f>Sheet1!$B$2:$B$4</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solidFill>
          <a:srgbClr val="9BBB59">
            <a:lumMod val="60000"/>
            <a:lumOff val="40000"/>
          </a:srgbClr>
        </a:solid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8">
    <a:dk1>
      <a:srgbClr val="000000"/>
    </a:dk1>
    <a:lt1>
      <a:srgbClr val="FFFFFF"/>
    </a:lt1>
    <a:dk2>
      <a:srgbClr val="372824"/>
    </a:dk2>
    <a:lt2>
      <a:srgbClr val="FFFFFF"/>
    </a:lt2>
    <a:accent1>
      <a:srgbClr val="FFE84B"/>
    </a:accent1>
    <a:accent2>
      <a:srgbClr val="FFC529"/>
    </a:accent2>
    <a:accent3>
      <a:srgbClr val="FF9F15"/>
    </a:accent3>
    <a:accent4>
      <a:srgbClr val="FA7C00"/>
    </a:accent4>
    <a:accent5>
      <a:srgbClr val="FC6500"/>
    </a:accent5>
    <a:accent6>
      <a:srgbClr val="BE4828"/>
    </a:accent6>
    <a:hlink>
      <a:srgbClr val="F46B1C"/>
    </a:hlink>
    <a:folHlink>
      <a:srgbClr val="C2361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8">
    <a:dk1>
      <a:srgbClr val="000000"/>
    </a:dk1>
    <a:lt1>
      <a:srgbClr val="FFFFFF"/>
    </a:lt1>
    <a:dk2>
      <a:srgbClr val="372824"/>
    </a:dk2>
    <a:lt2>
      <a:srgbClr val="FFFFFF"/>
    </a:lt2>
    <a:accent1>
      <a:srgbClr val="FFE84B"/>
    </a:accent1>
    <a:accent2>
      <a:srgbClr val="FFC529"/>
    </a:accent2>
    <a:accent3>
      <a:srgbClr val="FF9F15"/>
    </a:accent3>
    <a:accent4>
      <a:srgbClr val="FA7C00"/>
    </a:accent4>
    <a:accent5>
      <a:srgbClr val="FC6500"/>
    </a:accent5>
    <a:accent6>
      <a:srgbClr val="BE4828"/>
    </a:accent6>
    <a:hlink>
      <a:srgbClr val="F46B1C"/>
    </a:hlink>
    <a:folHlink>
      <a:srgbClr val="C2361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5267</Words>
  <Characters>6152</Characters>
  <Lines>65</Lines>
  <Paragraphs>18</Paragraphs>
  <TotalTime>11</TotalTime>
  <ScaleCrop>false</ScaleCrop>
  <LinksUpToDate>false</LinksUpToDate>
  <CharactersWithSpaces>6269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Administrator</cp:lastModifiedBy>
  <cp:lastPrinted>2021-09-26T08:39:00Z</cp:lastPrinted>
  <dcterms:modified xsi:type="dcterms:W3CDTF">2024-10-26T07:30:11Z</dcterms:modified>
  <dc:title>四川省决算编制说明</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C45344CD72A041A3A129CCAAD82F17A7_13</vt:lpwstr>
  </property>
</Properties>
</file>