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8442"/>
      <w:bookmarkStart w:id="7" w:name="_Toc15377194"/>
      <w:bookmarkStart w:id="8" w:name="_Toc15377426"/>
      <w:bookmarkStart w:id="9" w:name="_Toc15306268"/>
      <w:bookmarkStart w:id="10" w:name="_Toc15396598"/>
      <w:bookmarkStart w:id="11" w:name="_Toc15396476"/>
      <w:r>
        <w:rPr>
          <w:rFonts w:hint="eastAsia" w:ascii="方正小标宋简体" w:hAnsi="方正小标宋简体" w:eastAsia="方正小标宋简体" w:cs="方正小标宋简体"/>
          <w:sz w:val="72"/>
          <w:szCs w:val="72"/>
        </w:rPr>
        <w:t>大竹县不动产登记中心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sdt>
      <w:sdtPr>
        <w:rPr>
          <w:rFonts w:ascii="宋体" w:hAnsi="宋体" w:eastAsia="宋体"/>
          <w:sz w:val="21"/>
        </w:rPr>
        <w:id w:val="147480496"/>
        <w:docPartObj>
          <w:docPartGallery w:val="Table of Contents"/>
          <w:docPartUnique/>
        </w:docPartObj>
      </w:sdtPr>
      <w:sdtEndPr>
        <w:rPr>
          <w:rFonts w:ascii="Times New Roman" w:hAnsi="Times New Roman" w:eastAsia="宋体" w:cs="Times New Roman"/>
          <w:sz w:val="20"/>
          <w:szCs w:val="20"/>
        </w:rPr>
      </w:sdtEndPr>
      <w:sdtContent>
        <w:p>
          <w:pPr>
            <w:jc w:val="center"/>
          </w:pPr>
        </w:p>
        <w:p>
          <w:pPr>
            <w:pStyle w:val="33"/>
            <w:tabs>
              <w:tab w:val="right" w:leader="dot" w:pos="8306"/>
            </w:tabs>
          </w:pPr>
          <w:r>
            <w:rPr>
              <w:b/>
              <w:bCs/>
            </w:rPr>
            <w:fldChar w:fldCharType="begin"/>
          </w:r>
          <w:r>
            <w:instrText xml:space="preserve"> HYPERLINK \l _Toc6750 </w:instrText>
          </w:r>
          <w:r>
            <w:rPr>
              <w:b/>
              <w:bCs/>
            </w:rPr>
            <w:fldChar w:fldCharType="separate"/>
          </w:r>
          <w:sdt>
            <w:sdtPr>
              <w:rPr>
                <w:rFonts w:ascii="Times New Roman" w:hAnsi="Times New Roman" w:eastAsia="宋体" w:cs="Times New Roman"/>
                <w:b/>
                <w:bCs/>
                <w:kern w:val="2"/>
                <w:sz w:val="21"/>
                <w:szCs w:val="24"/>
                <w:lang w:val="en-US" w:eastAsia="zh-CN" w:bidi="ar-SA"/>
              </w:rPr>
              <w:id w:val="147480496"/>
              <w:placeholder>
                <w:docPart w:val="{18a81042-10a2-48c2-8cd7-27765618a168}"/>
              </w:placeholder>
            </w:sdtPr>
            <w:sdtEndPr>
              <w:rPr>
                <w:rFonts w:ascii="Times New Roman" w:hAnsi="Times New Roman" w:eastAsia="宋体" w:cs="Times New Roman"/>
                <w:b/>
                <w:bCs/>
                <w:kern w:val="2"/>
                <w:sz w:val="21"/>
                <w:szCs w:val="24"/>
                <w:lang w:val="en-US" w:eastAsia="zh-CN" w:bidi="ar-SA"/>
              </w:rPr>
            </w:sdtEndPr>
            <w:sdtContent>
              <w:r>
                <w:rPr>
                  <w:rFonts w:hint="eastAsia" w:ascii="方正小标宋简体" w:hAnsi="方正小标宋简体" w:eastAsia="方正小标宋简体" w:cs="方正小标宋简体"/>
                  <w:b/>
                  <w:bCs/>
                </w:rPr>
                <w:t>第一部分 单位概况</w:t>
              </w:r>
            </w:sdtContent>
          </w:sdt>
          <w:r>
            <w:rPr>
              <w:b/>
              <w:bCs/>
            </w:rPr>
            <w:tab/>
          </w:r>
          <w:r>
            <w:rPr>
              <w:b/>
              <w:bCs/>
            </w:rPr>
            <w:t>3</w:t>
          </w:r>
          <w:r>
            <w:rPr>
              <w:b/>
              <w:bCs/>
            </w:rPr>
            <w:fldChar w:fldCharType="end"/>
          </w:r>
        </w:p>
        <w:p>
          <w:pPr>
            <w:pStyle w:val="34"/>
            <w:tabs>
              <w:tab w:val="right" w:leader="dot" w:pos="8306"/>
            </w:tabs>
          </w:pPr>
          <w:r>
            <w:fldChar w:fldCharType="begin"/>
          </w:r>
          <w:r>
            <w:instrText xml:space="preserve"> HYPERLINK \l _Toc3484 </w:instrText>
          </w:r>
          <w:r>
            <w:fldChar w:fldCharType="separate"/>
          </w:r>
          <w:sdt>
            <w:sdtPr>
              <w:rPr>
                <w:rFonts w:ascii="Times New Roman" w:hAnsi="Times New Roman" w:eastAsia="宋体" w:cs="Times New Roman"/>
                <w:kern w:val="2"/>
                <w:sz w:val="21"/>
                <w:szCs w:val="24"/>
                <w:lang w:val="en-US" w:eastAsia="zh-CN" w:bidi="ar-SA"/>
              </w:rPr>
              <w:id w:val="147480496"/>
              <w:placeholder>
                <w:docPart w:val="{202b4631-68f7-43e5-95c1-4541d38e8d7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一、主要职责</w:t>
              </w:r>
            </w:sdtContent>
          </w:sdt>
          <w:r>
            <w:tab/>
          </w:r>
          <w:r>
            <w:t>3</w:t>
          </w:r>
          <w:r>
            <w:fldChar w:fldCharType="end"/>
          </w:r>
        </w:p>
        <w:p>
          <w:pPr>
            <w:pStyle w:val="34"/>
            <w:tabs>
              <w:tab w:val="right" w:leader="dot" w:pos="8306"/>
            </w:tabs>
          </w:pPr>
          <w:r>
            <w:fldChar w:fldCharType="begin"/>
          </w:r>
          <w:r>
            <w:instrText xml:space="preserve"> HYPERLINK \l _Toc16294 </w:instrText>
          </w:r>
          <w:r>
            <w:fldChar w:fldCharType="separate"/>
          </w:r>
          <w:sdt>
            <w:sdtPr>
              <w:rPr>
                <w:rFonts w:ascii="Times New Roman" w:hAnsi="Times New Roman" w:eastAsia="宋体" w:cs="Times New Roman"/>
                <w:kern w:val="2"/>
                <w:sz w:val="21"/>
                <w:szCs w:val="24"/>
                <w:lang w:val="en-US" w:eastAsia="zh-CN" w:bidi="ar-SA"/>
              </w:rPr>
              <w:id w:val="147480496"/>
              <w:placeholder>
                <w:docPart w:val="{d62ea880-ba55-4ab0-ac78-204851c5392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 机构设置</w:t>
              </w:r>
            </w:sdtContent>
          </w:sdt>
          <w:r>
            <w:tab/>
          </w:r>
          <w:r>
            <w:t>3</w:t>
          </w:r>
          <w:r>
            <w:fldChar w:fldCharType="end"/>
          </w:r>
        </w:p>
        <w:p>
          <w:pPr>
            <w:pStyle w:val="33"/>
            <w:tabs>
              <w:tab w:val="right" w:leader="dot" w:pos="8306"/>
            </w:tabs>
          </w:pPr>
          <w:r>
            <w:rPr>
              <w:b/>
              <w:bCs/>
            </w:rPr>
            <w:fldChar w:fldCharType="begin"/>
          </w:r>
          <w:r>
            <w:instrText xml:space="preserve"> HYPERLINK \l _Toc11686 </w:instrText>
          </w:r>
          <w:r>
            <w:rPr>
              <w:b/>
              <w:bCs/>
            </w:rPr>
            <w:fldChar w:fldCharType="separate"/>
          </w:r>
          <w:sdt>
            <w:sdtPr>
              <w:rPr>
                <w:rFonts w:ascii="Times New Roman" w:hAnsi="Times New Roman" w:eastAsia="宋体" w:cs="Times New Roman"/>
                <w:b/>
                <w:bCs/>
                <w:kern w:val="2"/>
                <w:sz w:val="21"/>
                <w:szCs w:val="24"/>
                <w:lang w:val="en-US" w:eastAsia="zh-CN" w:bidi="ar-SA"/>
              </w:rPr>
              <w:id w:val="147480496"/>
              <w:placeholder>
                <w:docPart w:val="{3c5e4975-46d9-4c20-9892-f11ef50f9dbb}"/>
              </w:placeholder>
            </w:sdtPr>
            <w:sdtEndPr>
              <w:rPr>
                <w:rFonts w:ascii="Times New Roman" w:hAnsi="Times New Roman" w:eastAsia="宋体" w:cs="Times New Roman"/>
                <w:b/>
                <w:bCs/>
                <w:kern w:val="2"/>
                <w:sz w:val="21"/>
                <w:szCs w:val="24"/>
                <w:lang w:val="en-US" w:eastAsia="zh-CN" w:bidi="ar-SA"/>
              </w:rPr>
            </w:sdtEndPr>
            <w:sdtContent>
              <w:r>
                <w:rPr>
                  <w:rFonts w:hint="eastAsia" w:ascii="方正小标宋简体" w:hAnsi="方正小标宋简体" w:eastAsia="方正小标宋简体" w:cs="方正小标宋简体"/>
                  <w:b/>
                  <w:bCs/>
                </w:rPr>
                <w:t>第二部分 2023年度单位决算情况说明</w:t>
              </w:r>
            </w:sdtContent>
          </w:sdt>
          <w:r>
            <w:rPr>
              <w:b/>
              <w:bCs/>
            </w:rPr>
            <w:tab/>
          </w:r>
          <w:r>
            <w:rPr>
              <w:b/>
              <w:bCs/>
            </w:rPr>
            <w:t>4</w:t>
          </w:r>
          <w:r>
            <w:rPr>
              <w:b/>
              <w:bCs/>
            </w:rPr>
            <w:fldChar w:fldCharType="end"/>
          </w:r>
        </w:p>
        <w:p>
          <w:pPr>
            <w:pStyle w:val="34"/>
            <w:tabs>
              <w:tab w:val="right" w:leader="dot" w:pos="8306"/>
            </w:tabs>
          </w:pPr>
          <w:r>
            <w:fldChar w:fldCharType="begin"/>
          </w:r>
          <w:r>
            <w:instrText xml:space="preserve"> HYPERLINK \l _Toc9597 </w:instrText>
          </w:r>
          <w:r>
            <w:fldChar w:fldCharType="separate"/>
          </w:r>
          <w:sdt>
            <w:sdtPr>
              <w:rPr>
                <w:rFonts w:ascii="Times New Roman" w:hAnsi="Times New Roman" w:eastAsia="宋体" w:cs="Times New Roman"/>
                <w:kern w:val="2"/>
                <w:sz w:val="21"/>
                <w:szCs w:val="24"/>
                <w:lang w:val="en-US" w:eastAsia="zh-CN" w:bidi="ar-SA"/>
              </w:rPr>
              <w:id w:val="147480496"/>
              <w:placeholder>
                <w:docPart w:val="{973f6272-ffc3-4585-b08d-6a464def12c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一、收</w:t>
              </w:r>
              <w:r>
                <w:rPr>
                  <w:rFonts w:hint="eastAsia" w:ascii="黑体" w:hAnsi="黑体" w:eastAsia="黑体" w:cstheme="majorBidi"/>
                </w:rPr>
                <w:t>入支出决算总体情况说明</w:t>
              </w:r>
            </w:sdtContent>
          </w:sdt>
          <w:r>
            <w:tab/>
          </w:r>
          <w:r>
            <w:t>4</w:t>
          </w:r>
          <w:r>
            <w:fldChar w:fldCharType="end"/>
          </w:r>
        </w:p>
        <w:p>
          <w:pPr>
            <w:pStyle w:val="34"/>
            <w:tabs>
              <w:tab w:val="right" w:leader="dot" w:pos="8306"/>
            </w:tabs>
          </w:pPr>
          <w:r>
            <w:fldChar w:fldCharType="begin"/>
          </w:r>
          <w:r>
            <w:instrText xml:space="preserve"> HYPERLINK \l _Toc19940 </w:instrText>
          </w:r>
          <w:r>
            <w:fldChar w:fldCharType="separate"/>
          </w:r>
          <w:sdt>
            <w:sdtPr>
              <w:rPr>
                <w:rFonts w:ascii="Times New Roman" w:hAnsi="Times New Roman" w:eastAsia="宋体" w:cs="Times New Roman"/>
                <w:kern w:val="2"/>
                <w:sz w:val="21"/>
                <w:szCs w:val="24"/>
                <w:lang w:val="en-US" w:eastAsia="zh-CN" w:bidi="ar-SA"/>
              </w:rPr>
              <w:id w:val="147480496"/>
              <w:placeholder>
                <w:docPart w:val="{c8c43370-f9ee-426a-8086-b9205d85af17}"/>
              </w:placeholder>
            </w:sdtPr>
            <w:sdtEndPr>
              <w:rPr>
                <w:rFonts w:ascii="Times New Roman" w:hAnsi="Times New Roman" w:eastAsia="宋体" w:cs="Times New Roman"/>
                <w:kern w:val="2"/>
                <w:sz w:val="21"/>
                <w:szCs w:val="24"/>
                <w:lang w:val="en-US" w:eastAsia="zh-CN" w:bidi="ar-SA"/>
              </w:rPr>
            </w:sdtEndPr>
            <w:sdtContent>
              <w:r>
                <w:rPr>
                  <w:rFonts w:hint="eastAsia" w:cs="Times New Roman"/>
                  <w:kern w:val="2"/>
                  <w:sz w:val="21"/>
                  <w:szCs w:val="24"/>
                  <w:lang w:val="en-US" w:eastAsia="zh-CN" w:bidi="ar-SA"/>
                </w:rPr>
                <w:t>二、</w:t>
              </w:r>
              <w:r>
                <w:rPr>
                  <w:rFonts w:hint="eastAsia" w:ascii="黑体" w:hAnsi="黑体" w:eastAsia="黑体" w:cs="Times New Roman"/>
                </w:rPr>
                <w:t>收</w:t>
              </w:r>
              <w:r>
                <w:rPr>
                  <w:rFonts w:hint="eastAsia" w:ascii="黑体" w:hAnsi="黑体" w:eastAsia="黑体" w:cstheme="majorBidi"/>
                </w:rPr>
                <w:t>入决算情况说明</w:t>
              </w:r>
            </w:sdtContent>
          </w:sdt>
          <w:r>
            <w:tab/>
          </w:r>
          <w:r>
            <w:t>4</w:t>
          </w:r>
          <w:r>
            <w:fldChar w:fldCharType="end"/>
          </w:r>
        </w:p>
        <w:p>
          <w:pPr>
            <w:pStyle w:val="34"/>
            <w:tabs>
              <w:tab w:val="right" w:leader="dot" w:pos="8306"/>
            </w:tabs>
          </w:pPr>
          <w:r>
            <w:fldChar w:fldCharType="begin"/>
          </w:r>
          <w:r>
            <w:instrText xml:space="preserve"> HYPERLINK \l _Toc25753 </w:instrText>
          </w:r>
          <w:r>
            <w:fldChar w:fldCharType="separate"/>
          </w:r>
          <w:sdt>
            <w:sdtPr>
              <w:rPr>
                <w:rFonts w:ascii="Times New Roman" w:hAnsi="Times New Roman" w:eastAsia="宋体" w:cs="Times New Roman"/>
                <w:kern w:val="2"/>
                <w:sz w:val="21"/>
                <w:szCs w:val="24"/>
                <w:lang w:val="en-US" w:eastAsia="zh-CN" w:bidi="ar-SA"/>
              </w:rPr>
              <w:id w:val="147480496"/>
              <w:placeholder>
                <w:docPart w:val="{48661971-fdac-4445-9559-84761a2fbdb2}"/>
              </w:placeholder>
            </w:sdtPr>
            <w:sdtEndPr>
              <w:rPr>
                <w:rFonts w:ascii="Times New Roman" w:hAnsi="Times New Roman" w:eastAsia="宋体" w:cs="Times New Roman"/>
                <w:kern w:val="2"/>
                <w:sz w:val="21"/>
                <w:szCs w:val="24"/>
                <w:lang w:val="en-US" w:eastAsia="zh-CN" w:bidi="ar-SA"/>
              </w:rPr>
            </w:sdtEndPr>
            <w:sdtContent>
              <w:r>
                <w:rPr>
                  <w:rFonts w:hint="eastAsia" w:cs="Times New Roman"/>
                  <w:kern w:val="2"/>
                  <w:sz w:val="21"/>
                  <w:szCs w:val="24"/>
                  <w:lang w:val="en-US" w:eastAsia="zh-CN" w:bidi="ar-SA"/>
                </w:rPr>
                <w:t>三、</w:t>
              </w:r>
              <w:r>
                <w:rPr>
                  <w:rFonts w:hint="eastAsia" w:ascii="黑体" w:hAnsi="黑体" w:eastAsia="黑体" w:cs="Times New Roman"/>
                </w:rPr>
                <w:t>支</w:t>
              </w:r>
              <w:r>
                <w:rPr>
                  <w:rFonts w:hint="eastAsia" w:ascii="黑体" w:hAnsi="黑体" w:eastAsia="黑体" w:cstheme="majorBidi"/>
                </w:rPr>
                <w:t>出决算情况说明</w:t>
              </w:r>
            </w:sdtContent>
          </w:sdt>
          <w:r>
            <w:tab/>
          </w:r>
          <w:r>
            <w:t>5</w:t>
          </w:r>
          <w:r>
            <w:fldChar w:fldCharType="end"/>
          </w:r>
        </w:p>
        <w:p>
          <w:pPr>
            <w:pStyle w:val="34"/>
            <w:tabs>
              <w:tab w:val="right" w:leader="dot" w:pos="8306"/>
            </w:tabs>
          </w:pPr>
          <w:r>
            <w:fldChar w:fldCharType="begin"/>
          </w:r>
          <w:r>
            <w:instrText xml:space="preserve"> HYPERLINK \l _Toc5152 </w:instrText>
          </w:r>
          <w:r>
            <w:fldChar w:fldCharType="separate"/>
          </w:r>
          <w:sdt>
            <w:sdtPr>
              <w:rPr>
                <w:rFonts w:ascii="Times New Roman" w:hAnsi="Times New Roman" w:eastAsia="宋体" w:cs="Times New Roman"/>
                <w:kern w:val="2"/>
                <w:sz w:val="21"/>
                <w:szCs w:val="24"/>
                <w:lang w:val="en-US" w:eastAsia="zh-CN" w:bidi="ar-SA"/>
              </w:rPr>
              <w:id w:val="147480496"/>
              <w:placeholder>
                <w:docPart w:val="{51908bbd-f4ef-43cd-a02f-fb47fc90a49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r>
            <w:t>6</w:t>
          </w:r>
          <w:r>
            <w:fldChar w:fldCharType="end"/>
          </w:r>
        </w:p>
        <w:p>
          <w:pPr>
            <w:pStyle w:val="34"/>
            <w:tabs>
              <w:tab w:val="right" w:leader="dot" w:pos="8306"/>
            </w:tabs>
          </w:pPr>
          <w:r>
            <w:fldChar w:fldCharType="begin"/>
          </w:r>
          <w:r>
            <w:instrText xml:space="preserve"> HYPERLINK \l _Toc22581 </w:instrText>
          </w:r>
          <w:r>
            <w:fldChar w:fldCharType="separate"/>
          </w:r>
          <w:sdt>
            <w:sdtPr>
              <w:rPr>
                <w:rFonts w:ascii="Times New Roman" w:hAnsi="Times New Roman" w:eastAsia="宋体" w:cs="Times New Roman"/>
                <w:kern w:val="2"/>
                <w:sz w:val="21"/>
                <w:szCs w:val="24"/>
                <w:lang w:val="en-US" w:eastAsia="zh-CN" w:bidi="ar-SA"/>
              </w:rPr>
              <w:id w:val="147480496"/>
              <w:placeholder>
                <w:docPart w:val="{f1f903e7-beb1-4f5e-9b8c-512addd0c40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r>
            <w:t>6</w:t>
          </w:r>
          <w:r>
            <w:fldChar w:fldCharType="end"/>
          </w:r>
        </w:p>
        <w:p>
          <w:pPr>
            <w:pStyle w:val="34"/>
            <w:tabs>
              <w:tab w:val="right" w:leader="dot" w:pos="8306"/>
            </w:tabs>
          </w:pPr>
          <w:r>
            <w:fldChar w:fldCharType="begin"/>
          </w:r>
          <w:r>
            <w:instrText xml:space="preserve"> HYPERLINK \l _Toc16551 </w:instrText>
          </w:r>
          <w:r>
            <w:fldChar w:fldCharType="separate"/>
          </w:r>
          <w:sdt>
            <w:sdtPr>
              <w:rPr>
                <w:rFonts w:ascii="Times New Roman" w:hAnsi="Times New Roman" w:eastAsia="宋体" w:cs="Times New Roman"/>
                <w:kern w:val="2"/>
                <w:sz w:val="21"/>
                <w:szCs w:val="24"/>
                <w:lang w:val="en-US" w:eastAsia="zh-CN" w:bidi="ar-SA"/>
              </w:rPr>
              <w:id w:val="147480496"/>
              <w:placeholder>
                <w:docPart w:val="{31aded88-86ae-4c6b-93a9-f1897f5a8ea6}"/>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r>
            <w:t>9</w:t>
          </w:r>
          <w:r>
            <w:fldChar w:fldCharType="end"/>
          </w:r>
        </w:p>
        <w:p>
          <w:pPr>
            <w:pStyle w:val="34"/>
            <w:tabs>
              <w:tab w:val="right" w:leader="dot" w:pos="8306"/>
            </w:tabs>
          </w:pPr>
          <w:r>
            <w:fldChar w:fldCharType="begin"/>
          </w:r>
          <w:r>
            <w:instrText xml:space="preserve"> HYPERLINK \l _Toc1045 </w:instrText>
          </w:r>
          <w:r>
            <w:fldChar w:fldCharType="separate"/>
          </w:r>
          <w:sdt>
            <w:sdtPr>
              <w:rPr>
                <w:rFonts w:ascii="Times New Roman" w:hAnsi="Times New Roman" w:eastAsia="宋体" w:cs="Times New Roman"/>
                <w:kern w:val="2"/>
                <w:sz w:val="21"/>
                <w:szCs w:val="24"/>
                <w:lang w:val="en-US" w:eastAsia="zh-CN" w:bidi="ar-SA"/>
              </w:rPr>
              <w:id w:val="147480496"/>
              <w:placeholder>
                <w:docPart w:val="{fc6b8d17-7f40-43f7-bb45-2a6aaa51b163}"/>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财政拨款“三公”经费支出决算情况说明</w:t>
              </w:r>
            </w:sdtContent>
          </w:sdt>
          <w:r>
            <w:tab/>
          </w:r>
          <w:r>
            <w:t>9</w:t>
          </w:r>
          <w:r>
            <w:fldChar w:fldCharType="end"/>
          </w:r>
        </w:p>
        <w:p>
          <w:pPr>
            <w:pStyle w:val="34"/>
            <w:tabs>
              <w:tab w:val="right" w:leader="dot" w:pos="8306"/>
            </w:tabs>
          </w:pPr>
          <w:r>
            <w:fldChar w:fldCharType="begin"/>
          </w:r>
          <w:r>
            <w:instrText xml:space="preserve"> HYPERLINK \l _Toc10623 </w:instrText>
          </w:r>
          <w:r>
            <w:fldChar w:fldCharType="separate"/>
          </w:r>
          <w:sdt>
            <w:sdtPr>
              <w:rPr>
                <w:rFonts w:ascii="Times New Roman" w:hAnsi="Times New Roman" w:eastAsia="宋体" w:cs="Times New Roman"/>
                <w:kern w:val="2"/>
                <w:sz w:val="21"/>
                <w:szCs w:val="24"/>
                <w:lang w:val="en-US" w:eastAsia="zh-CN" w:bidi="ar-SA"/>
              </w:rPr>
              <w:id w:val="147480496"/>
              <w:placeholder>
                <w:docPart w:val="{69d7eede-f7f0-43ba-9f24-d189dabe922b}"/>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r>
            <w:t>11</w:t>
          </w:r>
          <w:r>
            <w:fldChar w:fldCharType="end"/>
          </w:r>
        </w:p>
        <w:p>
          <w:pPr>
            <w:pStyle w:val="34"/>
            <w:tabs>
              <w:tab w:val="right" w:leader="dot" w:pos="8306"/>
            </w:tabs>
          </w:pPr>
          <w:r>
            <w:fldChar w:fldCharType="begin"/>
          </w:r>
          <w:r>
            <w:instrText xml:space="preserve"> HYPERLINK \l _Toc28944 </w:instrText>
          </w:r>
          <w:r>
            <w:fldChar w:fldCharType="separate"/>
          </w:r>
          <w:sdt>
            <w:sdtPr>
              <w:rPr>
                <w:rFonts w:ascii="Times New Roman" w:hAnsi="Times New Roman" w:eastAsia="宋体" w:cs="Times New Roman"/>
                <w:kern w:val="2"/>
                <w:sz w:val="21"/>
                <w:szCs w:val="24"/>
                <w:lang w:val="en-US" w:eastAsia="zh-CN" w:bidi="ar-SA"/>
              </w:rPr>
              <w:id w:val="147480496"/>
              <w:placeholder>
                <w:docPart w:val="{c4205103-c87e-434d-8479-d86d4103863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r>
            <w:t>11</w:t>
          </w:r>
          <w:r>
            <w:fldChar w:fldCharType="end"/>
          </w:r>
        </w:p>
        <w:p>
          <w:pPr>
            <w:pStyle w:val="34"/>
            <w:tabs>
              <w:tab w:val="right" w:leader="dot" w:pos="8306"/>
            </w:tabs>
          </w:pPr>
          <w:r>
            <w:fldChar w:fldCharType="begin"/>
          </w:r>
          <w:r>
            <w:instrText xml:space="preserve"> HYPERLINK \l _Toc7707 </w:instrText>
          </w:r>
          <w:r>
            <w:fldChar w:fldCharType="separate"/>
          </w:r>
          <w:sdt>
            <w:sdtPr>
              <w:rPr>
                <w:rFonts w:ascii="Times New Roman" w:hAnsi="Times New Roman" w:eastAsia="宋体" w:cs="Times New Roman"/>
                <w:kern w:val="2"/>
                <w:sz w:val="21"/>
                <w:szCs w:val="24"/>
                <w:lang w:val="en-US" w:eastAsia="zh-CN" w:bidi="ar-SA"/>
              </w:rPr>
              <w:id w:val="147480496"/>
              <w:placeholder>
                <w:docPart w:val="{863c9873-f05f-4915-9cd8-6914a611fc3c}"/>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r>
            <w:t>12</w:t>
          </w:r>
          <w:r>
            <w:fldChar w:fldCharType="end"/>
          </w:r>
        </w:p>
        <w:p>
          <w:pPr>
            <w:pStyle w:val="33"/>
            <w:tabs>
              <w:tab w:val="right" w:leader="dot" w:pos="8306"/>
            </w:tabs>
          </w:pPr>
          <w:r>
            <w:rPr>
              <w:b/>
              <w:bCs/>
            </w:rPr>
            <w:fldChar w:fldCharType="begin"/>
          </w:r>
          <w:r>
            <w:instrText xml:space="preserve"> HYPERLINK \l _Toc18996 </w:instrText>
          </w:r>
          <w:r>
            <w:rPr>
              <w:b/>
              <w:bCs/>
            </w:rPr>
            <w:fldChar w:fldCharType="separate"/>
          </w:r>
          <w:sdt>
            <w:sdtPr>
              <w:rPr>
                <w:rFonts w:ascii="Times New Roman" w:hAnsi="Times New Roman" w:eastAsia="宋体" w:cs="Times New Roman"/>
                <w:b/>
                <w:bCs/>
                <w:kern w:val="2"/>
                <w:sz w:val="21"/>
                <w:szCs w:val="24"/>
                <w:lang w:val="en-US" w:eastAsia="zh-CN" w:bidi="ar-SA"/>
              </w:rPr>
              <w:id w:val="147480496"/>
              <w:placeholder>
                <w:docPart w:val="{9a0de64c-1a5d-46af-aa2a-03a0b3b28f0a}"/>
              </w:placeholder>
            </w:sdtPr>
            <w:sdtEndPr>
              <w:rPr>
                <w:rFonts w:ascii="Times New Roman" w:hAnsi="Times New Roman" w:eastAsia="宋体" w:cs="Times New Roman"/>
                <w:b/>
                <w:bCs/>
                <w:kern w:val="2"/>
                <w:sz w:val="21"/>
                <w:szCs w:val="24"/>
                <w:lang w:val="en-US" w:eastAsia="zh-CN" w:bidi="ar-SA"/>
              </w:rPr>
            </w:sdtEndPr>
            <w:sdtContent>
              <w:r>
                <w:rPr>
                  <w:rFonts w:hint="eastAsia" w:ascii="方正小标宋简体" w:hAnsi="方正小标宋简体" w:eastAsia="方正小标宋简体" w:cs="方正小标宋简体"/>
                  <w:b/>
                  <w:bCs/>
                </w:rPr>
                <w:t>第三部分 名词解释</w:t>
              </w:r>
            </w:sdtContent>
          </w:sdt>
          <w:r>
            <w:rPr>
              <w:b/>
              <w:bCs/>
            </w:rPr>
            <w:tab/>
          </w:r>
          <w:r>
            <w:rPr>
              <w:b/>
              <w:bCs/>
            </w:rPr>
            <w:t>13</w:t>
          </w:r>
          <w:r>
            <w:rPr>
              <w:b/>
              <w:bCs/>
            </w:rPr>
            <w:fldChar w:fldCharType="end"/>
          </w:r>
        </w:p>
        <w:p>
          <w:pPr>
            <w:pStyle w:val="33"/>
            <w:tabs>
              <w:tab w:val="right" w:leader="dot" w:pos="8306"/>
            </w:tabs>
          </w:pPr>
          <w:r>
            <w:rPr>
              <w:b/>
              <w:bCs/>
            </w:rPr>
            <w:fldChar w:fldCharType="begin"/>
          </w:r>
          <w:r>
            <w:instrText xml:space="preserve"> HYPERLINK \l _Toc12525 </w:instrText>
          </w:r>
          <w:r>
            <w:rPr>
              <w:b/>
              <w:bCs/>
            </w:rPr>
            <w:fldChar w:fldCharType="separate"/>
          </w:r>
          <w:sdt>
            <w:sdtPr>
              <w:rPr>
                <w:rFonts w:ascii="Times New Roman" w:hAnsi="Times New Roman" w:eastAsia="宋体" w:cs="Times New Roman"/>
                <w:b/>
                <w:bCs/>
                <w:kern w:val="2"/>
                <w:sz w:val="21"/>
                <w:szCs w:val="24"/>
                <w:lang w:val="en-US" w:eastAsia="zh-CN" w:bidi="ar-SA"/>
              </w:rPr>
              <w:id w:val="147480496"/>
              <w:placeholder>
                <w:docPart w:val="{a16ab5f9-df6d-46a4-8612-85f25f040505}"/>
              </w:placeholder>
            </w:sdtPr>
            <w:sdtEndPr>
              <w:rPr>
                <w:rFonts w:ascii="Times New Roman" w:hAnsi="Times New Roman" w:eastAsia="宋体" w:cs="Times New Roman"/>
                <w:b/>
                <w:bCs/>
                <w:kern w:val="2"/>
                <w:sz w:val="21"/>
                <w:szCs w:val="24"/>
                <w:lang w:val="en-US" w:eastAsia="zh-CN" w:bidi="ar-SA"/>
              </w:rPr>
            </w:sdtEndPr>
            <w:sdtContent>
              <w:r>
                <w:rPr>
                  <w:rFonts w:hint="eastAsia" w:ascii="方正小标宋简体" w:hAnsi="方正小标宋简体" w:eastAsia="方正小标宋简体" w:cs="方正小标宋简体"/>
                  <w:b/>
                  <w:bCs/>
                </w:rPr>
                <w:t>第四部分 附件</w:t>
              </w:r>
            </w:sdtContent>
          </w:sdt>
          <w:r>
            <w:rPr>
              <w:b/>
              <w:bCs/>
            </w:rPr>
            <w:tab/>
          </w:r>
          <w:r>
            <w:rPr>
              <w:b/>
              <w:bCs/>
            </w:rPr>
            <w:t>16</w:t>
          </w:r>
          <w:r>
            <w:rPr>
              <w:b/>
              <w:bCs/>
            </w:rPr>
            <w:fldChar w:fldCharType="end"/>
          </w:r>
        </w:p>
        <w:p>
          <w:pPr>
            <w:pStyle w:val="34"/>
            <w:tabs>
              <w:tab w:val="right" w:leader="dot" w:pos="8306"/>
            </w:tabs>
          </w:pPr>
          <w:r>
            <w:fldChar w:fldCharType="begin"/>
          </w:r>
          <w:r>
            <w:instrText xml:space="preserve"> HYPERLINK \l _Toc28072 </w:instrText>
          </w:r>
          <w:r>
            <w:fldChar w:fldCharType="separate"/>
          </w:r>
          <w:sdt>
            <w:sdtPr>
              <w:rPr>
                <w:rFonts w:ascii="Times New Roman" w:hAnsi="Times New Roman" w:eastAsia="宋体" w:cs="Times New Roman"/>
                <w:kern w:val="2"/>
                <w:sz w:val="21"/>
                <w:szCs w:val="24"/>
                <w:lang w:val="en-US" w:eastAsia="zh-CN" w:bidi="ar-SA"/>
              </w:rPr>
              <w:id w:val="147480496"/>
              <w:placeholder>
                <w:docPart w:val="{ee2d413a-2c81-4789-99a5-ca193a4efe0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部门预算项目支出绩效自评表（2023年度）</w:t>
              </w:r>
            </w:sdtContent>
          </w:sdt>
          <w:r>
            <w:tab/>
          </w:r>
          <w:r>
            <w:t>16</w:t>
          </w:r>
          <w:r>
            <w:fldChar w:fldCharType="end"/>
          </w:r>
        </w:p>
        <w:p>
          <w:pPr>
            <w:pStyle w:val="33"/>
            <w:tabs>
              <w:tab w:val="right" w:leader="dot" w:pos="8306"/>
            </w:tabs>
          </w:pPr>
          <w:r>
            <w:rPr>
              <w:b/>
              <w:bCs/>
            </w:rPr>
            <w:fldChar w:fldCharType="begin"/>
          </w:r>
          <w:r>
            <w:instrText xml:space="preserve"> HYPERLINK \l _Toc3831 </w:instrText>
          </w:r>
          <w:r>
            <w:rPr>
              <w:b/>
              <w:bCs/>
            </w:rPr>
            <w:fldChar w:fldCharType="separate"/>
          </w:r>
          <w:sdt>
            <w:sdtPr>
              <w:rPr>
                <w:rFonts w:ascii="Times New Roman" w:hAnsi="Times New Roman" w:eastAsia="宋体" w:cs="Times New Roman"/>
                <w:b/>
                <w:bCs/>
                <w:kern w:val="2"/>
                <w:sz w:val="21"/>
                <w:szCs w:val="24"/>
                <w:lang w:val="en-US" w:eastAsia="zh-CN" w:bidi="ar-SA"/>
              </w:rPr>
              <w:id w:val="147480496"/>
              <w:placeholder>
                <w:docPart w:val="{013caf43-fa59-4ec0-a5d9-5d72128d9fa8}"/>
              </w:placeholder>
            </w:sdtPr>
            <w:sdtEndPr>
              <w:rPr>
                <w:rFonts w:ascii="Times New Roman" w:hAnsi="Times New Roman" w:eastAsia="宋体" w:cs="Times New Roman"/>
                <w:b/>
                <w:bCs/>
                <w:kern w:val="2"/>
                <w:sz w:val="21"/>
                <w:szCs w:val="24"/>
                <w:lang w:val="en-US" w:eastAsia="zh-CN" w:bidi="ar-SA"/>
              </w:rPr>
            </w:sdtEndPr>
            <w:sdtContent>
              <w:r>
                <w:rPr>
                  <w:rFonts w:hint="eastAsia" w:ascii="方正小标宋简体" w:hAnsi="方正小标宋简体" w:eastAsia="方正小标宋简体" w:cs="方正小标宋简体"/>
                  <w:b/>
                  <w:bCs/>
                </w:rPr>
                <w:t>第五部分 附表</w:t>
              </w:r>
            </w:sdtContent>
          </w:sdt>
          <w:r>
            <w:rPr>
              <w:b/>
              <w:bCs/>
            </w:rPr>
            <w:tab/>
          </w:r>
          <w:r>
            <w:rPr>
              <w:b/>
              <w:bCs/>
            </w:rPr>
            <w:t>2</w:t>
          </w:r>
          <w:r>
            <w:rPr>
              <w:rFonts w:hint="eastAsia"/>
              <w:b/>
              <w:bCs/>
              <w:lang w:val="en-US" w:eastAsia="zh-CN"/>
            </w:rPr>
            <w:t>9</w:t>
          </w:r>
          <w:bookmarkStart w:id="161" w:name="_GoBack"/>
          <w:bookmarkEnd w:id="161"/>
          <w:r>
            <w:rPr>
              <w:b/>
              <w:bCs/>
            </w:rPr>
            <w:fldChar w:fldCharType="end"/>
          </w:r>
        </w:p>
        <w:p>
          <w:pPr>
            <w:pStyle w:val="34"/>
            <w:tabs>
              <w:tab w:val="right" w:leader="dot" w:pos="8306"/>
            </w:tabs>
          </w:pPr>
          <w:r>
            <w:fldChar w:fldCharType="begin"/>
          </w:r>
          <w:r>
            <w:instrText xml:space="preserve"> HYPERLINK \l _Toc26100 </w:instrText>
          </w:r>
          <w:r>
            <w:fldChar w:fldCharType="separate"/>
          </w:r>
          <w:sdt>
            <w:sdtPr>
              <w:rPr>
                <w:rFonts w:ascii="Times New Roman" w:hAnsi="Times New Roman" w:eastAsia="宋体" w:cs="Times New Roman"/>
                <w:kern w:val="2"/>
                <w:sz w:val="21"/>
                <w:szCs w:val="24"/>
                <w:lang w:val="en-US" w:eastAsia="zh-CN" w:bidi="ar-SA"/>
              </w:rPr>
              <w:id w:val="147480496"/>
              <w:placeholder>
                <w:docPart w:val="{de8985a5-e65a-4359-81bf-28b7c8fcc13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一、收入支出决算总表</w:t>
              </w:r>
            </w:sdtContent>
          </w:sdt>
          <w:r>
            <w:tab/>
          </w:r>
          <w:r>
            <w:t>29</w:t>
          </w:r>
          <w:r>
            <w:fldChar w:fldCharType="end"/>
          </w:r>
        </w:p>
        <w:p>
          <w:pPr>
            <w:pStyle w:val="34"/>
            <w:tabs>
              <w:tab w:val="right" w:leader="dot" w:pos="8306"/>
            </w:tabs>
          </w:pPr>
          <w:r>
            <w:fldChar w:fldCharType="begin"/>
          </w:r>
          <w:r>
            <w:instrText xml:space="preserve"> HYPERLINK \l _Toc11245 </w:instrText>
          </w:r>
          <w:r>
            <w:fldChar w:fldCharType="separate"/>
          </w:r>
          <w:sdt>
            <w:sdtPr>
              <w:rPr>
                <w:rFonts w:ascii="Times New Roman" w:hAnsi="Times New Roman" w:eastAsia="宋体" w:cs="Times New Roman"/>
                <w:kern w:val="2"/>
                <w:sz w:val="21"/>
                <w:szCs w:val="24"/>
                <w:lang w:val="en-US" w:eastAsia="zh-CN" w:bidi="ar-SA"/>
              </w:rPr>
              <w:id w:val="147480496"/>
              <w:placeholder>
                <w:docPart w:val="{e8006032-6f1e-46a4-83cf-987ab0a0caf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二、收入决算表</w:t>
              </w:r>
            </w:sdtContent>
          </w:sdt>
          <w:r>
            <w:tab/>
          </w:r>
          <w:r>
            <w:t>29</w:t>
          </w:r>
          <w:r>
            <w:fldChar w:fldCharType="end"/>
          </w:r>
        </w:p>
        <w:p>
          <w:pPr>
            <w:pStyle w:val="34"/>
            <w:tabs>
              <w:tab w:val="right" w:leader="dot" w:pos="8306"/>
            </w:tabs>
          </w:pPr>
          <w:r>
            <w:fldChar w:fldCharType="begin"/>
          </w:r>
          <w:r>
            <w:instrText xml:space="preserve"> HYPERLINK \l _Toc17959 </w:instrText>
          </w:r>
          <w:r>
            <w:fldChar w:fldCharType="separate"/>
          </w:r>
          <w:sdt>
            <w:sdtPr>
              <w:rPr>
                <w:rFonts w:ascii="Times New Roman" w:hAnsi="Times New Roman" w:eastAsia="宋体" w:cs="Times New Roman"/>
                <w:kern w:val="2"/>
                <w:sz w:val="21"/>
                <w:szCs w:val="24"/>
                <w:lang w:val="en-US" w:eastAsia="zh-CN" w:bidi="ar-SA"/>
              </w:rPr>
              <w:id w:val="147480496"/>
              <w:placeholder>
                <w:docPart w:val="{090758cb-ecdf-4ce3-ad9d-bd19151d603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三、支出决算表</w:t>
              </w:r>
            </w:sdtContent>
          </w:sdt>
          <w:r>
            <w:tab/>
          </w:r>
          <w:r>
            <w:t>29</w:t>
          </w:r>
          <w:r>
            <w:fldChar w:fldCharType="end"/>
          </w:r>
        </w:p>
        <w:p>
          <w:pPr>
            <w:pStyle w:val="34"/>
            <w:tabs>
              <w:tab w:val="right" w:leader="dot" w:pos="8306"/>
            </w:tabs>
          </w:pPr>
          <w:r>
            <w:fldChar w:fldCharType="begin"/>
          </w:r>
          <w:r>
            <w:instrText xml:space="preserve"> HYPERLINK \l _Toc3131 </w:instrText>
          </w:r>
          <w:r>
            <w:fldChar w:fldCharType="separate"/>
          </w:r>
          <w:sdt>
            <w:sdtPr>
              <w:rPr>
                <w:rFonts w:ascii="Times New Roman" w:hAnsi="Times New Roman" w:eastAsia="宋体" w:cs="Times New Roman"/>
                <w:kern w:val="2"/>
                <w:sz w:val="21"/>
                <w:szCs w:val="24"/>
                <w:lang w:val="en-US" w:eastAsia="zh-CN" w:bidi="ar-SA"/>
              </w:rPr>
              <w:id w:val="147480496"/>
              <w:placeholder>
                <w:docPart w:val="{dd41e1a4-e269-488c-9c9e-44e35549cf8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四、财政拨款收入支出决算总表</w:t>
              </w:r>
            </w:sdtContent>
          </w:sdt>
          <w:r>
            <w:tab/>
          </w:r>
          <w:r>
            <w:t>29</w:t>
          </w:r>
          <w:r>
            <w:fldChar w:fldCharType="end"/>
          </w:r>
        </w:p>
        <w:p>
          <w:pPr>
            <w:pStyle w:val="34"/>
            <w:tabs>
              <w:tab w:val="right" w:leader="dot" w:pos="8306"/>
            </w:tabs>
          </w:pPr>
          <w:r>
            <w:fldChar w:fldCharType="begin"/>
          </w:r>
          <w:r>
            <w:instrText xml:space="preserve"> HYPERLINK \l _Toc12328 </w:instrText>
          </w:r>
          <w:r>
            <w:fldChar w:fldCharType="separate"/>
          </w:r>
          <w:sdt>
            <w:sdtPr>
              <w:rPr>
                <w:rFonts w:ascii="Times New Roman" w:hAnsi="Times New Roman" w:eastAsia="宋体" w:cs="Times New Roman"/>
                <w:kern w:val="2"/>
                <w:sz w:val="21"/>
                <w:szCs w:val="24"/>
                <w:lang w:val="en-US" w:eastAsia="zh-CN" w:bidi="ar-SA"/>
              </w:rPr>
              <w:id w:val="147480496"/>
              <w:placeholder>
                <w:docPart w:val="{fb04c3ba-20a4-4628-a8da-d019a10ea401}"/>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五、财政拨款支出决算明细表</w:t>
              </w:r>
            </w:sdtContent>
          </w:sdt>
          <w:r>
            <w:tab/>
          </w:r>
          <w:r>
            <w:t>29</w:t>
          </w:r>
          <w:r>
            <w:fldChar w:fldCharType="end"/>
          </w:r>
        </w:p>
        <w:p>
          <w:pPr>
            <w:pStyle w:val="34"/>
            <w:tabs>
              <w:tab w:val="right" w:leader="dot" w:pos="8306"/>
            </w:tabs>
          </w:pPr>
          <w:r>
            <w:fldChar w:fldCharType="begin"/>
          </w:r>
          <w:r>
            <w:instrText xml:space="preserve"> HYPERLINK \l _Toc1173 </w:instrText>
          </w:r>
          <w:r>
            <w:fldChar w:fldCharType="separate"/>
          </w:r>
          <w:sdt>
            <w:sdtPr>
              <w:rPr>
                <w:rFonts w:ascii="Times New Roman" w:hAnsi="Times New Roman" w:eastAsia="宋体" w:cs="Times New Roman"/>
                <w:kern w:val="2"/>
                <w:sz w:val="21"/>
                <w:szCs w:val="24"/>
                <w:lang w:val="en-US" w:eastAsia="zh-CN" w:bidi="ar-SA"/>
              </w:rPr>
              <w:id w:val="147480496"/>
              <w:placeholder>
                <w:docPart w:val="{3d652b6e-e91d-4022-b0d8-6947e96213b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六、一般公共预算财政拨款支出决算表</w:t>
              </w:r>
            </w:sdtContent>
          </w:sdt>
          <w:r>
            <w:tab/>
          </w:r>
          <w:r>
            <w:t>29</w:t>
          </w:r>
          <w:r>
            <w:fldChar w:fldCharType="end"/>
          </w:r>
        </w:p>
        <w:p>
          <w:pPr>
            <w:pStyle w:val="34"/>
            <w:tabs>
              <w:tab w:val="right" w:leader="dot" w:pos="8306"/>
            </w:tabs>
          </w:pPr>
          <w:r>
            <w:fldChar w:fldCharType="begin"/>
          </w:r>
          <w:r>
            <w:instrText xml:space="preserve"> HYPERLINK \l _Toc7840 </w:instrText>
          </w:r>
          <w:r>
            <w:fldChar w:fldCharType="separate"/>
          </w:r>
          <w:sdt>
            <w:sdtPr>
              <w:rPr>
                <w:rFonts w:ascii="Times New Roman" w:hAnsi="Times New Roman" w:eastAsia="宋体" w:cs="Times New Roman"/>
                <w:kern w:val="2"/>
                <w:sz w:val="21"/>
                <w:szCs w:val="24"/>
                <w:lang w:val="en-US" w:eastAsia="zh-CN" w:bidi="ar-SA"/>
              </w:rPr>
              <w:id w:val="147480496"/>
              <w:placeholder>
                <w:docPart w:val="{ba95fad7-8073-4784-bd61-5e967d8e1fe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七、一般公共预算财政拨款支出决算明细表</w:t>
              </w:r>
            </w:sdtContent>
          </w:sdt>
          <w:r>
            <w:tab/>
          </w:r>
          <w:r>
            <w:t>29</w:t>
          </w:r>
          <w:r>
            <w:fldChar w:fldCharType="end"/>
          </w:r>
        </w:p>
        <w:p>
          <w:pPr>
            <w:pStyle w:val="34"/>
            <w:tabs>
              <w:tab w:val="right" w:leader="dot" w:pos="8306"/>
            </w:tabs>
          </w:pPr>
          <w:r>
            <w:fldChar w:fldCharType="begin"/>
          </w:r>
          <w:r>
            <w:instrText xml:space="preserve"> HYPERLINK \l _Toc17084 </w:instrText>
          </w:r>
          <w:r>
            <w:fldChar w:fldCharType="separate"/>
          </w:r>
          <w:sdt>
            <w:sdtPr>
              <w:rPr>
                <w:rFonts w:ascii="Times New Roman" w:hAnsi="Times New Roman" w:eastAsia="宋体" w:cs="Times New Roman"/>
                <w:kern w:val="2"/>
                <w:sz w:val="21"/>
                <w:szCs w:val="24"/>
                <w:lang w:val="en-US" w:eastAsia="zh-CN" w:bidi="ar-SA"/>
              </w:rPr>
              <w:id w:val="147480496"/>
              <w:placeholder>
                <w:docPart w:val="{36b4f8b9-b6d3-44fb-ad2c-d97b707eafc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八、一般公共预算财政拨款基本支出决算表</w:t>
              </w:r>
            </w:sdtContent>
          </w:sdt>
          <w:r>
            <w:tab/>
          </w:r>
          <w:r>
            <w:t>29</w:t>
          </w:r>
          <w:r>
            <w:fldChar w:fldCharType="end"/>
          </w:r>
        </w:p>
        <w:p>
          <w:pPr>
            <w:pStyle w:val="34"/>
            <w:tabs>
              <w:tab w:val="right" w:leader="dot" w:pos="8306"/>
            </w:tabs>
          </w:pPr>
          <w:r>
            <w:fldChar w:fldCharType="begin"/>
          </w:r>
          <w:r>
            <w:instrText xml:space="preserve"> HYPERLINK \l _Toc5916 </w:instrText>
          </w:r>
          <w:r>
            <w:fldChar w:fldCharType="separate"/>
          </w:r>
          <w:sdt>
            <w:sdtPr>
              <w:rPr>
                <w:rFonts w:ascii="Times New Roman" w:hAnsi="Times New Roman" w:eastAsia="宋体" w:cs="Times New Roman"/>
                <w:kern w:val="2"/>
                <w:sz w:val="21"/>
                <w:szCs w:val="24"/>
                <w:lang w:val="en-US" w:eastAsia="zh-CN" w:bidi="ar-SA"/>
              </w:rPr>
              <w:id w:val="147480496"/>
              <w:placeholder>
                <w:docPart w:val="{23fedeac-9e4a-46a0-a237-3bdd9f9e203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九、一般公共预算财政拨款项目支出决算表</w:t>
              </w:r>
            </w:sdtContent>
          </w:sdt>
          <w:r>
            <w:tab/>
          </w:r>
          <w:r>
            <w:t>29</w:t>
          </w:r>
          <w:r>
            <w:fldChar w:fldCharType="end"/>
          </w:r>
        </w:p>
        <w:p>
          <w:pPr>
            <w:pStyle w:val="34"/>
            <w:tabs>
              <w:tab w:val="right" w:leader="dot" w:pos="8306"/>
            </w:tabs>
          </w:pPr>
          <w:r>
            <w:fldChar w:fldCharType="begin"/>
          </w:r>
          <w:r>
            <w:instrText xml:space="preserve"> HYPERLINK \l _Toc20882 </w:instrText>
          </w:r>
          <w:r>
            <w:fldChar w:fldCharType="separate"/>
          </w:r>
          <w:sdt>
            <w:sdtPr>
              <w:rPr>
                <w:rFonts w:ascii="Times New Roman" w:hAnsi="Times New Roman" w:eastAsia="宋体" w:cs="Times New Roman"/>
                <w:kern w:val="2"/>
                <w:sz w:val="21"/>
                <w:szCs w:val="24"/>
                <w:lang w:val="en-US" w:eastAsia="zh-CN" w:bidi="ar-SA"/>
              </w:rPr>
              <w:id w:val="147480496"/>
              <w:placeholder>
                <w:docPart w:val="{a9995563-621f-480f-b61b-e7e3660afeba}"/>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十、政府性基金预算财政拨款收入支出决算表</w:t>
              </w:r>
            </w:sdtContent>
          </w:sdt>
          <w:r>
            <w:tab/>
          </w:r>
          <w:r>
            <w:t>29</w:t>
          </w:r>
          <w:r>
            <w:fldChar w:fldCharType="end"/>
          </w:r>
        </w:p>
        <w:p>
          <w:pPr>
            <w:pStyle w:val="34"/>
            <w:tabs>
              <w:tab w:val="right" w:leader="dot" w:pos="8306"/>
            </w:tabs>
          </w:pPr>
          <w:r>
            <w:fldChar w:fldCharType="begin"/>
          </w:r>
          <w:r>
            <w:instrText xml:space="preserve"> HYPERLINK \l _Toc20057 </w:instrText>
          </w:r>
          <w:r>
            <w:fldChar w:fldCharType="separate"/>
          </w:r>
          <w:sdt>
            <w:sdtPr>
              <w:rPr>
                <w:rFonts w:ascii="Times New Roman" w:hAnsi="Times New Roman" w:eastAsia="宋体" w:cs="Times New Roman"/>
                <w:kern w:val="2"/>
                <w:sz w:val="21"/>
                <w:szCs w:val="24"/>
                <w:lang w:val="en-US" w:eastAsia="zh-CN" w:bidi="ar-SA"/>
              </w:rPr>
              <w:id w:val="147480496"/>
              <w:placeholder>
                <w:docPart w:val="{7b040430-daca-4f78-8884-8722956c103a}"/>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十一、国有资本经营预算财政拨款收入支出决算表</w:t>
              </w:r>
            </w:sdtContent>
          </w:sdt>
          <w:r>
            <w:tab/>
          </w:r>
          <w:r>
            <w:t>29</w:t>
          </w:r>
          <w:r>
            <w:fldChar w:fldCharType="end"/>
          </w:r>
        </w:p>
        <w:p>
          <w:pPr>
            <w:pStyle w:val="34"/>
            <w:tabs>
              <w:tab w:val="right" w:leader="dot" w:pos="8306"/>
            </w:tabs>
          </w:pPr>
          <w:r>
            <w:fldChar w:fldCharType="begin"/>
          </w:r>
          <w:r>
            <w:instrText xml:space="preserve"> HYPERLINK \l _Toc6846 </w:instrText>
          </w:r>
          <w:r>
            <w:fldChar w:fldCharType="separate"/>
          </w:r>
          <w:sdt>
            <w:sdtPr>
              <w:rPr>
                <w:rFonts w:ascii="Times New Roman" w:hAnsi="Times New Roman" w:eastAsia="宋体" w:cs="Times New Roman"/>
                <w:kern w:val="2"/>
                <w:sz w:val="21"/>
                <w:szCs w:val="24"/>
                <w:lang w:val="en-US" w:eastAsia="zh-CN" w:bidi="ar-SA"/>
              </w:rPr>
              <w:id w:val="147480496"/>
              <w:placeholder>
                <w:docPart w:val="{143fa316-d9e8-4cf5-aec7-6474a8a93ee5}"/>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十二、国有资本经营预算财政拨款支出决算表</w:t>
              </w:r>
            </w:sdtContent>
          </w:sdt>
          <w:r>
            <w:tab/>
          </w:r>
          <w:r>
            <w:t>29</w:t>
          </w:r>
          <w:r>
            <w:fldChar w:fldCharType="end"/>
          </w:r>
        </w:p>
        <w:p>
          <w:pPr>
            <w:pStyle w:val="34"/>
            <w:tabs>
              <w:tab w:val="right" w:leader="dot" w:pos="8306"/>
            </w:tabs>
          </w:pPr>
          <w:r>
            <w:fldChar w:fldCharType="begin"/>
          </w:r>
          <w:r>
            <w:instrText xml:space="preserve"> HYPERLINK \l _Toc22487 </w:instrText>
          </w:r>
          <w:r>
            <w:fldChar w:fldCharType="separate"/>
          </w:r>
          <w:sdt>
            <w:sdtPr>
              <w:rPr>
                <w:rFonts w:ascii="Times New Roman" w:hAnsi="Times New Roman" w:eastAsia="宋体" w:cs="Times New Roman"/>
                <w:kern w:val="2"/>
                <w:sz w:val="21"/>
                <w:szCs w:val="24"/>
                <w:lang w:val="en-US" w:eastAsia="zh-CN" w:bidi="ar-SA"/>
              </w:rPr>
              <w:id w:val="147480496"/>
              <w:placeholder>
                <w:docPart w:val="{7472b150-7c41-4f7c-9c9f-3509f0204ada}"/>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十三、财政拨款“三公”经费支出决算表</w:t>
              </w:r>
            </w:sdtContent>
          </w:sdt>
          <w:r>
            <w:tab/>
          </w:r>
          <w:r>
            <w:t>29</w:t>
          </w:r>
          <w:r>
            <w:fldChar w:fldCharType="end"/>
          </w:r>
        </w:p>
      </w:sdtContent>
    </w:sdt>
    <w:p>
      <w:pPr>
        <w:jc w:val="both"/>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7"/>
          <w:rFonts w:hint="eastAsia" w:ascii="方正小标宋简体" w:hAnsi="方正小标宋简体" w:eastAsia="方正小标宋简体" w:cs="方正小标宋简体"/>
          <w:b/>
          <w:bCs w:val="0"/>
        </w:rPr>
      </w:pPr>
      <w:bookmarkStart w:id="14" w:name="_Toc23928"/>
      <w:bookmarkStart w:id="15" w:name="_Toc20856"/>
      <w:bookmarkStart w:id="16" w:name="_Toc6750"/>
      <w:r>
        <w:rPr>
          <w:rFonts w:hint="eastAsia" w:ascii="方正小标宋简体" w:hAnsi="方正小标宋简体" w:eastAsia="方正小标宋简体" w:cs="方正小标宋简体"/>
          <w:b w:val="0"/>
        </w:rPr>
        <w:t>第一部分 单位</w:t>
      </w:r>
      <w:r>
        <w:rPr>
          <w:rStyle w:val="27"/>
          <w:rFonts w:hint="eastAsia" w:ascii="方正小标宋简体" w:hAnsi="方正小标宋简体" w:eastAsia="方正小标宋简体" w:cs="方正小标宋简体"/>
          <w:b w:val="0"/>
          <w:bCs w:val="0"/>
        </w:rPr>
        <w:t>概况</w:t>
      </w:r>
      <w:bookmarkEnd w:id="12"/>
      <w:bookmarkEnd w:id="13"/>
      <w:bookmarkEnd w:id="14"/>
      <w:bookmarkEnd w:id="15"/>
      <w:bookmarkEnd w:id="16"/>
    </w:p>
    <w:p>
      <w:pPr>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黑体" w:hAnsi="黑体" w:eastAsia="黑体" w:cs="黑体"/>
          <w:sz w:val="32"/>
          <w:szCs w:val="32"/>
          <w:lang w:eastAsia="zh-CN"/>
        </w:rPr>
      </w:pPr>
      <w:bookmarkStart w:id="17" w:name="_Toc3484"/>
      <w:bookmarkStart w:id="18" w:name="_Toc15396600"/>
      <w:bookmarkStart w:id="19" w:name="_Toc15377197"/>
      <w:r>
        <w:rPr>
          <w:rFonts w:hint="eastAsia" w:ascii="黑体" w:hAnsi="黑体" w:eastAsia="黑体" w:cs="黑体"/>
          <w:sz w:val="32"/>
          <w:szCs w:val="32"/>
          <w:lang w:eastAsia="zh-CN"/>
        </w:rPr>
        <w:t>一、主要职责</w:t>
      </w:r>
      <w:bookmarkEnd w:id="17"/>
    </w:p>
    <w:p>
      <w:pPr>
        <w:pageBreakBefore w:val="0"/>
        <w:widowControl w:val="0"/>
        <w:kinsoku/>
        <w:wordWrap/>
        <w:overflowPunct/>
        <w:topLinePunct w:val="0"/>
        <w:autoSpaceDE/>
        <w:autoSpaceDN/>
        <w:bidi w:val="0"/>
        <w:adjustRightInd/>
        <w:snapToGrid/>
        <w:spacing w:line="1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大竹县不动产登记中心为大竹县自然资源局下属公益一类事业单位，具体承担全县不动产登记工作。将原国土资源局承担的土地所有权、土地使用权登记职责，县房管局承担的房屋登记职责，以及县农林局承担的土地承办经营权、林权登记职责整合划入不动产登记中心。负责大竹县县域内的土地、房屋、林地等不动产权利的登记工作；负责县域内自然资源和不动产登记的申请、受理、地籍调查、审核、登薄、发证工作；负责对全县不动产登记信息进行整合建库、更新、管理、维护工作，承担不动产登记成果应用与社会化服务等工作；承担全县不动产登记相关资源资产情况的收集、整理、分享、汇交、归档、查询、统计和分析工作；协助开展自然资源确权和不动产登记的政策与技术标准研究及规范化建设，开展涉及不动产登记的信访工作以及因不动产登记引发的争议案件的调查、核查、测绘、取证、</w:t>
      </w:r>
      <w:r>
        <w:rPr>
          <w:rFonts w:hint="eastAsia" w:ascii="仿宋" w:hAnsi="仿宋" w:eastAsia="仿宋" w:cs="仿宋"/>
          <w:color w:val="000000" w:themeColor="text1"/>
          <w:sz w:val="32"/>
          <w:szCs w:val="32"/>
          <w:lang w:eastAsia="zh-CN"/>
          <w14:textFill>
            <w14:solidFill>
              <w14:schemeClr w14:val="tx1"/>
            </w14:solidFill>
          </w14:textFill>
        </w:rPr>
        <w:t>调节</w:t>
      </w:r>
      <w:r>
        <w:rPr>
          <w:rFonts w:hint="eastAsia" w:ascii="仿宋" w:hAnsi="仿宋" w:eastAsia="仿宋" w:cs="仿宋"/>
          <w:sz w:val="32"/>
          <w:szCs w:val="32"/>
          <w:lang w:eastAsia="zh-CN"/>
        </w:rPr>
        <w:t>等事务性工作和政策法规的宣传相关工作。</w:t>
      </w:r>
      <w:bookmarkStart w:id="20" w:name="_Toc23183"/>
      <w:bookmarkStart w:id="21" w:name="_Toc4470"/>
    </w:p>
    <w:p>
      <w:pPr>
        <w:pageBreakBefore w:val="0"/>
        <w:widowControl w:val="0"/>
        <w:numPr>
          <w:ilvl w:val="0"/>
          <w:numId w:val="1"/>
        </w:numPr>
        <w:kinsoku/>
        <w:wordWrap/>
        <w:overflowPunct/>
        <w:topLinePunct w:val="0"/>
        <w:autoSpaceDE/>
        <w:autoSpaceDN/>
        <w:bidi w:val="0"/>
        <w:adjustRightInd/>
        <w:snapToGrid/>
        <w:spacing w:line="160" w:lineRule="atLeast"/>
        <w:ind w:firstLine="640" w:firstLineChars="200"/>
        <w:textAlignment w:val="auto"/>
        <w:rPr>
          <w:rFonts w:hint="eastAsia" w:ascii="黑体" w:hAnsi="黑体" w:eastAsia="黑体"/>
          <w:b w:val="0"/>
          <w:sz w:val="32"/>
          <w:szCs w:val="32"/>
        </w:rPr>
      </w:pPr>
      <w:bookmarkStart w:id="22" w:name="_Toc16294"/>
      <w:r>
        <w:rPr>
          <w:rFonts w:hint="eastAsia" w:ascii="黑体" w:hAnsi="黑体" w:eastAsia="黑体"/>
          <w:b w:val="0"/>
          <w:sz w:val="32"/>
          <w:szCs w:val="32"/>
        </w:rPr>
        <w:t>机构设置</w:t>
      </w:r>
      <w:bookmarkEnd w:id="18"/>
      <w:bookmarkEnd w:id="19"/>
      <w:bookmarkEnd w:id="20"/>
      <w:bookmarkEnd w:id="21"/>
      <w:bookmarkEnd w:id="22"/>
    </w:p>
    <w:p>
      <w:pPr>
        <w:pageBreakBefore w:val="0"/>
        <w:widowControl w:val="0"/>
        <w:numPr>
          <w:ilvl w:val="0"/>
          <w:numId w:val="0"/>
        </w:numPr>
        <w:kinsoku/>
        <w:wordWrap/>
        <w:overflowPunct/>
        <w:topLinePunct w:val="0"/>
        <w:autoSpaceDE/>
        <w:autoSpaceDN/>
        <w:bidi w:val="0"/>
        <w:adjustRightInd/>
        <w:snapToGrid/>
        <w:spacing w:line="1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大竹县不动产登记中心下属二级预算单位0个，其中行政单位0个，参照公务员法管理的事业单位0个，其他事业单位0个。</w:t>
      </w:r>
    </w:p>
    <w:p>
      <w:pPr>
        <w:widowControl/>
        <w:ind w:firstLine="640" w:firstLineChars="200"/>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hint="eastAsia" w:ascii="方正小标宋简体" w:hAnsi="方正小标宋简体" w:eastAsia="方正小标宋简体" w:cs="方正小标宋简体"/>
          <w:b w:val="0"/>
          <w:bCs/>
        </w:rPr>
      </w:pPr>
      <w:bookmarkStart w:id="23" w:name="_Toc4340"/>
      <w:bookmarkStart w:id="24" w:name="_Toc15377204"/>
      <w:bookmarkStart w:id="25" w:name="_Toc21253"/>
      <w:bookmarkStart w:id="26" w:name="_Toc15396602"/>
      <w:bookmarkStart w:id="27" w:name="_Toc11686"/>
      <w:r>
        <w:rPr>
          <w:rFonts w:hint="eastAsia" w:ascii="方正小标宋简体" w:hAnsi="方正小标宋简体" w:eastAsia="方正小标宋简体" w:cs="方正小标宋简体"/>
          <w:b w:val="0"/>
        </w:rPr>
        <w:t>第二部分 2023年度</w:t>
      </w:r>
      <w:r>
        <w:rPr>
          <w:rStyle w:val="27"/>
          <w:rFonts w:hint="eastAsia" w:ascii="方正小标宋简体" w:hAnsi="方正小标宋简体" w:eastAsia="方正小标宋简体" w:cs="方正小标宋简体"/>
          <w:b w:val="0"/>
          <w:bCs/>
        </w:rPr>
        <w:t>单位决算情况说明</w:t>
      </w:r>
      <w:bookmarkEnd w:id="23"/>
      <w:bookmarkEnd w:id="24"/>
      <w:bookmarkEnd w:id="25"/>
      <w:bookmarkEnd w:id="26"/>
      <w:bookmarkEnd w:id="27"/>
    </w:p>
    <w:p>
      <w:pPr>
        <w:pStyle w:val="26"/>
        <w:numPr>
          <w:ilvl w:val="0"/>
          <w:numId w:val="0"/>
        </w:numPr>
        <w:spacing w:line="600" w:lineRule="exact"/>
        <w:ind w:firstLine="640" w:firstLineChars="200"/>
        <w:outlineLvl w:val="1"/>
        <w:rPr>
          <w:rStyle w:val="28"/>
          <w:rFonts w:ascii="黑体" w:hAnsi="黑体" w:eastAsia="黑体"/>
          <w:b w:val="0"/>
        </w:rPr>
      </w:pPr>
      <w:bookmarkStart w:id="28" w:name="_Toc31170"/>
      <w:bookmarkStart w:id="29" w:name="_Toc15377205"/>
      <w:bookmarkStart w:id="30" w:name="_Toc15396603"/>
      <w:bookmarkStart w:id="31" w:name="_Toc22967"/>
      <w:bookmarkStart w:id="32" w:name="_Toc9597"/>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28"/>
      <w:bookmarkEnd w:id="29"/>
      <w:bookmarkEnd w:id="30"/>
      <w:bookmarkEnd w:id="31"/>
      <w:bookmarkEnd w:id="32"/>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655.33</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108.47</w:t>
      </w:r>
      <w:r>
        <w:rPr>
          <w:rFonts w:hint="eastAsia" w:ascii="仿宋" w:hAnsi="仿宋" w:eastAsia="仿宋"/>
          <w:sz w:val="32"/>
          <w:szCs w:val="32"/>
        </w:rPr>
        <w:t>万元，增长</w:t>
      </w:r>
      <w:r>
        <w:rPr>
          <w:rFonts w:hint="eastAsia" w:ascii="仿宋" w:hAnsi="仿宋" w:eastAsia="仿宋"/>
          <w:sz w:val="32"/>
          <w:szCs w:val="32"/>
          <w:lang w:val="en-US" w:eastAsia="zh-CN"/>
        </w:rPr>
        <w:t>19.84</w:t>
      </w:r>
      <w:r>
        <w:rPr>
          <w:rFonts w:ascii="仿宋" w:hAnsi="仿宋" w:eastAsia="仿宋"/>
          <w:sz w:val="32"/>
          <w:szCs w:val="32"/>
        </w:rPr>
        <w:t>%</w:t>
      </w:r>
      <w:r>
        <w:rPr>
          <w:rFonts w:hint="eastAsia" w:ascii="仿宋" w:hAnsi="仿宋" w:eastAsia="仿宋"/>
          <w:sz w:val="32"/>
          <w:szCs w:val="32"/>
        </w:rPr>
        <w:t>。主要变动原因是事业运行经费增加，总收支增加。</w:t>
      </w:r>
    </w:p>
    <w:p>
      <w:pPr>
        <w:pStyle w:val="2"/>
        <w:jc w:val="center"/>
      </w:pPr>
      <w:r>
        <w:drawing>
          <wp:inline distT="0" distB="0" distL="114300" distR="114300">
            <wp:extent cx="5139690" cy="31553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39690" cy="3155315"/>
                    </a:xfrm>
                    <a:prstGeom prst="rect">
                      <a:avLst/>
                    </a:prstGeom>
                    <a:noFill/>
                    <a:ln>
                      <a:noFill/>
                    </a:ln>
                  </pic:spPr>
                </pic:pic>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numId w:val="0"/>
        </w:numPr>
        <w:spacing w:line="600" w:lineRule="exact"/>
        <w:ind w:left="640" w:leftChars="0"/>
        <w:outlineLvl w:val="1"/>
        <w:rPr>
          <w:rStyle w:val="28"/>
          <w:rFonts w:ascii="黑体" w:hAnsi="黑体" w:eastAsia="黑体"/>
          <w:b w:val="0"/>
        </w:rPr>
      </w:pPr>
      <w:bookmarkStart w:id="33" w:name="_Toc15396604"/>
      <w:bookmarkStart w:id="34" w:name="_Toc15377206"/>
      <w:bookmarkStart w:id="35" w:name="_Toc23978"/>
      <w:bookmarkStart w:id="36" w:name="_Toc20445"/>
      <w:bookmarkStart w:id="37" w:name="_Toc19940"/>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33"/>
      <w:bookmarkEnd w:id="34"/>
      <w:bookmarkEnd w:id="35"/>
      <w:bookmarkEnd w:id="36"/>
      <w:bookmarkEnd w:id="3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587.98</w:t>
      </w:r>
      <w:r>
        <w:rPr>
          <w:rFonts w:hint="eastAsia" w:ascii="仿宋" w:hAnsi="仿宋" w:eastAsia="仿宋"/>
          <w:sz w:val="32"/>
          <w:szCs w:val="32"/>
        </w:rPr>
        <w:t>万元，其中：一般公共预算财政拨款收入</w:t>
      </w:r>
      <w:r>
        <w:rPr>
          <w:rFonts w:ascii="仿宋" w:hAnsi="仿宋" w:eastAsia="仿宋"/>
          <w:b/>
          <w:sz w:val="32"/>
          <w:szCs w:val="32"/>
        </w:rPr>
        <w:t>587.98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420" w:firstLineChars="200"/>
        <w:jc w:val="center"/>
        <w:outlineLvl w:val="1"/>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470535</wp:posOffset>
            </wp:positionH>
            <wp:positionV relativeFrom="paragraph">
              <wp:posOffset>215265</wp:posOffset>
            </wp:positionV>
            <wp:extent cx="4118610" cy="2794635"/>
            <wp:effectExtent l="0" t="0" r="1524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118610" cy="2794635"/>
                    </a:xfrm>
                    <a:prstGeom prst="rect">
                      <a:avLst/>
                    </a:prstGeom>
                    <a:noFill/>
                    <a:ln>
                      <a:noFill/>
                    </a:ln>
                  </pic:spPr>
                </pic:pic>
              </a:graphicData>
            </a:graphic>
          </wp:anchor>
        </w:drawing>
      </w:r>
      <w:r>
        <w:rPr>
          <w:rFonts w:hint="eastAsia" w:ascii="仿宋" w:hAnsi="仿宋" w:eastAsia="仿宋"/>
          <w:sz w:val="32"/>
          <w:szCs w:val="32"/>
        </w:rPr>
        <w:t>（图2：收入决算结构图）（饼状图）</w:t>
      </w:r>
    </w:p>
    <w:p>
      <w:pPr>
        <w:pStyle w:val="26"/>
        <w:numPr>
          <w:numId w:val="0"/>
        </w:numPr>
        <w:spacing w:line="600" w:lineRule="exact"/>
        <w:ind w:left="640" w:leftChars="0"/>
        <w:outlineLvl w:val="1"/>
        <w:rPr>
          <w:rStyle w:val="28"/>
          <w:rFonts w:ascii="黑体" w:hAnsi="黑体" w:eastAsia="黑体"/>
          <w:b w:val="0"/>
        </w:rPr>
      </w:pPr>
      <w:bookmarkStart w:id="38" w:name="_Toc15377207"/>
      <w:bookmarkStart w:id="39" w:name="_Toc15396605"/>
      <w:bookmarkStart w:id="40" w:name="_Toc23376"/>
      <w:bookmarkStart w:id="41" w:name="_Toc16004"/>
      <w:bookmarkStart w:id="42" w:name="_Toc25753"/>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38"/>
      <w:bookmarkEnd w:id="39"/>
      <w:bookmarkEnd w:id="40"/>
      <w:bookmarkEnd w:id="41"/>
      <w:bookmarkEnd w:id="42"/>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655.33</w:t>
      </w:r>
      <w:r>
        <w:rPr>
          <w:rFonts w:hint="eastAsia" w:ascii="仿宋" w:hAnsi="仿宋" w:eastAsia="仿宋"/>
          <w:sz w:val="32"/>
          <w:szCs w:val="32"/>
        </w:rPr>
        <w:t>万元，其中：基本支出</w:t>
      </w:r>
      <w:r>
        <w:rPr>
          <w:rFonts w:ascii="仿宋" w:hAnsi="仿宋" w:eastAsia="仿宋"/>
          <w:b/>
          <w:sz w:val="32"/>
          <w:szCs w:val="32"/>
        </w:rPr>
        <w:t>525.52</w:t>
      </w:r>
      <w:r>
        <w:rPr>
          <w:rFonts w:hint="eastAsia" w:ascii="仿宋" w:hAnsi="仿宋" w:eastAsia="仿宋"/>
          <w:sz w:val="32"/>
          <w:szCs w:val="32"/>
        </w:rPr>
        <w:t>万元，占</w:t>
      </w:r>
      <w:r>
        <w:rPr>
          <w:rFonts w:ascii="仿宋" w:hAnsi="仿宋" w:eastAsia="仿宋"/>
          <w:b/>
          <w:sz w:val="32"/>
          <w:szCs w:val="32"/>
        </w:rPr>
        <w:t>80.19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129.81</w:t>
      </w:r>
      <w:r>
        <w:rPr>
          <w:rFonts w:hint="eastAsia" w:ascii="仿宋" w:hAnsi="仿宋" w:eastAsia="仿宋"/>
          <w:sz w:val="32"/>
          <w:szCs w:val="32"/>
        </w:rPr>
        <w:t>万元，占</w:t>
      </w:r>
      <w:r>
        <w:rPr>
          <w:rFonts w:ascii="仿宋" w:hAnsi="仿宋" w:eastAsia="仿宋"/>
          <w:b/>
          <w:sz w:val="32"/>
          <w:szCs w:val="32"/>
        </w:rPr>
        <w:t>19.8</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drawing>
          <wp:anchor distT="0" distB="0" distL="114300" distR="114300" simplePos="0" relativeHeight="251660288" behindDoc="0" locked="0" layoutInCell="1" allowOverlap="1">
            <wp:simplePos x="0" y="0"/>
            <wp:positionH relativeFrom="column">
              <wp:posOffset>796290</wp:posOffset>
            </wp:positionH>
            <wp:positionV relativeFrom="paragraph">
              <wp:posOffset>10795</wp:posOffset>
            </wp:positionV>
            <wp:extent cx="3597275" cy="2653665"/>
            <wp:effectExtent l="0" t="0" r="3175" b="1333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597275" cy="2653665"/>
                    </a:xfrm>
                    <a:prstGeom prst="rect">
                      <a:avLst/>
                    </a:prstGeom>
                    <a:noFill/>
                    <a:ln>
                      <a:noFill/>
                    </a:ln>
                  </pic:spPr>
                </pic:pic>
              </a:graphicData>
            </a:graphic>
          </wp:anchor>
        </w:drawing>
      </w:r>
    </w:p>
    <w:p>
      <w:pPr>
        <w:spacing w:line="600" w:lineRule="exact"/>
        <w:ind w:firstLine="640" w:firstLineChars="200"/>
        <w:jc w:val="center"/>
        <w:rPr>
          <w:rFonts w:ascii="仿宋" w:hAnsi="仿宋" w:eastAsia="仿宋"/>
          <w:sz w:val="32"/>
          <w:szCs w:val="32"/>
        </w:rPr>
      </w:pPr>
      <w:bookmarkStart w:id="43" w:name="_Toc29097"/>
      <w:r>
        <w:rPr>
          <w:rFonts w:hint="eastAsia" w:ascii="仿宋" w:hAnsi="仿宋" w:eastAsia="仿宋"/>
          <w:sz w:val="32"/>
          <w:szCs w:val="32"/>
        </w:rPr>
        <w:t>（图3：支出决算结构图）（饼状图）</w:t>
      </w:r>
      <w:bookmarkEnd w:id="43"/>
    </w:p>
    <w:p>
      <w:pPr>
        <w:spacing w:line="600" w:lineRule="exact"/>
        <w:ind w:firstLine="640" w:firstLineChars="200"/>
        <w:outlineLvl w:val="1"/>
        <w:rPr>
          <w:rStyle w:val="28"/>
          <w:rFonts w:ascii="黑体" w:hAnsi="黑体" w:eastAsia="黑体"/>
          <w:b w:val="0"/>
        </w:rPr>
      </w:pPr>
      <w:bookmarkStart w:id="44" w:name="_Toc6483"/>
      <w:bookmarkStart w:id="45" w:name="_Toc15396606"/>
      <w:bookmarkStart w:id="46" w:name="_Toc15377208"/>
      <w:bookmarkStart w:id="47" w:name="_Toc28635"/>
      <w:bookmarkStart w:id="48" w:name="_Toc5152"/>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4"/>
      <w:bookmarkEnd w:id="45"/>
      <w:bookmarkEnd w:id="46"/>
      <w:bookmarkEnd w:id="47"/>
      <w:bookmarkEnd w:id="48"/>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655.33</w:t>
      </w:r>
      <w:r>
        <w:rPr>
          <w:rFonts w:hint="eastAsia" w:ascii="仿宋" w:hAnsi="仿宋" w:eastAsia="仿宋"/>
          <w:sz w:val="32"/>
          <w:szCs w:val="32"/>
        </w:rPr>
        <w:t>万元。与2022年度相比，财政拨款收、支总计各增加108.47万元，增长19.84%。主要变动原因是事业运行经费增加，总收支增加</w:t>
      </w:r>
      <w:r>
        <w:rPr>
          <w:rFonts w:hint="eastAsia" w:ascii="仿宋" w:hAnsi="仿宋" w:eastAsia="仿宋"/>
          <w:sz w:val="32"/>
          <w:szCs w:val="32"/>
          <w:lang w:eastAsia="zh-CN"/>
        </w:rPr>
        <w:t>。</w:t>
      </w:r>
    </w:p>
    <w:p>
      <w:pPr>
        <w:spacing w:line="600" w:lineRule="exact"/>
        <w:ind w:firstLine="420" w:firstLineChars="200"/>
        <w:rPr>
          <w:rFonts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-12065</wp:posOffset>
            </wp:positionH>
            <wp:positionV relativeFrom="paragraph">
              <wp:posOffset>147320</wp:posOffset>
            </wp:positionV>
            <wp:extent cx="5308600" cy="3260090"/>
            <wp:effectExtent l="0" t="0" r="6350" b="165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308600" cy="3260090"/>
                    </a:xfrm>
                    <a:prstGeom prst="rect">
                      <a:avLst/>
                    </a:prstGeom>
                    <a:noFill/>
                    <a:ln>
                      <a:noFill/>
                    </a:ln>
                  </pic:spPr>
                </pic:pic>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49" w:name="_Toc15377209"/>
      <w:bookmarkStart w:id="50" w:name="_Toc23"/>
      <w:bookmarkStart w:id="51" w:name="_Toc15396607"/>
      <w:bookmarkStart w:id="52" w:name="_Toc13151"/>
      <w:bookmarkStart w:id="53" w:name="_Toc22581"/>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9"/>
      <w:bookmarkEnd w:id="50"/>
      <w:bookmarkEnd w:id="51"/>
      <w:bookmarkEnd w:id="52"/>
      <w:bookmarkEnd w:id="53"/>
    </w:p>
    <w:p>
      <w:pPr>
        <w:spacing w:line="600" w:lineRule="exact"/>
        <w:ind w:firstLine="320" w:firstLineChars="100"/>
        <w:outlineLvl w:val="2"/>
        <w:rPr>
          <w:rFonts w:hint="eastAsia" w:ascii="楷体" w:hAnsi="楷体" w:eastAsia="楷体" w:cs="楷体"/>
          <w:b/>
          <w:sz w:val="32"/>
          <w:szCs w:val="32"/>
        </w:rPr>
      </w:pPr>
      <w:bookmarkStart w:id="54" w:name="_Toc15377210"/>
      <w:r>
        <w:rPr>
          <w:rFonts w:hint="eastAsia" w:ascii="楷体" w:hAnsi="楷体" w:eastAsia="楷体" w:cs="楷体"/>
          <w:b w:val="0"/>
          <w:bCs/>
          <w:sz w:val="32"/>
          <w:szCs w:val="32"/>
        </w:rPr>
        <w:t>（一）一般公共预算财政拨款支出决算总体情况</w:t>
      </w:r>
      <w:bookmarkEnd w:id="54"/>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655.33</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108.47</w:t>
      </w:r>
      <w:r>
        <w:rPr>
          <w:rFonts w:hint="eastAsia" w:ascii="仿宋" w:hAnsi="仿宋" w:eastAsia="仿宋"/>
          <w:sz w:val="32"/>
          <w:szCs w:val="32"/>
        </w:rPr>
        <w:t>万元，增长</w:t>
      </w:r>
      <w:r>
        <w:rPr>
          <w:rFonts w:hint="eastAsia" w:ascii="仿宋" w:hAnsi="仿宋" w:eastAsia="仿宋"/>
          <w:sz w:val="32"/>
          <w:szCs w:val="32"/>
          <w:lang w:val="en-US" w:eastAsia="zh-CN"/>
        </w:rPr>
        <w:t>19.84</w:t>
      </w:r>
      <w:r>
        <w:rPr>
          <w:rFonts w:ascii="仿宋" w:hAnsi="仿宋" w:eastAsia="仿宋"/>
          <w:sz w:val="32"/>
          <w:szCs w:val="32"/>
        </w:rPr>
        <w:t>%</w:t>
      </w:r>
      <w:r>
        <w:rPr>
          <w:rFonts w:hint="eastAsia" w:ascii="仿宋" w:hAnsi="仿宋" w:eastAsia="仿宋"/>
          <w:sz w:val="32"/>
          <w:szCs w:val="32"/>
        </w:rPr>
        <w:t>。主要变动原因是事业运行经费增加，</w:t>
      </w:r>
      <w:r>
        <w:rPr>
          <w:rFonts w:hint="eastAsia" w:ascii="仿宋" w:hAnsi="仿宋" w:eastAsia="仿宋"/>
          <w:sz w:val="32"/>
          <w:szCs w:val="32"/>
          <w:lang w:eastAsia="zh-CN"/>
        </w:rPr>
        <w:t>财政拨款支出增加。</w:t>
      </w:r>
    </w:p>
    <w:p>
      <w:pPr>
        <w:spacing w:line="600" w:lineRule="exact"/>
        <w:ind w:firstLine="640" w:firstLineChars="200"/>
        <w:rPr>
          <w:rFonts w:ascii="仿宋" w:hAnsi="仿宋" w:eastAsia="仿宋"/>
          <w:sz w:val="32"/>
          <w:szCs w:val="32"/>
        </w:rPr>
      </w:pPr>
    </w:p>
    <w:p>
      <w:pPr>
        <w:pStyle w:val="2"/>
        <w:rPr>
          <w:rFonts w:ascii="仿宋" w:hAnsi="仿宋" w:eastAsia="仿宋"/>
          <w:sz w:val="32"/>
          <w:szCs w:val="32"/>
        </w:rPr>
      </w:pPr>
    </w:p>
    <w:p>
      <w:pPr>
        <w:pStyle w:val="2"/>
        <w:jc w:val="center"/>
        <w:rPr>
          <w:rFonts w:ascii="仿宋" w:hAnsi="仿宋" w:eastAsia="仿宋"/>
          <w:sz w:val="32"/>
          <w:szCs w:val="32"/>
        </w:rPr>
      </w:pPr>
      <w:r>
        <w:drawing>
          <wp:inline distT="0" distB="0" distL="114300" distR="114300">
            <wp:extent cx="4753610" cy="3178175"/>
            <wp:effectExtent l="0" t="0" r="8890" b="31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4753610" cy="3178175"/>
                    </a:xfrm>
                    <a:prstGeom prst="rect">
                      <a:avLst/>
                    </a:prstGeom>
                    <a:noFill/>
                    <a:ln>
                      <a:noFill/>
                    </a:ln>
                  </pic:spPr>
                </pic:pic>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320" w:firstLineChars="100"/>
        <w:outlineLvl w:val="2"/>
        <w:rPr>
          <w:rFonts w:hint="eastAsia" w:ascii="楷体" w:hAnsi="楷体" w:eastAsia="楷体" w:cs="楷体"/>
          <w:b w:val="0"/>
          <w:bCs/>
          <w:sz w:val="32"/>
          <w:szCs w:val="32"/>
        </w:rPr>
      </w:pPr>
      <w:bookmarkStart w:id="55" w:name="_Toc15377211"/>
      <w:r>
        <w:rPr>
          <w:rFonts w:hint="eastAsia" w:ascii="楷体" w:hAnsi="楷体" w:eastAsia="楷体" w:cs="楷体"/>
          <w:b w:val="0"/>
          <w:bCs/>
          <w:sz w:val="32"/>
          <w:szCs w:val="32"/>
        </w:rPr>
        <w:t>（二）一般公共预算财政拨款支出决算结构情况</w:t>
      </w:r>
      <w:bookmarkEnd w:id="55"/>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655.33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val="0"/>
          <w:bCs w:val="0"/>
          <w:sz w:val="32"/>
          <w:szCs w:val="32"/>
          <w:lang w:val="en-US" w:eastAsia="zh-CN"/>
        </w:rPr>
        <w:t>0</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0</w:t>
      </w:r>
      <w:r>
        <w:rPr>
          <w:rFonts w:ascii="仿宋" w:hAnsi="仿宋" w:eastAsia="仿宋"/>
          <w:b w:val="0"/>
          <w:bCs w:val="0"/>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rPr>
        <w:t>5.91</w:t>
      </w:r>
      <w:r>
        <w:rPr>
          <w:rFonts w:hint="eastAsia" w:ascii="仿宋" w:hAnsi="仿宋" w:eastAsia="仿宋"/>
          <w:sz w:val="32"/>
          <w:szCs w:val="32"/>
        </w:rPr>
        <w:t>万元，占</w:t>
      </w:r>
      <w:r>
        <w:rPr>
          <w:rFonts w:hint="eastAsia" w:ascii="仿宋" w:hAnsi="仿宋" w:eastAsia="仿宋"/>
          <w:sz w:val="32"/>
          <w:szCs w:val="32"/>
          <w:lang w:val="en-US" w:eastAsia="zh-CN"/>
        </w:rPr>
        <w:t>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val="0"/>
          <w:bCs w:val="0"/>
          <w:sz w:val="32"/>
          <w:szCs w:val="32"/>
        </w:rPr>
        <w:t>17.46</w:t>
      </w:r>
      <w:r>
        <w:rPr>
          <w:rFonts w:hint="eastAsia" w:ascii="仿宋" w:hAnsi="仿宋" w:eastAsia="仿宋"/>
          <w:sz w:val="32"/>
          <w:szCs w:val="32"/>
        </w:rPr>
        <w:t>万元，占</w:t>
      </w:r>
      <w:r>
        <w:rPr>
          <w:rFonts w:hint="eastAsia" w:ascii="仿宋" w:hAnsi="仿宋" w:eastAsia="仿宋"/>
          <w:sz w:val="32"/>
          <w:szCs w:val="32"/>
          <w:lang w:val="en-US" w:eastAsia="zh-CN"/>
        </w:rPr>
        <w:t>2.66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val="0"/>
          <w:bCs w:val="0"/>
          <w:sz w:val="32"/>
          <w:szCs w:val="32"/>
        </w:rPr>
        <w:t>45.76</w:t>
      </w:r>
      <w:r>
        <w:rPr>
          <w:rFonts w:hint="eastAsia" w:ascii="仿宋" w:hAnsi="仿宋" w:eastAsia="仿宋"/>
          <w:sz w:val="32"/>
          <w:szCs w:val="32"/>
        </w:rPr>
        <w:t>万元，占</w:t>
      </w:r>
      <w:r>
        <w:rPr>
          <w:rFonts w:hint="eastAsia" w:ascii="仿宋" w:hAnsi="仿宋" w:eastAsia="仿宋"/>
          <w:sz w:val="32"/>
          <w:szCs w:val="32"/>
          <w:lang w:val="en-US" w:eastAsia="zh-CN"/>
        </w:rPr>
        <w:t>6.98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auto"/>
          <w:sz w:val="32"/>
          <w:szCs w:val="32"/>
          <w:highlight w:val="none"/>
        </w:rPr>
        <w:t>自然资源海洋气象等支出</w:t>
      </w:r>
      <w:r>
        <w:rPr>
          <w:rFonts w:hint="eastAsia" w:ascii="仿宋" w:hAnsi="仿宋" w:eastAsia="仿宋"/>
          <w:b w:val="0"/>
          <w:bCs w:val="0"/>
          <w:color w:val="auto"/>
          <w:sz w:val="32"/>
          <w:szCs w:val="32"/>
          <w:highlight w:val="none"/>
        </w:rPr>
        <w:t>586.2</w:t>
      </w:r>
      <w:r>
        <w:rPr>
          <w:rFonts w:hint="eastAsia" w:ascii="仿宋" w:hAnsi="仿宋" w:eastAsia="仿宋"/>
          <w:color w:val="auto"/>
          <w:sz w:val="32"/>
          <w:szCs w:val="32"/>
          <w:highlight w:val="none"/>
          <w:lang w:val="en-US" w:eastAsia="zh-CN"/>
        </w:rPr>
        <w:t>万元，占89.45</w:t>
      </w:r>
      <w:r>
        <w:rPr>
          <w:rFonts w:hint="eastAsia" w:ascii="仿宋" w:hAnsi="仿宋" w:eastAsia="仿宋"/>
          <w:color w:val="auto"/>
          <w:sz w:val="32"/>
          <w:szCs w:val="32"/>
          <w:highlight w:val="none"/>
        </w:rPr>
        <w:t>%</w:t>
      </w:r>
      <w:r>
        <w:rPr>
          <w:rFonts w:hint="eastAsia" w:ascii="仿宋" w:hAnsi="仿宋" w:eastAsia="仿宋"/>
          <w:sz w:val="32"/>
          <w:szCs w:val="32"/>
        </w:rPr>
        <w:t>。</w:t>
      </w:r>
    </w:p>
    <w:p>
      <w:pPr>
        <w:pStyle w:val="2"/>
        <w:jc w:val="center"/>
      </w:pPr>
      <w:r>
        <w:drawing>
          <wp:inline distT="0" distB="0" distL="114300" distR="114300">
            <wp:extent cx="4685665" cy="3485515"/>
            <wp:effectExtent l="0" t="0" r="635"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4685665" cy="3485515"/>
                    </a:xfrm>
                    <a:prstGeom prst="rect">
                      <a:avLst/>
                    </a:prstGeom>
                    <a:noFill/>
                    <a:ln>
                      <a:noFill/>
                    </a:ln>
                  </pic:spPr>
                </pic:pic>
              </a:graphicData>
            </a:graphic>
          </wp:inline>
        </w:drawing>
      </w:r>
    </w:p>
    <w:p>
      <w:pPr>
        <w:spacing w:line="600" w:lineRule="exact"/>
        <w:jc w:val="center"/>
        <w:rPr>
          <w:rFonts w:ascii="仿宋" w:hAnsi="仿宋" w:eastAsia="仿宋"/>
          <w:sz w:val="32"/>
          <w:szCs w:val="32"/>
        </w:rPr>
      </w:pPr>
      <w:bookmarkStart w:id="56" w:name="_Toc12344"/>
      <w:r>
        <w:rPr>
          <w:rFonts w:hint="eastAsia" w:ascii="仿宋" w:hAnsi="仿宋" w:eastAsia="仿宋"/>
          <w:sz w:val="32"/>
          <w:szCs w:val="32"/>
        </w:rPr>
        <w:t>（图6：一般公共预算财政拨款支出决算结构）（饼状图）</w:t>
      </w:r>
      <w:bookmarkEnd w:id="56"/>
    </w:p>
    <w:p>
      <w:pPr>
        <w:spacing w:line="600" w:lineRule="exact"/>
        <w:ind w:firstLine="320" w:firstLineChars="100"/>
        <w:outlineLvl w:val="2"/>
        <w:rPr>
          <w:rFonts w:hint="eastAsia" w:ascii="楷体" w:hAnsi="楷体" w:eastAsia="楷体" w:cs="楷体"/>
          <w:b w:val="0"/>
          <w:bCs/>
          <w:sz w:val="32"/>
          <w:szCs w:val="32"/>
        </w:rPr>
      </w:pPr>
      <w:bookmarkStart w:id="57" w:name="_Toc15377212"/>
      <w:bookmarkStart w:id="58" w:name="_Toc1882"/>
      <w:r>
        <w:rPr>
          <w:rFonts w:hint="eastAsia" w:ascii="楷体" w:hAnsi="楷体" w:eastAsia="楷体" w:cs="楷体"/>
          <w:b w:val="0"/>
          <w:bCs/>
          <w:sz w:val="32"/>
          <w:szCs w:val="32"/>
        </w:rPr>
        <w:t>（三）一般公共预算财政拨款支出决算具体情况</w:t>
      </w:r>
      <w:bookmarkEnd w:id="57"/>
      <w:bookmarkEnd w:id="58"/>
    </w:p>
    <w:p>
      <w:pPr>
        <w:spacing w:line="600" w:lineRule="exact"/>
        <w:ind w:firstLine="643" w:firstLineChars="200"/>
        <w:outlineLvl w:val="2"/>
        <w:rPr>
          <w:rFonts w:ascii="仿宋" w:hAnsi="仿宋" w:eastAsia="仿宋"/>
          <w:sz w:val="32"/>
          <w:szCs w:val="32"/>
        </w:rPr>
      </w:pPr>
      <w:bookmarkStart w:id="59" w:name="_Toc15378460"/>
      <w:bookmarkStart w:id="60" w:name="_Toc15377213"/>
      <w:bookmarkStart w:id="61" w:name="_Toc15377444"/>
      <w:r>
        <w:rPr>
          <w:rFonts w:hint="eastAsia" w:ascii="仿宋" w:hAnsi="仿宋" w:eastAsia="仿宋"/>
          <w:b/>
          <w:sz w:val="32"/>
          <w:szCs w:val="32"/>
        </w:rPr>
        <w:t>2023年度一般公共预算支出决算数为</w:t>
      </w:r>
      <w:r>
        <w:rPr>
          <w:rFonts w:ascii="仿宋" w:hAnsi="仿宋" w:eastAsia="仿宋"/>
          <w:b/>
          <w:sz w:val="32"/>
          <w:szCs w:val="32"/>
        </w:rPr>
        <w:t>655.33</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59"/>
      <w:bookmarkEnd w:id="60"/>
      <w:bookmarkEnd w:id="61"/>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1.</w:t>
      </w:r>
      <w:r>
        <w:rPr>
          <w:rStyle w:val="15"/>
          <w:rFonts w:hint="eastAsia" w:ascii="仿宋" w:hAnsi="仿宋" w:eastAsia="仿宋"/>
          <w:bCs/>
          <w:color w:val="auto"/>
          <w:sz w:val="32"/>
          <w:szCs w:val="32"/>
          <w:highlight w:val="none"/>
        </w:rPr>
        <w:t>社会保障和就业（</w:t>
      </w:r>
      <w:r>
        <w:rPr>
          <w:rStyle w:val="15"/>
          <w:rFonts w:hint="eastAsia" w:ascii="仿宋" w:hAnsi="仿宋" w:eastAsia="仿宋"/>
          <w:bCs/>
          <w:color w:val="auto"/>
          <w:sz w:val="32"/>
          <w:szCs w:val="32"/>
          <w:highlight w:val="none"/>
          <w:lang w:val="en-US" w:eastAsia="zh-CN"/>
        </w:rPr>
        <w:t>208</w:t>
      </w:r>
      <w:r>
        <w:rPr>
          <w:rStyle w:val="15"/>
          <w:rFonts w:hint="eastAsia" w:ascii="仿宋" w:hAnsi="仿宋" w:eastAsia="仿宋"/>
          <w:bCs/>
          <w:color w:val="auto"/>
          <w:sz w:val="32"/>
          <w:szCs w:val="32"/>
          <w:highlight w:val="none"/>
        </w:rPr>
        <w:t>）行政事业单位养老支出（</w:t>
      </w:r>
      <w:r>
        <w:rPr>
          <w:rStyle w:val="15"/>
          <w:rFonts w:hint="eastAsia" w:ascii="仿宋" w:hAnsi="仿宋" w:eastAsia="仿宋"/>
          <w:bCs/>
          <w:color w:val="auto"/>
          <w:sz w:val="32"/>
          <w:szCs w:val="32"/>
          <w:highlight w:val="none"/>
          <w:lang w:val="en-US" w:eastAsia="zh-CN"/>
        </w:rPr>
        <w:t>05</w:t>
      </w:r>
      <w:r>
        <w:rPr>
          <w:rStyle w:val="15"/>
          <w:rFonts w:hint="eastAsia" w:ascii="仿宋" w:hAnsi="仿宋" w:eastAsia="仿宋"/>
          <w:bCs/>
          <w:color w:val="auto"/>
          <w:sz w:val="32"/>
          <w:szCs w:val="32"/>
          <w:highlight w:val="none"/>
        </w:rPr>
        <w:t>）其他行政事业单位养老支出（</w:t>
      </w:r>
      <w:r>
        <w:rPr>
          <w:rStyle w:val="15"/>
          <w:rFonts w:hint="eastAsia" w:ascii="仿宋" w:hAnsi="仿宋" w:eastAsia="仿宋"/>
          <w:bCs/>
          <w:color w:val="auto"/>
          <w:sz w:val="32"/>
          <w:szCs w:val="32"/>
          <w:highlight w:val="none"/>
          <w:lang w:val="en-US" w:eastAsia="zh-CN"/>
        </w:rPr>
        <w:t>99</w:t>
      </w:r>
      <w:r>
        <w:rPr>
          <w:rStyle w:val="15"/>
          <w:rFonts w:hint="eastAsia" w:ascii="仿宋" w:hAnsi="仿宋" w:eastAsia="仿宋"/>
          <w:bCs/>
          <w:color w:val="auto"/>
          <w:sz w:val="32"/>
          <w:szCs w:val="32"/>
          <w:highlight w:val="none"/>
        </w:rPr>
        <w:t>）</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4.02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cs="Times New Roman"/>
          <w:bCs/>
          <w:color w:val="auto"/>
          <w:sz w:val="32"/>
          <w:szCs w:val="32"/>
          <w:highlight w:val="none"/>
          <w:lang w:eastAsia="zh-CN"/>
        </w:rPr>
        <w:t>其他社会保障和就业支出（</w:t>
      </w:r>
      <w:r>
        <w:rPr>
          <w:rStyle w:val="15"/>
          <w:rFonts w:hint="eastAsia" w:ascii="仿宋" w:hAnsi="仿宋" w:eastAsia="仿宋" w:cs="Times New Roman"/>
          <w:bCs/>
          <w:color w:val="auto"/>
          <w:sz w:val="32"/>
          <w:szCs w:val="32"/>
          <w:highlight w:val="none"/>
          <w:lang w:val="en-US" w:eastAsia="zh-CN"/>
        </w:rPr>
        <w:t>99</w:t>
      </w:r>
      <w:r>
        <w:rPr>
          <w:rStyle w:val="15"/>
          <w:rFonts w:hint="eastAsia" w:ascii="仿宋" w:hAnsi="仿宋" w:eastAsia="仿宋" w:cs="Times New Roman"/>
          <w:bCs/>
          <w:color w:val="auto"/>
          <w:sz w:val="32"/>
          <w:szCs w:val="32"/>
          <w:highlight w:val="none"/>
          <w:lang w:eastAsia="zh-CN"/>
        </w:rPr>
        <w:t>）</w:t>
      </w:r>
      <w:r>
        <w:rPr>
          <w:rStyle w:val="15"/>
          <w:rFonts w:hint="eastAsia" w:ascii="仿宋" w:hAnsi="仿宋" w:eastAsia="仿宋" w:cs="Times New Roman"/>
          <w:bCs/>
          <w:color w:val="auto"/>
          <w:sz w:val="32"/>
          <w:szCs w:val="32"/>
          <w:highlight w:val="none"/>
        </w:rPr>
        <w:t>其他社会保障和就业支出</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Cs/>
          <w:color w:val="auto"/>
          <w:sz w:val="32"/>
          <w:szCs w:val="32"/>
          <w:highlight w:val="none"/>
          <w:lang w:val="en-US" w:eastAsia="zh-CN"/>
        </w:rPr>
        <w:t>99</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1.89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2.</w:t>
      </w:r>
      <w:r>
        <w:rPr>
          <w:rFonts w:hint="eastAsia" w:ascii="仿宋" w:hAnsi="仿宋" w:eastAsia="仿宋"/>
          <w:b/>
          <w:bCs/>
          <w:color w:val="000000"/>
          <w:sz w:val="32"/>
          <w:szCs w:val="32"/>
        </w:rPr>
        <w:t>卫生健康</w:t>
      </w:r>
      <w:r>
        <w:rPr>
          <w:rStyle w:val="15"/>
          <w:rFonts w:hint="eastAsia" w:ascii="仿宋" w:hAnsi="仿宋" w:eastAsia="仿宋"/>
          <w:bCs/>
          <w:color w:val="000000"/>
          <w:sz w:val="32"/>
          <w:szCs w:val="32"/>
        </w:rPr>
        <w:t>（</w:t>
      </w:r>
      <w:r>
        <w:rPr>
          <w:rFonts w:hint="eastAsia" w:ascii="仿宋" w:hAnsi="仿宋" w:eastAsia="仿宋"/>
          <w:b/>
          <w:bCs/>
          <w:color w:val="000000"/>
          <w:sz w:val="32"/>
          <w:szCs w:val="32"/>
          <w:lang w:val="en-US" w:eastAsia="zh-CN"/>
        </w:rPr>
        <w:t>210</w:t>
      </w:r>
      <w:r>
        <w:rPr>
          <w:rStyle w:val="15"/>
          <w:rFonts w:hint="eastAsia" w:ascii="仿宋" w:hAnsi="仿宋" w:eastAsia="仿宋"/>
          <w:bCs/>
          <w:color w:val="000000"/>
          <w:sz w:val="32"/>
          <w:szCs w:val="32"/>
        </w:rPr>
        <w:t>）行政事业单位医疗（</w:t>
      </w:r>
      <w:r>
        <w:rPr>
          <w:rStyle w:val="15"/>
          <w:rFonts w:hint="eastAsia" w:ascii="仿宋" w:hAnsi="仿宋" w:eastAsia="仿宋"/>
          <w:bCs/>
          <w:color w:val="000000"/>
          <w:sz w:val="32"/>
          <w:szCs w:val="32"/>
          <w:lang w:val="en-US" w:eastAsia="zh-CN"/>
        </w:rPr>
        <w:t>11</w:t>
      </w:r>
      <w:r>
        <w:rPr>
          <w:rStyle w:val="15"/>
          <w:rFonts w:hint="eastAsia" w:ascii="仿宋" w:hAnsi="仿宋" w:eastAsia="仿宋"/>
          <w:bCs/>
          <w:color w:val="000000"/>
          <w:sz w:val="32"/>
          <w:szCs w:val="32"/>
        </w:rPr>
        <w:t>）事业单位医疗（</w:t>
      </w:r>
      <w:r>
        <w:rPr>
          <w:rStyle w:val="15"/>
          <w:rFonts w:hint="eastAsia" w:ascii="仿宋" w:hAnsi="仿宋" w:eastAsia="仿宋"/>
          <w:bCs/>
          <w:color w:val="000000"/>
          <w:sz w:val="32"/>
          <w:szCs w:val="32"/>
          <w:lang w:val="en-US" w:eastAsia="zh-CN"/>
        </w:rPr>
        <w:t>02</w:t>
      </w:r>
      <w:r>
        <w:rPr>
          <w:rStyle w:val="15"/>
          <w:rFonts w:hint="eastAsia" w:ascii="仿宋" w:hAnsi="仿宋" w:eastAsia="仿宋"/>
          <w:bCs/>
          <w:color w:val="000000"/>
          <w:sz w:val="32"/>
          <w:szCs w:val="32"/>
        </w:rPr>
        <w:t>）</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17.46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auto"/>
          <w:sz w:val="32"/>
          <w:szCs w:val="32"/>
          <w:highlight w:val="none"/>
        </w:rPr>
        <w:t>，决算数等于预算数</w:t>
      </w:r>
      <w:r>
        <w:rPr>
          <w:rStyle w:val="15"/>
          <w:rFonts w:hint="eastAsia" w:ascii="仿宋" w:hAnsi="仿宋" w:eastAsia="仿宋"/>
          <w:b w:val="0"/>
          <w:bCs/>
          <w:color w:val="auto"/>
          <w:sz w:val="32"/>
          <w:szCs w:val="32"/>
          <w:highlight w:val="none"/>
          <w:lang w:eastAsia="zh-CN"/>
        </w:rPr>
        <w:t>。</w:t>
      </w:r>
    </w:p>
    <w:p>
      <w:pPr>
        <w:spacing w:line="578"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3</w:t>
      </w:r>
      <w:r>
        <w:rPr>
          <w:rStyle w:val="15"/>
          <w:rFonts w:ascii="仿宋" w:hAnsi="仿宋" w:eastAsia="仿宋"/>
          <w:bCs/>
          <w:color w:val="auto"/>
          <w:sz w:val="32"/>
          <w:szCs w:val="32"/>
        </w:rPr>
        <w:t>.</w:t>
      </w:r>
      <w:r>
        <w:rPr>
          <w:rFonts w:hint="eastAsia" w:ascii="仿宋" w:hAnsi="仿宋" w:eastAsia="仿宋"/>
          <w:b/>
          <w:bCs/>
          <w:color w:val="auto"/>
          <w:sz w:val="32"/>
          <w:szCs w:val="32"/>
          <w:lang w:eastAsia="zh-CN"/>
        </w:rPr>
        <w:t>自然资源海洋气象等支出</w:t>
      </w:r>
      <w:r>
        <w:rPr>
          <w:rStyle w:val="15"/>
          <w:rFonts w:hint="eastAsia" w:ascii="仿宋" w:hAnsi="仿宋" w:eastAsia="仿宋"/>
          <w:bCs/>
          <w:color w:val="auto"/>
          <w:sz w:val="32"/>
          <w:szCs w:val="32"/>
        </w:rPr>
        <w:t>（</w:t>
      </w:r>
      <w:r>
        <w:rPr>
          <w:rFonts w:hint="eastAsia" w:ascii="仿宋" w:hAnsi="仿宋" w:eastAsia="仿宋"/>
          <w:b/>
          <w:bCs/>
          <w:color w:val="auto"/>
          <w:sz w:val="32"/>
          <w:szCs w:val="32"/>
          <w:lang w:val="en-US" w:eastAsia="zh-CN"/>
        </w:rPr>
        <w:t>220</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eastAsia="zh-CN"/>
        </w:rPr>
        <w:t>自然资源事务</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）机关服务</w:t>
      </w:r>
      <w:r>
        <w:rPr>
          <w:rStyle w:val="15"/>
          <w:rFonts w:hint="eastAsia" w:ascii="仿宋" w:hAnsi="仿宋" w:eastAsia="仿宋"/>
          <w:bCs/>
          <w:color w:val="auto"/>
          <w:sz w:val="32"/>
          <w:szCs w:val="32"/>
          <w:lang w:eastAsia="zh-CN"/>
        </w:rPr>
        <w:t>（</w:t>
      </w:r>
      <w:r>
        <w:rPr>
          <w:rStyle w:val="15"/>
          <w:rFonts w:hint="eastAsia" w:ascii="仿宋" w:hAnsi="仿宋" w:eastAsia="仿宋"/>
          <w:bCs/>
          <w:color w:val="auto"/>
          <w:sz w:val="32"/>
          <w:szCs w:val="32"/>
          <w:lang w:val="en-US" w:eastAsia="zh-CN"/>
        </w:rPr>
        <w:t>03</w:t>
      </w:r>
      <w:r>
        <w:rPr>
          <w:rStyle w:val="15"/>
          <w:rFonts w:hint="eastAsia" w:ascii="仿宋" w:hAnsi="仿宋" w:eastAsia="仿宋"/>
          <w:bCs/>
          <w:color w:val="auto"/>
          <w:sz w:val="32"/>
          <w:szCs w:val="32"/>
          <w:lang w:eastAsia="zh-CN"/>
        </w:rPr>
        <w:t>）</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129.81</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，决算数等于预算数</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lang w:eastAsia="zh-CN"/>
        </w:rPr>
        <w:t>事业运行</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val="en-US" w:eastAsia="zh-CN"/>
        </w:rPr>
        <w:t>50</w:t>
      </w:r>
      <w:r>
        <w:rPr>
          <w:rStyle w:val="15"/>
          <w:rFonts w:hint="eastAsia" w:ascii="仿宋" w:hAnsi="仿宋" w:eastAsia="仿宋"/>
          <w:bCs/>
          <w:color w:val="auto"/>
          <w:sz w:val="32"/>
          <w:szCs w:val="32"/>
        </w:rPr>
        <w:t>）</w:t>
      </w:r>
      <w:r>
        <w:rPr>
          <w:rFonts w:hint="eastAsia" w:ascii="仿宋" w:hAnsi="仿宋" w:eastAsia="仿宋"/>
          <w:b/>
          <w:bCs/>
          <w:color w:val="auto"/>
          <w:sz w:val="32"/>
          <w:szCs w:val="32"/>
          <w:lang w:eastAsia="zh-CN"/>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456.39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，决算数等于预算数</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auto"/>
          <w:sz w:val="32"/>
          <w:szCs w:val="32"/>
        </w:rPr>
      </w:pP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lang w:eastAsia="zh-CN"/>
        </w:rPr>
        <w:t>住房保障支出</w:t>
      </w:r>
      <w:r>
        <w:rPr>
          <w:rStyle w:val="15"/>
          <w:rFonts w:hint="eastAsia" w:ascii="仿宋" w:hAnsi="仿宋" w:eastAsia="仿宋"/>
          <w:bCs/>
          <w:color w:val="auto"/>
          <w:sz w:val="32"/>
          <w:szCs w:val="32"/>
        </w:rPr>
        <w:t>（</w:t>
      </w:r>
      <w:r>
        <w:rPr>
          <w:rFonts w:hint="eastAsia" w:ascii="仿宋" w:hAnsi="仿宋" w:eastAsia="仿宋"/>
          <w:b/>
          <w:bCs/>
          <w:color w:val="auto"/>
          <w:sz w:val="32"/>
          <w:szCs w:val="32"/>
          <w:lang w:val="en-US" w:eastAsia="zh-CN"/>
        </w:rPr>
        <w:t>221</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eastAsia="zh-CN"/>
        </w:rPr>
        <w:t>住房改革</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val="en-US" w:eastAsia="zh-CN"/>
        </w:rPr>
        <w:t>02</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eastAsia="zh-CN"/>
        </w:rPr>
        <w:t>住房公积金</w:t>
      </w:r>
      <w:r>
        <w:rPr>
          <w:rStyle w:val="15"/>
          <w:rFonts w:hint="eastAsia" w:ascii="仿宋" w:hAnsi="仿宋" w:eastAsia="仿宋"/>
          <w:bCs/>
          <w:color w:val="auto"/>
          <w:sz w:val="32"/>
          <w:szCs w:val="32"/>
        </w:rPr>
        <w:t>（</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45.76</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，决算数等于预算数</w:t>
      </w:r>
      <w:r>
        <w:rPr>
          <w:rStyle w:val="15"/>
          <w:rFonts w:hint="eastAsia" w:ascii="仿宋" w:hAnsi="仿宋" w:eastAsia="仿宋"/>
          <w:b w:val="0"/>
          <w:bCs/>
          <w:color w:val="auto"/>
          <w:sz w:val="32"/>
          <w:szCs w:val="32"/>
        </w:rPr>
        <w:t>。</w:t>
      </w:r>
    </w:p>
    <w:p>
      <w:pPr>
        <w:tabs>
          <w:tab w:val="right" w:pos="8306"/>
        </w:tabs>
        <w:spacing w:line="600" w:lineRule="exact"/>
        <w:ind w:firstLine="640"/>
        <w:outlineLvl w:val="1"/>
        <w:rPr>
          <w:rStyle w:val="28"/>
        </w:rPr>
      </w:pPr>
      <w:bookmarkStart w:id="62" w:name="_Toc22606"/>
      <w:bookmarkStart w:id="63" w:name="_Toc15396608"/>
      <w:bookmarkStart w:id="64" w:name="_Toc15377214"/>
      <w:bookmarkStart w:id="65" w:name="_Toc13290"/>
      <w:bookmarkStart w:id="66" w:name="_Toc1655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2"/>
      <w:bookmarkEnd w:id="63"/>
      <w:bookmarkEnd w:id="64"/>
      <w:bookmarkEnd w:id="65"/>
      <w:bookmarkEnd w:id="66"/>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525.52</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456.89</w:t>
      </w:r>
      <w:r>
        <w:rPr>
          <w:rFonts w:hint="eastAsia" w:ascii="仿宋" w:hAnsi="仿宋" w:eastAsia="仿宋"/>
          <w:sz w:val="32"/>
          <w:szCs w:val="32"/>
        </w:rPr>
        <w:t>万元，主要包括：基本工资</w:t>
      </w:r>
      <w:r>
        <w:rPr>
          <w:rFonts w:hint="eastAsia" w:ascii="仿宋" w:hAnsi="仿宋" w:eastAsia="仿宋"/>
          <w:sz w:val="32"/>
          <w:szCs w:val="32"/>
          <w:lang w:eastAsia="zh-CN"/>
        </w:rPr>
        <w:t>、</w:t>
      </w:r>
      <w:r>
        <w:rPr>
          <w:rFonts w:hint="eastAsia" w:ascii="仿宋" w:hAnsi="仿宋" w:eastAsia="仿宋"/>
          <w:sz w:val="32"/>
          <w:szCs w:val="32"/>
        </w:rPr>
        <w:t>津贴补贴</w:t>
      </w:r>
      <w:r>
        <w:rPr>
          <w:rFonts w:hint="eastAsia" w:ascii="仿宋" w:hAnsi="仿宋" w:eastAsia="仿宋"/>
          <w:sz w:val="32"/>
          <w:szCs w:val="32"/>
          <w:lang w:eastAsia="zh-CN"/>
        </w:rPr>
        <w:t>、</w:t>
      </w:r>
      <w:r>
        <w:rPr>
          <w:rFonts w:hint="eastAsia" w:ascii="仿宋" w:hAnsi="仿宋" w:eastAsia="仿宋"/>
          <w:sz w:val="32"/>
          <w:szCs w:val="32"/>
        </w:rPr>
        <w:t>伙食补助费</w:t>
      </w:r>
      <w:r>
        <w:rPr>
          <w:rFonts w:hint="eastAsia" w:ascii="仿宋" w:hAnsi="仿宋" w:eastAsia="仿宋"/>
          <w:sz w:val="32"/>
          <w:szCs w:val="32"/>
          <w:lang w:eastAsia="zh-CN"/>
        </w:rPr>
        <w:t>、</w:t>
      </w:r>
      <w:r>
        <w:rPr>
          <w:rFonts w:hint="eastAsia" w:ascii="仿宋" w:hAnsi="仿宋" w:eastAsia="仿宋"/>
          <w:sz w:val="32"/>
          <w:szCs w:val="32"/>
        </w:rPr>
        <w:t>绩效工资</w:t>
      </w:r>
      <w:r>
        <w:rPr>
          <w:rFonts w:hint="eastAsia" w:ascii="仿宋" w:hAnsi="仿宋" w:eastAsia="仿宋"/>
          <w:sz w:val="32"/>
          <w:szCs w:val="32"/>
          <w:lang w:eastAsia="zh-CN"/>
        </w:rPr>
        <w:t>、</w:t>
      </w:r>
      <w:r>
        <w:rPr>
          <w:rFonts w:hint="eastAsia" w:ascii="仿宋" w:hAnsi="仿宋" w:eastAsia="仿宋"/>
          <w:sz w:val="32"/>
          <w:szCs w:val="32"/>
        </w:rPr>
        <w:t>职工基本医疗保险缴费</w:t>
      </w:r>
      <w:r>
        <w:rPr>
          <w:rFonts w:hint="eastAsia" w:ascii="仿宋" w:hAnsi="仿宋" w:eastAsia="仿宋"/>
          <w:sz w:val="32"/>
          <w:szCs w:val="32"/>
          <w:lang w:eastAsia="zh-CN"/>
        </w:rPr>
        <w:t>、</w:t>
      </w:r>
      <w:r>
        <w:rPr>
          <w:rFonts w:hint="eastAsia" w:ascii="仿宋" w:hAnsi="仿宋" w:eastAsia="仿宋"/>
          <w:sz w:val="32"/>
          <w:szCs w:val="32"/>
        </w:rPr>
        <w:t>其他社会保障缴费</w:t>
      </w:r>
      <w:r>
        <w:rPr>
          <w:rFonts w:hint="eastAsia" w:ascii="仿宋" w:hAnsi="仿宋" w:eastAsia="仿宋"/>
          <w:sz w:val="32"/>
          <w:szCs w:val="32"/>
          <w:lang w:eastAsia="zh-CN"/>
        </w:rPr>
        <w:t>、</w:t>
      </w:r>
      <w:r>
        <w:rPr>
          <w:rFonts w:hint="eastAsia" w:ascii="仿宋" w:hAnsi="仿宋" w:eastAsia="仿宋"/>
          <w:sz w:val="32"/>
          <w:szCs w:val="32"/>
        </w:rPr>
        <w:t>住房公积金</w:t>
      </w:r>
      <w:r>
        <w:rPr>
          <w:rFonts w:hint="eastAsia" w:ascii="仿宋" w:hAnsi="仿宋" w:eastAsia="仿宋"/>
          <w:sz w:val="32"/>
          <w:szCs w:val="32"/>
          <w:lang w:eastAsia="zh-CN"/>
        </w:rPr>
        <w:t>、</w:t>
      </w:r>
      <w:r>
        <w:rPr>
          <w:rFonts w:hint="eastAsia" w:ascii="仿宋" w:hAnsi="仿宋" w:eastAsia="仿宋"/>
          <w:sz w:val="32"/>
          <w:szCs w:val="32"/>
        </w:rPr>
        <w:t>其他工资福利支出</w:t>
      </w:r>
      <w:r>
        <w:rPr>
          <w:rFonts w:hint="eastAsia" w:ascii="仿宋" w:hAnsi="仿宋" w:eastAsia="仿宋"/>
          <w:sz w:val="32"/>
          <w:szCs w:val="32"/>
          <w:lang w:eastAsia="zh-CN"/>
        </w:rPr>
        <w:t>、</w:t>
      </w:r>
      <w:r>
        <w:rPr>
          <w:rFonts w:hint="eastAsia" w:ascii="仿宋" w:hAnsi="仿宋" w:eastAsia="仿宋"/>
          <w:sz w:val="32"/>
          <w:szCs w:val="32"/>
        </w:rPr>
        <w:t>生活补助</w:t>
      </w:r>
      <w:r>
        <w:rPr>
          <w:rFonts w:hint="eastAsia" w:ascii="仿宋" w:hAnsi="仿宋" w:eastAsia="仿宋"/>
          <w:sz w:val="32"/>
          <w:szCs w:val="32"/>
          <w:lang w:eastAsia="zh-CN"/>
        </w:rPr>
        <w:t>、</w:t>
      </w:r>
      <w:r>
        <w:rPr>
          <w:rFonts w:hint="eastAsia" w:ascii="仿宋" w:hAnsi="仿宋" w:eastAsia="仿宋"/>
          <w:sz w:val="32"/>
          <w:szCs w:val="32"/>
        </w:rPr>
        <w:t>奖励金</w:t>
      </w:r>
      <w:r>
        <w:rPr>
          <w:rFonts w:hint="eastAsia" w:ascii="仿宋" w:hAnsi="仿宋" w:eastAsia="仿宋"/>
          <w:sz w:val="32"/>
          <w:szCs w:val="32"/>
          <w:lang w:eastAsia="zh-CN"/>
        </w:rPr>
        <w:t>。</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ascii="仿宋" w:hAnsi="仿宋" w:eastAsia="仿宋"/>
          <w:b/>
          <w:sz w:val="32"/>
          <w:szCs w:val="32"/>
        </w:rPr>
        <w:t>68.63</w:t>
      </w:r>
      <w:r>
        <w:rPr>
          <w:rFonts w:hint="eastAsia" w:ascii="仿宋" w:hAnsi="仿宋" w:eastAsia="仿宋"/>
          <w:sz w:val="32"/>
          <w:szCs w:val="32"/>
        </w:rPr>
        <w:t>万元，主要包括：办公费</w:t>
      </w:r>
      <w:r>
        <w:rPr>
          <w:rFonts w:hint="eastAsia" w:ascii="仿宋" w:hAnsi="仿宋" w:eastAsia="仿宋"/>
          <w:sz w:val="32"/>
          <w:szCs w:val="32"/>
          <w:lang w:eastAsia="zh-CN"/>
        </w:rPr>
        <w:t>、</w:t>
      </w:r>
      <w:r>
        <w:rPr>
          <w:rFonts w:hint="eastAsia" w:ascii="仿宋" w:hAnsi="仿宋" w:eastAsia="仿宋"/>
          <w:sz w:val="32"/>
          <w:szCs w:val="32"/>
        </w:rPr>
        <w:t>印刷费</w:t>
      </w:r>
      <w:r>
        <w:rPr>
          <w:rFonts w:hint="eastAsia" w:ascii="仿宋" w:hAnsi="仿宋" w:eastAsia="仿宋"/>
          <w:sz w:val="32"/>
          <w:szCs w:val="32"/>
          <w:lang w:eastAsia="zh-CN"/>
        </w:rPr>
        <w:t>、</w:t>
      </w:r>
      <w:r>
        <w:rPr>
          <w:rFonts w:hint="eastAsia" w:ascii="仿宋" w:hAnsi="仿宋" w:eastAsia="仿宋"/>
          <w:sz w:val="32"/>
          <w:szCs w:val="32"/>
        </w:rPr>
        <w:t>水费</w:t>
      </w:r>
      <w:r>
        <w:rPr>
          <w:rFonts w:hint="eastAsia" w:ascii="仿宋" w:hAnsi="仿宋" w:eastAsia="仿宋"/>
          <w:sz w:val="32"/>
          <w:szCs w:val="32"/>
          <w:lang w:eastAsia="zh-CN"/>
        </w:rPr>
        <w:t>、</w:t>
      </w:r>
      <w:r>
        <w:rPr>
          <w:rFonts w:hint="eastAsia" w:ascii="仿宋" w:hAnsi="仿宋" w:eastAsia="仿宋"/>
          <w:sz w:val="32"/>
          <w:szCs w:val="32"/>
        </w:rPr>
        <w:t>电费</w:t>
      </w:r>
      <w:r>
        <w:rPr>
          <w:rFonts w:hint="eastAsia" w:ascii="仿宋" w:hAnsi="仿宋" w:eastAsia="仿宋"/>
          <w:sz w:val="32"/>
          <w:szCs w:val="32"/>
          <w:lang w:eastAsia="zh-CN"/>
        </w:rPr>
        <w:t>、</w:t>
      </w:r>
      <w:r>
        <w:rPr>
          <w:rFonts w:hint="eastAsia" w:ascii="仿宋" w:hAnsi="仿宋" w:eastAsia="仿宋"/>
          <w:sz w:val="32"/>
          <w:szCs w:val="32"/>
        </w:rPr>
        <w:t xml:space="preserve"> 邮电费</w:t>
      </w:r>
      <w:r>
        <w:rPr>
          <w:rFonts w:hint="eastAsia" w:ascii="仿宋" w:hAnsi="仿宋" w:eastAsia="仿宋"/>
          <w:sz w:val="32"/>
          <w:szCs w:val="32"/>
          <w:lang w:eastAsia="zh-CN"/>
        </w:rPr>
        <w:t>、</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rPr>
        <w:t>培训费</w:t>
      </w:r>
      <w:r>
        <w:rPr>
          <w:rFonts w:hint="eastAsia" w:ascii="仿宋" w:hAnsi="仿宋" w:eastAsia="仿宋"/>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w:t>
      </w:r>
      <w:r>
        <w:rPr>
          <w:rFonts w:hint="eastAsia" w:ascii="仿宋" w:hAnsi="仿宋" w:eastAsia="仿宋"/>
          <w:sz w:val="32"/>
          <w:szCs w:val="32"/>
        </w:rPr>
        <w:t>劳务费</w:t>
      </w:r>
      <w:r>
        <w:rPr>
          <w:rFonts w:hint="eastAsia" w:ascii="仿宋" w:hAnsi="仿宋" w:eastAsia="仿宋"/>
          <w:sz w:val="32"/>
          <w:szCs w:val="32"/>
          <w:lang w:eastAsia="zh-CN"/>
        </w:rPr>
        <w:t>、</w:t>
      </w:r>
      <w:r>
        <w:rPr>
          <w:rFonts w:hint="eastAsia" w:ascii="仿宋" w:hAnsi="仿宋" w:eastAsia="仿宋"/>
          <w:sz w:val="32"/>
          <w:szCs w:val="32"/>
        </w:rPr>
        <w:t>委托业务费</w:t>
      </w:r>
      <w:r>
        <w:rPr>
          <w:rFonts w:hint="eastAsia" w:ascii="仿宋" w:hAnsi="仿宋" w:eastAsia="仿宋"/>
          <w:sz w:val="32"/>
          <w:szCs w:val="32"/>
          <w:lang w:eastAsia="zh-CN"/>
        </w:rPr>
        <w:t>、</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r>
        <w:rPr>
          <w:rFonts w:hint="eastAsia" w:ascii="仿宋" w:hAnsi="仿宋" w:eastAsia="仿宋"/>
          <w:sz w:val="32"/>
          <w:szCs w:val="32"/>
        </w:rPr>
        <w:t>办公设备购置</w:t>
      </w:r>
      <w:r>
        <w:rPr>
          <w:rFonts w:hint="eastAsia" w:ascii="仿宋" w:hAnsi="仿宋" w:eastAsia="仿宋"/>
          <w:sz w:val="32"/>
          <w:szCs w:val="32"/>
          <w:lang w:eastAsia="zh-CN"/>
        </w:rPr>
        <w:t>。</w:t>
      </w:r>
    </w:p>
    <w:p>
      <w:pPr>
        <w:spacing w:line="600" w:lineRule="exact"/>
        <w:ind w:firstLine="640"/>
        <w:outlineLvl w:val="1"/>
        <w:rPr>
          <w:rStyle w:val="28"/>
          <w:rFonts w:ascii="黑体" w:hAnsi="黑体" w:eastAsia="黑体"/>
          <w:b w:val="0"/>
        </w:rPr>
      </w:pPr>
      <w:bookmarkStart w:id="67" w:name="_Toc7506"/>
      <w:bookmarkStart w:id="68" w:name="_Toc15396609"/>
      <w:bookmarkStart w:id="69" w:name="_Toc7158"/>
      <w:bookmarkStart w:id="70" w:name="_Toc15377215"/>
      <w:bookmarkStart w:id="71" w:name="_Toc104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7"/>
      <w:bookmarkEnd w:id="68"/>
      <w:bookmarkEnd w:id="69"/>
      <w:bookmarkEnd w:id="70"/>
      <w:bookmarkEnd w:id="71"/>
    </w:p>
    <w:p>
      <w:pPr>
        <w:spacing w:line="600" w:lineRule="exact"/>
        <w:ind w:firstLine="320" w:firstLineChars="100"/>
        <w:outlineLvl w:val="2"/>
        <w:rPr>
          <w:rFonts w:hint="eastAsia" w:ascii="楷体" w:hAnsi="楷体" w:eastAsia="楷体" w:cs="楷体"/>
          <w:b w:val="0"/>
          <w:bCs/>
          <w:sz w:val="32"/>
          <w:szCs w:val="32"/>
        </w:rPr>
      </w:pPr>
      <w:bookmarkStart w:id="72" w:name="_Toc15377216"/>
      <w:r>
        <w:rPr>
          <w:rFonts w:hint="eastAsia" w:ascii="楷体" w:hAnsi="楷体" w:eastAsia="楷体" w:cs="楷体"/>
          <w:b w:val="0"/>
          <w:bCs/>
          <w:sz w:val="32"/>
          <w:szCs w:val="32"/>
        </w:rPr>
        <w:t>（一）“三公”经费财政拨款支出决算总体情况说明</w:t>
      </w:r>
      <w:bookmarkEnd w:id="7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0.07</w:t>
      </w:r>
      <w:r>
        <w:rPr>
          <w:rFonts w:hint="eastAsia" w:ascii="仿宋" w:hAnsi="仿宋" w:eastAsia="仿宋"/>
          <w:sz w:val="32"/>
          <w:szCs w:val="32"/>
        </w:rPr>
        <w:t>万元，下降</w:t>
      </w:r>
      <w:r>
        <w:rPr>
          <w:rFonts w:hint="eastAsia" w:ascii="仿宋" w:hAnsi="仿宋" w:eastAsia="仿宋"/>
          <w:sz w:val="32"/>
          <w:szCs w:val="32"/>
          <w:lang w:val="en-US" w:eastAsia="zh-CN"/>
        </w:rPr>
        <w:t>14.89</w:t>
      </w:r>
      <w:r>
        <w:rPr>
          <w:rFonts w:hint="eastAsia" w:ascii="仿宋" w:hAnsi="仿宋" w:eastAsia="仿宋"/>
          <w:sz w:val="32"/>
          <w:szCs w:val="32"/>
        </w:rPr>
        <w:t>%。决算数小于预算数的主要原因是</w:t>
      </w:r>
      <w:r>
        <w:rPr>
          <w:rFonts w:hint="eastAsia" w:ascii="仿宋" w:hAnsi="仿宋" w:eastAsia="仿宋"/>
          <w:color w:val="auto"/>
          <w:sz w:val="32"/>
          <w:szCs w:val="32"/>
          <w:highlight w:val="none"/>
        </w:rPr>
        <w:t>单位严格执行各级相关“三公经费”支出规定，把牢“三公经费”支出申报审核流程，严管“三公经费”支出</w:t>
      </w:r>
      <w:r>
        <w:rPr>
          <w:rFonts w:hint="eastAsia" w:ascii="仿宋" w:hAnsi="仿宋" w:eastAsia="仿宋"/>
          <w:sz w:val="32"/>
          <w:szCs w:val="32"/>
        </w:rPr>
        <w:t>。</w:t>
      </w:r>
    </w:p>
    <w:p>
      <w:pPr>
        <w:spacing w:line="600" w:lineRule="exact"/>
        <w:ind w:firstLine="320" w:firstLineChars="100"/>
        <w:outlineLvl w:val="2"/>
        <w:rPr>
          <w:rFonts w:hint="eastAsia" w:ascii="楷体" w:hAnsi="楷体" w:eastAsia="楷体" w:cs="楷体"/>
          <w:b w:val="0"/>
          <w:bCs/>
          <w:sz w:val="32"/>
          <w:szCs w:val="32"/>
        </w:rPr>
      </w:pPr>
      <w:bookmarkStart w:id="73" w:name="_Toc15377217"/>
      <w:r>
        <w:rPr>
          <w:rFonts w:hint="eastAsia" w:ascii="楷体" w:hAnsi="楷体" w:eastAsia="楷体" w:cs="楷体"/>
          <w:b w:val="0"/>
          <w:bCs/>
          <w:sz w:val="32"/>
          <w:szCs w:val="32"/>
        </w:rPr>
        <w:t>（二）“三公”经费财政拨款支出决算具体情况说明</w:t>
      </w:r>
      <w:bookmarkEnd w:id="7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jc w:val="center"/>
      </w:pPr>
      <w:r>
        <w:drawing>
          <wp:inline distT="0" distB="0" distL="114300" distR="114300">
            <wp:extent cx="4396105" cy="2562860"/>
            <wp:effectExtent l="0" t="0" r="444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396105" cy="2562860"/>
                    </a:xfrm>
                    <a:prstGeom prst="rect">
                      <a:avLst/>
                    </a:prstGeom>
                    <a:noFill/>
                    <a:ln>
                      <a:noFill/>
                    </a:ln>
                  </pic:spPr>
                </pic:pic>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bookmarkStart w:id="74" w:name="_Toc15377218"/>
      <w:bookmarkStart w:id="75"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Cs/>
          <w:sz w:val="32"/>
          <w:szCs w:val="32"/>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Cs/>
          <w:sz w:val="32"/>
          <w:szCs w:val="32"/>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0.4</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0.07</w:t>
      </w:r>
      <w:r>
        <w:rPr>
          <w:rFonts w:hint="eastAsia" w:ascii="仿宋_GB2312" w:eastAsia="仿宋_GB2312"/>
          <w:sz w:val="32"/>
          <w:szCs w:val="32"/>
        </w:rPr>
        <w:t>万元，下降</w:t>
      </w:r>
      <w:r>
        <w:rPr>
          <w:rFonts w:hint="eastAsia" w:ascii="仿宋_GB2312" w:eastAsia="仿宋_GB2312"/>
          <w:sz w:val="32"/>
          <w:szCs w:val="32"/>
          <w:lang w:val="en-US" w:eastAsia="zh-CN"/>
        </w:rPr>
        <w:t>14.89</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auto"/>
          <w:sz w:val="32"/>
          <w:szCs w:val="32"/>
          <w:highlight w:val="none"/>
        </w:rPr>
        <w:t>单位严格执行各级相关“三公经费”支出规定，把牢“三公经费”支出申报审核流程，严管“三公经费”支出</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highlight w:val="none"/>
        </w:rPr>
        <w:t>国内公务接待支出</w:t>
      </w:r>
      <w:r>
        <w:rPr>
          <w:rFonts w:ascii="仿宋" w:hAnsi="仿宋" w:eastAsia="仿宋"/>
          <w:b/>
          <w:sz w:val="32"/>
          <w:szCs w:val="32"/>
          <w:highlight w:val="none"/>
        </w:rPr>
        <w:t>0.4</w:t>
      </w:r>
      <w:r>
        <w:rPr>
          <w:rFonts w:hint="eastAsia" w:ascii="仿宋_GB2312" w:eastAsia="仿宋_GB2312"/>
          <w:sz w:val="32"/>
          <w:szCs w:val="32"/>
          <w:highlight w:val="none"/>
        </w:rPr>
        <w:t>万元，主要</w:t>
      </w:r>
      <w:r>
        <w:rPr>
          <w:rFonts w:hint="eastAsia" w:ascii="仿宋_GB2312" w:eastAsia="仿宋_GB2312"/>
          <w:sz w:val="32"/>
          <w:szCs w:val="32"/>
        </w:rPr>
        <w:t>用于开展检查工作</w:t>
      </w:r>
      <w:r>
        <w:rPr>
          <w:rFonts w:hint="eastAsia" w:ascii="仿宋_GB2312" w:eastAsia="仿宋_GB2312"/>
          <w:sz w:val="32"/>
          <w:szCs w:val="32"/>
          <w:lang w:eastAsia="zh-CN"/>
        </w:rPr>
        <w:t>、</w:t>
      </w:r>
      <w:r>
        <w:rPr>
          <w:rFonts w:hint="eastAsia" w:ascii="仿宋_GB2312" w:eastAsia="仿宋_GB2312"/>
          <w:sz w:val="32"/>
          <w:szCs w:val="32"/>
        </w:rPr>
        <w:t>参观学习不动产登记“一件事一次办”等相关业务</w:t>
      </w:r>
      <w:r>
        <w:rPr>
          <w:rFonts w:hint="eastAsia" w:ascii="仿宋_GB2312" w:eastAsia="仿宋_GB2312"/>
          <w:sz w:val="32"/>
          <w:szCs w:val="32"/>
          <w:lang w:eastAsia="zh-CN"/>
        </w:rPr>
        <w:t>、</w:t>
      </w:r>
      <w:r>
        <w:rPr>
          <w:rFonts w:hint="eastAsia" w:ascii="仿宋_GB2312" w:eastAsia="仿宋_GB2312"/>
          <w:sz w:val="32"/>
          <w:szCs w:val="32"/>
        </w:rPr>
        <w:t>指导不动产登记“一件事一次办”工作</w:t>
      </w:r>
      <w:r>
        <w:rPr>
          <w:rFonts w:hint="eastAsia" w:ascii="仿宋_GB2312" w:eastAsia="仿宋_GB2312"/>
          <w:sz w:val="32"/>
          <w:szCs w:val="32"/>
          <w:lang w:eastAsia="zh-CN"/>
        </w:rPr>
        <w:t>、</w:t>
      </w:r>
      <w:r>
        <w:rPr>
          <w:rFonts w:hint="eastAsia" w:ascii="仿宋_GB2312" w:eastAsia="仿宋_GB2312"/>
          <w:sz w:val="32"/>
          <w:szCs w:val="32"/>
        </w:rPr>
        <w:t>交流学习化解历史遗留问题先进工作经验用餐费等。国内公务接待</w:t>
      </w:r>
      <w:r>
        <w:rPr>
          <w:rFonts w:hint="eastAsia" w:ascii="仿宋_GB2312" w:eastAsia="仿宋_GB2312"/>
          <w:sz w:val="32"/>
          <w:szCs w:val="32"/>
          <w:lang w:val="en-US" w:eastAsia="zh-CN"/>
        </w:rPr>
        <w:t>7</w:t>
      </w:r>
      <w:r>
        <w:rPr>
          <w:rFonts w:hint="eastAsia" w:ascii="仿宋_GB2312" w:eastAsia="仿宋_GB2312"/>
          <w:sz w:val="32"/>
          <w:szCs w:val="32"/>
        </w:rPr>
        <w:t>批次，</w:t>
      </w:r>
      <w:r>
        <w:rPr>
          <w:rFonts w:hint="eastAsia" w:ascii="仿宋_GB2312" w:eastAsia="仿宋_GB2312"/>
          <w:sz w:val="32"/>
          <w:szCs w:val="32"/>
          <w:lang w:val="en-US" w:eastAsia="zh-CN"/>
        </w:rPr>
        <w:t>60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0.4</w:t>
      </w:r>
      <w:r>
        <w:rPr>
          <w:rFonts w:hint="eastAsia" w:ascii="仿宋_GB2312" w:eastAsia="仿宋_GB2312"/>
          <w:sz w:val="32"/>
          <w:szCs w:val="32"/>
        </w:rPr>
        <w:t>万元，具体内容包括：广安市自规局一行赴大竹县检查不动产登记工作用餐费400元</w:t>
      </w:r>
      <w:r>
        <w:rPr>
          <w:rFonts w:hint="eastAsia" w:ascii="仿宋_GB2312" w:eastAsia="仿宋_GB2312"/>
          <w:sz w:val="32"/>
          <w:szCs w:val="32"/>
          <w:lang w:eastAsia="zh-CN"/>
        </w:rPr>
        <w:t>、</w:t>
      </w:r>
      <w:r>
        <w:rPr>
          <w:rFonts w:hint="eastAsia" w:ascii="仿宋_GB2312" w:eastAsia="仿宋_GB2312"/>
          <w:sz w:val="32"/>
          <w:szCs w:val="32"/>
        </w:rPr>
        <w:t>宣汉县不动产登记中心一行到中心交流学习化解历史遗留问题先进工作经验用餐费400元</w:t>
      </w:r>
      <w:r>
        <w:rPr>
          <w:rFonts w:hint="eastAsia" w:ascii="仿宋_GB2312" w:eastAsia="仿宋_GB2312"/>
          <w:sz w:val="32"/>
          <w:szCs w:val="32"/>
          <w:lang w:eastAsia="zh-CN"/>
        </w:rPr>
        <w:t>、</w:t>
      </w:r>
      <w:r>
        <w:rPr>
          <w:rFonts w:hint="eastAsia" w:ascii="仿宋_GB2312" w:eastAsia="仿宋_GB2312"/>
          <w:sz w:val="32"/>
          <w:szCs w:val="32"/>
        </w:rPr>
        <w:t>市不动产登记中心一行</w:t>
      </w:r>
      <w:r>
        <w:rPr>
          <w:rFonts w:hint="eastAsia" w:ascii="仿宋_GB2312" w:eastAsia="仿宋_GB2312"/>
          <w:sz w:val="32"/>
          <w:szCs w:val="32"/>
          <w:lang w:eastAsia="zh-CN"/>
        </w:rPr>
        <w:t>到</w:t>
      </w:r>
      <w:r>
        <w:rPr>
          <w:rFonts w:hint="eastAsia" w:ascii="仿宋_GB2312" w:eastAsia="仿宋_GB2312"/>
          <w:sz w:val="32"/>
          <w:szCs w:val="32"/>
        </w:rPr>
        <w:t>中心开展“不动产登记+公证”一件事集成服务及“一窗受理”平台运行等情况调研用餐费980元</w:t>
      </w:r>
      <w:r>
        <w:rPr>
          <w:rFonts w:hint="eastAsia" w:ascii="仿宋_GB2312" w:eastAsia="仿宋_GB2312"/>
          <w:sz w:val="32"/>
          <w:szCs w:val="32"/>
          <w:lang w:eastAsia="zh-CN"/>
        </w:rPr>
        <w:t>、</w:t>
      </w:r>
      <w:r>
        <w:rPr>
          <w:rFonts w:hint="eastAsia" w:ascii="仿宋_GB2312" w:eastAsia="仿宋_GB2312"/>
          <w:sz w:val="32"/>
          <w:szCs w:val="32"/>
        </w:rPr>
        <w:t>渠县不动产登记中心一行到中心交流学习“互联网+不动产抵押登记”工作先进经验和做法用餐费490元</w:t>
      </w:r>
      <w:r>
        <w:rPr>
          <w:rFonts w:hint="eastAsia" w:ascii="仿宋_GB2312" w:eastAsia="仿宋_GB2312"/>
          <w:sz w:val="32"/>
          <w:szCs w:val="32"/>
          <w:lang w:eastAsia="zh-CN"/>
        </w:rPr>
        <w:t>等。</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bookmarkStart w:id="76" w:name="_Toc19392"/>
      <w:bookmarkStart w:id="77" w:name="_Toc1530"/>
      <w:bookmarkStart w:id="78" w:name="_Toc10623"/>
      <w:r>
        <w:rPr>
          <w:rFonts w:hint="eastAsia" w:ascii="黑体" w:eastAsia="黑体"/>
          <w:sz w:val="32"/>
          <w:szCs w:val="32"/>
        </w:rPr>
        <w:t>八、</w:t>
      </w:r>
      <w:r>
        <w:rPr>
          <w:rStyle w:val="28"/>
          <w:rFonts w:hint="eastAsia" w:ascii="黑体" w:hAnsi="黑体" w:eastAsia="黑体"/>
          <w:b w:val="0"/>
        </w:rPr>
        <w:t>政府性基金预算支出决算情况说明</w:t>
      </w:r>
      <w:bookmarkEnd w:id="74"/>
      <w:bookmarkEnd w:id="75"/>
      <w:bookmarkEnd w:id="76"/>
      <w:bookmarkEnd w:id="77"/>
      <w:bookmarkEnd w:id="7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79" w:name="_Toc15396611"/>
      <w:bookmarkStart w:id="80" w:name="_Toc15377219"/>
      <w:bookmarkStart w:id="81" w:name="_Toc21684"/>
      <w:bookmarkStart w:id="82" w:name="_Toc1004"/>
      <w:bookmarkStart w:id="83" w:name="_Toc28944"/>
      <w:r>
        <w:rPr>
          <w:rStyle w:val="28"/>
          <w:rFonts w:hint="eastAsia" w:ascii="黑体" w:hAnsi="黑体" w:eastAsia="黑体"/>
          <w:b w:val="0"/>
        </w:rPr>
        <w:t>国有资本经营预算支出决算情况说明</w:t>
      </w:r>
      <w:bookmarkEnd w:id="79"/>
      <w:bookmarkEnd w:id="80"/>
      <w:bookmarkEnd w:id="81"/>
      <w:bookmarkEnd w:id="82"/>
      <w:bookmarkEnd w:id="8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84" w:name="_Toc15377221"/>
      <w:bookmarkStart w:id="85" w:name="_Toc15396612"/>
      <w:bookmarkStart w:id="86" w:name="_Toc5904"/>
      <w:bookmarkStart w:id="87" w:name="_Toc11979"/>
      <w:bookmarkStart w:id="88" w:name="_Toc7707"/>
      <w:r>
        <w:rPr>
          <w:rStyle w:val="28"/>
          <w:rFonts w:hint="eastAsia" w:ascii="黑体" w:hAnsi="黑体" w:eastAsia="黑体"/>
          <w:b w:val="0"/>
        </w:rPr>
        <w:t>其他重要事项的情况说明</w:t>
      </w:r>
      <w:bookmarkEnd w:id="84"/>
      <w:bookmarkEnd w:id="85"/>
      <w:bookmarkEnd w:id="86"/>
      <w:bookmarkEnd w:id="87"/>
      <w:bookmarkEnd w:id="88"/>
    </w:p>
    <w:p>
      <w:pPr>
        <w:spacing w:line="600" w:lineRule="exact"/>
        <w:ind w:firstLine="320" w:firstLineChars="100"/>
        <w:outlineLvl w:val="2"/>
        <w:rPr>
          <w:rFonts w:hint="eastAsia" w:ascii="楷体" w:hAnsi="楷体" w:eastAsia="楷体" w:cs="楷体"/>
          <w:b w:val="0"/>
          <w:bCs/>
          <w:sz w:val="32"/>
          <w:szCs w:val="32"/>
        </w:rPr>
      </w:pPr>
      <w:bookmarkStart w:id="89" w:name="_Toc15377222"/>
      <w:r>
        <w:rPr>
          <w:rFonts w:hint="eastAsia" w:ascii="楷体" w:hAnsi="楷体" w:eastAsia="楷体" w:cs="楷体"/>
          <w:b w:val="0"/>
          <w:bCs/>
          <w:sz w:val="32"/>
          <w:szCs w:val="32"/>
        </w:rPr>
        <w:t>（一）机关运行经费支出情况</w:t>
      </w:r>
      <w:bookmarkEnd w:id="8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大竹县不动产登记中心</w:t>
      </w:r>
      <w:r>
        <w:rPr>
          <w:rFonts w:hint="eastAsia" w:ascii="仿宋_GB2312" w:eastAsia="仿宋_GB2312"/>
          <w:sz w:val="32"/>
          <w:szCs w:val="32"/>
          <w:lang w:eastAsia="zh-CN"/>
        </w:rPr>
        <w:t>事业</w:t>
      </w:r>
      <w:r>
        <w:rPr>
          <w:rFonts w:hint="eastAsia" w:ascii="仿宋_GB2312" w:eastAsia="仿宋_GB2312"/>
          <w:sz w:val="32"/>
          <w:szCs w:val="32"/>
        </w:rPr>
        <w:t>运行经费支出</w:t>
      </w:r>
      <w:r>
        <w:rPr>
          <w:rFonts w:hint="eastAsia" w:ascii="仿宋" w:hAnsi="仿宋" w:eastAsia="仿宋"/>
          <w:b/>
          <w:sz w:val="32"/>
          <w:szCs w:val="32"/>
          <w:lang w:val="en-US" w:eastAsia="zh-CN"/>
        </w:rPr>
        <w:t>456.39</w:t>
      </w:r>
      <w:r>
        <w:rPr>
          <w:rFonts w:hint="eastAsia" w:ascii="仿宋_GB2312" w:eastAsia="仿宋_GB2312"/>
          <w:sz w:val="32"/>
          <w:szCs w:val="32"/>
        </w:rPr>
        <w:t>万元，比2022年度增加</w:t>
      </w:r>
      <w:r>
        <w:rPr>
          <w:rFonts w:hint="eastAsia" w:ascii="仿宋_GB2312" w:eastAsia="仿宋_GB2312"/>
          <w:sz w:val="32"/>
          <w:szCs w:val="32"/>
          <w:lang w:val="en-US" w:eastAsia="zh-CN"/>
        </w:rPr>
        <w:t>90.54</w:t>
      </w:r>
      <w:r>
        <w:rPr>
          <w:rFonts w:hint="eastAsia" w:ascii="仿宋_GB2312" w:eastAsia="仿宋_GB2312"/>
          <w:sz w:val="32"/>
          <w:szCs w:val="32"/>
        </w:rPr>
        <w:t>万元，增长</w:t>
      </w:r>
      <w:r>
        <w:rPr>
          <w:rFonts w:hint="eastAsia" w:ascii="仿宋_GB2312" w:eastAsia="仿宋_GB2312"/>
          <w:sz w:val="32"/>
          <w:szCs w:val="32"/>
          <w:lang w:val="en-US" w:eastAsia="zh-CN"/>
        </w:rPr>
        <w:t>24.75</w:t>
      </w:r>
      <w:r>
        <w:rPr>
          <w:rFonts w:ascii="仿宋_GB2312" w:eastAsia="仿宋_GB2312"/>
          <w:sz w:val="32"/>
          <w:szCs w:val="32"/>
        </w:rPr>
        <w:t>%</w:t>
      </w:r>
      <w:r>
        <w:rPr>
          <w:rFonts w:hint="eastAsia" w:ascii="仿宋_GB2312" w:eastAsia="仿宋_GB2312"/>
          <w:sz w:val="32"/>
          <w:szCs w:val="32"/>
        </w:rPr>
        <w:t>。主要原因是增加新进人员，工作人员正常薪级晋升，工资福利支出增加</w:t>
      </w:r>
      <w:r>
        <w:rPr>
          <w:rFonts w:hint="eastAsia" w:ascii="仿宋_GB2312" w:eastAsia="仿宋_GB2312"/>
          <w:sz w:val="32"/>
          <w:szCs w:val="32"/>
          <w:lang w:eastAsia="zh-CN"/>
        </w:rPr>
        <w:t>，新购固定资产</w:t>
      </w:r>
      <w:r>
        <w:rPr>
          <w:rFonts w:hint="eastAsia" w:ascii="仿宋_GB2312" w:eastAsia="仿宋_GB2312"/>
          <w:sz w:val="32"/>
          <w:szCs w:val="32"/>
        </w:rPr>
        <w:t>等。</w:t>
      </w:r>
    </w:p>
    <w:p>
      <w:pPr>
        <w:autoSpaceDE w:val="0"/>
        <w:autoSpaceDN w:val="0"/>
        <w:adjustRightInd w:val="0"/>
        <w:spacing w:line="600" w:lineRule="exact"/>
        <w:ind w:firstLine="320" w:firstLineChars="100"/>
        <w:jc w:val="left"/>
        <w:outlineLvl w:val="2"/>
        <w:rPr>
          <w:rFonts w:hint="eastAsia" w:ascii="楷体" w:hAnsi="楷体" w:eastAsia="楷体" w:cs="楷体"/>
          <w:b w:val="0"/>
          <w:bCs/>
          <w:sz w:val="32"/>
          <w:szCs w:val="32"/>
        </w:rPr>
      </w:pPr>
      <w:bookmarkStart w:id="90" w:name="_Toc15377223"/>
      <w:r>
        <w:rPr>
          <w:rFonts w:hint="eastAsia" w:ascii="楷体" w:hAnsi="楷体" w:eastAsia="楷体" w:cs="楷体"/>
          <w:b w:val="0"/>
          <w:bCs/>
          <w:sz w:val="32"/>
          <w:szCs w:val="32"/>
        </w:rPr>
        <w:t>（二）政府采购支出情况</w:t>
      </w:r>
      <w:bookmarkEnd w:id="9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大竹县不动产登记中心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320" w:firstLineChars="100"/>
        <w:jc w:val="left"/>
        <w:outlineLvl w:val="2"/>
        <w:rPr>
          <w:rFonts w:ascii="仿宋" w:hAnsi="仿宋" w:eastAsia="仿宋"/>
          <w:b/>
          <w:sz w:val="32"/>
          <w:szCs w:val="32"/>
        </w:rPr>
      </w:pPr>
      <w:bookmarkStart w:id="91" w:name="_Toc15377224"/>
      <w:r>
        <w:rPr>
          <w:rFonts w:hint="eastAsia" w:ascii="楷体" w:hAnsi="楷体" w:eastAsia="楷体" w:cs="楷体"/>
          <w:b w:val="0"/>
          <w:bCs/>
          <w:sz w:val="32"/>
          <w:szCs w:val="32"/>
        </w:rPr>
        <w:t>（三）国有资产占有使用情况</w:t>
      </w:r>
      <w:bookmarkEnd w:id="9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大竹县不动产登记中心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320" w:firstLineChars="100"/>
        <w:jc w:val="left"/>
        <w:outlineLvl w:val="2"/>
        <w:rPr>
          <w:rFonts w:ascii="仿宋" w:hAnsi="仿宋" w:eastAsia="仿宋"/>
          <w:b/>
          <w:sz w:val="32"/>
          <w:szCs w:val="32"/>
        </w:rPr>
      </w:pPr>
      <w:r>
        <w:rPr>
          <w:rFonts w:hint="eastAsia" w:ascii="楷体" w:hAnsi="楷体" w:eastAsia="楷体" w:cs="楷体"/>
          <w:b w:val="0"/>
          <w:bCs/>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根据预算绩效管理要求，本单位在2023年度预算编制阶段，对</w:t>
      </w:r>
      <w:r>
        <w:rPr>
          <w:rFonts w:hint="eastAsia" w:ascii="仿宋_GB2312" w:eastAsia="仿宋_GB2312"/>
          <w:sz w:val="32"/>
          <w:szCs w:val="32"/>
          <w:lang w:val="en-US" w:eastAsia="zh-CN"/>
        </w:rPr>
        <w:t>9</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9</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0"/>
        </w:numPr>
        <w:spacing w:line="600" w:lineRule="exact"/>
        <w:jc w:val="center"/>
        <w:outlineLvl w:val="0"/>
        <w:rPr>
          <w:rFonts w:hint="eastAsia" w:ascii="方正小标宋简体" w:hAnsi="方正小标宋简体" w:eastAsia="方正小标宋简体" w:cs="方正小标宋简体"/>
          <w:b/>
          <w:sz w:val="44"/>
          <w:szCs w:val="44"/>
        </w:rPr>
      </w:pPr>
      <w:bookmarkStart w:id="92" w:name="_Toc15396613"/>
      <w:bookmarkStart w:id="93" w:name="_Toc15377225"/>
      <w:bookmarkStart w:id="94" w:name="_Toc10886"/>
      <w:bookmarkStart w:id="95" w:name="_Toc30207"/>
      <w:bookmarkStart w:id="96" w:name="_Toc18996"/>
      <w:r>
        <w:rPr>
          <w:rFonts w:hint="eastAsia" w:ascii="方正小标宋简体" w:hAnsi="方正小标宋简体" w:eastAsia="方正小标宋简体" w:cs="方正小标宋简体"/>
          <w:sz w:val="44"/>
          <w:szCs w:val="44"/>
          <w:lang w:eastAsia="zh-CN"/>
        </w:rPr>
        <w:t>第三部分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名</w:t>
      </w:r>
      <w:r>
        <w:rPr>
          <w:rStyle w:val="27"/>
          <w:rFonts w:hint="eastAsia" w:ascii="方正小标宋简体" w:hAnsi="方正小标宋简体" w:eastAsia="方正小标宋简体" w:cs="方正小标宋简体"/>
          <w:b w:val="0"/>
        </w:rPr>
        <w:t>词解释</w:t>
      </w:r>
      <w:bookmarkEnd w:id="92"/>
      <w:bookmarkEnd w:id="93"/>
      <w:bookmarkEnd w:id="94"/>
      <w:bookmarkEnd w:id="95"/>
      <w:bookmarkEnd w:id="96"/>
    </w:p>
    <w:p>
      <w:pPr>
        <w:pStyle w:val="25"/>
        <w:spacing w:line="560" w:lineRule="exact"/>
        <w:rPr>
          <w:rFonts w:ascii="仿宋_GB2312" w:eastAsia="仿宋_GB2312"/>
          <w:color w:val="auto"/>
          <w:sz w:val="32"/>
          <w:szCs w:val="32"/>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5"/>
        <w:spacing w:line="560" w:lineRule="exact"/>
        <w:ind w:firstLine="640" w:firstLineChars="200"/>
        <w:rPr>
          <w:rFonts w:hint="eastAsia" w:ascii="仿宋_GB2312" w:eastAsia="仿宋_GB2312"/>
          <w:sz w:val="32"/>
          <w:szCs w:val="32"/>
          <w:lang w:eastAsia="zh-CN"/>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社会保障和就业（208）行政事业单位养老支出（05）机关事业单位基本养老保险缴费支出（05）:</w:t>
      </w:r>
      <w:r>
        <w:rPr>
          <w:rFonts w:hint="eastAsia" w:ascii="仿宋_GB2312" w:eastAsia="仿宋_GB2312"/>
          <w:sz w:val="32"/>
          <w:szCs w:val="32"/>
        </w:rPr>
        <w:t>指行政事业单位实施养老保险制度由单位缴纳的基本养老保险支出</w:t>
      </w:r>
      <w:r>
        <w:rPr>
          <w:rFonts w:hint="eastAsia" w:ascii="仿宋_GB2312" w:eastAsia="仿宋_GB2312"/>
          <w:color w:val="auto"/>
          <w:sz w:val="32"/>
          <w:szCs w:val="32"/>
          <w:highlight w:val="none"/>
        </w:rPr>
        <w:t>。其他行政事业单位养老支出（99）：</w:t>
      </w:r>
      <w:r>
        <w:rPr>
          <w:rFonts w:hint="eastAsia" w:ascii="仿宋_GB2312" w:eastAsia="仿宋_GB2312"/>
          <w:sz w:val="32"/>
          <w:szCs w:val="32"/>
          <w:lang w:eastAsia="zh-CN"/>
        </w:rPr>
        <w:t>指行政事业单位离退休人员生活补助支出。</w:t>
      </w:r>
    </w:p>
    <w:p>
      <w:pPr>
        <w:pStyle w:val="25"/>
        <w:spacing w:line="56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卫生健康（210）行政事业单位医疗（11）事业单位医疗（02）:</w:t>
      </w:r>
      <w:r>
        <w:rPr>
          <w:rFonts w:hint="eastAsia" w:ascii="仿宋_GB2312" w:eastAsia="仿宋_GB2312"/>
          <w:sz w:val="32"/>
          <w:szCs w:val="32"/>
        </w:rPr>
        <w:t>指行政事业单位实施</w:t>
      </w:r>
      <w:r>
        <w:rPr>
          <w:rFonts w:hint="eastAsia" w:ascii="仿宋_GB2312" w:eastAsia="仿宋_GB2312"/>
          <w:sz w:val="32"/>
          <w:szCs w:val="32"/>
          <w:lang w:eastAsia="zh-CN"/>
        </w:rPr>
        <w:t>医疗</w:t>
      </w:r>
      <w:r>
        <w:rPr>
          <w:rFonts w:hint="eastAsia" w:ascii="仿宋_GB2312" w:eastAsia="仿宋_GB2312"/>
          <w:sz w:val="32"/>
          <w:szCs w:val="32"/>
        </w:rPr>
        <w:t>保险制度由单位缴纳的</w:t>
      </w:r>
      <w:r>
        <w:rPr>
          <w:rFonts w:hint="eastAsia" w:ascii="仿宋_GB2312" w:eastAsia="仿宋_GB2312"/>
          <w:sz w:val="32"/>
          <w:szCs w:val="32"/>
          <w:lang w:eastAsia="zh-CN"/>
        </w:rPr>
        <w:t>医疗</w:t>
      </w:r>
      <w:r>
        <w:rPr>
          <w:rFonts w:hint="eastAsia" w:ascii="仿宋_GB2312" w:eastAsia="仿宋_GB2312"/>
          <w:sz w:val="32"/>
          <w:szCs w:val="32"/>
        </w:rPr>
        <w:t>保险支出</w:t>
      </w:r>
      <w:r>
        <w:rPr>
          <w:rFonts w:hint="eastAsia" w:ascii="仿宋_GB2312" w:eastAsia="仿宋_GB2312"/>
          <w:sz w:val="32"/>
          <w:szCs w:val="32"/>
          <w:lang w:eastAsia="zh-CN"/>
        </w:rPr>
        <w:t>。</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.自然资源海洋气象等支出（220）自然资源事务（01）</w:t>
      </w:r>
      <w:r>
        <w:rPr>
          <w:rFonts w:hint="eastAsia" w:ascii="仿宋_GB2312" w:eastAsia="仿宋_GB2312"/>
          <w:color w:val="auto"/>
          <w:sz w:val="32"/>
          <w:szCs w:val="32"/>
          <w:highlight w:val="none"/>
          <w:lang w:eastAsia="zh-CN"/>
        </w:rPr>
        <w:t>机关服务（</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lang w:eastAsia="zh-CN"/>
        </w:rPr>
        <w:t>）：主要用于单位项目支出；</w:t>
      </w:r>
      <w:r>
        <w:rPr>
          <w:rFonts w:hint="eastAsia" w:ascii="仿宋_GB2312" w:eastAsia="仿宋_GB2312"/>
          <w:color w:val="auto"/>
          <w:sz w:val="32"/>
          <w:szCs w:val="32"/>
          <w:highlight w:val="none"/>
        </w:rPr>
        <w:t>事业运行（50）:</w:t>
      </w:r>
      <w:r>
        <w:rPr>
          <w:rFonts w:hint="eastAsia" w:ascii="仿宋_GB2312" w:eastAsia="仿宋_GB2312"/>
          <w:sz w:val="32"/>
          <w:szCs w:val="32"/>
          <w:lang w:eastAsia="zh-CN"/>
        </w:rPr>
        <w:t>主要用于事业单位的基本支出。</w:t>
      </w:r>
    </w:p>
    <w:p>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.住房保障支出（221）住房改革（02）住房公积金（01）:指行政事业单位按人力资源和社会保障部、财政部规定的基本工资和津贴补贴以及规定比例为职工缴纳的住房公积金</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运行经费：为保障</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单位运行用于购买货物和服务的各项资金，包括办公及印刷费、邮电费、差旅费、会议费、福利费、日常维修费。</w:t>
      </w:r>
      <w:bookmarkStart w:id="97" w:name="_Toc15377226"/>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spacing w:line="600" w:lineRule="exact"/>
        <w:jc w:val="center"/>
        <w:rPr>
          <w:rStyle w:val="27"/>
          <w:rFonts w:ascii="黑体" w:hAnsi="黑体" w:eastAsia="黑体"/>
          <w:b w:val="0"/>
        </w:rPr>
      </w:pPr>
      <w:bookmarkStart w:id="98" w:name="_Toc15396614"/>
      <w:bookmarkStart w:id="99" w:name="_Toc18930"/>
      <w:bookmarkStart w:id="100" w:name="_Toc26398"/>
      <w:bookmarkStart w:id="101" w:name="_Toc12525"/>
      <w:r>
        <w:rPr>
          <w:rFonts w:hint="eastAsia" w:ascii="方正小标宋简体" w:hAnsi="方正小标宋简体" w:eastAsia="方正小标宋简体" w:cs="方正小标宋简体"/>
          <w:sz w:val="44"/>
          <w:szCs w:val="44"/>
        </w:rPr>
        <w:t>第</w:t>
      </w:r>
      <w:r>
        <w:rPr>
          <w:rStyle w:val="27"/>
          <w:rFonts w:hint="eastAsia" w:ascii="方正小标宋简体" w:hAnsi="方正小标宋简体" w:eastAsia="方正小标宋简体" w:cs="方正小标宋简体"/>
          <w:b w:val="0"/>
        </w:rPr>
        <w:t>四部分 附件</w:t>
      </w:r>
      <w:bookmarkEnd w:id="98"/>
      <w:bookmarkEnd w:id="99"/>
      <w:bookmarkEnd w:id="100"/>
      <w:bookmarkEnd w:id="10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102" w:name="_Toc25079"/>
      <w:bookmarkStart w:id="103" w:name="_Toc9473"/>
      <w:bookmarkStart w:id="104" w:name="_Toc28072"/>
      <w:bookmarkStart w:id="105" w:name="_Toc15396618"/>
      <w:r>
        <w:rPr>
          <w:rFonts w:hint="eastAsia"/>
          <w:sz w:val="32"/>
          <w:szCs w:val="32"/>
        </w:rPr>
        <w:t>部门预算项目支出绩效自评表（2023年度）</w:t>
      </w:r>
      <w:bookmarkEnd w:id="102"/>
      <w:bookmarkEnd w:id="103"/>
      <w:bookmarkEnd w:id="104"/>
    </w:p>
    <w:tbl>
      <w:tblPr>
        <w:tblStyle w:val="17"/>
        <w:tblW w:w="8331" w:type="dxa"/>
        <w:tblInd w:w="0" w:type="dxa"/>
        <w:shd w:val="clear" w:color="auto" w:fill="auto"/>
        <w:tblLayout w:type="fixed"/>
        <w:tblCellMar>
          <w:top w:w="0" w:type="dxa"/>
          <w:left w:w="0" w:type="dxa"/>
          <w:bottom w:w="0" w:type="dxa"/>
          <w:right w:w="0" w:type="dxa"/>
        </w:tblCellMar>
      </w:tblPr>
      <w:tblGrid>
        <w:gridCol w:w="593"/>
        <w:gridCol w:w="636"/>
        <w:gridCol w:w="640"/>
        <w:gridCol w:w="1080"/>
        <w:gridCol w:w="285"/>
        <w:gridCol w:w="698"/>
        <w:gridCol w:w="285"/>
        <w:gridCol w:w="784"/>
        <w:gridCol w:w="314"/>
        <w:gridCol w:w="314"/>
        <w:gridCol w:w="2702"/>
      </w:tblGrid>
      <w:tr>
        <w:tblPrEx>
          <w:shd w:val="clear" w:color="auto" w:fill="auto"/>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51172422T000005490572-房屋租赁</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12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房屋租赁费用来开展原中心3、4层办公楼租赁活动，实现中心日常办公、档案存放、查询及房地一体公司办公等职能，不断提升服务全县经济发展效能，竭诚为企业、群众提供热情周到的服务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房屋租赁费用来开展不动产登记中心档案室3、4层办公楼租赁活动，实现中心日常办公、档案存放及查询、房地一体公司办公等职能，不断提升服务全县经济发展效能，竭诚为企业、群众提供热情周到的服务。</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支付</w:t>
            </w:r>
            <w:r>
              <w:rPr>
                <w:rFonts w:hint="eastAsia" w:ascii="宋体" w:hAnsi="宋体" w:cs="宋体"/>
                <w:i w:val="0"/>
                <w:color w:val="000000"/>
                <w:kern w:val="0"/>
                <w:sz w:val="18"/>
                <w:szCs w:val="18"/>
                <w:u w:val="none"/>
                <w:lang w:val="en-US" w:eastAsia="zh-CN" w:bidi="ar"/>
              </w:rPr>
              <w:t>不动产登记中心档案室3、4层房屋租赁费</w:t>
            </w:r>
            <w:r>
              <w:rPr>
                <w:rFonts w:ascii="宋体" w:hAnsi="宋体" w:eastAsia="宋体" w:cs="宋体"/>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62.48</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62.48</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租赁建筑面积</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1471.64</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1471.64</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租赁服务质量合格率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租金支付延时时间</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提供良好履职基础，服务社会发展能力</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确保办公大楼可持续使用年限</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持续使用</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办事群众满意度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租金成本控制</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249900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243000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黑体" w:hAnsi="黑体" w:eastAsia="黑体" w:cs="黑体"/>
                <w:i w:val="0"/>
                <w:color w:val="000000"/>
                <w:kern w:val="0"/>
                <w:sz w:val="18"/>
                <w:szCs w:val="18"/>
                <w:u w:val="none"/>
                <w:lang w:val="en-US" w:eastAsia="zh-CN" w:bidi="ar"/>
              </w:rPr>
              <w:t>房屋租赁费用来开展不动产登记中心档案室3、4层办公楼租赁活动，实现中心日常办公、档案存放及查询、房地一体公司办公等职能，不断提升服务全县经济发展效能，竭诚为企业、群众提供热情周到的服务。</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51172422T000005490616-互联网软件和网络维护费</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8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应于2023年，用互联网软件和网络维护费用来开展登记机构、登记簿册、登记依据和信息平台“四统一”的活动，实现不动产登记信息共享与保护的目标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互联网软件和网络维护费用来开展登记机构、登记簿册、登记依据和信息平台“四统一”的活动，实现不动产登记信息共享与保护的目标。</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用于支付互联网软件和网络维护费。</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全年颁发不动产证书、证明数量</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53965本</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不动产权籍信息维护及登记业务完成率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国有建设用地使用权变更、转移登记等办结时限</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个工作日</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2个工作日</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提高工作效率及服务水平</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确保互联网信息等可持续使用率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持续使用</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中心工作人员</w:t>
            </w:r>
            <w:r>
              <w:rPr>
                <w:rFonts w:hint="eastAsia" w:ascii="宋体" w:hAnsi="宋体" w:cs="宋体"/>
                <w:i w:val="0"/>
                <w:color w:val="000000"/>
                <w:kern w:val="0"/>
                <w:sz w:val="18"/>
                <w:szCs w:val="18"/>
                <w:u w:val="none"/>
                <w:lang w:val="en-US" w:eastAsia="zh-CN" w:bidi="ar"/>
              </w:rPr>
              <w:t>对互联网软件的使用及</w:t>
            </w:r>
            <w:r>
              <w:rPr>
                <w:rFonts w:ascii="宋体" w:hAnsi="宋体" w:eastAsia="宋体" w:cs="宋体"/>
                <w:i w:val="0"/>
                <w:color w:val="000000"/>
                <w:kern w:val="0"/>
                <w:sz w:val="18"/>
                <w:szCs w:val="18"/>
                <w:u w:val="none"/>
                <w:lang w:val="en-US" w:eastAsia="zh-CN" w:bidi="ar"/>
              </w:rPr>
              <w:t>网络信息</w:t>
            </w:r>
            <w:r>
              <w:rPr>
                <w:rFonts w:hint="eastAsia" w:ascii="宋体" w:hAnsi="宋体" w:cs="宋体"/>
                <w:i w:val="0"/>
                <w:color w:val="000000"/>
                <w:kern w:val="0"/>
                <w:sz w:val="18"/>
                <w:szCs w:val="18"/>
                <w:u w:val="none"/>
                <w:lang w:val="en-US" w:eastAsia="zh-CN" w:bidi="ar"/>
              </w:rPr>
              <w:t>维护的</w:t>
            </w:r>
            <w:r>
              <w:rPr>
                <w:rFonts w:ascii="宋体" w:hAnsi="宋体" w:eastAsia="宋体" w:cs="宋体"/>
                <w:i w:val="0"/>
                <w:color w:val="000000"/>
                <w:kern w:val="0"/>
                <w:sz w:val="18"/>
                <w:szCs w:val="18"/>
                <w:u w:val="none"/>
                <w:lang w:val="en-US" w:eastAsia="zh-CN" w:bidi="ar"/>
              </w:rPr>
              <w:t>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硬件类维护服务费占总成本比重</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互联网软件和网络维护费用来开展登记机构、登记簿册、登记依据和信息平台“四统一”的活动，实现不动产登记信息共享与保护的目标。</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51172422T000005490645-不动产证书证明工本费</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应于2023年，用不动产证书证明工本费来开展购买不动产权证书、不动产登记证明的活动，实现保障完成不动产证书证明类发证的目标。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不动产证书证明工本费用来开展购买不动产权证书、不动产登记证明的活动，实现保障完成不动产证书证明类发证的目标。</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购买不动产权证书、不动产登记证明</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9.91</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9.91</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不动产登记证书证明发放数</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53965本</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不动产登记证书证明发证完成率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购买不动产登记证书证明延时率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确保不动产登记中心发证工作正常开展</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工作效率及服务水平</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办事群众满意度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单本证书成本控制情况</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3.5元</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不动产证书证明工本费来开展购买不动产权证书、不动产登记证明的活动，实现保障完成不动产证书证明类发证的目标。</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51172422T000005490701-优化营商环境免邮寄证书</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应于2023年，用优化营商环境免邮寄证书费用来开展大竹县不动产证书证明的邮寄活动，实现提升办事群众便捷度、满意度的目标。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优化营商环境免邮寄证书费用来开展大竹县不动产证书证明的邮寄活动，实现提升办事群众便捷度、满意度的目标。</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支付不动产权证书</w:t>
            </w:r>
            <w:r>
              <w:rPr>
                <w:rFonts w:hint="eastAsia" w:ascii="宋体" w:hAnsi="宋体" w:cs="宋体"/>
                <w:i w:val="0"/>
                <w:color w:val="000000"/>
                <w:kern w:val="0"/>
                <w:sz w:val="18"/>
                <w:szCs w:val="18"/>
                <w:u w:val="none"/>
                <w:lang w:val="en-US" w:eastAsia="zh-CN" w:bidi="ar"/>
              </w:rPr>
              <w:t>、证明</w:t>
            </w:r>
            <w:r>
              <w:rPr>
                <w:rFonts w:ascii="宋体" w:hAnsi="宋体" w:eastAsia="宋体" w:cs="宋体"/>
                <w:i w:val="0"/>
                <w:color w:val="000000"/>
                <w:kern w:val="0"/>
                <w:sz w:val="18"/>
                <w:szCs w:val="18"/>
                <w:u w:val="none"/>
                <w:lang w:val="en-US" w:eastAsia="zh-CN" w:bidi="ar"/>
              </w:rPr>
              <w:t>邮寄费。</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不动产登记证书证明邮寄量</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color w:val="000000"/>
                <w:sz w:val="16"/>
                <w:szCs w:val="16"/>
                <w:u w:val="none"/>
                <w:lang w:val="en-US" w:eastAsia="zh-CN"/>
              </w:rPr>
            </w:pPr>
            <w:r>
              <w:rPr>
                <w:rFonts w:hint="eastAsia" w:ascii="微软雅黑" w:hAnsi="微软雅黑" w:eastAsia="微软雅黑" w:cs="微软雅黑"/>
                <w:i/>
                <w:color w:val="000000"/>
                <w:sz w:val="16"/>
                <w:szCs w:val="16"/>
                <w:u w:val="none"/>
                <w:lang w:val="en-US" w:eastAsia="zh-CN"/>
              </w:rPr>
              <w:t>2023年群众邮寄需求量减少</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不动产权证书邮寄安全到达率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不动产权证书邮寄延时率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提升工作效率及服务水平</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通过邮寄证书给办事群众带来的</w:t>
            </w:r>
            <w:r>
              <w:rPr>
                <w:rFonts w:hint="eastAsia" w:ascii="宋体" w:hAnsi="宋体" w:cs="宋体"/>
                <w:i w:val="0"/>
                <w:color w:val="000000"/>
                <w:kern w:val="0"/>
                <w:sz w:val="18"/>
                <w:szCs w:val="18"/>
                <w:u w:val="none"/>
                <w:lang w:val="en-US" w:eastAsia="zh-CN" w:bidi="ar"/>
              </w:rPr>
              <w:t>便捷</w:t>
            </w:r>
            <w:r>
              <w:rPr>
                <w:rFonts w:ascii="宋体" w:hAnsi="宋体" w:eastAsia="宋体" w:cs="宋体"/>
                <w:i w:val="0"/>
                <w:color w:val="000000"/>
                <w:kern w:val="0"/>
                <w:sz w:val="18"/>
                <w:szCs w:val="18"/>
                <w:u w:val="none"/>
                <w:lang w:val="en-US" w:eastAsia="zh-CN" w:bidi="ar"/>
              </w:rPr>
              <w:t>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办事群众满意度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平均每本不动产权证书邮寄成本</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13元</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优化营商环境免邮寄证书费用来开展大竹县不动产证书证明的邮寄活动，实现提升办事群众便捷度、满意度的目标。</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51172423T000008608060-购买档案袋、档案盒费用</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应于2023年，用购买档案袋、档案盒费用来开展大竹县不动产档案整理工作，实现不动产登记档案规范化管理的目标。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购买档案袋、档案盒费用用来开展大竹县不动产登记档案整理工作，实现不动产登记档案规范化管理的目标。</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购买档案袋、档案盒费用。</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全年颁发不动产证书、证明数量</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53965本</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不动产登记证书证明发证完成率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国有建设用地使用权变更、转移登记等办结时限</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工作日</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2个工作日</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保障不动产登记资料</w:t>
            </w:r>
            <w:r>
              <w:rPr>
                <w:rFonts w:hint="eastAsia" w:ascii="宋体" w:hAnsi="宋体" w:cs="宋体"/>
                <w:i w:val="0"/>
                <w:color w:val="000000"/>
                <w:kern w:val="0"/>
                <w:sz w:val="18"/>
                <w:szCs w:val="18"/>
                <w:u w:val="none"/>
                <w:lang w:val="en-US" w:eastAsia="zh-CN" w:bidi="ar"/>
              </w:rPr>
              <w:t>、</w:t>
            </w:r>
            <w:r>
              <w:rPr>
                <w:rFonts w:ascii="宋体" w:hAnsi="宋体" w:eastAsia="宋体" w:cs="宋体"/>
                <w:i w:val="0"/>
                <w:color w:val="000000"/>
                <w:kern w:val="0"/>
                <w:sz w:val="18"/>
                <w:szCs w:val="18"/>
                <w:u w:val="none"/>
                <w:lang w:val="en-US" w:eastAsia="zh-CN" w:bidi="ar"/>
              </w:rPr>
              <w:t>档案</w:t>
            </w:r>
            <w:r>
              <w:rPr>
                <w:rFonts w:hint="eastAsia" w:ascii="宋体" w:hAnsi="宋体" w:cs="宋体"/>
                <w:i w:val="0"/>
                <w:color w:val="000000"/>
                <w:kern w:val="0"/>
                <w:sz w:val="18"/>
                <w:szCs w:val="18"/>
                <w:u w:val="none"/>
                <w:lang w:val="en-US" w:eastAsia="zh-CN" w:bidi="ar"/>
              </w:rPr>
              <w:t>的</w:t>
            </w:r>
            <w:r>
              <w:rPr>
                <w:rFonts w:ascii="宋体" w:hAnsi="宋体" w:eastAsia="宋体" w:cs="宋体"/>
                <w:i w:val="0"/>
                <w:color w:val="000000"/>
                <w:kern w:val="0"/>
                <w:sz w:val="18"/>
                <w:szCs w:val="18"/>
                <w:u w:val="none"/>
                <w:lang w:val="en-US" w:eastAsia="zh-CN" w:bidi="ar"/>
              </w:rPr>
              <w:t>完整性</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办事群众满意度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单个档案袋、档案盒、档案密封条总成本</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＜6元</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黑体" w:hAnsi="黑体" w:eastAsia="黑体" w:cs="黑体"/>
                <w:i w:val="0"/>
                <w:color w:val="000000"/>
                <w:kern w:val="0"/>
                <w:sz w:val="18"/>
                <w:szCs w:val="18"/>
                <w:u w:val="none"/>
                <w:lang w:val="en-US" w:eastAsia="zh-CN" w:bidi="ar"/>
              </w:rPr>
              <w:t>购买档案袋、档案盒费用用来开展大竹县不动产登记档案整理工作，实现不动产登记档案规范化管理的目标。</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51172423T000008609387-购买不动产登记保险</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应于2023年，用购买不动产登记保险费用来开展建立登记错误赔偿机制的活动，实现降低不动产登记风险，缓解登记人员压力、提高登记效率的目标。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购买不动产登记保险费用来开展建立登记错误赔偿机制的活动，实现降低不动产登记风险，缓解登记人员压力、提高登记效率的目标。</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购买不动产登记保险费。</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不动产登记证书证明发放数</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53965本</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不动产登记业务登记错误次数</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国有建设用地使用权变更、转移登记等办结时限</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个工作日</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2个工作日</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提升服务水平</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办事群众满意度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购买保险保费</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44800元</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购买不动产登记保险费用来开展建立登记错误赔偿机制的活动，实现降低不动产登记风险，缓解登记人员压力、提高登记效率的目标。</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51172423Y000008578582-第一书记和驻村工作队工作经费</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应于2023年，用第一书记和驻村工作队工作经费来开展健全常态化驻村工作机制，实现巩固拓展脱贫攻坚成果、全面推进乡村振兴中充分发挥驻村工作队作用的目标。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第一书记和驻村工作队员工作经费用来开展健全常态化驻村工作机制，实现巩固拓展脱贫攻坚成果、全面推进乡村振兴工作，充分发挥驻村工作队员的作用。</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支付驻村工作队</w:t>
            </w:r>
            <w:r>
              <w:rPr>
                <w:rFonts w:hint="eastAsia" w:ascii="宋体" w:hAnsi="宋体" w:cs="宋体"/>
                <w:i w:val="0"/>
                <w:color w:val="000000"/>
                <w:kern w:val="0"/>
                <w:sz w:val="18"/>
                <w:szCs w:val="18"/>
                <w:u w:val="none"/>
                <w:lang w:val="en-US" w:eastAsia="zh-CN" w:bidi="ar"/>
              </w:rPr>
              <w:t>员</w:t>
            </w:r>
            <w:r>
              <w:rPr>
                <w:rFonts w:ascii="宋体" w:hAnsi="宋体" w:eastAsia="宋体" w:cs="宋体"/>
                <w:i w:val="0"/>
                <w:color w:val="000000"/>
                <w:kern w:val="0"/>
                <w:sz w:val="18"/>
                <w:szCs w:val="18"/>
                <w:u w:val="none"/>
                <w:lang w:val="en-US" w:eastAsia="zh-CN" w:bidi="ar"/>
              </w:rPr>
              <w:t>工作经费。</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全年入户帮扶次数</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lang w:val="en-US"/>
              </w:rPr>
            </w:pPr>
            <w:r>
              <w:rPr>
                <w:rFonts w:hint="eastAsia" w:ascii="微软雅黑" w:hAnsi="微软雅黑" w:eastAsia="微软雅黑" w:cs="微软雅黑"/>
                <w:i/>
                <w:color w:val="000000"/>
                <w:kern w:val="0"/>
                <w:sz w:val="16"/>
                <w:szCs w:val="16"/>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驻村队员到岗到位出勤率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资金拨付延时率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群众对驻村工作认可程度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帮扶对象满意度指标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帮扶对象满意度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67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用于驻村工作队</w:t>
            </w:r>
            <w:r>
              <w:rPr>
                <w:rFonts w:hint="eastAsia" w:ascii="宋体" w:hAnsi="宋体" w:cs="宋体"/>
                <w:i w:val="0"/>
                <w:color w:val="000000"/>
                <w:kern w:val="0"/>
                <w:sz w:val="18"/>
                <w:szCs w:val="18"/>
                <w:u w:val="none"/>
                <w:lang w:val="en-US" w:eastAsia="zh-CN" w:bidi="ar"/>
              </w:rPr>
              <w:t>员购买意外保险费用</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ascii="宋体" w:hAnsi="宋体" w:eastAsia="宋体" w:cs="宋体"/>
                <w:i w:val="0"/>
                <w:color w:val="000000"/>
                <w:kern w:val="0"/>
                <w:sz w:val="18"/>
                <w:szCs w:val="18"/>
                <w:u w:val="none"/>
                <w:lang w:val="en-US" w:eastAsia="zh-CN" w:bidi="ar"/>
              </w:rPr>
              <w:t>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lang w:val="en-US"/>
              </w:rPr>
            </w:pPr>
            <w:r>
              <w:rPr>
                <w:rFonts w:hint="eastAsia" w:ascii="微软雅黑" w:hAnsi="微软雅黑" w:eastAsia="微软雅黑" w:cs="微软雅黑"/>
                <w:i/>
                <w:color w:val="000000"/>
                <w:kern w:val="0"/>
                <w:sz w:val="16"/>
                <w:szCs w:val="16"/>
                <w:u w:val="none"/>
                <w:lang w:val="en-US" w:eastAsia="zh-CN" w:bidi="ar"/>
              </w:rPr>
              <w:t>730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黑体" w:hAnsi="黑体" w:eastAsia="黑体" w:cs="黑体"/>
                <w:i w:val="0"/>
                <w:color w:val="000000"/>
                <w:kern w:val="0"/>
                <w:sz w:val="18"/>
                <w:szCs w:val="18"/>
                <w:u w:val="none"/>
                <w:lang w:val="en-US" w:eastAsia="zh-CN" w:bidi="ar"/>
              </w:rPr>
              <w:t>第一书记和驻村工作队员工作经费用来开展健全常态化驻村工作机制，实现巩固拓展脱贫攻坚成果、全面推进乡村振兴工作，充分发挥驻村工作队员的作用。</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5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51172423Y000008673301-大厅运行费</w:t>
            </w:r>
          </w:p>
        </w:tc>
      </w:tr>
      <w:tr>
        <w:tblPrEx>
          <w:tblLayout w:type="fixed"/>
          <w:tblCellMar>
            <w:top w:w="0" w:type="dxa"/>
            <w:left w:w="0" w:type="dxa"/>
            <w:bottom w:w="0" w:type="dxa"/>
            <w:right w:w="0" w:type="dxa"/>
          </w:tblCellMar>
        </w:tblPrEx>
        <w:trPr>
          <w:trHeight w:val="512"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大竹县不动产登记中心</w:t>
            </w:r>
          </w:p>
        </w:tc>
      </w:tr>
      <w:tr>
        <w:tblPrEx>
          <w:tblLayout w:type="fixed"/>
          <w:tblCellMar>
            <w:top w:w="0" w:type="dxa"/>
            <w:left w:w="0" w:type="dxa"/>
            <w:bottom w:w="0" w:type="dxa"/>
            <w:right w:w="0" w:type="dxa"/>
          </w:tblCellMar>
        </w:tblPrEx>
        <w:trPr>
          <w:trHeight w:val="2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106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应于2023年，用大厅运行费来开展不动产登记业务宣传工作，保障原办公楼及不动产登记大厅日常运转，实现不动产登记大厅及原办公楼的稳定高效运行，保障2023年全县不动产登记证书证明的发证工作的目标。</w:t>
            </w:r>
          </w:p>
        </w:tc>
        <w:tc>
          <w:tcPr>
            <w:tcW w:w="4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大厅运行费用来保障不动产登记大厅日常运转及宣传工作；保障不动产登记档案资料安全，实现不动产登记大厅及档案室的稳定高效运行；保障2023年全县不动产登记证书证明的发证工作。</w:t>
            </w:r>
          </w:p>
        </w:tc>
      </w:tr>
      <w:tr>
        <w:tblPrEx>
          <w:tblLayout w:type="fixed"/>
          <w:tblCellMar>
            <w:top w:w="0" w:type="dxa"/>
            <w:left w:w="0" w:type="dxa"/>
            <w:bottom w:w="0" w:type="dxa"/>
            <w:right w:w="0" w:type="dxa"/>
          </w:tblCellMar>
        </w:tblPrEx>
        <w:trPr>
          <w:trHeight w:val="693"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10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支付大厅运行</w:t>
            </w:r>
            <w:r>
              <w:rPr>
                <w:rFonts w:hint="eastAsia" w:ascii="宋体" w:hAnsi="宋体" w:cs="宋体"/>
                <w:i w:val="0"/>
                <w:color w:val="000000"/>
                <w:kern w:val="0"/>
                <w:sz w:val="18"/>
                <w:szCs w:val="18"/>
                <w:u w:val="none"/>
                <w:lang w:val="en-US" w:eastAsia="zh-CN" w:bidi="ar"/>
              </w:rPr>
              <w:t>相关</w:t>
            </w:r>
            <w:r>
              <w:rPr>
                <w:rFonts w:ascii="宋体" w:hAnsi="宋体" w:eastAsia="宋体" w:cs="宋体"/>
                <w:i w:val="0"/>
                <w:color w:val="000000"/>
                <w:kern w:val="0"/>
                <w:sz w:val="18"/>
                <w:szCs w:val="18"/>
                <w:u w:val="none"/>
                <w:lang w:val="en-US" w:eastAsia="zh-CN" w:bidi="ar"/>
              </w:rPr>
              <w:t>费</w:t>
            </w:r>
            <w:r>
              <w:rPr>
                <w:rFonts w:hint="eastAsia" w:ascii="宋体" w:hAnsi="宋体" w:cs="宋体"/>
                <w:i w:val="0"/>
                <w:color w:val="000000"/>
                <w:kern w:val="0"/>
                <w:sz w:val="18"/>
                <w:szCs w:val="18"/>
                <w:u w:val="none"/>
                <w:lang w:val="en-US" w:eastAsia="zh-CN" w:bidi="ar"/>
              </w:rPr>
              <w:t>用和档案室保安服务费</w:t>
            </w:r>
            <w:r>
              <w:rPr>
                <w:rFonts w:ascii="宋体" w:hAnsi="宋体" w:eastAsia="宋体" w:cs="宋体"/>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361"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39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不动产登记证书证明发放数</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53965本</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67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各类不动产登记业务完成率</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国有建设用地使用权变更、转移登记等办结时限</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个工作日</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2个工作日</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办公设备等持续使用时间</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持续使用</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职工满意度</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452"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办公耗材成本占大厅运行费的比重</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50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黑体" w:hAnsi="黑体" w:eastAsia="黑体" w:cs="黑体"/>
                <w:i w:val="0"/>
                <w:color w:val="000000"/>
                <w:kern w:val="0"/>
                <w:sz w:val="18"/>
                <w:szCs w:val="18"/>
                <w:u w:val="none"/>
                <w:lang w:val="en-US" w:eastAsia="zh-CN" w:bidi="ar"/>
              </w:rPr>
              <w:t>大厅运行费用来保障不动产登记大厅日常运转及宣传工作；保障不动产登记档案资料安全，实现不动产登记大厅及档案室的稳定高效运行；保障2023年全县不动产登记证书证明的发证工作。</w:t>
            </w:r>
          </w:p>
        </w:tc>
      </w:tr>
      <w:tr>
        <w:tblPrEx>
          <w:tblLayout w:type="fixed"/>
          <w:tblCellMar>
            <w:top w:w="0" w:type="dxa"/>
            <w:left w:w="0" w:type="dxa"/>
            <w:bottom w:w="0" w:type="dxa"/>
            <w:right w:w="0" w:type="dxa"/>
          </w:tblCellMar>
        </w:tblPrEx>
        <w:trPr>
          <w:trHeight w:val="5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3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50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hint="eastAsia" w:ascii="方正小标宋简体" w:hAnsi="方正小标宋简体" w:eastAsia="方正小标宋简体" w:cs="方正小标宋简体"/>
          <w:sz w:val="44"/>
          <w:szCs w:val="44"/>
        </w:rPr>
      </w:pPr>
      <w:bookmarkStart w:id="106" w:name="_Toc18248"/>
      <w:bookmarkStart w:id="107" w:name="_Toc27645"/>
      <w:bookmarkStart w:id="108" w:name="_Toc3831"/>
      <w:r>
        <w:rPr>
          <w:rFonts w:hint="eastAsia" w:ascii="方正小标宋简体" w:hAnsi="方正小标宋简体" w:eastAsia="方正小标宋简体" w:cs="方正小标宋简体"/>
          <w:sz w:val="44"/>
          <w:szCs w:val="44"/>
        </w:rPr>
        <w:t>第</w:t>
      </w:r>
      <w:r>
        <w:rPr>
          <w:rStyle w:val="27"/>
          <w:rFonts w:hint="eastAsia" w:ascii="方正小标宋简体" w:hAnsi="方正小标宋简体" w:eastAsia="方正小标宋简体" w:cs="方正小标宋简体"/>
          <w:b w:val="0"/>
          <w:sz w:val="44"/>
          <w:szCs w:val="44"/>
        </w:rPr>
        <w:t>五部分 附表</w:t>
      </w:r>
      <w:bookmarkEnd w:id="97"/>
      <w:bookmarkEnd w:id="105"/>
      <w:bookmarkEnd w:id="106"/>
      <w:bookmarkEnd w:id="107"/>
      <w:bookmarkEnd w:id="108"/>
      <w:bookmarkStart w:id="109" w:name="_Toc15396619"/>
    </w:p>
    <w:p>
      <w:pPr>
        <w:pStyle w:val="4"/>
        <w:rPr>
          <w:rFonts w:ascii="仿宋" w:hAnsi="仿宋" w:eastAsia="仿宋"/>
        </w:rPr>
      </w:pPr>
      <w:bookmarkStart w:id="110" w:name="_Toc23956"/>
      <w:bookmarkStart w:id="111" w:name="_Toc30936"/>
      <w:bookmarkStart w:id="112" w:name="_Toc26100"/>
      <w:r>
        <w:rPr>
          <w:rFonts w:hint="eastAsia" w:ascii="仿宋" w:hAnsi="仿宋" w:eastAsia="仿宋"/>
          <w:b w:val="0"/>
        </w:rPr>
        <w:t>一、收</w:t>
      </w:r>
      <w:r>
        <w:rPr>
          <w:rStyle w:val="28"/>
          <w:rFonts w:hint="eastAsia" w:ascii="仿宋" w:hAnsi="仿宋" w:eastAsia="仿宋"/>
          <w:b w:val="0"/>
          <w:bCs w:val="0"/>
        </w:rPr>
        <w:t>入支出决算总表</w:t>
      </w:r>
      <w:bookmarkEnd w:id="109"/>
      <w:bookmarkEnd w:id="110"/>
      <w:bookmarkEnd w:id="111"/>
      <w:bookmarkEnd w:id="112"/>
    </w:p>
    <w:p>
      <w:pPr>
        <w:pStyle w:val="4"/>
        <w:rPr>
          <w:rFonts w:ascii="仿宋" w:hAnsi="仿宋" w:eastAsia="仿宋"/>
        </w:rPr>
      </w:pPr>
      <w:bookmarkStart w:id="113" w:name="_Toc11761"/>
      <w:bookmarkStart w:id="114" w:name="_Toc12409"/>
      <w:bookmarkStart w:id="115" w:name="_Toc15396620"/>
      <w:bookmarkStart w:id="116" w:name="_Toc11245"/>
      <w:r>
        <w:rPr>
          <w:rFonts w:hint="eastAsia" w:ascii="仿宋" w:hAnsi="仿宋" w:eastAsia="仿宋"/>
          <w:b w:val="0"/>
        </w:rPr>
        <w:t>二、收</w:t>
      </w:r>
      <w:r>
        <w:rPr>
          <w:rStyle w:val="28"/>
          <w:rFonts w:hint="eastAsia" w:ascii="仿宋" w:hAnsi="仿宋" w:eastAsia="仿宋"/>
          <w:b w:val="0"/>
          <w:bCs w:val="0"/>
        </w:rPr>
        <w:t>入决算表</w:t>
      </w:r>
      <w:bookmarkEnd w:id="113"/>
      <w:bookmarkEnd w:id="114"/>
      <w:bookmarkEnd w:id="115"/>
      <w:bookmarkEnd w:id="116"/>
    </w:p>
    <w:p>
      <w:pPr>
        <w:pStyle w:val="4"/>
        <w:rPr>
          <w:rFonts w:ascii="仿宋" w:hAnsi="仿宋" w:eastAsia="仿宋"/>
        </w:rPr>
      </w:pPr>
      <w:bookmarkStart w:id="117" w:name="_Toc3801"/>
      <w:bookmarkStart w:id="118" w:name="_Toc15396621"/>
      <w:bookmarkStart w:id="119" w:name="_Toc9813"/>
      <w:bookmarkStart w:id="120" w:name="_Toc17959"/>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7"/>
      <w:bookmarkEnd w:id="118"/>
      <w:bookmarkEnd w:id="119"/>
      <w:bookmarkEnd w:id="120"/>
    </w:p>
    <w:p>
      <w:pPr>
        <w:pStyle w:val="4"/>
        <w:rPr>
          <w:rFonts w:ascii="仿宋" w:hAnsi="仿宋" w:eastAsia="仿宋"/>
          <w:b w:val="0"/>
        </w:rPr>
      </w:pPr>
      <w:bookmarkStart w:id="121" w:name="_Toc25920"/>
      <w:bookmarkStart w:id="122" w:name="_Toc15396622"/>
      <w:bookmarkStart w:id="123" w:name="_Toc13837"/>
      <w:bookmarkStart w:id="124" w:name="_Toc3131"/>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21"/>
      <w:bookmarkEnd w:id="122"/>
      <w:bookmarkEnd w:id="123"/>
      <w:bookmarkEnd w:id="124"/>
    </w:p>
    <w:p>
      <w:pPr>
        <w:pStyle w:val="4"/>
        <w:rPr>
          <w:rStyle w:val="28"/>
          <w:rFonts w:ascii="仿宋" w:hAnsi="仿宋" w:eastAsia="仿宋"/>
          <w:b w:val="0"/>
          <w:bCs w:val="0"/>
        </w:rPr>
      </w:pPr>
      <w:bookmarkStart w:id="125" w:name="_Toc7278"/>
      <w:bookmarkStart w:id="126" w:name="_Toc26985"/>
      <w:bookmarkStart w:id="127" w:name="_Toc15396623"/>
      <w:bookmarkStart w:id="128" w:name="_Toc12328"/>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25"/>
      <w:bookmarkEnd w:id="126"/>
      <w:bookmarkEnd w:id="127"/>
      <w:bookmarkEnd w:id="128"/>
      <w:bookmarkStart w:id="129" w:name="_Toc15396624"/>
    </w:p>
    <w:p>
      <w:pPr>
        <w:pStyle w:val="4"/>
        <w:rPr>
          <w:rFonts w:ascii="仿宋" w:hAnsi="仿宋" w:eastAsia="仿宋"/>
        </w:rPr>
      </w:pPr>
      <w:bookmarkStart w:id="130" w:name="_Toc29446"/>
      <w:bookmarkStart w:id="131" w:name="_Toc26657"/>
      <w:bookmarkStart w:id="132" w:name="_Toc117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9"/>
      <w:bookmarkEnd w:id="130"/>
      <w:bookmarkEnd w:id="131"/>
      <w:bookmarkEnd w:id="132"/>
    </w:p>
    <w:p>
      <w:pPr>
        <w:pStyle w:val="4"/>
        <w:rPr>
          <w:rFonts w:ascii="仿宋" w:hAnsi="仿宋" w:eastAsia="仿宋"/>
        </w:rPr>
      </w:pPr>
      <w:bookmarkStart w:id="133" w:name="_Toc20311"/>
      <w:bookmarkStart w:id="134" w:name="_Toc15396625"/>
      <w:bookmarkStart w:id="135" w:name="_Toc2617"/>
      <w:bookmarkStart w:id="136" w:name="_Toc7840"/>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33"/>
      <w:bookmarkEnd w:id="134"/>
      <w:bookmarkEnd w:id="135"/>
      <w:bookmarkEnd w:id="136"/>
    </w:p>
    <w:p>
      <w:pPr>
        <w:pStyle w:val="4"/>
        <w:rPr>
          <w:rFonts w:ascii="仿宋" w:hAnsi="仿宋" w:eastAsia="仿宋"/>
        </w:rPr>
      </w:pPr>
      <w:bookmarkStart w:id="137" w:name="_Toc23709"/>
      <w:bookmarkStart w:id="138" w:name="_Toc15396626"/>
      <w:bookmarkStart w:id="139" w:name="_Toc20299"/>
      <w:bookmarkStart w:id="140" w:name="_Toc17084"/>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37"/>
      <w:bookmarkEnd w:id="138"/>
      <w:bookmarkEnd w:id="139"/>
      <w:bookmarkEnd w:id="140"/>
    </w:p>
    <w:p>
      <w:pPr>
        <w:pStyle w:val="4"/>
        <w:rPr>
          <w:rFonts w:ascii="仿宋" w:hAnsi="仿宋" w:eastAsia="仿宋"/>
        </w:rPr>
      </w:pPr>
      <w:bookmarkStart w:id="141" w:name="_Toc25871"/>
      <w:bookmarkStart w:id="142" w:name="_Toc15396627"/>
      <w:bookmarkStart w:id="143" w:name="_Toc3383"/>
      <w:bookmarkStart w:id="144" w:name="_Toc5916"/>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41"/>
      <w:bookmarkEnd w:id="142"/>
      <w:bookmarkEnd w:id="143"/>
      <w:bookmarkEnd w:id="144"/>
    </w:p>
    <w:p>
      <w:pPr>
        <w:pStyle w:val="4"/>
        <w:rPr>
          <w:rFonts w:ascii="仿宋" w:hAnsi="仿宋" w:eastAsia="仿宋"/>
        </w:rPr>
      </w:pPr>
      <w:bookmarkStart w:id="145" w:name="_Toc15396628"/>
      <w:bookmarkStart w:id="146" w:name="_Toc13850"/>
      <w:bookmarkStart w:id="147" w:name="_Toc15996"/>
      <w:bookmarkStart w:id="148" w:name="_Toc20882"/>
      <w:r>
        <w:rPr>
          <w:rStyle w:val="28"/>
          <w:rFonts w:hint="eastAsia" w:ascii="仿宋" w:hAnsi="仿宋" w:eastAsia="仿宋"/>
          <w:b w:val="0"/>
          <w:bCs w:val="0"/>
        </w:rPr>
        <w:t>十、</w:t>
      </w:r>
      <w:bookmarkEnd w:id="145"/>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46"/>
      <w:bookmarkEnd w:id="147"/>
      <w:bookmarkEnd w:id="148"/>
    </w:p>
    <w:p>
      <w:pPr>
        <w:pStyle w:val="4"/>
        <w:rPr>
          <w:rFonts w:ascii="仿宋" w:hAnsi="仿宋" w:eastAsia="仿宋"/>
        </w:rPr>
      </w:pPr>
      <w:bookmarkStart w:id="149" w:name="_Toc15396629"/>
      <w:bookmarkStart w:id="150" w:name="_Toc21063"/>
      <w:bookmarkStart w:id="151" w:name="_Toc29246"/>
      <w:bookmarkStart w:id="152" w:name="_Toc20057"/>
      <w:r>
        <w:rPr>
          <w:rStyle w:val="28"/>
          <w:rFonts w:hint="eastAsia" w:ascii="仿宋" w:hAnsi="仿宋" w:eastAsia="仿宋"/>
          <w:b w:val="0"/>
          <w:bCs w:val="0"/>
        </w:rPr>
        <w:t>十一、</w:t>
      </w:r>
      <w:bookmarkEnd w:id="149"/>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50"/>
      <w:bookmarkEnd w:id="151"/>
      <w:bookmarkEnd w:id="152"/>
    </w:p>
    <w:p>
      <w:pPr>
        <w:pStyle w:val="4"/>
        <w:rPr>
          <w:rFonts w:ascii="仿宋" w:hAnsi="仿宋" w:eastAsia="仿宋"/>
        </w:rPr>
      </w:pPr>
      <w:bookmarkStart w:id="153" w:name="_Toc15396630"/>
      <w:bookmarkStart w:id="154" w:name="_Toc9781"/>
      <w:bookmarkStart w:id="155" w:name="_Toc9351"/>
      <w:bookmarkStart w:id="156" w:name="_Toc6846"/>
      <w:r>
        <w:rPr>
          <w:rStyle w:val="28"/>
          <w:rFonts w:hint="eastAsia" w:ascii="仿宋" w:hAnsi="仿宋" w:eastAsia="仿宋"/>
          <w:b w:val="0"/>
          <w:bCs w:val="0"/>
        </w:rPr>
        <w:t>十二、</w:t>
      </w:r>
      <w:bookmarkEnd w:id="153"/>
      <w:r>
        <w:rPr>
          <w:rStyle w:val="28"/>
          <w:rFonts w:hint="eastAsia" w:ascii="仿宋" w:hAnsi="仿宋" w:eastAsia="仿宋"/>
          <w:b w:val="0"/>
          <w:bCs w:val="0"/>
        </w:rPr>
        <w:t>国有资本经营预算财政拨款支出决算表</w:t>
      </w:r>
      <w:bookmarkEnd w:id="154"/>
      <w:bookmarkEnd w:id="155"/>
      <w:bookmarkEnd w:id="156"/>
    </w:p>
    <w:p>
      <w:pPr>
        <w:pStyle w:val="4"/>
        <w:rPr>
          <w:rFonts w:eastAsia="仿宋"/>
        </w:rPr>
      </w:pPr>
      <w:bookmarkStart w:id="157" w:name="_Toc15396631"/>
      <w:bookmarkStart w:id="158" w:name="_Toc31583"/>
      <w:bookmarkStart w:id="159" w:name="_Toc27335"/>
      <w:bookmarkStart w:id="160" w:name="_Toc22487"/>
      <w:r>
        <w:rPr>
          <w:rStyle w:val="28"/>
          <w:rFonts w:hint="eastAsia" w:ascii="仿宋" w:hAnsi="仿宋" w:eastAsia="仿宋"/>
          <w:b w:val="0"/>
          <w:bCs w:val="0"/>
        </w:rPr>
        <w:t>十三、</w:t>
      </w:r>
      <w:bookmarkEnd w:id="157"/>
      <w:r>
        <w:rPr>
          <w:rStyle w:val="28"/>
          <w:rFonts w:hint="eastAsia" w:ascii="仿宋" w:hAnsi="仿宋" w:eastAsia="仿宋"/>
          <w:b w:val="0"/>
          <w:bCs w:val="0"/>
        </w:rPr>
        <w:t>财政拨款“三公”经费支出决算表</w:t>
      </w:r>
      <w:bookmarkEnd w:id="158"/>
      <w:bookmarkEnd w:id="159"/>
      <w:bookmarkEnd w:id="16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55F19659"/>
    <w:multiLevelType w:val="singleLevel"/>
    <w:tmpl w:val="55F1965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2E5NGRmNTg0OTk0MzZhYTU4MzdkZGU1MThiN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86FEC"/>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72C7"/>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66504"/>
    <w:rsid w:val="03DC2831"/>
    <w:rsid w:val="04DD6F9A"/>
    <w:rsid w:val="081B5E94"/>
    <w:rsid w:val="08FA6E92"/>
    <w:rsid w:val="09663E91"/>
    <w:rsid w:val="0A2032A3"/>
    <w:rsid w:val="0B8A37D8"/>
    <w:rsid w:val="0C6C62F9"/>
    <w:rsid w:val="0F5FFB2F"/>
    <w:rsid w:val="0FFFCF60"/>
    <w:rsid w:val="10C055FF"/>
    <w:rsid w:val="118107EC"/>
    <w:rsid w:val="11DD6519"/>
    <w:rsid w:val="134E4D72"/>
    <w:rsid w:val="16BB723D"/>
    <w:rsid w:val="17655263"/>
    <w:rsid w:val="18015F3F"/>
    <w:rsid w:val="180A4C18"/>
    <w:rsid w:val="19687E48"/>
    <w:rsid w:val="1B222279"/>
    <w:rsid w:val="1B882A24"/>
    <w:rsid w:val="1BE8440E"/>
    <w:rsid w:val="1D155CEE"/>
    <w:rsid w:val="1EFA1543"/>
    <w:rsid w:val="1F882FF2"/>
    <w:rsid w:val="1FDBBF84"/>
    <w:rsid w:val="20F57F95"/>
    <w:rsid w:val="215869F4"/>
    <w:rsid w:val="227B299A"/>
    <w:rsid w:val="234C5E9F"/>
    <w:rsid w:val="240371BF"/>
    <w:rsid w:val="2435301D"/>
    <w:rsid w:val="25711CC6"/>
    <w:rsid w:val="25C741E6"/>
    <w:rsid w:val="276F80C0"/>
    <w:rsid w:val="27842671"/>
    <w:rsid w:val="28425D08"/>
    <w:rsid w:val="29FD04D3"/>
    <w:rsid w:val="2ABE7A3E"/>
    <w:rsid w:val="2AFF09B6"/>
    <w:rsid w:val="2B4324C3"/>
    <w:rsid w:val="2C934D84"/>
    <w:rsid w:val="2CA234A8"/>
    <w:rsid w:val="2EFA178C"/>
    <w:rsid w:val="2EFDF86C"/>
    <w:rsid w:val="2F29644D"/>
    <w:rsid w:val="2F9D17E1"/>
    <w:rsid w:val="2FBC7F68"/>
    <w:rsid w:val="30B46D73"/>
    <w:rsid w:val="319F7F4E"/>
    <w:rsid w:val="31F462C5"/>
    <w:rsid w:val="343706EB"/>
    <w:rsid w:val="349B6ECC"/>
    <w:rsid w:val="356A28F1"/>
    <w:rsid w:val="357C035A"/>
    <w:rsid w:val="368E000D"/>
    <w:rsid w:val="383D272C"/>
    <w:rsid w:val="38EB31B5"/>
    <w:rsid w:val="394010D9"/>
    <w:rsid w:val="39AE70AB"/>
    <w:rsid w:val="3A1C6C6F"/>
    <w:rsid w:val="3A2E433E"/>
    <w:rsid w:val="3A4DCE41"/>
    <w:rsid w:val="3BCB56FA"/>
    <w:rsid w:val="3C0C0783"/>
    <w:rsid w:val="3C812A0A"/>
    <w:rsid w:val="3CC33464"/>
    <w:rsid w:val="3EE7C2F4"/>
    <w:rsid w:val="3F371B56"/>
    <w:rsid w:val="3F792ED8"/>
    <w:rsid w:val="3F885C12"/>
    <w:rsid w:val="3F9F3A96"/>
    <w:rsid w:val="3FECA4B2"/>
    <w:rsid w:val="3FF58C48"/>
    <w:rsid w:val="42FF6694"/>
    <w:rsid w:val="431D2E77"/>
    <w:rsid w:val="45C41C11"/>
    <w:rsid w:val="46401681"/>
    <w:rsid w:val="46FC00EB"/>
    <w:rsid w:val="474451A1"/>
    <w:rsid w:val="479E48B1"/>
    <w:rsid w:val="48BF60AB"/>
    <w:rsid w:val="48F86243"/>
    <w:rsid w:val="493C27E9"/>
    <w:rsid w:val="49425710"/>
    <w:rsid w:val="496F39ED"/>
    <w:rsid w:val="49FF41D3"/>
    <w:rsid w:val="4B5005B9"/>
    <w:rsid w:val="4BE068DB"/>
    <w:rsid w:val="4BF6002B"/>
    <w:rsid w:val="4BFFC6BE"/>
    <w:rsid w:val="4CA26BF2"/>
    <w:rsid w:val="4ECE2238"/>
    <w:rsid w:val="4ED60DD5"/>
    <w:rsid w:val="4F39559C"/>
    <w:rsid w:val="50492604"/>
    <w:rsid w:val="50FA6C4B"/>
    <w:rsid w:val="51DB4B86"/>
    <w:rsid w:val="51F64DB0"/>
    <w:rsid w:val="549F7EBB"/>
    <w:rsid w:val="54B35714"/>
    <w:rsid w:val="54D5013F"/>
    <w:rsid w:val="55333C3E"/>
    <w:rsid w:val="587C0C3F"/>
    <w:rsid w:val="58AA3DA5"/>
    <w:rsid w:val="590D57EA"/>
    <w:rsid w:val="596B480F"/>
    <w:rsid w:val="5B9C6F02"/>
    <w:rsid w:val="5F67802D"/>
    <w:rsid w:val="5F7DC4F2"/>
    <w:rsid w:val="5FB36814"/>
    <w:rsid w:val="5FBB8E56"/>
    <w:rsid w:val="5FFB5535"/>
    <w:rsid w:val="61227EAA"/>
    <w:rsid w:val="64CA39A1"/>
    <w:rsid w:val="69630ADE"/>
    <w:rsid w:val="69BD5F13"/>
    <w:rsid w:val="69FB0B4B"/>
    <w:rsid w:val="6BFFE1FB"/>
    <w:rsid w:val="6C4A05C8"/>
    <w:rsid w:val="6D3B1A89"/>
    <w:rsid w:val="6DB7D8A3"/>
    <w:rsid w:val="6E49116B"/>
    <w:rsid w:val="6EC78701"/>
    <w:rsid w:val="6F0540A7"/>
    <w:rsid w:val="6F7A5481"/>
    <w:rsid w:val="6FFE07A9"/>
    <w:rsid w:val="71A010A2"/>
    <w:rsid w:val="71BF4EC2"/>
    <w:rsid w:val="72734D90"/>
    <w:rsid w:val="728E13E2"/>
    <w:rsid w:val="73C865F6"/>
    <w:rsid w:val="73E75B71"/>
    <w:rsid w:val="7412278C"/>
    <w:rsid w:val="75DDCDA9"/>
    <w:rsid w:val="75FF44B1"/>
    <w:rsid w:val="76675130"/>
    <w:rsid w:val="767B7750"/>
    <w:rsid w:val="77670518"/>
    <w:rsid w:val="777FA627"/>
    <w:rsid w:val="77DF1B5F"/>
    <w:rsid w:val="77EF2D9D"/>
    <w:rsid w:val="780103C1"/>
    <w:rsid w:val="794762A8"/>
    <w:rsid w:val="79711576"/>
    <w:rsid w:val="79E7B28D"/>
    <w:rsid w:val="7ACFF0C2"/>
    <w:rsid w:val="7AFB9108"/>
    <w:rsid w:val="7BD5340C"/>
    <w:rsid w:val="7BFB19D2"/>
    <w:rsid w:val="7BFD1750"/>
    <w:rsid w:val="7BFDAA1B"/>
    <w:rsid w:val="7CB2612E"/>
    <w:rsid w:val="7CDF9A82"/>
    <w:rsid w:val="7CFFA1BD"/>
    <w:rsid w:val="7D2E3F7A"/>
    <w:rsid w:val="7DED9490"/>
    <w:rsid w:val="7DFF4872"/>
    <w:rsid w:val="7E5F5E41"/>
    <w:rsid w:val="7E7487E6"/>
    <w:rsid w:val="7E7C2A54"/>
    <w:rsid w:val="7E7D6799"/>
    <w:rsid w:val="7EEEFD72"/>
    <w:rsid w:val="7F1D517C"/>
    <w:rsid w:val="7F5DA057"/>
    <w:rsid w:val="7F6C2237"/>
    <w:rsid w:val="7F7F319B"/>
    <w:rsid w:val="7F9F20EE"/>
    <w:rsid w:val="7FB36445"/>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unhideWhenUsed/>
    <w:qFormat/>
    <w:uiPriority w:val="99"/>
    <w:pPr>
      <w:ind w:firstLine="420" w:firstLineChars="200"/>
    </w:p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4"/>
    <w:link w:val="3"/>
    <w:qFormat/>
    <w:uiPriority w:val="9"/>
    <w:rPr>
      <w:rFonts w:ascii="Times New Roman" w:hAnsi="Times New Roman"/>
      <w:b/>
      <w:bCs/>
      <w:kern w:val="44"/>
      <w:sz w:val="44"/>
      <w:szCs w:val="44"/>
    </w:rPr>
  </w:style>
  <w:style w:type="character" w:customStyle="1" w:styleId="28">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4"/>
    <w:link w:val="8"/>
    <w:semiHidden/>
    <w:qFormat/>
    <w:uiPriority w:val="99"/>
    <w:rPr>
      <w:rFonts w:ascii="Times New Roman" w:hAnsi="Times New Roman"/>
      <w:kern w:val="2"/>
      <w:sz w:val="18"/>
      <w:szCs w:val="18"/>
    </w:rPr>
  </w:style>
  <w:style w:type="character" w:customStyle="1" w:styleId="31">
    <w:name w:val="标题 3 字符"/>
    <w:basedOn w:val="14"/>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a81042-10a2-48c2-8cd7-27765618a168}"/>
        <w:style w:val=""/>
        <w:category>
          <w:name w:val="常规"/>
          <w:gallery w:val="placeholder"/>
        </w:category>
        <w:types>
          <w:type w:val="bbPlcHdr"/>
        </w:types>
        <w:behaviors>
          <w:behavior w:val="content"/>
        </w:behaviors>
        <w:description w:val=""/>
        <w:guid w:val="{18a81042-10a2-48c2-8cd7-27765618a168}"/>
      </w:docPartPr>
      <w:docPartBody>
        <w:p>
          <w:r>
            <w:rPr>
              <w:color w:val="808080"/>
            </w:rPr>
            <w:t>单击此处输入文字。</w:t>
          </w:r>
        </w:p>
      </w:docPartBody>
    </w:docPart>
    <w:docPart>
      <w:docPartPr>
        <w:name w:val="{202b4631-68f7-43e5-95c1-4541d38e8d72}"/>
        <w:style w:val=""/>
        <w:category>
          <w:name w:val="常规"/>
          <w:gallery w:val="placeholder"/>
        </w:category>
        <w:types>
          <w:type w:val="bbPlcHdr"/>
        </w:types>
        <w:behaviors>
          <w:behavior w:val="content"/>
        </w:behaviors>
        <w:description w:val=""/>
        <w:guid w:val="{202b4631-68f7-43e5-95c1-4541d38e8d72}"/>
      </w:docPartPr>
      <w:docPartBody>
        <w:p>
          <w:r>
            <w:rPr>
              <w:color w:val="808080"/>
            </w:rPr>
            <w:t>单击此处输入文字。</w:t>
          </w:r>
        </w:p>
      </w:docPartBody>
    </w:docPart>
    <w:docPart>
      <w:docPartPr>
        <w:name w:val="{d62ea880-ba55-4ab0-ac78-204851c53923}"/>
        <w:style w:val=""/>
        <w:category>
          <w:name w:val="常规"/>
          <w:gallery w:val="placeholder"/>
        </w:category>
        <w:types>
          <w:type w:val="bbPlcHdr"/>
        </w:types>
        <w:behaviors>
          <w:behavior w:val="content"/>
        </w:behaviors>
        <w:description w:val=""/>
        <w:guid w:val="{d62ea880-ba55-4ab0-ac78-204851c53923}"/>
      </w:docPartPr>
      <w:docPartBody>
        <w:p>
          <w:r>
            <w:rPr>
              <w:color w:val="808080"/>
            </w:rPr>
            <w:t>单击此处输入文字。</w:t>
          </w:r>
        </w:p>
      </w:docPartBody>
    </w:docPart>
    <w:docPart>
      <w:docPartPr>
        <w:name w:val="{3c5e4975-46d9-4c20-9892-f11ef50f9dbb}"/>
        <w:style w:val=""/>
        <w:category>
          <w:name w:val="常规"/>
          <w:gallery w:val="placeholder"/>
        </w:category>
        <w:types>
          <w:type w:val="bbPlcHdr"/>
        </w:types>
        <w:behaviors>
          <w:behavior w:val="content"/>
        </w:behaviors>
        <w:description w:val=""/>
        <w:guid w:val="{3c5e4975-46d9-4c20-9892-f11ef50f9dbb}"/>
      </w:docPartPr>
      <w:docPartBody>
        <w:p>
          <w:r>
            <w:rPr>
              <w:color w:val="808080"/>
            </w:rPr>
            <w:t>单击此处输入文字。</w:t>
          </w:r>
        </w:p>
      </w:docPartBody>
    </w:docPart>
    <w:docPart>
      <w:docPartPr>
        <w:name w:val="{973f6272-ffc3-4585-b08d-6a464def12c0}"/>
        <w:style w:val=""/>
        <w:category>
          <w:name w:val="常规"/>
          <w:gallery w:val="placeholder"/>
        </w:category>
        <w:types>
          <w:type w:val="bbPlcHdr"/>
        </w:types>
        <w:behaviors>
          <w:behavior w:val="content"/>
        </w:behaviors>
        <w:description w:val=""/>
        <w:guid w:val="{973f6272-ffc3-4585-b08d-6a464def12c0}"/>
      </w:docPartPr>
      <w:docPartBody>
        <w:p>
          <w:r>
            <w:rPr>
              <w:color w:val="808080"/>
            </w:rPr>
            <w:t>单击此处输入文字。</w:t>
          </w:r>
        </w:p>
      </w:docPartBody>
    </w:docPart>
    <w:docPart>
      <w:docPartPr>
        <w:name w:val="{c8c43370-f9ee-426a-8086-b9205d85af17}"/>
        <w:style w:val=""/>
        <w:category>
          <w:name w:val="常规"/>
          <w:gallery w:val="placeholder"/>
        </w:category>
        <w:types>
          <w:type w:val="bbPlcHdr"/>
        </w:types>
        <w:behaviors>
          <w:behavior w:val="content"/>
        </w:behaviors>
        <w:description w:val=""/>
        <w:guid w:val="{c8c43370-f9ee-426a-8086-b9205d85af17}"/>
      </w:docPartPr>
      <w:docPartBody>
        <w:p>
          <w:r>
            <w:rPr>
              <w:color w:val="808080"/>
            </w:rPr>
            <w:t>单击此处输入文字。</w:t>
          </w:r>
        </w:p>
      </w:docPartBody>
    </w:docPart>
    <w:docPart>
      <w:docPartPr>
        <w:name w:val="{48661971-fdac-4445-9559-84761a2fbdb2}"/>
        <w:style w:val=""/>
        <w:category>
          <w:name w:val="常规"/>
          <w:gallery w:val="placeholder"/>
        </w:category>
        <w:types>
          <w:type w:val="bbPlcHdr"/>
        </w:types>
        <w:behaviors>
          <w:behavior w:val="content"/>
        </w:behaviors>
        <w:description w:val=""/>
        <w:guid w:val="{48661971-fdac-4445-9559-84761a2fbdb2}"/>
      </w:docPartPr>
      <w:docPartBody>
        <w:p>
          <w:r>
            <w:rPr>
              <w:color w:val="808080"/>
            </w:rPr>
            <w:t>单击此处输入文字。</w:t>
          </w:r>
        </w:p>
      </w:docPartBody>
    </w:docPart>
    <w:docPart>
      <w:docPartPr>
        <w:name w:val="{51908bbd-f4ef-43cd-a02f-fb47fc90a496}"/>
        <w:style w:val=""/>
        <w:category>
          <w:name w:val="常规"/>
          <w:gallery w:val="placeholder"/>
        </w:category>
        <w:types>
          <w:type w:val="bbPlcHdr"/>
        </w:types>
        <w:behaviors>
          <w:behavior w:val="content"/>
        </w:behaviors>
        <w:description w:val=""/>
        <w:guid w:val="{51908bbd-f4ef-43cd-a02f-fb47fc90a496}"/>
      </w:docPartPr>
      <w:docPartBody>
        <w:p>
          <w:r>
            <w:rPr>
              <w:color w:val="808080"/>
            </w:rPr>
            <w:t>单击此处输入文字。</w:t>
          </w:r>
        </w:p>
      </w:docPartBody>
    </w:docPart>
    <w:docPart>
      <w:docPartPr>
        <w:name w:val="{f1f903e7-beb1-4f5e-9b8c-512addd0c402}"/>
        <w:style w:val=""/>
        <w:category>
          <w:name w:val="常规"/>
          <w:gallery w:val="placeholder"/>
        </w:category>
        <w:types>
          <w:type w:val="bbPlcHdr"/>
        </w:types>
        <w:behaviors>
          <w:behavior w:val="content"/>
        </w:behaviors>
        <w:description w:val=""/>
        <w:guid w:val="{f1f903e7-beb1-4f5e-9b8c-512addd0c402}"/>
      </w:docPartPr>
      <w:docPartBody>
        <w:p>
          <w:r>
            <w:rPr>
              <w:color w:val="808080"/>
            </w:rPr>
            <w:t>单击此处输入文字。</w:t>
          </w:r>
        </w:p>
      </w:docPartBody>
    </w:docPart>
    <w:docPart>
      <w:docPartPr>
        <w:name w:val="{31aded88-86ae-4c6b-93a9-f1897f5a8ea6}"/>
        <w:style w:val=""/>
        <w:category>
          <w:name w:val="常规"/>
          <w:gallery w:val="placeholder"/>
        </w:category>
        <w:types>
          <w:type w:val="bbPlcHdr"/>
        </w:types>
        <w:behaviors>
          <w:behavior w:val="content"/>
        </w:behaviors>
        <w:description w:val=""/>
        <w:guid w:val="{31aded88-86ae-4c6b-93a9-f1897f5a8ea6}"/>
      </w:docPartPr>
      <w:docPartBody>
        <w:p>
          <w:r>
            <w:rPr>
              <w:color w:val="808080"/>
            </w:rPr>
            <w:t>单击此处输入文字。</w:t>
          </w:r>
        </w:p>
      </w:docPartBody>
    </w:docPart>
    <w:docPart>
      <w:docPartPr>
        <w:name w:val="{fc6b8d17-7f40-43f7-bb45-2a6aaa51b163}"/>
        <w:style w:val=""/>
        <w:category>
          <w:name w:val="常规"/>
          <w:gallery w:val="placeholder"/>
        </w:category>
        <w:types>
          <w:type w:val="bbPlcHdr"/>
        </w:types>
        <w:behaviors>
          <w:behavior w:val="content"/>
        </w:behaviors>
        <w:description w:val=""/>
        <w:guid w:val="{fc6b8d17-7f40-43f7-bb45-2a6aaa51b163}"/>
      </w:docPartPr>
      <w:docPartBody>
        <w:p>
          <w:r>
            <w:rPr>
              <w:color w:val="808080"/>
            </w:rPr>
            <w:t>单击此处输入文字。</w:t>
          </w:r>
        </w:p>
      </w:docPartBody>
    </w:docPart>
    <w:docPart>
      <w:docPartPr>
        <w:name w:val="{69d7eede-f7f0-43ba-9f24-d189dabe922b}"/>
        <w:style w:val=""/>
        <w:category>
          <w:name w:val="常规"/>
          <w:gallery w:val="placeholder"/>
        </w:category>
        <w:types>
          <w:type w:val="bbPlcHdr"/>
        </w:types>
        <w:behaviors>
          <w:behavior w:val="content"/>
        </w:behaviors>
        <w:description w:val=""/>
        <w:guid w:val="{69d7eede-f7f0-43ba-9f24-d189dabe922b}"/>
      </w:docPartPr>
      <w:docPartBody>
        <w:p>
          <w:r>
            <w:rPr>
              <w:color w:val="808080"/>
            </w:rPr>
            <w:t>单击此处输入文字。</w:t>
          </w:r>
        </w:p>
      </w:docPartBody>
    </w:docPart>
    <w:docPart>
      <w:docPartPr>
        <w:name w:val="{c4205103-c87e-434d-8479-d86d4103863f}"/>
        <w:style w:val=""/>
        <w:category>
          <w:name w:val="常规"/>
          <w:gallery w:val="placeholder"/>
        </w:category>
        <w:types>
          <w:type w:val="bbPlcHdr"/>
        </w:types>
        <w:behaviors>
          <w:behavior w:val="content"/>
        </w:behaviors>
        <w:description w:val=""/>
        <w:guid w:val="{c4205103-c87e-434d-8479-d86d4103863f}"/>
      </w:docPartPr>
      <w:docPartBody>
        <w:p>
          <w:r>
            <w:rPr>
              <w:color w:val="808080"/>
            </w:rPr>
            <w:t>单击此处输入文字。</w:t>
          </w:r>
        </w:p>
      </w:docPartBody>
    </w:docPart>
    <w:docPart>
      <w:docPartPr>
        <w:name w:val="{863c9873-f05f-4915-9cd8-6914a611fc3c}"/>
        <w:style w:val=""/>
        <w:category>
          <w:name w:val="常规"/>
          <w:gallery w:val="placeholder"/>
        </w:category>
        <w:types>
          <w:type w:val="bbPlcHdr"/>
        </w:types>
        <w:behaviors>
          <w:behavior w:val="content"/>
        </w:behaviors>
        <w:description w:val=""/>
        <w:guid w:val="{863c9873-f05f-4915-9cd8-6914a611fc3c}"/>
      </w:docPartPr>
      <w:docPartBody>
        <w:p>
          <w:r>
            <w:rPr>
              <w:color w:val="808080"/>
            </w:rPr>
            <w:t>单击此处输入文字。</w:t>
          </w:r>
        </w:p>
      </w:docPartBody>
    </w:docPart>
    <w:docPart>
      <w:docPartPr>
        <w:name w:val="{9a0de64c-1a5d-46af-aa2a-03a0b3b28f0a}"/>
        <w:style w:val=""/>
        <w:category>
          <w:name w:val="常规"/>
          <w:gallery w:val="placeholder"/>
        </w:category>
        <w:types>
          <w:type w:val="bbPlcHdr"/>
        </w:types>
        <w:behaviors>
          <w:behavior w:val="content"/>
        </w:behaviors>
        <w:description w:val=""/>
        <w:guid w:val="{9a0de64c-1a5d-46af-aa2a-03a0b3b28f0a}"/>
      </w:docPartPr>
      <w:docPartBody>
        <w:p>
          <w:r>
            <w:rPr>
              <w:color w:val="808080"/>
            </w:rPr>
            <w:t>单击此处输入文字。</w:t>
          </w:r>
        </w:p>
      </w:docPartBody>
    </w:docPart>
    <w:docPart>
      <w:docPartPr>
        <w:name w:val="{a16ab5f9-df6d-46a4-8612-85f25f040505}"/>
        <w:style w:val=""/>
        <w:category>
          <w:name w:val="常规"/>
          <w:gallery w:val="placeholder"/>
        </w:category>
        <w:types>
          <w:type w:val="bbPlcHdr"/>
        </w:types>
        <w:behaviors>
          <w:behavior w:val="content"/>
        </w:behaviors>
        <w:description w:val=""/>
        <w:guid w:val="{a16ab5f9-df6d-46a4-8612-85f25f040505}"/>
      </w:docPartPr>
      <w:docPartBody>
        <w:p>
          <w:r>
            <w:rPr>
              <w:color w:val="808080"/>
            </w:rPr>
            <w:t>单击此处输入文字。</w:t>
          </w:r>
        </w:p>
      </w:docPartBody>
    </w:docPart>
    <w:docPart>
      <w:docPartPr>
        <w:name w:val="{ee2d413a-2c81-4789-99a5-ca193a4efe0b}"/>
        <w:style w:val=""/>
        <w:category>
          <w:name w:val="常规"/>
          <w:gallery w:val="placeholder"/>
        </w:category>
        <w:types>
          <w:type w:val="bbPlcHdr"/>
        </w:types>
        <w:behaviors>
          <w:behavior w:val="content"/>
        </w:behaviors>
        <w:description w:val=""/>
        <w:guid w:val="{ee2d413a-2c81-4789-99a5-ca193a4efe0b}"/>
      </w:docPartPr>
      <w:docPartBody>
        <w:p>
          <w:r>
            <w:rPr>
              <w:color w:val="808080"/>
            </w:rPr>
            <w:t>单击此处输入文字。</w:t>
          </w:r>
        </w:p>
      </w:docPartBody>
    </w:docPart>
    <w:docPart>
      <w:docPartPr>
        <w:name w:val="{013caf43-fa59-4ec0-a5d9-5d72128d9fa8}"/>
        <w:style w:val=""/>
        <w:category>
          <w:name w:val="常规"/>
          <w:gallery w:val="placeholder"/>
        </w:category>
        <w:types>
          <w:type w:val="bbPlcHdr"/>
        </w:types>
        <w:behaviors>
          <w:behavior w:val="content"/>
        </w:behaviors>
        <w:description w:val=""/>
        <w:guid w:val="{013caf43-fa59-4ec0-a5d9-5d72128d9fa8}"/>
      </w:docPartPr>
      <w:docPartBody>
        <w:p>
          <w:r>
            <w:rPr>
              <w:color w:val="808080"/>
            </w:rPr>
            <w:t>单击此处输入文字。</w:t>
          </w:r>
        </w:p>
      </w:docPartBody>
    </w:docPart>
    <w:docPart>
      <w:docPartPr>
        <w:name w:val="{de8985a5-e65a-4359-81bf-28b7c8fcc138}"/>
        <w:style w:val=""/>
        <w:category>
          <w:name w:val="常规"/>
          <w:gallery w:val="placeholder"/>
        </w:category>
        <w:types>
          <w:type w:val="bbPlcHdr"/>
        </w:types>
        <w:behaviors>
          <w:behavior w:val="content"/>
        </w:behaviors>
        <w:description w:val=""/>
        <w:guid w:val="{de8985a5-e65a-4359-81bf-28b7c8fcc138}"/>
      </w:docPartPr>
      <w:docPartBody>
        <w:p>
          <w:r>
            <w:rPr>
              <w:color w:val="808080"/>
            </w:rPr>
            <w:t>单击此处输入文字。</w:t>
          </w:r>
        </w:p>
      </w:docPartBody>
    </w:docPart>
    <w:docPart>
      <w:docPartPr>
        <w:name w:val="{e8006032-6f1e-46a4-83cf-987ab0a0caf9}"/>
        <w:style w:val=""/>
        <w:category>
          <w:name w:val="常规"/>
          <w:gallery w:val="placeholder"/>
        </w:category>
        <w:types>
          <w:type w:val="bbPlcHdr"/>
        </w:types>
        <w:behaviors>
          <w:behavior w:val="content"/>
        </w:behaviors>
        <w:description w:val=""/>
        <w:guid w:val="{e8006032-6f1e-46a4-83cf-987ab0a0caf9}"/>
      </w:docPartPr>
      <w:docPartBody>
        <w:p>
          <w:r>
            <w:rPr>
              <w:color w:val="808080"/>
            </w:rPr>
            <w:t>单击此处输入文字。</w:t>
          </w:r>
        </w:p>
      </w:docPartBody>
    </w:docPart>
    <w:docPart>
      <w:docPartPr>
        <w:name w:val="{090758cb-ecdf-4ce3-ad9d-bd19151d6034}"/>
        <w:style w:val=""/>
        <w:category>
          <w:name w:val="常规"/>
          <w:gallery w:val="placeholder"/>
        </w:category>
        <w:types>
          <w:type w:val="bbPlcHdr"/>
        </w:types>
        <w:behaviors>
          <w:behavior w:val="content"/>
        </w:behaviors>
        <w:description w:val=""/>
        <w:guid w:val="{090758cb-ecdf-4ce3-ad9d-bd19151d6034}"/>
      </w:docPartPr>
      <w:docPartBody>
        <w:p>
          <w:r>
            <w:rPr>
              <w:color w:val="808080"/>
            </w:rPr>
            <w:t>单击此处输入文字。</w:t>
          </w:r>
        </w:p>
      </w:docPartBody>
    </w:docPart>
    <w:docPart>
      <w:docPartPr>
        <w:name w:val="{dd41e1a4-e269-488c-9c9e-44e35549cf89}"/>
        <w:style w:val=""/>
        <w:category>
          <w:name w:val="常规"/>
          <w:gallery w:val="placeholder"/>
        </w:category>
        <w:types>
          <w:type w:val="bbPlcHdr"/>
        </w:types>
        <w:behaviors>
          <w:behavior w:val="content"/>
        </w:behaviors>
        <w:description w:val=""/>
        <w:guid w:val="{dd41e1a4-e269-488c-9c9e-44e35549cf89}"/>
      </w:docPartPr>
      <w:docPartBody>
        <w:p>
          <w:r>
            <w:rPr>
              <w:color w:val="808080"/>
            </w:rPr>
            <w:t>单击此处输入文字。</w:t>
          </w:r>
        </w:p>
      </w:docPartBody>
    </w:docPart>
    <w:docPart>
      <w:docPartPr>
        <w:name w:val="{fb04c3ba-20a4-4628-a8da-d019a10ea401}"/>
        <w:style w:val=""/>
        <w:category>
          <w:name w:val="常规"/>
          <w:gallery w:val="placeholder"/>
        </w:category>
        <w:types>
          <w:type w:val="bbPlcHdr"/>
        </w:types>
        <w:behaviors>
          <w:behavior w:val="content"/>
        </w:behaviors>
        <w:description w:val=""/>
        <w:guid w:val="{fb04c3ba-20a4-4628-a8da-d019a10ea401}"/>
      </w:docPartPr>
      <w:docPartBody>
        <w:p>
          <w:r>
            <w:rPr>
              <w:color w:val="808080"/>
            </w:rPr>
            <w:t>单击此处输入文字。</w:t>
          </w:r>
        </w:p>
      </w:docPartBody>
    </w:docPart>
    <w:docPart>
      <w:docPartPr>
        <w:name w:val="{3d652b6e-e91d-4022-b0d8-6947e96213b8}"/>
        <w:style w:val=""/>
        <w:category>
          <w:name w:val="常规"/>
          <w:gallery w:val="placeholder"/>
        </w:category>
        <w:types>
          <w:type w:val="bbPlcHdr"/>
        </w:types>
        <w:behaviors>
          <w:behavior w:val="content"/>
        </w:behaviors>
        <w:description w:val=""/>
        <w:guid w:val="{3d652b6e-e91d-4022-b0d8-6947e96213b8}"/>
      </w:docPartPr>
      <w:docPartBody>
        <w:p>
          <w:r>
            <w:rPr>
              <w:color w:val="808080"/>
            </w:rPr>
            <w:t>单击此处输入文字。</w:t>
          </w:r>
        </w:p>
      </w:docPartBody>
    </w:docPart>
    <w:docPart>
      <w:docPartPr>
        <w:name w:val="{ba95fad7-8073-4784-bd61-5e967d8e1fed}"/>
        <w:style w:val=""/>
        <w:category>
          <w:name w:val="常规"/>
          <w:gallery w:val="placeholder"/>
        </w:category>
        <w:types>
          <w:type w:val="bbPlcHdr"/>
        </w:types>
        <w:behaviors>
          <w:behavior w:val="content"/>
        </w:behaviors>
        <w:description w:val=""/>
        <w:guid w:val="{ba95fad7-8073-4784-bd61-5e967d8e1fed}"/>
      </w:docPartPr>
      <w:docPartBody>
        <w:p>
          <w:r>
            <w:rPr>
              <w:color w:val="808080"/>
            </w:rPr>
            <w:t>单击此处输入文字。</w:t>
          </w:r>
        </w:p>
      </w:docPartBody>
    </w:docPart>
    <w:docPart>
      <w:docPartPr>
        <w:name w:val="{36b4f8b9-b6d3-44fb-ad2c-d97b707eafcd}"/>
        <w:style w:val=""/>
        <w:category>
          <w:name w:val="常规"/>
          <w:gallery w:val="placeholder"/>
        </w:category>
        <w:types>
          <w:type w:val="bbPlcHdr"/>
        </w:types>
        <w:behaviors>
          <w:behavior w:val="content"/>
        </w:behaviors>
        <w:description w:val=""/>
        <w:guid w:val="{36b4f8b9-b6d3-44fb-ad2c-d97b707eafcd}"/>
      </w:docPartPr>
      <w:docPartBody>
        <w:p>
          <w:r>
            <w:rPr>
              <w:color w:val="808080"/>
            </w:rPr>
            <w:t>单击此处输入文字。</w:t>
          </w:r>
        </w:p>
      </w:docPartBody>
    </w:docPart>
    <w:docPart>
      <w:docPartPr>
        <w:name w:val="{23fedeac-9e4a-46a0-a237-3bdd9f9e2039}"/>
        <w:style w:val=""/>
        <w:category>
          <w:name w:val="常规"/>
          <w:gallery w:val="placeholder"/>
        </w:category>
        <w:types>
          <w:type w:val="bbPlcHdr"/>
        </w:types>
        <w:behaviors>
          <w:behavior w:val="content"/>
        </w:behaviors>
        <w:description w:val=""/>
        <w:guid w:val="{23fedeac-9e4a-46a0-a237-3bdd9f9e2039}"/>
      </w:docPartPr>
      <w:docPartBody>
        <w:p>
          <w:r>
            <w:rPr>
              <w:color w:val="808080"/>
            </w:rPr>
            <w:t>单击此处输入文字。</w:t>
          </w:r>
        </w:p>
      </w:docPartBody>
    </w:docPart>
    <w:docPart>
      <w:docPartPr>
        <w:name w:val="{a9995563-621f-480f-b61b-e7e3660afeba}"/>
        <w:style w:val=""/>
        <w:category>
          <w:name w:val="常规"/>
          <w:gallery w:val="placeholder"/>
        </w:category>
        <w:types>
          <w:type w:val="bbPlcHdr"/>
        </w:types>
        <w:behaviors>
          <w:behavior w:val="content"/>
        </w:behaviors>
        <w:description w:val=""/>
        <w:guid w:val="{a9995563-621f-480f-b61b-e7e3660afeba}"/>
      </w:docPartPr>
      <w:docPartBody>
        <w:p>
          <w:r>
            <w:rPr>
              <w:color w:val="808080"/>
            </w:rPr>
            <w:t>单击此处输入文字。</w:t>
          </w:r>
        </w:p>
      </w:docPartBody>
    </w:docPart>
    <w:docPart>
      <w:docPartPr>
        <w:name w:val="{7b040430-daca-4f78-8884-8722956c103a}"/>
        <w:style w:val=""/>
        <w:category>
          <w:name w:val="常规"/>
          <w:gallery w:val="placeholder"/>
        </w:category>
        <w:types>
          <w:type w:val="bbPlcHdr"/>
        </w:types>
        <w:behaviors>
          <w:behavior w:val="content"/>
        </w:behaviors>
        <w:description w:val=""/>
        <w:guid w:val="{7b040430-daca-4f78-8884-8722956c103a}"/>
      </w:docPartPr>
      <w:docPartBody>
        <w:p>
          <w:r>
            <w:rPr>
              <w:color w:val="808080"/>
            </w:rPr>
            <w:t>单击此处输入文字。</w:t>
          </w:r>
        </w:p>
      </w:docPartBody>
    </w:docPart>
    <w:docPart>
      <w:docPartPr>
        <w:name w:val="{143fa316-d9e8-4cf5-aec7-6474a8a93ee5}"/>
        <w:style w:val=""/>
        <w:category>
          <w:name w:val="常规"/>
          <w:gallery w:val="placeholder"/>
        </w:category>
        <w:types>
          <w:type w:val="bbPlcHdr"/>
        </w:types>
        <w:behaviors>
          <w:behavior w:val="content"/>
        </w:behaviors>
        <w:description w:val=""/>
        <w:guid w:val="{143fa316-d9e8-4cf5-aec7-6474a8a93ee5}"/>
      </w:docPartPr>
      <w:docPartBody>
        <w:p>
          <w:r>
            <w:rPr>
              <w:color w:val="808080"/>
            </w:rPr>
            <w:t>单击此处输入文字。</w:t>
          </w:r>
        </w:p>
      </w:docPartBody>
    </w:docPart>
    <w:docPart>
      <w:docPartPr>
        <w:name w:val="{7472b150-7c41-4f7c-9c9f-3509f0204ada}"/>
        <w:style w:val=""/>
        <w:category>
          <w:name w:val="常规"/>
          <w:gallery w:val="placeholder"/>
        </w:category>
        <w:types>
          <w:type w:val="bbPlcHdr"/>
        </w:types>
        <w:behaviors>
          <w:behavior w:val="content"/>
        </w:behaviors>
        <w:description w:val=""/>
        <w:guid w:val="{7472b150-7c41-4f7c-9c9f-3509f0204ad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11110</Words>
  <Characters>12666</Characters>
  <Lines>54</Lines>
  <Paragraphs>15</Paragraphs>
  <TotalTime>7</TotalTime>
  <ScaleCrop>false</ScaleCrop>
  <LinksUpToDate>false</LinksUpToDate>
  <CharactersWithSpaces>12728</CharactersWithSpaces>
  <Application>WPS Office_10.8.2.7061_F1E327BC-269C-435d-A152-05C5408002CA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2024-10-25T05:37:29Z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2052-10.8.2.7061</vt:lpwstr>
  </property>
  <property fmtid="{D5CDD505-2E9C-101B-9397-08002B2CF9AE}" pid="3" name="ICV">
    <vt:lpwstr>9FF93CF7F57B441EB178E4EFD10EF72F_13</vt:lpwstr>
  </property>
</Properties>
</file>