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8A736">
      <w:pPr>
        <w:spacing w:line="600" w:lineRule="exact"/>
        <w:jc w:val="left"/>
        <w:outlineLvl w:val="0"/>
        <w:rPr>
          <w:rFonts w:ascii="方正小标宋简体" w:hAnsi="宋体" w:eastAsia="方正小标宋简体"/>
          <w:szCs w:val="21"/>
        </w:rPr>
      </w:pPr>
      <w:bookmarkStart w:id="0" w:name="_Toc15306267"/>
    </w:p>
    <w:p w14:paraId="608FE12D">
      <w:pPr>
        <w:pStyle w:val="5"/>
        <w:spacing w:before="93"/>
      </w:pPr>
    </w:p>
    <w:p w14:paraId="1E16F151">
      <w:pPr>
        <w:spacing w:line="600" w:lineRule="exact"/>
        <w:jc w:val="center"/>
        <w:outlineLvl w:val="0"/>
        <w:rPr>
          <w:rFonts w:ascii="方正小标宋简体" w:hAnsi="宋体" w:eastAsia="方正小标宋简体"/>
          <w:sz w:val="72"/>
          <w:szCs w:val="72"/>
        </w:rPr>
      </w:pPr>
    </w:p>
    <w:p w14:paraId="23354E99">
      <w:pPr>
        <w:spacing w:line="600" w:lineRule="exact"/>
        <w:jc w:val="center"/>
        <w:outlineLvl w:val="0"/>
        <w:rPr>
          <w:rFonts w:ascii="方正小标宋简体" w:hAnsi="宋体" w:eastAsia="方正小标宋简体"/>
          <w:sz w:val="72"/>
          <w:szCs w:val="72"/>
        </w:rPr>
      </w:pPr>
    </w:p>
    <w:p w14:paraId="13601236">
      <w:pPr>
        <w:adjustRightInd w:val="0"/>
        <w:snapToGrid w:val="0"/>
        <w:spacing w:line="360" w:lineRule="auto"/>
        <w:jc w:val="center"/>
        <w:outlineLvl w:val="0"/>
        <w:rPr>
          <w:rFonts w:hint="eastAsia" w:ascii="宋体" w:hAnsi="宋体" w:eastAsia="宋体" w:cs="宋体"/>
          <w:b w:val="0"/>
          <w:bCs w:val="0"/>
          <w:sz w:val="48"/>
          <w:szCs w:val="48"/>
        </w:rPr>
      </w:pPr>
      <w:bookmarkStart w:id="1" w:name="_Toc15396475"/>
      <w:bookmarkStart w:id="2" w:name="_Toc15396597"/>
      <w:bookmarkStart w:id="3" w:name="_Toc15378441"/>
      <w:bookmarkStart w:id="4" w:name="_Toc15377193"/>
      <w:bookmarkStart w:id="5" w:name="_Toc15377425"/>
      <w:r>
        <w:rPr>
          <w:rFonts w:hint="eastAsia" w:ascii="宋体" w:hAnsi="宋体" w:eastAsia="宋体" w:cs="宋体"/>
          <w:b w:val="0"/>
          <w:bCs w:val="0"/>
          <w:sz w:val="48"/>
          <w:szCs w:val="48"/>
        </w:rPr>
        <w:t>2023年度</w:t>
      </w:r>
      <w:bookmarkEnd w:id="1"/>
      <w:bookmarkEnd w:id="2"/>
      <w:bookmarkEnd w:id="3"/>
      <w:bookmarkEnd w:id="4"/>
      <w:bookmarkEnd w:id="5"/>
    </w:p>
    <w:bookmarkEnd w:id="0"/>
    <w:p w14:paraId="390C63C8">
      <w:pPr>
        <w:adjustRightInd w:val="0"/>
        <w:snapToGrid w:val="0"/>
        <w:spacing w:line="360" w:lineRule="auto"/>
        <w:jc w:val="center"/>
        <w:outlineLvl w:val="0"/>
        <w:rPr>
          <w:rFonts w:hint="eastAsia" w:ascii="宋体" w:hAnsi="宋体" w:eastAsia="宋体" w:cs="宋体"/>
          <w:b w:val="0"/>
          <w:bCs w:val="0"/>
          <w:sz w:val="48"/>
          <w:szCs w:val="48"/>
          <w:lang w:val="en-US" w:eastAsia="zh-CN"/>
        </w:rPr>
      </w:pPr>
      <w:bookmarkStart w:id="6" w:name="_Toc15378442"/>
      <w:bookmarkStart w:id="7" w:name="_Toc15396598"/>
      <w:bookmarkStart w:id="8" w:name="_Toc15377194"/>
      <w:bookmarkStart w:id="9" w:name="_Toc15306268"/>
      <w:bookmarkStart w:id="10" w:name="_Toc15377426"/>
      <w:bookmarkStart w:id="11" w:name="_Toc15396476"/>
      <w:r>
        <w:rPr>
          <w:rFonts w:hint="eastAsia" w:ascii="宋体" w:hAnsi="宋体" w:eastAsia="宋体" w:cs="宋体"/>
          <w:b w:val="0"/>
          <w:bCs w:val="0"/>
          <w:sz w:val="48"/>
          <w:szCs w:val="48"/>
          <w:lang w:val="en-US" w:eastAsia="zh-CN"/>
        </w:rPr>
        <w:t>大竹县高明镇第二中心小学</w:t>
      </w:r>
    </w:p>
    <w:p w14:paraId="34841352">
      <w:pPr>
        <w:adjustRightInd w:val="0"/>
        <w:snapToGrid w:val="0"/>
        <w:spacing w:line="360" w:lineRule="auto"/>
        <w:jc w:val="center"/>
        <w:outlineLvl w:val="0"/>
        <w:rPr>
          <w:rFonts w:hint="eastAsia" w:ascii="宋体" w:hAnsi="宋体" w:eastAsia="宋体" w:cs="宋体"/>
          <w:b w:val="0"/>
          <w:bCs w:val="0"/>
          <w:sz w:val="48"/>
          <w:szCs w:val="48"/>
        </w:rPr>
      </w:pPr>
      <w:r>
        <w:rPr>
          <w:rFonts w:hint="eastAsia" w:ascii="宋体" w:hAnsi="宋体" w:eastAsia="宋体" w:cs="宋体"/>
          <w:b w:val="0"/>
          <w:bCs w:val="0"/>
          <w:sz w:val="48"/>
          <w:szCs w:val="48"/>
        </w:rPr>
        <w:t>单位决算</w:t>
      </w:r>
      <w:bookmarkEnd w:id="6"/>
      <w:bookmarkEnd w:id="7"/>
      <w:bookmarkEnd w:id="8"/>
      <w:bookmarkEnd w:id="9"/>
      <w:bookmarkEnd w:id="10"/>
      <w:bookmarkEnd w:id="11"/>
    </w:p>
    <w:p w14:paraId="786C6039">
      <w:pPr>
        <w:widowControl/>
        <w:jc w:val="center"/>
        <w:rPr>
          <w:rFonts w:hint="eastAsia" w:ascii="宋体" w:hAnsi="宋体" w:eastAsia="宋体" w:cs="宋体"/>
          <w:b w:val="0"/>
          <w:bCs w:val="0"/>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0"/>
          <w:cols w:space="425" w:num="1"/>
          <w:titlePg/>
          <w:docGrid w:type="lines" w:linePitch="312" w:charSpace="0"/>
        </w:sectPr>
      </w:pPr>
    </w:p>
    <w:p w14:paraId="4926C1B7">
      <w:pPr>
        <w:widowControl/>
        <w:jc w:val="center"/>
        <w:rPr>
          <w:rFonts w:ascii="黑体" w:hAnsi="黑体" w:eastAsia="黑体"/>
          <w:sz w:val="48"/>
          <w:szCs w:val="48"/>
        </w:rPr>
      </w:pPr>
      <w:r>
        <w:rPr>
          <w:rFonts w:hint="eastAsia" w:ascii="黑体" w:hAnsi="黑体" w:eastAsia="黑体"/>
          <w:sz w:val="48"/>
          <w:szCs w:val="48"/>
        </w:rPr>
        <w:t>目录</w:t>
      </w:r>
    </w:p>
    <w:p w14:paraId="6C7E6A7B">
      <w:pPr>
        <w:widowControl/>
        <w:jc w:val="center"/>
        <w:rPr>
          <w:rFonts w:ascii="黑体" w:hAnsi="黑体" w:eastAsia="黑体" w:cstheme="minorBidi"/>
          <w:sz w:val="28"/>
          <w:szCs w:val="28"/>
        </w:rPr>
      </w:pPr>
    </w:p>
    <w:p w14:paraId="1E54DF92">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659F15D8"/>
    <w:p w14:paraId="61271846">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...............................................3</w:t>
      </w:r>
    </w:p>
    <w:p w14:paraId="3B1140B2">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.................................................................................................3</w:t>
      </w:r>
    </w:p>
    <w:p w14:paraId="6AFE38C3">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.................................................................................................3</w:t>
      </w:r>
    </w:p>
    <w:p w14:paraId="02CCAFB2">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..............................4</w:t>
      </w:r>
    </w:p>
    <w:p w14:paraId="498F342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.................................................................4</w:t>
      </w:r>
    </w:p>
    <w:p w14:paraId="235FA29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.................................................................................4</w:t>
      </w:r>
    </w:p>
    <w:p w14:paraId="248F4DB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.................................................................................5</w:t>
      </w:r>
    </w:p>
    <w:p w14:paraId="5D577A7E">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14:paraId="1B3B2EF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........................................6</w:t>
      </w:r>
    </w:p>
    <w:p w14:paraId="2A0BFAF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................................8</w:t>
      </w:r>
    </w:p>
    <w:p w14:paraId="41DBC84F">
      <w:pPr>
        <w:pStyle w:val="12"/>
        <w:adjustRightInd w:val="0"/>
        <w:snapToGrid w:val="0"/>
        <w:spacing w:line="440" w:lineRule="exact"/>
        <w:jc w:val="left"/>
        <w:rPr>
          <w:rFonts w:hint="eastAsia"/>
          <w:sz w:val="24"/>
          <w:lang w:val="en-US" w:eastAsia="zh-CN"/>
        </w:rPr>
      </w:pPr>
      <w:r>
        <w:rPr>
          <w:rFonts w:hint="eastAsia"/>
          <w:sz w:val="24"/>
        </w:rPr>
        <w:t>七、财政拨款“三公”经费支出决算情况说明</w:t>
      </w:r>
      <w:r>
        <w:rPr>
          <w:rFonts w:hint="eastAsia"/>
          <w:sz w:val="24"/>
          <w:lang w:val="en-US" w:eastAsia="zh-CN"/>
        </w:rPr>
        <w:t>........................................9</w:t>
      </w:r>
    </w:p>
    <w:p w14:paraId="36DE7844">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...................................................10</w:t>
      </w:r>
    </w:p>
    <w:p w14:paraId="21E1744F">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...............................................11</w:t>
      </w:r>
    </w:p>
    <w:p w14:paraId="1C773B71">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...................................................................11</w:t>
      </w:r>
    </w:p>
    <w:p w14:paraId="7FE2FB7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..............................................12</w:t>
      </w:r>
    </w:p>
    <w:p w14:paraId="6C7CAB34">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..................................................14</w:t>
      </w:r>
    </w:p>
    <w:p w14:paraId="17732B2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..................................................19</w:t>
      </w:r>
    </w:p>
    <w:p w14:paraId="1443498E">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...............................................................................19</w:t>
      </w:r>
    </w:p>
    <w:p w14:paraId="7CD19213">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...........................................................................................19</w:t>
      </w:r>
    </w:p>
    <w:p w14:paraId="44CAE801">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...........................................................................................19</w:t>
      </w:r>
    </w:p>
    <w:p w14:paraId="0EC13468">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 ..19</w:t>
      </w:r>
    </w:p>
    <w:p w14:paraId="3B2223C0">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 ..19</w:t>
      </w:r>
    </w:p>
    <w:p w14:paraId="724F1102">
      <w:pPr>
        <w:pStyle w:val="12"/>
        <w:adjustRightInd w:val="0"/>
        <w:snapToGrid w:val="0"/>
        <w:spacing w:line="440" w:lineRule="exact"/>
        <w:jc w:val="left"/>
        <w:rPr>
          <w:rFonts w:hint="eastAsia"/>
          <w:sz w:val="24"/>
          <w:lang w:val="en-US" w:eastAsia="zh-CN"/>
        </w:rPr>
      </w:pPr>
      <w:r>
        <w:rPr>
          <w:rFonts w:hint="eastAsia"/>
          <w:sz w:val="24"/>
        </w:rPr>
        <w:t>六、一般公共预算财政拨款支出决算表</w:t>
      </w:r>
      <w:r>
        <w:rPr>
          <w:rFonts w:hint="eastAsia"/>
          <w:sz w:val="24"/>
          <w:lang w:val="en-US" w:eastAsia="zh-CN"/>
        </w:rPr>
        <w:t>.............................................. . ..19</w:t>
      </w:r>
    </w:p>
    <w:p w14:paraId="0065CB88">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..........................................19</w:t>
      </w:r>
    </w:p>
    <w:p w14:paraId="78A7B7CF">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..................................19</w:t>
      </w:r>
    </w:p>
    <w:p w14:paraId="49092D19">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..........................................19</w:t>
      </w:r>
    </w:p>
    <w:p w14:paraId="55E0C0BF">
      <w:pPr>
        <w:pStyle w:val="12"/>
        <w:adjustRightInd w:val="0"/>
        <w:snapToGrid w:val="0"/>
        <w:spacing w:line="440" w:lineRule="exact"/>
        <w:jc w:val="left"/>
        <w:rPr>
          <w:rFonts w:hint="eastAsia"/>
          <w:sz w:val="24"/>
          <w:lang w:val="en-US" w:eastAsia="zh-CN"/>
        </w:rPr>
      </w:pPr>
      <w:r>
        <w:rPr>
          <w:rFonts w:hint="eastAsia"/>
          <w:sz w:val="24"/>
        </w:rPr>
        <w:t>十、政府性基金预算财政拨款收入支出决算表</w:t>
      </w:r>
      <w:r>
        <w:rPr>
          <w:rFonts w:hint="eastAsia"/>
          <w:sz w:val="24"/>
          <w:lang w:val="en-US" w:eastAsia="zh-CN"/>
        </w:rPr>
        <w:t>...................................19</w:t>
      </w:r>
    </w:p>
    <w:p w14:paraId="5BBB5DEA">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...........................19</w:t>
      </w:r>
    </w:p>
    <w:p w14:paraId="6897884F">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...................................19</w:t>
      </w:r>
    </w:p>
    <w:p w14:paraId="3A3382E3">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...........................................19</w:t>
      </w:r>
    </w:p>
    <w:p w14:paraId="2094EE41">
      <w:pPr>
        <w:pStyle w:val="2"/>
        <w:jc w:val="both"/>
        <w:rPr>
          <w:rFonts w:hint="eastAsia" w:ascii="黑体" w:hAnsi="黑体" w:eastAsia="黑体"/>
          <w:b w:val="0"/>
        </w:rPr>
      </w:pPr>
      <w:bookmarkStart w:id="12" w:name="_Toc15377196"/>
      <w:bookmarkStart w:id="13" w:name="_Toc15396599"/>
    </w:p>
    <w:p w14:paraId="4E63DBEA">
      <w:pPr>
        <w:rPr>
          <w:rFonts w:hint="eastAsia"/>
        </w:rPr>
      </w:pPr>
    </w:p>
    <w:p w14:paraId="50ADB238">
      <w:pPr>
        <w:rPr>
          <w:rFonts w:hint="eastAsia"/>
        </w:rPr>
      </w:pPr>
    </w:p>
    <w:p w14:paraId="6DE0E518">
      <w:pPr>
        <w:rPr>
          <w:rFonts w:hint="eastAsia"/>
        </w:rPr>
      </w:pPr>
    </w:p>
    <w:p w14:paraId="4A324004">
      <w:pPr>
        <w:rPr>
          <w:rFonts w:hint="eastAsia"/>
        </w:rPr>
      </w:pPr>
    </w:p>
    <w:p w14:paraId="75A17C5F">
      <w:pPr>
        <w:rPr>
          <w:rFonts w:hint="eastAsia"/>
        </w:rPr>
      </w:pPr>
    </w:p>
    <w:p w14:paraId="44DEC611">
      <w:pPr>
        <w:rPr>
          <w:rFonts w:hint="eastAsia"/>
        </w:rPr>
      </w:pPr>
    </w:p>
    <w:p w14:paraId="045CF7CE">
      <w:pPr>
        <w:rPr>
          <w:rFonts w:hint="eastAsia"/>
        </w:rPr>
      </w:pPr>
    </w:p>
    <w:p w14:paraId="256B6562">
      <w:pPr>
        <w:rPr>
          <w:rFonts w:hint="eastAsia"/>
        </w:rPr>
      </w:pPr>
    </w:p>
    <w:p w14:paraId="334DD6A7">
      <w:pPr>
        <w:rPr>
          <w:rFonts w:hint="eastAsia"/>
        </w:rPr>
      </w:pPr>
    </w:p>
    <w:p w14:paraId="2296DCCB">
      <w:pPr>
        <w:rPr>
          <w:rFonts w:hint="eastAsia"/>
        </w:rPr>
      </w:pPr>
    </w:p>
    <w:p w14:paraId="2A5EDB93">
      <w:pPr>
        <w:rPr>
          <w:rFonts w:hint="eastAsia"/>
        </w:rPr>
      </w:pPr>
    </w:p>
    <w:p w14:paraId="445061D2">
      <w:pPr>
        <w:rPr>
          <w:rFonts w:hint="eastAsia"/>
        </w:rPr>
      </w:pPr>
    </w:p>
    <w:p w14:paraId="1CB42DA6">
      <w:pPr>
        <w:rPr>
          <w:rFonts w:hint="eastAsia"/>
        </w:rPr>
      </w:pPr>
    </w:p>
    <w:p w14:paraId="6DCD1714">
      <w:pPr>
        <w:rPr>
          <w:rFonts w:hint="eastAsia"/>
        </w:rPr>
      </w:pPr>
    </w:p>
    <w:p w14:paraId="74C7D1C1">
      <w:pPr>
        <w:rPr>
          <w:rFonts w:hint="eastAsia"/>
        </w:rPr>
      </w:pPr>
    </w:p>
    <w:p w14:paraId="70AC5CEF">
      <w:pPr>
        <w:rPr>
          <w:rFonts w:hint="eastAsia"/>
        </w:rPr>
      </w:pPr>
    </w:p>
    <w:p w14:paraId="78DDBD03">
      <w:pPr>
        <w:rPr>
          <w:rFonts w:hint="eastAsia"/>
        </w:rPr>
      </w:pPr>
    </w:p>
    <w:p w14:paraId="4E78C2F7">
      <w:pPr>
        <w:rPr>
          <w:rFonts w:hint="eastAsia"/>
        </w:rPr>
      </w:pPr>
    </w:p>
    <w:p w14:paraId="139416C1">
      <w:pPr>
        <w:rPr>
          <w:rFonts w:hint="eastAsia"/>
        </w:rPr>
      </w:pPr>
    </w:p>
    <w:p w14:paraId="7E83DE12">
      <w:pPr>
        <w:rPr>
          <w:rFonts w:hint="eastAsia"/>
        </w:rPr>
      </w:pPr>
    </w:p>
    <w:p w14:paraId="3DA45B57">
      <w:pPr>
        <w:rPr>
          <w:rFonts w:hint="eastAsia"/>
        </w:rPr>
      </w:pPr>
    </w:p>
    <w:p w14:paraId="47DCC0AD">
      <w:pPr>
        <w:rPr>
          <w:rFonts w:hint="eastAsia"/>
        </w:rPr>
      </w:pPr>
    </w:p>
    <w:p w14:paraId="11A1CFF4">
      <w:pPr>
        <w:rPr>
          <w:rFonts w:hint="eastAsia"/>
        </w:rPr>
      </w:pPr>
    </w:p>
    <w:p w14:paraId="2D6D5375">
      <w:pPr>
        <w:rPr>
          <w:rFonts w:hint="eastAsia"/>
        </w:rPr>
      </w:pPr>
    </w:p>
    <w:p w14:paraId="45074F07">
      <w:pPr>
        <w:rPr>
          <w:rFonts w:hint="eastAsia"/>
        </w:rPr>
      </w:pPr>
    </w:p>
    <w:p w14:paraId="37669548">
      <w:pPr>
        <w:rPr>
          <w:rFonts w:hint="eastAsia"/>
        </w:rPr>
      </w:pPr>
    </w:p>
    <w:p w14:paraId="5D722F85">
      <w:pPr>
        <w:rPr>
          <w:rFonts w:hint="eastAsia"/>
        </w:rPr>
      </w:pPr>
    </w:p>
    <w:p w14:paraId="2590D8FF">
      <w:pPr>
        <w:rPr>
          <w:rFonts w:hint="eastAsia"/>
        </w:rPr>
      </w:pPr>
    </w:p>
    <w:p w14:paraId="0036B658">
      <w:pPr>
        <w:rPr>
          <w:rFonts w:hint="eastAsia"/>
        </w:rPr>
      </w:pPr>
    </w:p>
    <w:p w14:paraId="59B1277F">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3E10D87F">
      <w:pPr>
        <w:widowControl/>
        <w:jc w:val="left"/>
        <w:rPr>
          <w:rFonts w:ascii="黑体" w:eastAsia="黑体"/>
          <w:sz w:val="32"/>
          <w:szCs w:val="32"/>
        </w:rPr>
      </w:pPr>
    </w:p>
    <w:p w14:paraId="6E844BF3">
      <w:pPr>
        <w:pStyle w:val="3"/>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41A8356B">
      <w:pPr>
        <w:pStyle w:val="5"/>
        <w:adjustRightInd w:val="0"/>
        <w:snapToGrid w:val="0"/>
        <w:spacing w:beforeLines="0" w:line="578" w:lineRule="exact"/>
        <w:ind w:firstLine="672" w:firstLineChars="210"/>
        <w:outlineLvl w:val="2"/>
        <w:rPr>
          <w:rFonts w:hint="eastAsia" w:hAnsi="宋体" w:cs="Times New Roman"/>
          <w:color w:val="000000"/>
          <w:sz w:val="32"/>
          <w:szCs w:val="32"/>
        </w:rPr>
      </w:pPr>
      <w:r>
        <w:rPr>
          <w:rFonts w:hint="eastAsia" w:hAnsi="宋体" w:cs="Times New Roman"/>
          <w:color w:val="000000"/>
          <w:sz w:val="32"/>
          <w:szCs w:val="32"/>
        </w:rPr>
        <w:t>大竹县高明镇</w:t>
      </w:r>
      <w:r>
        <w:rPr>
          <w:rFonts w:hint="eastAsia" w:hAnsi="宋体" w:cs="Times New Roman"/>
          <w:color w:val="000000"/>
          <w:sz w:val="32"/>
          <w:szCs w:val="32"/>
          <w:lang w:val="en-US" w:eastAsia="zh-CN"/>
        </w:rPr>
        <w:t>第二</w:t>
      </w:r>
      <w:r>
        <w:rPr>
          <w:rFonts w:hint="eastAsia" w:hAnsi="宋体" w:cs="Times New Roman"/>
          <w:color w:val="000000"/>
          <w:sz w:val="32"/>
          <w:szCs w:val="32"/>
        </w:rPr>
        <w:t>中心小学是贯彻执行国家义务教育方面政策，承担辖区内适龄儿童小学义务教育学校。202</w:t>
      </w:r>
      <w:r>
        <w:rPr>
          <w:rFonts w:hint="eastAsia" w:hAnsi="宋体" w:cs="Times New Roman"/>
          <w:color w:val="000000"/>
          <w:sz w:val="32"/>
          <w:szCs w:val="32"/>
          <w:lang w:val="en-US" w:eastAsia="zh-CN"/>
        </w:rPr>
        <w:t>3</w:t>
      </w:r>
      <w:r>
        <w:rPr>
          <w:rFonts w:hint="eastAsia" w:hAnsi="宋体" w:cs="Times New Roman"/>
          <w:color w:val="000000"/>
          <w:sz w:val="32"/>
          <w:szCs w:val="32"/>
        </w:rPr>
        <w:t>年工作的总体要求是：深入贯彻党的</w:t>
      </w:r>
      <w:r>
        <w:rPr>
          <w:rFonts w:hint="eastAsia" w:hAnsi="宋体" w:cs="Times New Roman"/>
          <w:color w:val="000000"/>
          <w:sz w:val="32"/>
          <w:szCs w:val="32"/>
          <w:lang w:val="en-US" w:eastAsia="zh-CN"/>
        </w:rPr>
        <w:t>二十大</w:t>
      </w:r>
      <w:r>
        <w:rPr>
          <w:rFonts w:hint="eastAsia" w:hAnsi="宋体" w:cs="Times New Roman"/>
          <w:color w:val="000000"/>
          <w:sz w:val="32"/>
          <w:szCs w:val="32"/>
        </w:rPr>
        <w:t>精神，认真落实县委、县政府重大决策部署，全面深化新课程改革，大力实施高效课堂，围绕学校党支部确定的学校发展思路，坚持依法执教，保障少年儿童合法权益，促进学生健康成长、成材。</w:t>
      </w:r>
    </w:p>
    <w:p w14:paraId="279BCAA4"/>
    <w:p w14:paraId="3B78D195">
      <w:pPr>
        <w:pStyle w:val="3"/>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bookmarkEnd w:id="14"/>
    <w:bookmarkEnd w:id="15"/>
    <w:p w14:paraId="51774EB7">
      <w:pPr>
        <w:pStyle w:val="33"/>
        <w:numPr>
          <w:ilvl w:val="0"/>
          <w:numId w:val="0"/>
        </w:numPr>
        <w:tabs>
          <w:tab w:val="right" w:leader="dot" w:pos="8306"/>
        </w:tabs>
        <w:ind w:firstLine="640" w:firstLineChars="200"/>
        <w:rPr>
          <w:rFonts w:hint="eastAsia" w:ascii="仿宋_GB2312" w:hAnsi="Times New Roman" w:eastAsia="仿宋_GB2312" w:cs="Times New Roman"/>
          <w:bCs/>
          <w:color w:val="000000"/>
          <w:kern w:val="0"/>
          <w:sz w:val="32"/>
          <w:szCs w:val="32"/>
          <w:lang w:val="en-US" w:eastAsia="zh-CN" w:bidi="ar-SA"/>
        </w:rPr>
      </w:pPr>
      <w:r>
        <w:rPr>
          <w:rFonts w:hint="eastAsia" w:ascii="仿宋_GB2312" w:hAnsi="Times New Roman" w:eastAsia="仿宋_GB2312" w:cs="Times New Roman"/>
          <w:bCs/>
          <w:color w:val="000000"/>
          <w:kern w:val="0"/>
          <w:sz w:val="32"/>
          <w:szCs w:val="32"/>
          <w:lang w:val="en-US" w:eastAsia="zh-CN" w:bidi="ar-SA"/>
        </w:rPr>
        <w:t>大竹县高明镇第二中心小学下属二级预算单位0个，其中行政单位0个，参照公务员法管理的事业单位0个，其他事业单位0个。</w:t>
      </w:r>
    </w:p>
    <w:p w14:paraId="69357B69">
      <w:pPr>
        <w:pStyle w:val="5"/>
        <w:spacing w:before="93"/>
        <w:ind w:firstLine="640" w:firstLineChars="200"/>
        <w:rPr>
          <w:rFonts w:hint="eastAsia" w:ascii="仿宋_GB2312" w:hAnsi="Times New Roman" w:eastAsia="仿宋_GB2312" w:cs="Times New Roman"/>
          <w:bCs/>
          <w:color w:val="000000"/>
          <w:kern w:val="0"/>
          <w:sz w:val="32"/>
          <w:szCs w:val="32"/>
          <w:lang w:val="en-US" w:eastAsia="zh-CN" w:bidi="ar-SA"/>
        </w:rPr>
      </w:pPr>
      <w:r>
        <w:rPr>
          <w:rFonts w:hint="eastAsia" w:ascii="仿宋_GB2312" w:hAnsi="Times New Roman" w:eastAsia="仿宋_GB2312" w:cs="Times New Roman"/>
          <w:bCs/>
          <w:color w:val="000000"/>
          <w:kern w:val="0"/>
          <w:sz w:val="32"/>
          <w:szCs w:val="32"/>
          <w:lang w:val="en-US" w:eastAsia="zh-CN" w:bidi="ar-SA"/>
        </w:rPr>
        <w:t>纳入大竹县高明镇</w:t>
      </w:r>
      <w:r>
        <w:rPr>
          <w:rFonts w:hint="eastAsia" w:hAnsi="Times New Roman" w:cs="Times New Roman"/>
          <w:bCs/>
          <w:color w:val="000000"/>
          <w:kern w:val="0"/>
          <w:sz w:val="32"/>
          <w:szCs w:val="32"/>
          <w:lang w:val="en-US" w:eastAsia="zh-CN" w:bidi="ar-SA"/>
        </w:rPr>
        <w:t>第二</w:t>
      </w:r>
      <w:r>
        <w:rPr>
          <w:rFonts w:hint="eastAsia" w:ascii="仿宋_GB2312" w:hAnsi="Times New Roman" w:eastAsia="仿宋_GB2312" w:cs="Times New Roman"/>
          <w:bCs/>
          <w:color w:val="000000"/>
          <w:kern w:val="0"/>
          <w:sz w:val="32"/>
          <w:szCs w:val="32"/>
          <w:lang w:val="en-US" w:eastAsia="zh-CN" w:bidi="ar-SA"/>
        </w:rPr>
        <w:t>中心小学202</w:t>
      </w:r>
      <w:r>
        <w:rPr>
          <w:rFonts w:hint="eastAsia" w:hAnsi="Times New Roman" w:cs="Times New Roman"/>
          <w:bCs/>
          <w:color w:val="000000"/>
          <w:kern w:val="0"/>
          <w:sz w:val="32"/>
          <w:szCs w:val="32"/>
          <w:lang w:val="en-US" w:eastAsia="zh-CN" w:bidi="ar-SA"/>
        </w:rPr>
        <w:t>3</w:t>
      </w:r>
      <w:r>
        <w:rPr>
          <w:rFonts w:hint="eastAsia" w:ascii="仿宋_GB2312" w:hAnsi="Times New Roman" w:eastAsia="仿宋_GB2312" w:cs="Times New Roman"/>
          <w:bCs/>
          <w:color w:val="000000"/>
          <w:kern w:val="0"/>
          <w:sz w:val="32"/>
          <w:szCs w:val="32"/>
          <w:lang w:val="en-US" w:eastAsia="zh-CN" w:bidi="ar-SA"/>
        </w:rPr>
        <w:t>年度部门决算编制范围的二级预算单位：无。</w:t>
      </w:r>
    </w:p>
    <w:p w14:paraId="32F6828A">
      <w:pPr>
        <w:widowControl/>
        <w:jc w:val="left"/>
        <w:rPr>
          <w:rFonts w:ascii="仿宋" w:hAnsi="仿宋" w:eastAsia="仿宋"/>
          <w:kern w:val="0"/>
          <w:sz w:val="32"/>
          <w:szCs w:val="32"/>
        </w:rPr>
      </w:pPr>
      <w:r>
        <w:rPr>
          <w:rFonts w:ascii="仿宋" w:hAnsi="仿宋" w:eastAsia="仿宋"/>
          <w:sz w:val="32"/>
          <w:szCs w:val="32"/>
        </w:rPr>
        <w:br w:type="page"/>
      </w:r>
    </w:p>
    <w:p w14:paraId="534D9860">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9853E24"/>
    <w:p w14:paraId="485D1FAB">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6F529E4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543.79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20.75</w:t>
      </w:r>
      <w:r>
        <w:rPr>
          <w:rFonts w:hint="eastAsia" w:ascii="仿宋" w:hAnsi="仿宋" w:eastAsia="仿宋"/>
          <w:sz w:val="32"/>
          <w:szCs w:val="32"/>
        </w:rPr>
        <w:t>万元，增长</w:t>
      </w:r>
      <w:r>
        <w:rPr>
          <w:rFonts w:hint="eastAsia" w:ascii="仿宋" w:hAnsi="仿宋" w:eastAsia="仿宋"/>
          <w:sz w:val="32"/>
          <w:szCs w:val="32"/>
          <w:lang w:val="en-US" w:eastAsia="zh-CN"/>
        </w:rPr>
        <w:t>3.97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r>
        <w:rPr>
          <w:rFonts w:hint="eastAsia" w:ascii="仿宋" w:hAnsi="仿宋" w:eastAsia="仿宋"/>
          <w:sz w:val="32"/>
          <w:szCs w:val="32"/>
        </w:rPr>
        <w:t>。</w:t>
      </w:r>
    </w:p>
    <w:p w14:paraId="4240779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20096B9">
      <w:pPr>
        <w:spacing w:line="600" w:lineRule="exact"/>
        <w:ind w:firstLine="640" w:firstLineChars="200"/>
        <w:rPr>
          <w:rFonts w:hint="eastAsia" w:ascii="仿宋" w:hAnsi="仿宋" w:eastAsia="仿宋"/>
          <w:sz w:val="32"/>
          <w:szCs w:val="32"/>
        </w:rPr>
      </w:pPr>
    </w:p>
    <w:p w14:paraId="2F4AEBDF">
      <w:pPr>
        <w:spacing w:line="600" w:lineRule="exact"/>
        <w:ind w:firstLine="640" w:firstLineChars="200"/>
        <w:rPr>
          <w:rFonts w:hint="eastAsia" w:ascii="仿宋" w:hAnsi="仿宋" w:eastAsia="仿宋"/>
          <w:sz w:val="32"/>
          <w:szCs w:val="32"/>
        </w:rPr>
      </w:pPr>
      <w:r>
        <w:rPr>
          <w:rFonts w:hint="default" w:ascii="仿宋" w:hAnsi="仿宋" w:eastAsia="仿宋"/>
          <w:sz w:val="32"/>
          <w:szCs w:val="32"/>
          <w:lang w:val="en-US" w:eastAsia="zh-CN"/>
        </w:rPr>
        <w:drawing>
          <wp:anchor distT="0" distB="0" distL="114300" distR="114300" simplePos="0" relativeHeight="251659264" behindDoc="1" locked="0" layoutInCell="1" allowOverlap="1">
            <wp:simplePos x="0" y="0"/>
            <wp:positionH relativeFrom="column">
              <wp:posOffset>99060</wp:posOffset>
            </wp:positionH>
            <wp:positionV relativeFrom="paragraph">
              <wp:posOffset>60325</wp:posOffset>
            </wp:positionV>
            <wp:extent cx="5256530" cy="2988310"/>
            <wp:effectExtent l="5080" t="4445" r="1143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D640754">
      <w:pPr>
        <w:spacing w:line="600" w:lineRule="exact"/>
        <w:ind w:firstLine="640" w:firstLineChars="200"/>
        <w:rPr>
          <w:rFonts w:hint="eastAsia" w:ascii="仿宋" w:hAnsi="仿宋" w:eastAsia="仿宋"/>
          <w:sz w:val="32"/>
          <w:szCs w:val="32"/>
        </w:rPr>
      </w:pPr>
    </w:p>
    <w:p w14:paraId="69DCBED7">
      <w:pPr>
        <w:spacing w:line="600" w:lineRule="exact"/>
        <w:ind w:firstLine="640" w:firstLineChars="200"/>
        <w:rPr>
          <w:rFonts w:hint="eastAsia" w:ascii="仿宋" w:hAnsi="仿宋" w:eastAsia="仿宋"/>
          <w:sz w:val="32"/>
          <w:szCs w:val="32"/>
        </w:rPr>
      </w:pPr>
    </w:p>
    <w:p w14:paraId="2A5848A7">
      <w:pPr>
        <w:spacing w:line="600" w:lineRule="exact"/>
        <w:ind w:firstLine="640" w:firstLineChars="200"/>
        <w:rPr>
          <w:rFonts w:hint="eastAsia" w:ascii="仿宋" w:hAnsi="仿宋" w:eastAsia="仿宋"/>
          <w:sz w:val="32"/>
          <w:szCs w:val="32"/>
        </w:rPr>
      </w:pPr>
    </w:p>
    <w:p w14:paraId="56E95F2F">
      <w:pPr>
        <w:spacing w:line="600" w:lineRule="exact"/>
        <w:ind w:firstLine="640" w:firstLineChars="200"/>
        <w:rPr>
          <w:rFonts w:hint="eastAsia" w:ascii="仿宋" w:hAnsi="仿宋" w:eastAsia="仿宋"/>
          <w:sz w:val="32"/>
          <w:szCs w:val="32"/>
        </w:rPr>
      </w:pPr>
    </w:p>
    <w:p w14:paraId="48D70FDF">
      <w:pPr>
        <w:spacing w:line="600" w:lineRule="exact"/>
        <w:ind w:firstLine="640" w:firstLineChars="200"/>
        <w:rPr>
          <w:rFonts w:hint="eastAsia" w:ascii="仿宋" w:hAnsi="仿宋" w:eastAsia="仿宋"/>
          <w:sz w:val="32"/>
          <w:szCs w:val="32"/>
        </w:rPr>
      </w:pPr>
    </w:p>
    <w:p w14:paraId="1EF23DEC">
      <w:pPr>
        <w:spacing w:line="600" w:lineRule="exact"/>
        <w:ind w:firstLine="640" w:firstLineChars="200"/>
        <w:rPr>
          <w:rFonts w:hint="eastAsia" w:ascii="仿宋" w:hAnsi="仿宋" w:eastAsia="仿宋"/>
          <w:sz w:val="32"/>
          <w:szCs w:val="32"/>
        </w:rPr>
      </w:pPr>
    </w:p>
    <w:p w14:paraId="49DF8423">
      <w:pPr>
        <w:spacing w:line="600" w:lineRule="exact"/>
        <w:ind w:firstLine="640" w:firstLineChars="200"/>
        <w:rPr>
          <w:rFonts w:hint="eastAsia" w:ascii="仿宋" w:hAnsi="仿宋" w:eastAsia="仿宋"/>
          <w:sz w:val="32"/>
          <w:szCs w:val="32"/>
        </w:rPr>
      </w:pPr>
    </w:p>
    <w:p w14:paraId="2819F0F3">
      <w:pPr>
        <w:spacing w:line="600" w:lineRule="exact"/>
        <w:ind w:firstLine="640" w:firstLineChars="200"/>
        <w:jc w:val="left"/>
        <w:rPr>
          <w:rFonts w:ascii="仿宋_GB2312" w:eastAsia="仿宋_GB2312"/>
          <w:sz w:val="32"/>
          <w:szCs w:val="32"/>
        </w:rPr>
      </w:pPr>
    </w:p>
    <w:p w14:paraId="5DA182BE">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5B7C4B23">
      <w:pPr>
        <w:spacing w:line="600" w:lineRule="exact"/>
        <w:ind w:firstLine="640" w:firstLineChars="200"/>
        <w:outlineLvl w:val="1"/>
        <w:rPr>
          <w:rFonts w:hint="eastAsia" w:ascii="仿宋" w:hAnsi="仿宋" w:eastAsia="仿宋"/>
          <w:b/>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537.46</w:t>
      </w:r>
      <w:r>
        <w:rPr>
          <w:rFonts w:hint="eastAsia" w:ascii="仿宋" w:hAnsi="仿宋" w:eastAsia="仿宋"/>
          <w:sz w:val="32"/>
          <w:szCs w:val="32"/>
        </w:rPr>
        <w:t>万元，其中：一般公共预算财政拨款收入</w:t>
      </w:r>
      <w:r>
        <w:rPr>
          <w:rFonts w:ascii="仿宋" w:hAnsi="仿宋" w:eastAsia="仿宋"/>
          <w:b/>
          <w:sz w:val="32"/>
          <w:szCs w:val="32"/>
        </w:rPr>
        <w:t>537.46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p>
    <w:p w14:paraId="5A8F5F4B">
      <w:pPr>
        <w:spacing w:line="600" w:lineRule="exact"/>
        <w:ind w:firstLine="640" w:firstLineChars="200"/>
        <w:outlineLvl w:val="1"/>
        <w:rPr>
          <w:rFonts w:ascii="仿宋" w:hAnsi="仿宋" w:eastAsia="仿宋"/>
          <w:sz w:val="32"/>
          <w:szCs w:val="32"/>
        </w:rPr>
      </w:pPr>
    </w:p>
    <w:p w14:paraId="43EA6D9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72F777A6">
      <w:pPr>
        <w:spacing w:line="600" w:lineRule="exact"/>
        <w:ind w:firstLine="640" w:firstLineChars="200"/>
        <w:rPr>
          <w:rFonts w:hint="eastAsia" w:ascii="仿宋" w:hAnsi="仿宋" w:eastAsia="仿宋"/>
          <w:sz w:val="32"/>
          <w:szCs w:val="32"/>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609600</wp:posOffset>
            </wp:positionH>
            <wp:positionV relativeFrom="paragraph">
              <wp:posOffset>281940</wp:posOffset>
            </wp:positionV>
            <wp:extent cx="3890010" cy="2734310"/>
            <wp:effectExtent l="4445" t="5080" r="698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054CD05">
      <w:pPr>
        <w:spacing w:line="600" w:lineRule="exact"/>
        <w:ind w:firstLine="640" w:firstLineChars="200"/>
        <w:rPr>
          <w:rFonts w:hint="eastAsia" w:ascii="仿宋" w:hAnsi="仿宋" w:eastAsia="仿宋"/>
          <w:sz w:val="32"/>
          <w:szCs w:val="32"/>
        </w:rPr>
      </w:pPr>
    </w:p>
    <w:p w14:paraId="31F7F598">
      <w:pPr>
        <w:spacing w:line="600" w:lineRule="exact"/>
        <w:ind w:firstLine="640" w:firstLineChars="200"/>
        <w:rPr>
          <w:rFonts w:hint="eastAsia" w:ascii="仿宋" w:hAnsi="仿宋" w:eastAsia="仿宋"/>
          <w:sz w:val="32"/>
          <w:szCs w:val="32"/>
        </w:rPr>
      </w:pPr>
    </w:p>
    <w:p w14:paraId="2E2027F1">
      <w:pPr>
        <w:spacing w:line="600" w:lineRule="exact"/>
        <w:ind w:firstLine="640" w:firstLineChars="200"/>
        <w:rPr>
          <w:rFonts w:hint="eastAsia" w:ascii="仿宋" w:hAnsi="仿宋" w:eastAsia="仿宋"/>
          <w:sz w:val="32"/>
          <w:szCs w:val="32"/>
        </w:rPr>
      </w:pPr>
    </w:p>
    <w:p w14:paraId="3976B929">
      <w:pPr>
        <w:spacing w:line="600" w:lineRule="exact"/>
        <w:ind w:firstLine="640" w:firstLineChars="200"/>
        <w:rPr>
          <w:rFonts w:hint="eastAsia" w:ascii="仿宋" w:hAnsi="仿宋" w:eastAsia="仿宋"/>
          <w:sz w:val="32"/>
          <w:szCs w:val="32"/>
        </w:rPr>
      </w:pPr>
    </w:p>
    <w:p w14:paraId="79EAA132">
      <w:pPr>
        <w:spacing w:line="600" w:lineRule="exact"/>
        <w:ind w:firstLine="640" w:firstLineChars="200"/>
        <w:rPr>
          <w:rFonts w:hint="eastAsia" w:ascii="仿宋" w:hAnsi="仿宋" w:eastAsia="仿宋"/>
          <w:sz w:val="32"/>
          <w:szCs w:val="32"/>
        </w:rPr>
      </w:pPr>
    </w:p>
    <w:p w14:paraId="5A18B2E3">
      <w:pPr>
        <w:spacing w:line="600" w:lineRule="exact"/>
        <w:ind w:firstLine="640" w:firstLineChars="200"/>
        <w:rPr>
          <w:rFonts w:hint="eastAsia" w:ascii="仿宋" w:hAnsi="仿宋" w:eastAsia="仿宋"/>
          <w:sz w:val="32"/>
          <w:szCs w:val="32"/>
        </w:rPr>
      </w:pPr>
    </w:p>
    <w:p w14:paraId="5C4800F3">
      <w:pPr>
        <w:spacing w:line="600" w:lineRule="exact"/>
        <w:ind w:firstLine="640" w:firstLineChars="200"/>
        <w:rPr>
          <w:rFonts w:ascii="仿宋_GB2312" w:eastAsia="仿宋_GB2312"/>
          <w:sz w:val="32"/>
          <w:szCs w:val="32"/>
        </w:rPr>
      </w:pPr>
    </w:p>
    <w:p w14:paraId="1A8D548E">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8FF7E5C">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2023年度本年支出合计</w:t>
      </w:r>
      <w:r>
        <w:rPr>
          <w:rFonts w:ascii="仿宋" w:hAnsi="仿宋" w:eastAsia="仿宋"/>
          <w:b/>
          <w:sz w:val="32"/>
          <w:szCs w:val="32"/>
        </w:rPr>
        <w:t>543.79</w:t>
      </w:r>
      <w:r>
        <w:rPr>
          <w:rFonts w:hint="eastAsia" w:ascii="仿宋" w:hAnsi="仿宋" w:eastAsia="仿宋"/>
          <w:sz w:val="32"/>
          <w:szCs w:val="32"/>
        </w:rPr>
        <w:t>万元，其中：基本支出</w:t>
      </w:r>
      <w:r>
        <w:rPr>
          <w:rFonts w:ascii="仿宋" w:hAnsi="仿宋" w:eastAsia="仿宋"/>
          <w:b/>
          <w:sz w:val="32"/>
          <w:szCs w:val="32"/>
        </w:rPr>
        <w:t>535.75</w:t>
      </w:r>
      <w:r>
        <w:rPr>
          <w:rFonts w:hint="eastAsia" w:ascii="仿宋" w:hAnsi="仿宋" w:eastAsia="仿宋"/>
          <w:sz w:val="32"/>
          <w:szCs w:val="32"/>
        </w:rPr>
        <w:t>万元，占</w:t>
      </w:r>
      <w:r>
        <w:rPr>
          <w:rFonts w:ascii="仿宋" w:hAnsi="仿宋" w:eastAsia="仿宋"/>
          <w:b/>
          <w:sz w:val="32"/>
          <w:szCs w:val="32"/>
        </w:rPr>
        <w:t>98.52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8.04</w:t>
      </w:r>
      <w:r>
        <w:rPr>
          <w:rFonts w:hint="eastAsia" w:ascii="仿宋" w:hAnsi="仿宋" w:eastAsia="仿宋"/>
          <w:sz w:val="32"/>
          <w:szCs w:val="32"/>
        </w:rPr>
        <w:t>万元，占</w:t>
      </w:r>
      <w:r>
        <w:rPr>
          <w:rFonts w:ascii="仿宋" w:hAnsi="仿宋" w:eastAsia="仿宋"/>
          <w:b/>
          <w:sz w:val="32"/>
          <w:szCs w:val="32"/>
        </w:rPr>
        <w:t>1.47</w:t>
      </w:r>
      <w:r>
        <w:rPr>
          <w:rFonts w:ascii="仿宋" w:hAnsi="仿宋" w:eastAsia="仿宋"/>
          <w:sz w:val="32"/>
          <w:szCs w:val="32"/>
        </w:rPr>
        <w:t>%</w:t>
      </w:r>
      <w:r>
        <w:rPr>
          <w:rFonts w:hint="eastAsia" w:ascii="仿宋" w:hAnsi="仿宋" w:eastAsia="仿宋"/>
          <w:sz w:val="32"/>
          <w:szCs w:val="32"/>
          <w:lang w:eastAsia="zh-CN"/>
        </w:rPr>
        <w:t>。</w:t>
      </w:r>
    </w:p>
    <w:p w14:paraId="3A0D3EB9">
      <w:pPr>
        <w:spacing w:line="600" w:lineRule="exact"/>
        <w:ind w:firstLine="640" w:firstLineChars="200"/>
        <w:outlineLvl w:val="1"/>
        <w:rPr>
          <w:rFonts w:hint="eastAsia" w:ascii="仿宋" w:hAnsi="仿宋" w:eastAsia="仿宋"/>
          <w:sz w:val="32"/>
          <w:szCs w:val="32"/>
          <w:lang w:eastAsia="zh-CN"/>
        </w:rPr>
      </w:pPr>
    </w:p>
    <w:p w14:paraId="6BB0ACC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6C24E88A">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2336" behindDoc="1" locked="0" layoutInCell="1" allowOverlap="1">
            <wp:simplePos x="0" y="0"/>
            <wp:positionH relativeFrom="column">
              <wp:posOffset>-7620</wp:posOffset>
            </wp:positionH>
            <wp:positionV relativeFrom="paragraph">
              <wp:posOffset>335280</wp:posOffset>
            </wp:positionV>
            <wp:extent cx="5080000" cy="2409825"/>
            <wp:effectExtent l="4445" t="4445" r="5715" b="393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F6022D8">
      <w:pPr>
        <w:spacing w:line="600" w:lineRule="exact"/>
        <w:ind w:firstLine="640" w:firstLineChars="200"/>
        <w:rPr>
          <w:rFonts w:hint="eastAsia" w:ascii="仿宋" w:hAnsi="仿宋" w:eastAsia="仿宋"/>
          <w:sz w:val="32"/>
          <w:szCs w:val="32"/>
        </w:rPr>
      </w:pPr>
    </w:p>
    <w:p w14:paraId="049F1650">
      <w:pPr>
        <w:spacing w:line="600" w:lineRule="exact"/>
        <w:ind w:firstLine="640" w:firstLineChars="200"/>
        <w:rPr>
          <w:rFonts w:hint="eastAsia" w:ascii="仿宋" w:hAnsi="仿宋" w:eastAsia="仿宋"/>
          <w:sz w:val="32"/>
          <w:szCs w:val="32"/>
        </w:rPr>
      </w:pPr>
    </w:p>
    <w:p w14:paraId="13BBBE29">
      <w:pPr>
        <w:spacing w:line="600" w:lineRule="exact"/>
        <w:ind w:firstLine="640" w:firstLineChars="200"/>
        <w:rPr>
          <w:rFonts w:hint="eastAsia" w:ascii="仿宋" w:hAnsi="仿宋" w:eastAsia="仿宋"/>
          <w:sz w:val="32"/>
          <w:szCs w:val="32"/>
        </w:rPr>
      </w:pPr>
    </w:p>
    <w:p w14:paraId="0222B7E3">
      <w:pPr>
        <w:spacing w:line="600" w:lineRule="exact"/>
        <w:ind w:firstLine="640" w:firstLineChars="200"/>
        <w:rPr>
          <w:rFonts w:hint="eastAsia" w:ascii="仿宋" w:hAnsi="仿宋" w:eastAsia="仿宋"/>
          <w:sz w:val="32"/>
          <w:szCs w:val="32"/>
        </w:rPr>
      </w:pPr>
    </w:p>
    <w:p w14:paraId="3DDD6B0A">
      <w:pPr>
        <w:spacing w:line="600" w:lineRule="exact"/>
        <w:ind w:firstLine="640" w:firstLineChars="200"/>
        <w:rPr>
          <w:rFonts w:hint="eastAsia" w:ascii="仿宋" w:hAnsi="仿宋" w:eastAsia="仿宋"/>
          <w:sz w:val="32"/>
          <w:szCs w:val="32"/>
        </w:rPr>
      </w:pPr>
    </w:p>
    <w:p w14:paraId="756D73AD">
      <w:pPr>
        <w:spacing w:line="600" w:lineRule="exact"/>
        <w:ind w:firstLine="640" w:firstLineChars="200"/>
        <w:rPr>
          <w:rFonts w:hint="eastAsia" w:ascii="仿宋" w:hAnsi="仿宋" w:eastAsia="仿宋"/>
          <w:sz w:val="32"/>
          <w:szCs w:val="32"/>
        </w:rPr>
      </w:pPr>
    </w:p>
    <w:p w14:paraId="203599B6">
      <w:pPr>
        <w:spacing w:line="600" w:lineRule="exact"/>
        <w:ind w:firstLine="640" w:firstLineChars="200"/>
        <w:rPr>
          <w:rFonts w:ascii="仿宋_GB2312" w:eastAsia="仿宋_GB2312"/>
          <w:sz w:val="32"/>
          <w:szCs w:val="32"/>
        </w:rPr>
      </w:pPr>
    </w:p>
    <w:p w14:paraId="1C2CD394">
      <w:pPr>
        <w:spacing w:line="600" w:lineRule="exact"/>
        <w:ind w:firstLine="640" w:firstLineChars="200"/>
        <w:rPr>
          <w:rFonts w:ascii="仿宋_GB2312" w:eastAsia="仿宋_GB2312"/>
          <w:sz w:val="32"/>
          <w:szCs w:val="32"/>
        </w:rPr>
      </w:pPr>
    </w:p>
    <w:p w14:paraId="2E8767AD">
      <w:pPr>
        <w:spacing w:line="600" w:lineRule="exact"/>
        <w:ind w:firstLine="640" w:firstLineChars="200"/>
        <w:rPr>
          <w:rFonts w:ascii="仿宋_GB2312" w:eastAsia="仿宋_GB2312"/>
          <w:sz w:val="32"/>
          <w:szCs w:val="32"/>
        </w:rPr>
      </w:pPr>
    </w:p>
    <w:p w14:paraId="4CF2F15E">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350EE7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543.79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20.75</w:t>
      </w:r>
      <w:r>
        <w:rPr>
          <w:rFonts w:hint="eastAsia" w:ascii="仿宋" w:hAnsi="仿宋" w:eastAsia="仿宋"/>
          <w:sz w:val="32"/>
          <w:szCs w:val="32"/>
        </w:rPr>
        <w:t>万元，增长</w:t>
      </w:r>
      <w:r>
        <w:rPr>
          <w:rFonts w:hint="eastAsia" w:ascii="仿宋" w:hAnsi="仿宋" w:eastAsia="仿宋"/>
          <w:sz w:val="32"/>
          <w:szCs w:val="32"/>
          <w:lang w:val="en-US" w:eastAsia="zh-CN"/>
        </w:rPr>
        <w:t>3.97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r>
        <w:rPr>
          <w:rFonts w:hint="eastAsia" w:ascii="仿宋" w:hAnsi="仿宋" w:eastAsia="仿宋"/>
          <w:sz w:val="32"/>
          <w:szCs w:val="32"/>
        </w:rPr>
        <w:t>。</w:t>
      </w:r>
    </w:p>
    <w:p w14:paraId="430447EC">
      <w:pPr>
        <w:spacing w:line="600" w:lineRule="exact"/>
        <w:rPr>
          <w:rFonts w:ascii="仿宋" w:hAnsi="仿宋" w:eastAsia="仿宋"/>
          <w:sz w:val="32"/>
          <w:szCs w:val="32"/>
        </w:rPr>
      </w:pPr>
    </w:p>
    <w:p w14:paraId="6F6863C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3252DA58">
      <w:pPr>
        <w:spacing w:line="600" w:lineRule="exact"/>
        <w:ind w:firstLine="640" w:firstLineChars="200"/>
        <w:rPr>
          <w:rFonts w:hint="eastAsia" w:ascii="仿宋" w:hAnsi="仿宋" w:eastAsia="仿宋"/>
          <w:sz w:val="32"/>
          <w:szCs w:val="32"/>
        </w:rPr>
      </w:pPr>
    </w:p>
    <w:p w14:paraId="579C2FB9">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3360" behindDoc="1" locked="0" layoutInCell="1" allowOverlap="1">
            <wp:simplePos x="0" y="0"/>
            <wp:positionH relativeFrom="column">
              <wp:posOffset>160020</wp:posOffset>
            </wp:positionH>
            <wp:positionV relativeFrom="paragraph">
              <wp:posOffset>99060</wp:posOffset>
            </wp:positionV>
            <wp:extent cx="5169535" cy="2108835"/>
            <wp:effectExtent l="4445" t="4445" r="7620"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859BA01">
      <w:pPr>
        <w:spacing w:line="600" w:lineRule="exact"/>
        <w:ind w:firstLine="640" w:firstLineChars="200"/>
        <w:rPr>
          <w:rFonts w:hint="eastAsia" w:ascii="仿宋" w:hAnsi="仿宋" w:eastAsia="仿宋"/>
          <w:sz w:val="32"/>
          <w:szCs w:val="32"/>
        </w:rPr>
      </w:pPr>
    </w:p>
    <w:p w14:paraId="4292EBB6">
      <w:pPr>
        <w:spacing w:line="600" w:lineRule="exact"/>
        <w:ind w:firstLine="640" w:firstLineChars="200"/>
        <w:rPr>
          <w:rFonts w:hint="eastAsia" w:ascii="仿宋" w:hAnsi="仿宋" w:eastAsia="仿宋"/>
          <w:sz w:val="32"/>
          <w:szCs w:val="32"/>
        </w:rPr>
      </w:pPr>
    </w:p>
    <w:p w14:paraId="4DC16D75">
      <w:pPr>
        <w:spacing w:line="600" w:lineRule="exact"/>
        <w:ind w:firstLine="640" w:firstLineChars="200"/>
        <w:rPr>
          <w:rFonts w:hint="eastAsia" w:ascii="仿宋" w:hAnsi="仿宋" w:eastAsia="仿宋"/>
          <w:sz w:val="32"/>
          <w:szCs w:val="32"/>
        </w:rPr>
      </w:pPr>
    </w:p>
    <w:p w14:paraId="131E8480">
      <w:pPr>
        <w:spacing w:line="600" w:lineRule="exact"/>
        <w:ind w:firstLine="640" w:firstLineChars="200"/>
        <w:rPr>
          <w:rFonts w:hint="eastAsia" w:ascii="仿宋" w:hAnsi="仿宋" w:eastAsia="仿宋"/>
          <w:sz w:val="32"/>
          <w:szCs w:val="32"/>
        </w:rPr>
      </w:pPr>
    </w:p>
    <w:p w14:paraId="7A98AA5C">
      <w:pPr>
        <w:spacing w:line="600" w:lineRule="exact"/>
        <w:ind w:firstLine="640" w:firstLineChars="200"/>
        <w:rPr>
          <w:rFonts w:hint="eastAsia" w:ascii="仿宋" w:hAnsi="仿宋" w:eastAsia="仿宋"/>
          <w:sz w:val="32"/>
          <w:szCs w:val="32"/>
        </w:rPr>
      </w:pPr>
    </w:p>
    <w:p w14:paraId="2918699C">
      <w:pPr>
        <w:spacing w:line="600" w:lineRule="exact"/>
        <w:ind w:firstLine="640" w:firstLineChars="200"/>
        <w:rPr>
          <w:rFonts w:hint="eastAsia" w:ascii="仿宋" w:hAnsi="仿宋" w:eastAsia="仿宋"/>
          <w:sz w:val="32"/>
          <w:szCs w:val="32"/>
        </w:rPr>
      </w:pPr>
    </w:p>
    <w:p w14:paraId="3D6D16F7">
      <w:pPr>
        <w:spacing w:line="600" w:lineRule="exact"/>
        <w:ind w:firstLine="640"/>
        <w:rPr>
          <w:rFonts w:ascii="仿宋" w:hAnsi="仿宋" w:eastAsia="仿宋"/>
          <w:b/>
          <w:sz w:val="32"/>
          <w:szCs w:val="32"/>
        </w:rPr>
      </w:pPr>
    </w:p>
    <w:p w14:paraId="5E1A7D22">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601AFB40">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3A29791">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543.79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20.75</w:t>
      </w:r>
      <w:r>
        <w:rPr>
          <w:rFonts w:hint="eastAsia" w:ascii="仿宋" w:hAnsi="仿宋" w:eastAsia="仿宋"/>
          <w:sz w:val="32"/>
          <w:szCs w:val="32"/>
        </w:rPr>
        <w:t>万元，增长</w:t>
      </w:r>
      <w:r>
        <w:rPr>
          <w:rFonts w:hint="eastAsia" w:ascii="仿宋" w:hAnsi="仿宋" w:eastAsia="仿宋"/>
          <w:sz w:val="32"/>
          <w:szCs w:val="32"/>
          <w:lang w:val="en-US" w:eastAsia="zh-CN"/>
        </w:rPr>
        <w:t>3.97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p>
    <w:p w14:paraId="55EBA3CE">
      <w:pPr>
        <w:spacing w:line="600" w:lineRule="exact"/>
        <w:ind w:firstLine="640" w:firstLineChars="200"/>
        <w:rPr>
          <w:rFonts w:hint="eastAsia" w:ascii="仿宋" w:hAnsi="仿宋" w:eastAsia="仿宋"/>
          <w:sz w:val="32"/>
          <w:szCs w:val="32"/>
          <w:lang w:val="en-US" w:eastAsia="zh-CN"/>
        </w:rPr>
      </w:pPr>
    </w:p>
    <w:p w14:paraId="4FD14F56">
      <w:pPr>
        <w:spacing w:line="600" w:lineRule="exact"/>
        <w:ind w:firstLine="640" w:firstLineChars="200"/>
        <w:rPr>
          <w:rFonts w:hint="eastAsia" w:ascii="仿宋" w:hAnsi="仿宋" w:eastAsia="仿宋"/>
          <w:sz w:val="32"/>
          <w:szCs w:val="32"/>
          <w:lang w:val="en-US" w:eastAsia="zh-CN"/>
        </w:rPr>
      </w:pPr>
    </w:p>
    <w:p w14:paraId="556AD3C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431AF922">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4384" behindDoc="1" locked="0" layoutInCell="1" allowOverlap="1">
            <wp:simplePos x="0" y="0"/>
            <wp:positionH relativeFrom="column">
              <wp:posOffset>160020</wp:posOffset>
            </wp:positionH>
            <wp:positionV relativeFrom="paragraph">
              <wp:posOffset>228600</wp:posOffset>
            </wp:positionV>
            <wp:extent cx="5153660" cy="1858645"/>
            <wp:effectExtent l="4445" t="4445" r="8255" b="1143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CC2173C">
      <w:pPr>
        <w:spacing w:line="600" w:lineRule="exact"/>
        <w:ind w:firstLine="640" w:firstLineChars="200"/>
        <w:rPr>
          <w:rFonts w:hint="eastAsia" w:ascii="仿宋" w:hAnsi="仿宋" w:eastAsia="仿宋"/>
          <w:sz w:val="32"/>
          <w:szCs w:val="32"/>
        </w:rPr>
      </w:pPr>
    </w:p>
    <w:p w14:paraId="0B877E03">
      <w:pPr>
        <w:spacing w:line="600" w:lineRule="exact"/>
        <w:ind w:firstLine="640" w:firstLineChars="200"/>
        <w:rPr>
          <w:rFonts w:hint="eastAsia" w:ascii="仿宋" w:hAnsi="仿宋" w:eastAsia="仿宋"/>
          <w:sz w:val="32"/>
          <w:szCs w:val="32"/>
        </w:rPr>
      </w:pPr>
    </w:p>
    <w:p w14:paraId="3E2F95C1">
      <w:pPr>
        <w:spacing w:line="600" w:lineRule="exact"/>
        <w:ind w:firstLine="640" w:firstLineChars="200"/>
        <w:rPr>
          <w:rFonts w:hint="eastAsia" w:ascii="仿宋" w:hAnsi="仿宋" w:eastAsia="仿宋"/>
          <w:sz w:val="32"/>
          <w:szCs w:val="32"/>
        </w:rPr>
      </w:pPr>
    </w:p>
    <w:p w14:paraId="50B566AC">
      <w:pPr>
        <w:spacing w:line="600" w:lineRule="exact"/>
        <w:ind w:firstLine="640" w:firstLineChars="200"/>
        <w:rPr>
          <w:rFonts w:hint="eastAsia" w:ascii="仿宋" w:hAnsi="仿宋" w:eastAsia="仿宋"/>
          <w:sz w:val="32"/>
          <w:szCs w:val="32"/>
        </w:rPr>
      </w:pPr>
    </w:p>
    <w:p w14:paraId="006120F5">
      <w:pPr>
        <w:spacing w:line="600" w:lineRule="exact"/>
        <w:ind w:firstLine="640" w:firstLineChars="200"/>
        <w:rPr>
          <w:rFonts w:hint="eastAsia" w:ascii="仿宋" w:hAnsi="仿宋" w:eastAsia="仿宋"/>
          <w:sz w:val="32"/>
          <w:szCs w:val="32"/>
        </w:rPr>
      </w:pPr>
    </w:p>
    <w:p w14:paraId="42449D9E">
      <w:pPr>
        <w:spacing w:line="600" w:lineRule="exact"/>
        <w:ind w:firstLine="640" w:firstLineChars="200"/>
        <w:rPr>
          <w:rFonts w:hint="eastAsia" w:ascii="仿宋" w:hAnsi="仿宋" w:eastAsia="仿宋"/>
          <w:sz w:val="32"/>
          <w:szCs w:val="32"/>
        </w:rPr>
      </w:pPr>
    </w:p>
    <w:p w14:paraId="162AB246">
      <w:pPr>
        <w:spacing w:line="600" w:lineRule="exact"/>
        <w:ind w:firstLine="640" w:firstLineChars="200"/>
        <w:rPr>
          <w:rFonts w:ascii="仿宋" w:hAnsi="仿宋" w:eastAsia="仿宋"/>
          <w:sz w:val="32"/>
          <w:szCs w:val="32"/>
        </w:rPr>
      </w:pPr>
    </w:p>
    <w:p w14:paraId="6593D2FE">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A6BD9AF">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543.79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421.3</w:t>
      </w:r>
      <w:r>
        <w:rPr>
          <w:rFonts w:hint="eastAsia" w:ascii="仿宋" w:hAnsi="仿宋" w:eastAsia="仿宋"/>
          <w:sz w:val="32"/>
          <w:szCs w:val="32"/>
        </w:rPr>
        <w:t>万元，占</w:t>
      </w:r>
      <w:r>
        <w:rPr>
          <w:rFonts w:hint="eastAsia" w:ascii="仿宋" w:hAnsi="仿宋" w:eastAsia="仿宋"/>
          <w:sz w:val="32"/>
          <w:szCs w:val="32"/>
          <w:lang w:val="en-US" w:eastAsia="zh-CN"/>
        </w:rPr>
        <w:t>77.47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93.81</w:t>
      </w:r>
      <w:r>
        <w:rPr>
          <w:rFonts w:hint="eastAsia" w:ascii="仿宋" w:hAnsi="仿宋" w:eastAsia="仿宋"/>
          <w:sz w:val="32"/>
          <w:szCs w:val="32"/>
        </w:rPr>
        <w:t>万元，占</w:t>
      </w:r>
      <w:r>
        <w:rPr>
          <w:rFonts w:hint="eastAsia" w:ascii="仿宋" w:hAnsi="仿宋" w:eastAsia="仿宋"/>
          <w:sz w:val="32"/>
          <w:szCs w:val="32"/>
          <w:lang w:val="en-US" w:eastAsia="zh-CN"/>
        </w:rPr>
        <w:t>17.25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17.75</w:t>
      </w:r>
      <w:r>
        <w:rPr>
          <w:rFonts w:hint="eastAsia" w:ascii="仿宋" w:hAnsi="仿宋" w:eastAsia="仿宋"/>
          <w:sz w:val="32"/>
          <w:szCs w:val="32"/>
        </w:rPr>
        <w:t>万元，占</w:t>
      </w:r>
      <w:r>
        <w:rPr>
          <w:rFonts w:hint="eastAsia" w:ascii="仿宋" w:hAnsi="仿宋" w:eastAsia="仿宋"/>
          <w:sz w:val="32"/>
          <w:szCs w:val="32"/>
          <w:lang w:val="en-US" w:eastAsia="zh-CN"/>
        </w:rPr>
        <w:t>3.26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10.92</w:t>
      </w:r>
      <w:r>
        <w:rPr>
          <w:rFonts w:hint="eastAsia" w:ascii="仿宋" w:hAnsi="仿宋" w:eastAsia="仿宋"/>
          <w:sz w:val="32"/>
          <w:szCs w:val="32"/>
        </w:rPr>
        <w:t>万元，占</w:t>
      </w:r>
      <w:r>
        <w:rPr>
          <w:rFonts w:hint="eastAsia" w:ascii="仿宋" w:hAnsi="仿宋" w:eastAsia="仿宋"/>
          <w:sz w:val="32"/>
          <w:szCs w:val="32"/>
          <w:lang w:val="en-US" w:eastAsia="zh-CN"/>
        </w:rPr>
        <w:t>2.01</w:t>
      </w:r>
      <w:r>
        <w:rPr>
          <w:rFonts w:ascii="仿宋" w:hAnsi="仿宋" w:eastAsia="仿宋"/>
          <w:sz w:val="32"/>
          <w:szCs w:val="32"/>
        </w:rPr>
        <w:t>%</w:t>
      </w:r>
      <w:r>
        <w:rPr>
          <w:rFonts w:hint="eastAsia" w:ascii="仿宋" w:hAnsi="仿宋" w:eastAsia="仿宋"/>
          <w:sz w:val="32"/>
          <w:szCs w:val="32"/>
        </w:rPr>
        <w:t>。</w:t>
      </w:r>
    </w:p>
    <w:p w14:paraId="109E2EE8">
      <w:pPr>
        <w:spacing w:line="600" w:lineRule="exact"/>
        <w:rPr>
          <w:rFonts w:ascii="仿宋" w:hAnsi="仿宋" w:eastAsia="仿宋"/>
          <w:sz w:val="32"/>
          <w:szCs w:val="32"/>
        </w:rPr>
      </w:pPr>
    </w:p>
    <w:p w14:paraId="091C65B5">
      <w:pPr>
        <w:spacing w:line="600" w:lineRule="exact"/>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45D1745F">
      <w:pPr>
        <w:spacing w:line="600" w:lineRule="exact"/>
        <w:ind w:firstLine="640" w:firstLineChars="200"/>
        <w:rPr>
          <w:rFonts w:hint="eastAsia" w:ascii="仿宋" w:hAnsi="仿宋" w:eastAsia="仿宋"/>
          <w:sz w:val="32"/>
          <w:szCs w:val="32"/>
        </w:rPr>
      </w:pPr>
    </w:p>
    <w:p w14:paraId="26874F4E">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5408" behindDoc="1" locked="0" layoutInCell="1" allowOverlap="1">
            <wp:simplePos x="0" y="0"/>
            <wp:positionH relativeFrom="column">
              <wp:posOffset>144780</wp:posOffset>
            </wp:positionH>
            <wp:positionV relativeFrom="paragraph">
              <wp:posOffset>7620</wp:posOffset>
            </wp:positionV>
            <wp:extent cx="5110480" cy="2152015"/>
            <wp:effectExtent l="4445" t="4445" r="5715" b="762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0AA55C7">
      <w:pPr>
        <w:spacing w:line="600" w:lineRule="exact"/>
        <w:ind w:firstLine="640" w:firstLineChars="200"/>
        <w:rPr>
          <w:rFonts w:hint="eastAsia" w:ascii="仿宋" w:hAnsi="仿宋" w:eastAsia="仿宋"/>
          <w:sz w:val="32"/>
          <w:szCs w:val="32"/>
        </w:rPr>
      </w:pPr>
    </w:p>
    <w:p w14:paraId="5DA76714">
      <w:pPr>
        <w:spacing w:line="600" w:lineRule="exact"/>
        <w:ind w:firstLine="640" w:firstLineChars="200"/>
        <w:rPr>
          <w:rFonts w:hint="eastAsia" w:ascii="仿宋" w:hAnsi="仿宋" w:eastAsia="仿宋"/>
          <w:sz w:val="32"/>
          <w:szCs w:val="32"/>
        </w:rPr>
      </w:pPr>
    </w:p>
    <w:p w14:paraId="258AB792">
      <w:pPr>
        <w:spacing w:line="600" w:lineRule="exact"/>
        <w:ind w:firstLine="640" w:firstLineChars="200"/>
        <w:rPr>
          <w:rFonts w:hint="eastAsia" w:ascii="仿宋" w:hAnsi="仿宋" w:eastAsia="仿宋"/>
          <w:sz w:val="32"/>
          <w:szCs w:val="32"/>
        </w:rPr>
      </w:pPr>
    </w:p>
    <w:p w14:paraId="42588CC7">
      <w:pPr>
        <w:spacing w:line="600" w:lineRule="exact"/>
        <w:outlineLvl w:val="2"/>
        <w:rPr>
          <w:rFonts w:hint="eastAsia" w:ascii="仿宋" w:hAnsi="仿宋" w:eastAsia="仿宋"/>
          <w:b/>
          <w:sz w:val="32"/>
          <w:szCs w:val="32"/>
        </w:rPr>
      </w:pPr>
      <w:bookmarkStart w:id="30" w:name="_Toc15377212"/>
    </w:p>
    <w:p w14:paraId="0AD58494">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14:paraId="6290C810">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543.79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6C9C6B10">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教育支出（205）普通教育（02）</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万元，完成预算100%。</w:t>
      </w:r>
    </w:p>
    <w:p w14:paraId="0337F1FE">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2.</w:t>
      </w:r>
      <w:r>
        <w:rPr>
          <w:rFonts w:hint="eastAsia" w:ascii="仿宋_GB2312" w:hAnsi="仿宋_GB2312" w:eastAsia="仿宋_GB2312" w:cs="仿宋_GB2312"/>
          <w:sz w:val="32"/>
          <w:szCs w:val="32"/>
        </w:rPr>
        <w:t>教育支出（205）普通教育（02）</w:t>
      </w:r>
      <w:r>
        <w:rPr>
          <w:rFonts w:hint="eastAsia" w:hAnsi="仿宋_GB2312" w:cs="仿宋_GB2312"/>
          <w:sz w:val="32"/>
          <w:szCs w:val="32"/>
          <w:lang w:val="en-US" w:eastAsia="zh-CN"/>
        </w:rPr>
        <w:t>小学</w:t>
      </w:r>
      <w:r>
        <w:rPr>
          <w:rFonts w:hint="eastAsia" w:ascii="仿宋_GB2312" w:hAnsi="仿宋_GB2312" w:eastAsia="仿宋_GB2312" w:cs="仿宋_GB2312"/>
          <w:sz w:val="32"/>
          <w:szCs w:val="32"/>
        </w:rPr>
        <w:t>教育（0</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417.39</w:t>
      </w:r>
      <w:r>
        <w:rPr>
          <w:rFonts w:hint="eastAsia" w:ascii="仿宋_GB2312" w:hAnsi="仿宋_GB2312" w:eastAsia="仿宋_GB2312" w:cs="仿宋_GB2312"/>
          <w:sz w:val="32"/>
          <w:szCs w:val="32"/>
        </w:rPr>
        <w:t>万元，完成预算100%。</w:t>
      </w:r>
    </w:p>
    <w:p w14:paraId="2ED13A82">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.社会保障和就业支出（208）行政事业单位养老支出（05）机关事业单位基本养老保险缴费支出（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34.65</w:t>
      </w:r>
      <w:r>
        <w:rPr>
          <w:rFonts w:hint="eastAsia" w:ascii="仿宋_GB2312" w:hAnsi="仿宋_GB2312" w:eastAsia="仿宋_GB2312" w:cs="仿宋_GB2312"/>
          <w:sz w:val="32"/>
          <w:szCs w:val="32"/>
        </w:rPr>
        <w:t>万元，完成预算100%。</w:t>
      </w:r>
    </w:p>
    <w:p w14:paraId="16A67B72">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.社会保障和就业支出（208）行政事业单位养老支出（05）其他行政事业单位养老支出（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54.63</w:t>
      </w:r>
      <w:r>
        <w:rPr>
          <w:rFonts w:hint="eastAsia" w:ascii="仿宋_GB2312" w:hAnsi="仿宋_GB2312" w:eastAsia="仿宋_GB2312" w:cs="仿宋_GB2312"/>
          <w:sz w:val="32"/>
          <w:szCs w:val="32"/>
        </w:rPr>
        <w:t>万元，完成预算100%。</w:t>
      </w:r>
    </w:p>
    <w:p w14:paraId="32741E9C">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.社会保障和就业支出（208）</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死亡抚恤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4.53</w:t>
      </w:r>
      <w:r>
        <w:rPr>
          <w:rFonts w:hint="eastAsia" w:ascii="仿宋_GB2312" w:hAnsi="仿宋_GB2312" w:eastAsia="仿宋_GB2312" w:cs="仿宋_GB2312"/>
          <w:sz w:val="32"/>
          <w:szCs w:val="32"/>
        </w:rPr>
        <w:t>万元，完成预算100%。</w:t>
      </w:r>
    </w:p>
    <w:p w14:paraId="734300E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.卫生健康（210）行政事业单位医疗（11）事业单位医疗（02）：支出决算为</w:t>
      </w:r>
      <w:r>
        <w:rPr>
          <w:rFonts w:hint="eastAsia" w:ascii="仿宋_GB2312" w:hAnsi="仿宋_GB2312" w:eastAsia="仿宋_GB2312" w:cs="仿宋_GB2312"/>
          <w:sz w:val="32"/>
          <w:szCs w:val="32"/>
          <w:lang w:val="en-US" w:eastAsia="zh-CN"/>
        </w:rPr>
        <w:t>17.75</w:t>
      </w:r>
      <w:r>
        <w:rPr>
          <w:rFonts w:hint="eastAsia" w:ascii="仿宋_GB2312" w:hAnsi="仿宋_GB2312" w:eastAsia="仿宋_GB2312" w:cs="仿宋_GB2312"/>
          <w:sz w:val="32"/>
          <w:szCs w:val="32"/>
        </w:rPr>
        <w:t>万元，完成预算100%。</w:t>
      </w:r>
    </w:p>
    <w:p w14:paraId="38F65BF2">
      <w:pPr>
        <w:spacing w:line="578" w:lineRule="exact"/>
        <w:ind w:firstLine="640" w:firstLineChars="200"/>
        <w:rPr>
          <w:rFonts w:ascii="仿宋" w:hAnsi="仿宋" w:eastAsia="仿宋"/>
          <w:b/>
          <w:sz w:val="32"/>
          <w:szCs w:val="32"/>
        </w:rPr>
      </w:pPr>
      <w:r>
        <w:rPr>
          <w:rFonts w:hint="eastAsia" w:ascii="仿宋_GB2312" w:hAnsi="仿宋_GB2312" w:eastAsia="仿宋_GB2312" w:cs="仿宋_GB2312"/>
          <w:sz w:val="32"/>
          <w:szCs w:val="32"/>
          <w:lang w:val="en-US" w:eastAsia="zh-CN"/>
        </w:rPr>
        <w:t>8.住房保障支出（221）住房改革支出（02）住房公积金（01）：</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10.92</w:t>
      </w:r>
      <w:r>
        <w:rPr>
          <w:rFonts w:hint="eastAsia" w:ascii="仿宋_GB2312" w:hAnsi="仿宋_GB2312" w:eastAsia="仿宋_GB2312" w:cs="仿宋_GB2312"/>
          <w:sz w:val="32"/>
          <w:szCs w:val="32"/>
        </w:rPr>
        <w:t>万元，完成预算100%。</w:t>
      </w:r>
    </w:p>
    <w:p w14:paraId="3C0EFF6F">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2FB938A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535.75</w:t>
      </w:r>
      <w:r>
        <w:rPr>
          <w:rFonts w:hint="eastAsia" w:ascii="仿宋" w:hAnsi="仿宋" w:eastAsia="仿宋"/>
          <w:sz w:val="32"/>
          <w:szCs w:val="32"/>
        </w:rPr>
        <w:t>万元，其中：</w:t>
      </w:r>
    </w:p>
    <w:p w14:paraId="6EDA9A94">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453.36</w:t>
      </w:r>
      <w:r>
        <w:rPr>
          <w:rFonts w:hint="eastAsia" w:ascii="仿宋" w:hAnsi="仿宋" w:eastAsia="仿宋"/>
          <w:sz w:val="32"/>
          <w:szCs w:val="32"/>
        </w:rPr>
        <w:t>万元，主要包括：基本工资</w:t>
      </w:r>
      <w:r>
        <w:rPr>
          <w:rFonts w:hint="eastAsia" w:ascii="仿宋" w:hAnsi="仿宋" w:eastAsia="仿宋"/>
          <w:sz w:val="32"/>
          <w:szCs w:val="32"/>
          <w:lang w:val="en-US" w:eastAsia="zh-CN"/>
        </w:rPr>
        <w:t>120.43万元</w:t>
      </w:r>
      <w:r>
        <w:rPr>
          <w:rFonts w:hint="eastAsia" w:ascii="仿宋" w:hAnsi="仿宋" w:eastAsia="仿宋"/>
          <w:sz w:val="32"/>
          <w:szCs w:val="32"/>
        </w:rPr>
        <w:t>、津贴补贴</w:t>
      </w:r>
      <w:r>
        <w:rPr>
          <w:rFonts w:hint="eastAsia" w:ascii="仿宋" w:hAnsi="仿宋" w:eastAsia="仿宋"/>
          <w:sz w:val="32"/>
          <w:szCs w:val="32"/>
          <w:lang w:val="en-US" w:eastAsia="zh-CN"/>
        </w:rPr>
        <w:t>26.95万元</w:t>
      </w:r>
      <w:r>
        <w:rPr>
          <w:rFonts w:hint="eastAsia" w:ascii="仿宋" w:hAnsi="仿宋" w:eastAsia="仿宋"/>
          <w:sz w:val="32"/>
          <w:szCs w:val="32"/>
        </w:rPr>
        <w:t>、绩效工资</w:t>
      </w:r>
      <w:r>
        <w:rPr>
          <w:rFonts w:hint="eastAsia" w:ascii="仿宋" w:hAnsi="仿宋" w:eastAsia="仿宋"/>
          <w:sz w:val="32"/>
          <w:szCs w:val="32"/>
          <w:lang w:val="en-US" w:eastAsia="zh-CN"/>
        </w:rPr>
        <w:t>81.97万元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34.65万元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17.75万元、</w:t>
      </w:r>
      <w:r>
        <w:rPr>
          <w:rFonts w:hint="eastAsia" w:ascii="仿宋" w:hAnsi="仿宋" w:eastAsia="仿宋"/>
          <w:sz w:val="32"/>
          <w:szCs w:val="32"/>
        </w:rPr>
        <w:t>住房公积金</w:t>
      </w:r>
      <w:r>
        <w:rPr>
          <w:rFonts w:hint="eastAsia" w:ascii="仿宋" w:hAnsi="仿宋" w:eastAsia="仿宋"/>
          <w:sz w:val="32"/>
          <w:szCs w:val="32"/>
          <w:lang w:val="en-US" w:eastAsia="zh-CN"/>
        </w:rPr>
        <w:t>10.92万元、</w:t>
      </w:r>
      <w:r>
        <w:rPr>
          <w:rFonts w:hint="eastAsia" w:ascii="仿宋" w:hAnsi="仿宋" w:eastAsia="仿宋"/>
          <w:sz w:val="32"/>
          <w:szCs w:val="32"/>
        </w:rPr>
        <w:t>其他工资福利支出</w:t>
      </w:r>
      <w:r>
        <w:rPr>
          <w:rFonts w:hint="eastAsia" w:ascii="仿宋" w:hAnsi="仿宋" w:eastAsia="仿宋"/>
          <w:sz w:val="32"/>
          <w:szCs w:val="32"/>
          <w:lang w:val="en-US" w:eastAsia="zh-CN"/>
        </w:rPr>
        <w:t>104.08万元</w:t>
      </w:r>
      <w:r>
        <w:rPr>
          <w:rFonts w:hint="eastAsia" w:ascii="仿宋" w:hAnsi="仿宋" w:eastAsia="仿宋"/>
          <w:sz w:val="32"/>
          <w:szCs w:val="32"/>
        </w:rPr>
        <w:t>、抚恤金</w:t>
      </w:r>
      <w:r>
        <w:rPr>
          <w:rFonts w:hint="eastAsia" w:ascii="仿宋" w:hAnsi="仿宋" w:eastAsia="仿宋"/>
          <w:sz w:val="32"/>
          <w:szCs w:val="32"/>
          <w:lang w:val="en-US" w:eastAsia="zh-CN"/>
        </w:rPr>
        <w:t>4.53万元</w:t>
      </w:r>
      <w:r>
        <w:rPr>
          <w:rFonts w:hint="eastAsia" w:ascii="仿宋" w:hAnsi="仿宋" w:eastAsia="仿宋"/>
          <w:sz w:val="32"/>
          <w:szCs w:val="32"/>
        </w:rPr>
        <w:t>、生活补助</w:t>
      </w:r>
      <w:r>
        <w:rPr>
          <w:rFonts w:hint="eastAsia" w:ascii="仿宋" w:hAnsi="仿宋" w:eastAsia="仿宋"/>
          <w:sz w:val="32"/>
          <w:szCs w:val="32"/>
          <w:lang w:val="en-US" w:eastAsia="zh-CN"/>
        </w:rPr>
        <w:t>51.14万元</w:t>
      </w:r>
      <w:r>
        <w:rPr>
          <w:rFonts w:hint="eastAsia" w:ascii="仿宋" w:hAnsi="仿宋" w:eastAsia="仿宋"/>
          <w:sz w:val="32"/>
          <w:szCs w:val="32"/>
        </w:rPr>
        <w:t>、</w:t>
      </w:r>
      <w:r>
        <w:rPr>
          <w:rFonts w:hint="eastAsia" w:ascii="仿宋" w:hAnsi="仿宋" w:eastAsia="仿宋"/>
          <w:sz w:val="32"/>
          <w:szCs w:val="32"/>
          <w:lang w:val="en-US" w:eastAsia="zh-CN"/>
        </w:rPr>
        <w:t>助学金0.89万元</w:t>
      </w:r>
      <w:r>
        <w:rPr>
          <w:rFonts w:hint="eastAsia" w:ascii="仿宋" w:hAnsi="仿宋" w:eastAsia="仿宋"/>
          <w:sz w:val="32"/>
          <w:szCs w:val="32"/>
        </w:rPr>
        <w:t>、奖励金</w:t>
      </w:r>
      <w:r>
        <w:rPr>
          <w:rFonts w:hint="eastAsia" w:ascii="仿宋" w:hAnsi="仿宋" w:eastAsia="仿宋"/>
          <w:sz w:val="32"/>
          <w:szCs w:val="32"/>
          <w:lang w:val="en-US" w:eastAsia="zh-CN"/>
        </w:rPr>
        <w:t>0.05万元</w:t>
      </w:r>
      <w:r>
        <w:rPr>
          <w:rFonts w:hint="eastAsia" w:ascii="仿宋" w:hAnsi="仿宋" w:eastAsia="仿宋"/>
          <w:sz w:val="32"/>
          <w:szCs w:val="32"/>
        </w:rPr>
        <w:t>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82.39</w:t>
      </w:r>
      <w:r>
        <w:rPr>
          <w:rFonts w:hint="eastAsia" w:ascii="仿宋" w:hAnsi="仿宋" w:eastAsia="仿宋"/>
          <w:sz w:val="32"/>
          <w:szCs w:val="32"/>
        </w:rPr>
        <w:t>万元，主要包括：办公费</w:t>
      </w:r>
      <w:r>
        <w:rPr>
          <w:rFonts w:hint="eastAsia" w:ascii="仿宋" w:hAnsi="仿宋" w:eastAsia="仿宋"/>
          <w:sz w:val="32"/>
          <w:szCs w:val="32"/>
          <w:lang w:val="en-US" w:eastAsia="zh-CN"/>
        </w:rPr>
        <w:t>47.42万元</w:t>
      </w:r>
      <w:r>
        <w:rPr>
          <w:rFonts w:hint="eastAsia" w:ascii="仿宋" w:hAnsi="仿宋" w:eastAsia="仿宋"/>
          <w:sz w:val="32"/>
          <w:szCs w:val="32"/>
        </w:rPr>
        <w:t>、电费</w:t>
      </w:r>
      <w:r>
        <w:rPr>
          <w:rFonts w:hint="eastAsia" w:ascii="仿宋" w:hAnsi="仿宋" w:eastAsia="仿宋"/>
          <w:sz w:val="32"/>
          <w:szCs w:val="32"/>
          <w:lang w:val="en-US" w:eastAsia="zh-CN"/>
        </w:rPr>
        <w:t>0.92万元</w:t>
      </w:r>
      <w:r>
        <w:rPr>
          <w:rFonts w:hint="eastAsia" w:ascii="仿宋" w:hAnsi="仿宋" w:eastAsia="仿宋"/>
          <w:sz w:val="32"/>
          <w:szCs w:val="32"/>
        </w:rPr>
        <w:t>、邮电费</w:t>
      </w:r>
      <w:r>
        <w:rPr>
          <w:rFonts w:hint="eastAsia" w:ascii="仿宋" w:hAnsi="仿宋" w:eastAsia="仿宋"/>
          <w:sz w:val="32"/>
          <w:szCs w:val="32"/>
          <w:lang w:val="en-US" w:eastAsia="zh-CN"/>
        </w:rPr>
        <w:t>0.75万元</w:t>
      </w:r>
      <w:r>
        <w:rPr>
          <w:rFonts w:hint="eastAsia" w:ascii="仿宋" w:hAnsi="仿宋" w:eastAsia="仿宋"/>
          <w:sz w:val="32"/>
          <w:szCs w:val="32"/>
        </w:rPr>
        <w:t>、差旅费</w:t>
      </w:r>
      <w:r>
        <w:rPr>
          <w:rFonts w:hint="eastAsia" w:ascii="仿宋" w:hAnsi="仿宋" w:eastAsia="仿宋"/>
          <w:sz w:val="32"/>
          <w:szCs w:val="32"/>
          <w:lang w:val="en-US" w:eastAsia="zh-CN"/>
        </w:rPr>
        <w:t>1.18万元</w:t>
      </w:r>
      <w:r>
        <w:rPr>
          <w:rFonts w:hint="eastAsia" w:ascii="仿宋" w:hAnsi="仿宋" w:eastAsia="仿宋"/>
          <w:sz w:val="32"/>
          <w:szCs w:val="32"/>
        </w:rPr>
        <w:t>、会议费</w:t>
      </w:r>
      <w:r>
        <w:rPr>
          <w:rFonts w:hint="eastAsia" w:ascii="仿宋" w:hAnsi="仿宋" w:eastAsia="仿宋"/>
          <w:sz w:val="32"/>
          <w:szCs w:val="32"/>
          <w:lang w:val="en-US" w:eastAsia="zh-CN"/>
        </w:rPr>
        <w:t>0.14万元</w:t>
      </w:r>
      <w:r>
        <w:rPr>
          <w:rFonts w:hint="eastAsia" w:ascii="仿宋" w:hAnsi="仿宋" w:eastAsia="仿宋"/>
          <w:sz w:val="32"/>
          <w:szCs w:val="32"/>
        </w:rPr>
        <w:t>、培训费</w:t>
      </w:r>
      <w:r>
        <w:rPr>
          <w:rFonts w:hint="eastAsia" w:ascii="仿宋" w:hAnsi="仿宋" w:eastAsia="仿宋"/>
          <w:sz w:val="32"/>
          <w:szCs w:val="32"/>
          <w:lang w:val="en-US" w:eastAsia="zh-CN"/>
        </w:rPr>
        <w:t>0.04万元</w:t>
      </w:r>
      <w:r>
        <w:rPr>
          <w:rFonts w:hint="eastAsia" w:ascii="仿宋" w:hAnsi="仿宋" w:eastAsia="仿宋"/>
          <w:sz w:val="32"/>
          <w:szCs w:val="32"/>
        </w:rPr>
        <w:t>、劳务费</w:t>
      </w:r>
      <w:r>
        <w:rPr>
          <w:rFonts w:hint="eastAsia" w:ascii="仿宋" w:hAnsi="仿宋" w:eastAsia="仿宋"/>
          <w:sz w:val="32"/>
          <w:szCs w:val="32"/>
          <w:lang w:val="en-US" w:eastAsia="zh-CN"/>
        </w:rPr>
        <w:t>1.55万元</w:t>
      </w:r>
      <w:r>
        <w:rPr>
          <w:rFonts w:hint="eastAsia" w:ascii="仿宋" w:hAnsi="仿宋" w:eastAsia="仿宋"/>
          <w:sz w:val="32"/>
          <w:szCs w:val="32"/>
        </w:rPr>
        <w:t>、委托业务费</w:t>
      </w:r>
      <w:r>
        <w:rPr>
          <w:rFonts w:hint="eastAsia" w:ascii="仿宋" w:hAnsi="仿宋" w:eastAsia="仿宋"/>
          <w:sz w:val="32"/>
          <w:szCs w:val="32"/>
          <w:lang w:val="en-US" w:eastAsia="zh-CN"/>
        </w:rPr>
        <w:t>0.2万元</w:t>
      </w:r>
      <w:r>
        <w:rPr>
          <w:rFonts w:hint="eastAsia" w:ascii="仿宋" w:hAnsi="仿宋" w:eastAsia="仿宋"/>
          <w:sz w:val="32"/>
          <w:szCs w:val="32"/>
        </w:rPr>
        <w:t>、工会经费</w:t>
      </w:r>
      <w:r>
        <w:rPr>
          <w:rFonts w:hint="eastAsia" w:ascii="仿宋" w:hAnsi="仿宋" w:eastAsia="仿宋"/>
          <w:sz w:val="32"/>
          <w:szCs w:val="32"/>
          <w:lang w:val="en-US" w:eastAsia="zh-CN"/>
        </w:rPr>
        <w:t>8.55万元</w:t>
      </w:r>
      <w:r>
        <w:rPr>
          <w:rFonts w:hint="eastAsia" w:ascii="仿宋" w:hAnsi="仿宋" w:eastAsia="仿宋"/>
          <w:sz w:val="32"/>
          <w:szCs w:val="32"/>
        </w:rPr>
        <w:t>、福利费</w:t>
      </w:r>
      <w:r>
        <w:rPr>
          <w:rFonts w:hint="eastAsia" w:ascii="仿宋" w:hAnsi="仿宋" w:eastAsia="仿宋"/>
          <w:sz w:val="32"/>
          <w:szCs w:val="32"/>
          <w:lang w:val="en-US" w:eastAsia="zh-CN"/>
        </w:rPr>
        <w:t>8.44万元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13.21万元</w:t>
      </w:r>
      <w:r>
        <w:rPr>
          <w:rFonts w:hint="eastAsia" w:ascii="仿宋" w:hAnsi="仿宋" w:eastAsia="仿宋"/>
          <w:sz w:val="32"/>
          <w:szCs w:val="32"/>
        </w:rPr>
        <w:t>支出等。</w:t>
      </w:r>
    </w:p>
    <w:p w14:paraId="3AE47167">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7F5F6E0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23451CC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，与预算数持平。</w:t>
      </w:r>
    </w:p>
    <w:p w14:paraId="0919B95A">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E1ABB4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734412F">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5C560B08">
      <w:pPr>
        <w:spacing w:line="600" w:lineRule="exact"/>
        <w:ind w:firstLine="640"/>
        <w:rPr>
          <w:rFonts w:hint="eastAsia" w:ascii="仿宋" w:hAnsi="仿宋" w:eastAsia="仿宋"/>
          <w:sz w:val="32"/>
          <w:szCs w:val="32"/>
        </w:rPr>
      </w:pPr>
    </w:p>
    <w:p w14:paraId="09B619C5">
      <w:pPr>
        <w:spacing w:line="600" w:lineRule="exact"/>
        <w:ind w:firstLine="640"/>
        <w:rPr>
          <w:rFonts w:hint="eastAsia" w:ascii="仿宋" w:hAnsi="仿宋" w:eastAsia="仿宋"/>
          <w:sz w:val="32"/>
          <w:szCs w:val="32"/>
        </w:rPr>
      </w:pPr>
      <w:r>
        <w:rPr>
          <w:rFonts w:hint="eastAsia"/>
        </w:rPr>
        <w:drawing>
          <wp:anchor distT="0" distB="0" distL="114300" distR="114300" simplePos="0" relativeHeight="251666432" behindDoc="1" locked="0" layoutInCell="1" allowOverlap="1">
            <wp:simplePos x="0" y="0"/>
            <wp:positionH relativeFrom="column">
              <wp:posOffset>822960</wp:posOffset>
            </wp:positionH>
            <wp:positionV relativeFrom="paragraph">
              <wp:posOffset>-173355</wp:posOffset>
            </wp:positionV>
            <wp:extent cx="3422650" cy="1836420"/>
            <wp:effectExtent l="4445" t="4445" r="17145" b="4889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3C4B137">
      <w:pPr>
        <w:spacing w:line="600" w:lineRule="exact"/>
        <w:ind w:firstLine="640"/>
        <w:rPr>
          <w:rFonts w:hint="eastAsia" w:ascii="仿宋" w:hAnsi="仿宋" w:eastAsia="仿宋"/>
          <w:sz w:val="32"/>
          <w:szCs w:val="32"/>
        </w:rPr>
      </w:pPr>
    </w:p>
    <w:p w14:paraId="25D8324E">
      <w:pPr>
        <w:spacing w:line="600" w:lineRule="exact"/>
        <w:rPr>
          <w:rFonts w:hint="eastAsia" w:ascii="仿宋" w:hAnsi="仿宋" w:eastAsia="仿宋"/>
          <w:sz w:val="32"/>
          <w:szCs w:val="32"/>
        </w:rPr>
      </w:pPr>
    </w:p>
    <w:p w14:paraId="3DB30BCF">
      <w:pPr>
        <w:numPr>
          <w:ilvl w:val="0"/>
          <w:numId w:val="3"/>
        </w:numPr>
        <w:spacing w:line="600" w:lineRule="exact"/>
        <w:ind w:firstLine="640"/>
        <w:rPr>
          <w:rFonts w:hint="eastAsia" w:ascii="仿宋_GB2312" w:eastAsia="仿宋_GB2312"/>
          <w:sz w:val="32"/>
          <w:szCs w:val="32"/>
          <w:lang w:val="en-US" w:eastAsia="zh-CN"/>
        </w:rPr>
      </w:pPr>
      <w:bookmarkStart w:id="40" w:name="_Toc15396610"/>
      <w:bookmarkStart w:id="41"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0</w:t>
      </w:r>
    </w:p>
    <w:p w14:paraId="4ED47FE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A1DF47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4D3713CB">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07E14B5B">
      <w:pPr>
        <w:numPr>
          <w:ilvl w:val="0"/>
          <w:numId w:val="0"/>
        </w:numPr>
        <w:spacing w:line="600" w:lineRule="exact"/>
        <w:ind w:left="640" w:leftChars="0"/>
        <w:rPr>
          <w:rStyle w:val="16"/>
          <w:rFonts w:hint="eastAsia" w:ascii="仿宋" w:hAnsi="仿宋" w:eastAsia="仿宋"/>
          <w:b w:val="0"/>
          <w:bCs/>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p>
    <w:p w14:paraId="49BB562D">
      <w:pPr>
        <w:numPr>
          <w:ilvl w:val="0"/>
          <w:numId w:val="0"/>
        </w:num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3A3E4ED0">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2233B24C">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864413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EBA5EB3">
      <w:pPr>
        <w:numPr>
          <w:ilvl w:val="0"/>
          <w:numId w:val="4"/>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0E2E2B50">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C9015EE">
      <w:pPr>
        <w:numPr>
          <w:ilvl w:val="0"/>
          <w:numId w:val="4"/>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181A0565">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7E2805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大竹县高明镇第二中心小学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p>
    <w:p w14:paraId="387FE89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DFB160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大竹县高明镇第二中心小学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0D0609E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268C5CA">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大竹县高明镇第二中心小学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739D47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6E30F9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14:paraId="5CE8DFD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E2A89A2">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773A7A8">
      <w:pPr>
        <w:spacing w:line="600" w:lineRule="exact"/>
        <w:jc w:val="left"/>
        <w:rPr>
          <w:rFonts w:ascii="宋体"/>
          <w:b/>
          <w:sz w:val="44"/>
          <w:szCs w:val="44"/>
        </w:rPr>
      </w:pPr>
    </w:p>
    <w:p w14:paraId="0345A0D5">
      <w:pPr>
        <w:pStyle w:val="25"/>
        <w:spacing w:line="560" w:lineRule="exact"/>
        <w:ind w:firstLine="640" w:firstLineChars="200"/>
        <w:rPr>
          <w:rFonts w:ascii="仿宋_GB2312" w:eastAsia="仿宋_GB2312"/>
          <w:sz w:val="32"/>
          <w:szCs w:val="32"/>
        </w:rPr>
      </w:pPr>
      <w:bookmarkStart w:id="51" w:name="_Toc15396614"/>
      <w:bookmarkStart w:id="52" w:name="_Toc15377226"/>
      <w:r>
        <w:rPr>
          <w:rFonts w:hint="eastAsia" w:ascii="仿宋_GB2312" w:eastAsia="仿宋_GB2312"/>
          <w:sz w:val="32"/>
          <w:szCs w:val="32"/>
        </w:rPr>
        <w:t>1.财政拨款收入：指单位从同级财政部门取得的财政预算资金。</w:t>
      </w:r>
    </w:p>
    <w:p w14:paraId="761DD93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14:paraId="24D2727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32BCE32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14:paraId="0AA6BDC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38EF9A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1556366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14:paraId="465B514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337F969B">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9.教育支出（205）普通教育（02）</w:t>
      </w:r>
      <w:r>
        <w:rPr>
          <w:rFonts w:hint="eastAsia" w:ascii="仿宋_GB2312" w:eastAsia="仿宋_GB2312"/>
          <w:color w:val="000000"/>
          <w:sz w:val="32"/>
          <w:szCs w:val="32"/>
          <w:lang w:val="en-US" w:eastAsia="zh-CN"/>
        </w:rPr>
        <w:t>学前</w:t>
      </w:r>
      <w:r>
        <w:rPr>
          <w:rFonts w:hint="eastAsia" w:ascii="仿宋_GB2312" w:eastAsia="仿宋_GB2312"/>
          <w:color w:val="000000"/>
          <w:sz w:val="32"/>
          <w:szCs w:val="32"/>
        </w:rPr>
        <w:t>教育（02）：</w:t>
      </w:r>
      <w:r>
        <w:rPr>
          <w:rFonts w:hint="eastAsia" w:ascii="仿宋_GB2312" w:eastAsia="仿宋_GB2312"/>
          <w:color w:val="000000"/>
          <w:sz w:val="32"/>
          <w:szCs w:val="32"/>
          <w:lang w:val="en-US" w:eastAsia="zh-CN"/>
        </w:rPr>
        <w:t>反应各部门举办学前教育支出</w:t>
      </w:r>
      <w:r>
        <w:rPr>
          <w:rFonts w:hint="eastAsia" w:ascii="仿宋_GB2312" w:eastAsia="仿宋_GB2312"/>
          <w:color w:val="000000"/>
          <w:sz w:val="32"/>
          <w:szCs w:val="32"/>
        </w:rPr>
        <w:t>。</w:t>
      </w:r>
    </w:p>
    <w:p w14:paraId="0A70D4BD">
      <w:pPr>
        <w:ind w:firstLine="640" w:firstLineChars="200"/>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.教育支出（205）普通教育（02）小学教育（0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）：指教育支出普通教育中的小学教育取得的财政资金。</w:t>
      </w:r>
    </w:p>
    <w:p w14:paraId="7835951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11.社会保障和就业（208）行政事业单位养老支出（05）事业单位</w:t>
      </w:r>
      <w:r>
        <w:rPr>
          <w:rFonts w:hint="eastAsia" w:ascii="仿宋_GB2312" w:hAnsi="仿宋_GB2312" w:eastAsia="仿宋_GB2312" w:cs="仿宋_GB2312"/>
          <w:sz w:val="32"/>
          <w:szCs w:val="32"/>
          <w:lang w:val="en-US" w:eastAsia="zh-CN"/>
        </w:rPr>
        <w:t>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事业单位开支的离退休经费</w:t>
      </w:r>
      <w:r>
        <w:rPr>
          <w:rFonts w:hint="eastAsia" w:ascii="仿宋_GB2312" w:hAnsi="仿宋_GB2312" w:eastAsia="仿宋_GB2312" w:cs="仿宋_GB2312"/>
          <w:sz w:val="32"/>
          <w:szCs w:val="32"/>
        </w:rPr>
        <w:t>。</w:t>
      </w:r>
    </w:p>
    <w:p w14:paraId="4C77476F">
      <w:pPr>
        <w:ind w:firstLine="640" w:firstLineChars="200"/>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.社会保障和就业（208）行政事业单位养老（05）机关事业单位基本养老保险费（05）：指机关事业单位基本养老保险费取得的财政资金。</w:t>
      </w:r>
    </w:p>
    <w:p w14:paraId="5A321A9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13.卫生健康支出（210）行政事业单位医疗（11）事业单位医疗支出（02）：指医疗保险缴费支出。</w:t>
      </w:r>
    </w:p>
    <w:p w14:paraId="2A41D898">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14.住房保障支出（221）住房改革支出（02）住房公积金（01）：指住房公积金缴费支出。</w:t>
      </w:r>
    </w:p>
    <w:p w14:paraId="7DC845FD">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.基本支出：指为保障机构正常运转、完成日常工作任务而发生的人员支出和公用支出。</w:t>
      </w:r>
    </w:p>
    <w:p w14:paraId="178F75F3">
      <w:pPr>
        <w:pStyle w:val="25"/>
        <w:spacing w:line="560" w:lineRule="exact"/>
        <w:ind w:firstLine="640" w:firstLineChars="200"/>
        <w:rPr>
          <w:rFonts w:ascii="黑体" w:hAnsi="黑体" w:eastAsia="黑体"/>
          <w:sz w:val="44"/>
          <w:szCs w:val="44"/>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BFB55A5">
      <w:pPr>
        <w:rPr>
          <w:rFonts w:ascii="宋体"/>
          <w:b/>
          <w:sz w:val="44"/>
          <w:szCs w:val="44"/>
        </w:rPr>
      </w:pPr>
      <w:r>
        <w:rPr>
          <w:rFonts w:ascii="宋体"/>
          <w:b/>
          <w:sz w:val="44"/>
          <w:szCs w:val="44"/>
        </w:rPr>
        <w:br w:type="page"/>
      </w:r>
    </w:p>
    <w:p w14:paraId="5B29689A">
      <w:pPr>
        <w:rPr>
          <w:rFonts w:ascii="宋体"/>
          <w:b/>
          <w:sz w:val="44"/>
          <w:szCs w:val="44"/>
        </w:rPr>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pPr>
    </w:p>
    <w:bookmarkEnd w:id="51"/>
    <w:tbl>
      <w:tblPr>
        <w:tblStyle w:val="14"/>
        <w:tblW w:w="126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1668"/>
        <w:gridCol w:w="1500"/>
        <w:gridCol w:w="1807"/>
        <w:gridCol w:w="602"/>
        <w:gridCol w:w="1311"/>
        <w:gridCol w:w="601"/>
        <w:gridCol w:w="1269"/>
        <w:gridCol w:w="676"/>
        <w:gridCol w:w="676"/>
        <w:gridCol w:w="2167"/>
      </w:tblGrid>
      <w:tr w14:paraId="600D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0" w:hRule="atLeast"/>
        </w:trPr>
        <w:tc>
          <w:tcPr>
            <w:tcW w:w="11856" w:type="dxa"/>
            <w:gridSpan w:val="11"/>
            <w:tcBorders>
              <w:top w:val="nil"/>
              <w:left w:val="nil"/>
              <w:bottom w:val="nil"/>
              <w:right w:val="nil"/>
            </w:tcBorders>
            <w:shd w:val="clear" w:color="auto" w:fill="auto"/>
            <w:vAlign w:val="center"/>
          </w:tcPr>
          <w:p w14:paraId="7A08A043">
            <w:pPr>
              <w:jc w:val="center"/>
              <w:rPr>
                <w:rStyle w:val="27"/>
                <w:rFonts w:ascii="黑体" w:hAnsi="黑体" w:eastAsia="黑体"/>
                <w:b w:val="0"/>
              </w:rPr>
            </w:pPr>
            <w:bookmarkStart w:id="53" w:name="_Toc15396618"/>
            <w:r>
              <w:rPr>
                <w:rFonts w:hint="eastAsia" w:ascii="黑体" w:hAnsi="黑体" w:eastAsia="黑体"/>
                <w:sz w:val="44"/>
                <w:szCs w:val="44"/>
              </w:rPr>
              <w:t>第</w:t>
            </w:r>
            <w:r>
              <w:rPr>
                <w:rStyle w:val="27"/>
                <w:rFonts w:hint="eastAsia" w:ascii="黑体" w:hAnsi="黑体" w:eastAsia="黑体"/>
                <w:b w:val="0"/>
              </w:rPr>
              <w:t>四部分 附件</w:t>
            </w:r>
          </w:p>
          <w:p w14:paraId="36A6BC07">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bl>
            <w:tblPr>
              <w:tblStyle w:val="14"/>
              <w:tblW w:w="1288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7"/>
              <w:gridCol w:w="1660"/>
              <w:gridCol w:w="1660"/>
              <w:gridCol w:w="2546"/>
              <w:gridCol w:w="1328"/>
              <w:gridCol w:w="1550"/>
              <w:gridCol w:w="996"/>
              <w:gridCol w:w="776"/>
              <w:gridCol w:w="1055"/>
            </w:tblGrid>
            <w:tr w14:paraId="4005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8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EDD448">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609322F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3B8F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8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751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0EA5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8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06F38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A12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97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354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r>
            <w:tr w14:paraId="5D3B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47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B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FD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136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7D90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C91D">
                  <w:pPr>
                    <w:jc w:val="center"/>
                    <w:rPr>
                      <w:rFonts w:hint="eastAsia" w:ascii="宋体" w:hAnsi="宋体" w:eastAsia="宋体" w:cs="宋体"/>
                      <w:i w:val="0"/>
                      <w:iCs w:val="0"/>
                      <w:color w:val="000000"/>
                      <w:sz w:val="18"/>
                      <w:szCs w:val="18"/>
                      <w:u w:val="none"/>
                    </w:rPr>
                  </w:pP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4C9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543.79</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DFD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543.79</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A2C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32A2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5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8D74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1.维护义务教育阶段学生合法利益。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2.促进学生德智体美劳全面发展。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3.提升教师专业水平，引领教师专业成长。</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4.努力提升教育教学水平。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5.塑造和谐安全教育环境。</w:t>
                  </w:r>
                </w:p>
              </w:tc>
            </w:tr>
            <w:tr w14:paraId="1EE4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5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7E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4FA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0614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DFA8">
                  <w:pPr>
                    <w:jc w:val="center"/>
                    <w:rPr>
                      <w:rFonts w:hint="eastAsia" w:ascii="宋体" w:hAnsi="宋体" w:eastAsia="宋体" w:cs="宋体"/>
                      <w:i w:val="0"/>
                      <w:iCs w:val="0"/>
                      <w:color w:val="000000"/>
                      <w:sz w:val="18"/>
                      <w:szCs w:val="18"/>
                      <w:u w:val="none"/>
                    </w:rPr>
                  </w:pP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92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工资福利支出 </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1C8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在职教师基本工资、津补贴、绩效、机保、医保、住房公积金、目标奖等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保障在职教师基本工资、津补贴、绩效工资、社保医保、住房公积金等按时发放或缴纳。</w:t>
                  </w:r>
                </w:p>
              </w:tc>
            </w:tr>
            <w:tr w14:paraId="40F5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AC25A">
                  <w:pPr>
                    <w:jc w:val="center"/>
                    <w:rPr>
                      <w:rFonts w:hint="eastAsia" w:ascii="宋体" w:hAnsi="宋体" w:eastAsia="宋体" w:cs="宋体"/>
                      <w:i w:val="0"/>
                      <w:iCs w:val="0"/>
                      <w:color w:val="000000"/>
                      <w:sz w:val="18"/>
                      <w:szCs w:val="18"/>
                      <w:u w:val="none"/>
                    </w:rPr>
                  </w:pP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A5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商品和服务支出 </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F3C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保障学校各项业务活动的正常开展。</w:t>
                  </w:r>
                </w:p>
              </w:tc>
            </w:tr>
            <w:tr w14:paraId="3247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F8B6">
                  <w:pPr>
                    <w:jc w:val="center"/>
                    <w:rPr>
                      <w:rFonts w:hint="eastAsia" w:ascii="宋体" w:hAnsi="宋体" w:eastAsia="宋体" w:cs="宋体"/>
                      <w:i w:val="0"/>
                      <w:iCs w:val="0"/>
                      <w:color w:val="000000"/>
                      <w:sz w:val="18"/>
                      <w:szCs w:val="18"/>
                      <w:u w:val="none"/>
                    </w:rPr>
                  </w:pP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609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对个人和家庭的补助支出 </w:t>
                  </w:r>
                </w:p>
              </w:tc>
              <w:tc>
                <w:tcPr>
                  <w:tcW w:w="8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6AA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保障退休职工福利待遇、完成控辍保学工作、做好学生资助工作。</w:t>
                  </w:r>
                </w:p>
              </w:tc>
            </w:tr>
            <w:tr w14:paraId="1125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79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4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3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49F5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CA9E">
                  <w:pPr>
                    <w:jc w:val="center"/>
                    <w:rPr>
                      <w:rFonts w:hint="eastAsia" w:ascii="宋体" w:hAnsi="宋体" w:eastAsia="宋体" w:cs="宋体"/>
                      <w:i w:val="0"/>
                      <w:iCs w:val="0"/>
                      <w:color w:val="000000"/>
                      <w:sz w:val="18"/>
                      <w:szCs w:val="18"/>
                      <w:u w:val="none"/>
                    </w:rPr>
                  </w:pP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8C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BF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1A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开展安全法制和思政专题讲座</w:t>
                  </w:r>
                </w:p>
              </w:tc>
              <w:tc>
                <w:tcPr>
                  <w:tcW w:w="1329" w:type="dxa"/>
                  <w:tcBorders>
                    <w:top w:val="single" w:color="000000" w:sz="8" w:space="0"/>
                    <w:left w:val="nil"/>
                    <w:bottom w:val="single" w:color="000000" w:sz="8" w:space="0"/>
                    <w:right w:val="single" w:color="000000" w:sz="8" w:space="0"/>
                  </w:tcBorders>
                  <w:shd w:val="clear" w:color="auto" w:fill="auto"/>
                  <w:vAlign w:val="center"/>
                </w:tcPr>
                <w:p w14:paraId="7F756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single" w:color="000000" w:sz="8" w:space="0"/>
                    <w:left w:val="nil"/>
                    <w:bottom w:val="single" w:color="000000" w:sz="8" w:space="0"/>
                    <w:right w:val="single" w:color="000000" w:sz="8" w:space="0"/>
                  </w:tcBorders>
                  <w:shd w:val="clear" w:color="auto" w:fill="auto"/>
                  <w:vAlign w:val="center"/>
                </w:tcPr>
                <w:p w14:paraId="0A5C1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7" w:type="dxa"/>
                  <w:tcBorders>
                    <w:top w:val="single" w:color="000000" w:sz="8" w:space="0"/>
                    <w:left w:val="nil"/>
                    <w:bottom w:val="single" w:color="000000" w:sz="8" w:space="0"/>
                    <w:right w:val="single" w:color="000000" w:sz="8" w:space="0"/>
                  </w:tcBorders>
                  <w:shd w:val="clear" w:color="auto" w:fill="auto"/>
                  <w:vAlign w:val="center"/>
                </w:tcPr>
                <w:p w14:paraId="59F6A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776" w:type="dxa"/>
                  <w:tcBorders>
                    <w:top w:val="single" w:color="000000" w:sz="8" w:space="0"/>
                    <w:left w:val="nil"/>
                    <w:bottom w:val="single" w:color="000000" w:sz="8" w:space="0"/>
                    <w:right w:val="single" w:color="000000" w:sz="8" w:space="0"/>
                  </w:tcBorders>
                  <w:shd w:val="clear" w:color="auto" w:fill="auto"/>
                  <w:vAlign w:val="center"/>
                </w:tcPr>
                <w:p w14:paraId="0D8DA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5" w:type="dxa"/>
                  <w:tcBorders>
                    <w:top w:val="single" w:color="000000" w:sz="8" w:space="0"/>
                    <w:left w:val="nil"/>
                    <w:bottom w:val="single" w:color="000000" w:sz="8" w:space="0"/>
                    <w:right w:val="single" w:color="000000" w:sz="8" w:space="0"/>
                  </w:tcBorders>
                  <w:shd w:val="clear" w:color="auto" w:fill="auto"/>
                  <w:vAlign w:val="center"/>
                </w:tcPr>
                <w:p w14:paraId="67A9B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4CD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C22F">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1C62">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095CE">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037C8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开展家校活动和课外实践活动</w:t>
                  </w:r>
                </w:p>
              </w:tc>
              <w:tc>
                <w:tcPr>
                  <w:tcW w:w="1329" w:type="dxa"/>
                  <w:tcBorders>
                    <w:top w:val="nil"/>
                    <w:left w:val="nil"/>
                    <w:bottom w:val="single" w:color="000000" w:sz="8" w:space="0"/>
                    <w:right w:val="single" w:color="000000" w:sz="8" w:space="0"/>
                  </w:tcBorders>
                  <w:shd w:val="clear" w:color="auto" w:fill="auto"/>
                  <w:vAlign w:val="center"/>
                </w:tcPr>
                <w:p w14:paraId="53AF3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1C0FE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7" w:type="dxa"/>
                  <w:tcBorders>
                    <w:top w:val="nil"/>
                    <w:left w:val="nil"/>
                    <w:bottom w:val="single" w:color="000000" w:sz="8" w:space="0"/>
                    <w:right w:val="single" w:color="000000" w:sz="8" w:space="0"/>
                  </w:tcBorders>
                  <w:shd w:val="clear" w:color="auto" w:fill="auto"/>
                  <w:vAlign w:val="center"/>
                </w:tcPr>
                <w:p w14:paraId="6CE17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776" w:type="dxa"/>
                  <w:tcBorders>
                    <w:top w:val="nil"/>
                    <w:left w:val="nil"/>
                    <w:bottom w:val="single" w:color="000000" w:sz="8" w:space="0"/>
                    <w:right w:val="single" w:color="000000" w:sz="8" w:space="0"/>
                  </w:tcBorders>
                  <w:shd w:val="clear" w:color="auto" w:fill="auto"/>
                  <w:vAlign w:val="center"/>
                </w:tcPr>
                <w:p w14:paraId="38980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5" w:type="dxa"/>
                  <w:tcBorders>
                    <w:top w:val="nil"/>
                    <w:left w:val="nil"/>
                    <w:bottom w:val="single" w:color="000000" w:sz="8" w:space="0"/>
                    <w:right w:val="single" w:color="000000" w:sz="8" w:space="0"/>
                  </w:tcBorders>
                  <w:shd w:val="clear" w:color="auto" w:fill="auto"/>
                  <w:vAlign w:val="center"/>
                </w:tcPr>
                <w:p w14:paraId="1EAB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380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9B48">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F2AD">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4B2A">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2DD0A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开展校级学生运动会</w:t>
                  </w:r>
                </w:p>
              </w:tc>
              <w:tc>
                <w:tcPr>
                  <w:tcW w:w="1329" w:type="dxa"/>
                  <w:tcBorders>
                    <w:top w:val="nil"/>
                    <w:left w:val="nil"/>
                    <w:bottom w:val="single" w:color="000000" w:sz="8" w:space="0"/>
                    <w:right w:val="single" w:color="000000" w:sz="8" w:space="0"/>
                  </w:tcBorders>
                  <w:shd w:val="clear" w:color="auto" w:fill="auto"/>
                  <w:vAlign w:val="center"/>
                </w:tcPr>
                <w:p w14:paraId="6C8F5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7663B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7" w:type="dxa"/>
                  <w:tcBorders>
                    <w:top w:val="nil"/>
                    <w:left w:val="nil"/>
                    <w:bottom w:val="single" w:color="000000" w:sz="8" w:space="0"/>
                    <w:right w:val="single" w:color="000000" w:sz="8" w:space="0"/>
                  </w:tcBorders>
                  <w:shd w:val="clear" w:color="auto" w:fill="auto"/>
                  <w:vAlign w:val="center"/>
                </w:tcPr>
                <w:p w14:paraId="3CC75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776" w:type="dxa"/>
                  <w:tcBorders>
                    <w:top w:val="nil"/>
                    <w:left w:val="nil"/>
                    <w:bottom w:val="single" w:color="000000" w:sz="8" w:space="0"/>
                    <w:right w:val="single" w:color="000000" w:sz="8" w:space="0"/>
                  </w:tcBorders>
                  <w:shd w:val="clear" w:color="auto" w:fill="auto"/>
                  <w:vAlign w:val="center"/>
                </w:tcPr>
                <w:p w14:paraId="59905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5" w:type="dxa"/>
                  <w:tcBorders>
                    <w:top w:val="nil"/>
                    <w:left w:val="nil"/>
                    <w:bottom w:val="single" w:color="000000" w:sz="8" w:space="0"/>
                    <w:right w:val="single" w:color="000000" w:sz="8" w:space="0"/>
                  </w:tcBorders>
                  <w:shd w:val="clear" w:color="auto" w:fill="auto"/>
                  <w:vAlign w:val="center"/>
                </w:tcPr>
                <w:p w14:paraId="7DBFB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2AC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D2A9">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6CFD">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7F59">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1AF86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师培师训年人均学时(含分散学习)</w:t>
                  </w:r>
                </w:p>
              </w:tc>
              <w:tc>
                <w:tcPr>
                  <w:tcW w:w="1329" w:type="dxa"/>
                  <w:tcBorders>
                    <w:top w:val="nil"/>
                    <w:left w:val="nil"/>
                    <w:bottom w:val="single" w:color="000000" w:sz="8" w:space="0"/>
                    <w:right w:val="single" w:color="000000" w:sz="8" w:space="0"/>
                  </w:tcBorders>
                  <w:shd w:val="clear" w:color="auto" w:fill="auto"/>
                  <w:vAlign w:val="center"/>
                </w:tcPr>
                <w:p w14:paraId="513CD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10E39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97" w:type="dxa"/>
                  <w:tcBorders>
                    <w:top w:val="nil"/>
                    <w:left w:val="nil"/>
                    <w:bottom w:val="single" w:color="000000" w:sz="8" w:space="0"/>
                    <w:right w:val="single" w:color="000000" w:sz="8" w:space="0"/>
                  </w:tcBorders>
                  <w:shd w:val="clear" w:color="auto" w:fill="auto"/>
                  <w:vAlign w:val="center"/>
                </w:tcPr>
                <w:p w14:paraId="3D2AE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w:t>
                  </w:r>
                </w:p>
              </w:tc>
              <w:tc>
                <w:tcPr>
                  <w:tcW w:w="776" w:type="dxa"/>
                  <w:tcBorders>
                    <w:top w:val="nil"/>
                    <w:left w:val="nil"/>
                    <w:bottom w:val="single" w:color="000000" w:sz="8" w:space="0"/>
                    <w:right w:val="single" w:color="000000" w:sz="8" w:space="0"/>
                  </w:tcBorders>
                  <w:shd w:val="clear" w:color="auto" w:fill="auto"/>
                  <w:vAlign w:val="center"/>
                </w:tcPr>
                <w:p w14:paraId="15BEB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5" w:type="dxa"/>
                  <w:tcBorders>
                    <w:top w:val="nil"/>
                    <w:left w:val="nil"/>
                    <w:bottom w:val="single" w:color="000000" w:sz="8" w:space="0"/>
                    <w:right w:val="single" w:color="000000" w:sz="8" w:space="0"/>
                  </w:tcBorders>
                  <w:shd w:val="clear" w:color="auto" w:fill="auto"/>
                  <w:vAlign w:val="center"/>
                </w:tcPr>
                <w:p w14:paraId="223C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315A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BA14">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BC0E">
                  <w:pPr>
                    <w:jc w:val="center"/>
                    <w:rPr>
                      <w:rFonts w:hint="eastAsia" w:ascii="宋体" w:hAnsi="宋体" w:eastAsia="宋体" w:cs="宋体"/>
                      <w:i w:val="0"/>
                      <w:iCs w:val="0"/>
                      <w:color w:val="000000"/>
                      <w:sz w:val="18"/>
                      <w:szCs w:val="18"/>
                      <w:u w:val="none"/>
                    </w:rPr>
                  </w:pPr>
                </w:p>
              </w:tc>
              <w:tc>
                <w:tcPr>
                  <w:tcW w:w="1661" w:type="dxa"/>
                  <w:vMerge w:val="restart"/>
                  <w:tcBorders>
                    <w:top w:val="nil"/>
                    <w:left w:val="single" w:color="000000" w:sz="4" w:space="0"/>
                    <w:bottom w:val="single" w:color="000000" w:sz="4" w:space="0"/>
                    <w:right w:val="single" w:color="000000" w:sz="4" w:space="0"/>
                  </w:tcBorders>
                  <w:shd w:val="clear" w:color="auto" w:fill="auto"/>
                  <w:vAlign w:val="center"/>
                </w:tcPr>
                <w:p w14:paraId="6A710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66AB5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毕业生优生率</w:t>
                  </w:r>
                </w:p>
              </w:tc>
              <w:tc>
                <w:tcPr>
                  <w:tcW w:w="1329" w:type="dxa"/>
                  <w:tcBorders>
                    <w:top w:val="nil"/>
                    <w:left w:val="nil"/>
                    <w:bottom w:val="single" w:color="000000" w:sz="8" w:space="0"/>
                    <w:right w:val="single" w:color="000000" w:sz="8" w:space="0"/>
                  </w:tcBorders>
                  <w:shd w:val="clear" w:color="auto" w:fill="auto"/>
                  <w:vAlign w:val="center"/>
                </w:tcPr>
                <w:p w14:paraId="46DC6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1894D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97" w:type="dxa"/>
                  <w:tcBorders>
                    <w:top w:val="nil"/>
                    <w:left w:val="nil"/>
                    <w:bottom w:val="single" w:color="000000" w:sz="8" w:space="0"/>
                    <w:right w:val="single" w:color="000000" w:sz="8" w:space="0"/>
                  </w:tcBorders>
                  <w:shd w:val="clear" w:color="auto" w:fill="auto"/>
                  <w:vAlign w:val="center"/>
                </w:tcPr>
                <w:p w14:paraId="2453F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14:paraId="7CA62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5" w:type="dxa"/>
                  <w:tcBorders>
                    <w:top w:val="nil"/>
                    <w:left w:val="nil"/>
                    <w:bottom w:val="single" w:color="000000" w:sz="8" w:space="0"/>
                    <w:right w:val="single" w:color="000000" w:sz="8" w:space="0"/>
                  </w:tcBorders>
                  <w:shd w:val="clear" w:color="auto" w:fill="auto"/>
                  <w:vAlign w:val="center"/>
                </w:tcPr>
                <w:p w14:paraId="44330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14:paraId="4F6B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4505">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E976">
                  <w:pPr>
                    <w:jc w:val="center"/>
                    <w:rPr>
                      <w:rFonts w:hint="eastAsia" w:ascii="宋体" w:hAnsi="宋体" w:eastAsia="宋体" w:cs="宋体"/>
                      <w:i w:val="0"/>
                      <w:iCs w:val="0"/>
                      <w:color w:val="000000"/>
                      <w:sz w:val="18"/>
                      <w:szCs w:val="18"/>
                      <w:u w:val="none"/>
                    </w:rPr>
                  </w:pPr>
                </w:p>
              </w:tc>
              <w:tc>
                <w:tcPr>
                  <w:tcW w:w="1661" w:type="dxa"/>
                  <w:vMerge w:val="continue"/>
                  <w:tcBorders>
                    <w:top w:val="nil"/>
                    <w:left w:val="single" w:color="000000" w:sz="4" w:space="0"/>
                    <w:bottom w:val="single" w:color="000000" w:sz="4" w:space="0"/>
                    <w:right w:val="single" w:color="000000" w:sz="4" w:space="0"/>
                  </w:tcBorders>
                  <w:shd w:val="clear" w:color="auto" w:fill="auto"/>
                  <w:vAlign w:val="center"/>
                </w:tcPr>
                <w:p w14:paraId="5A7A5C73">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53371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参培教师培训合格率</w:t>
                  </w:r>
                </w:p>
              </w:tc>
              <w:tc>
                <w:tcPr>
                  <w:tcW w:w="1329" w:type="dxa"/>
                  <w:tcBorders>
                    <w:top w:val="nil"/>
                    <w:left w:val="nil"/>
                    <w:bottom w:val="single" w:color="000000" w:sz="8" w:space="0"/>
                    <w:right w:val="single" w:color="000000" w:sz="8" w:space="0"/>
                  </w:tcBorders>
                  <w:shd w:val="clear" w:color="auto" w:fill="auto"/>
                  <w:vAlign w:val="center"/>
                </w:tcPr>
                <w:p w14:paraId="40FB3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49A37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97" w:type="dxa"/>
                  <w:tcBorders>
                    <w:top w:val="nil"/>
                    <w:left w:val="nil"/>
                    <w:bottom w:val="single" w:color="000000" w:sz="8" w:space="0"/>
                    <w:right w:val="single" w:color="000000" w:sz="8" w:space="0"/>
                  </w:tcBorders>
                  <w:shd w:val="clear" w:color="auto" w:fill="auto"/>
                  <w:vAlign w:val="center"/>
                </w:tcPr>
                <w:p w14:paraId="0F91D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14:paraId="3E73F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5" w:type="dxa"/>
                  <w:tcBorders>
                    <w:top w:val="nil"/>
                    <w:left w:val="nil"/>
                    <w:bottom w:val="single" w:color="000000" w:sz="8" w:space="0"/>
                    <w:right w:val="single" w:color="000000" w:sz="8" w:space="0"/>
                  </w:tcBorders>
                  <w:shd w:val="clear" w:color="auto" w:fill="auto"/>
                  <w:vAlign w:val="center"/>
                </w:tcPr>
                <w:p w14:paraId="73286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A5F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428B">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43465">
                  <w:pPr>
                    <w:jc w:val="center"/>
                    <w:rPr>
                      <w:rFonts w:hint="eastAsia" w:ascii="宋体" w:hAnsi="宋体" w:eastAsia="宋体" w:cs="宋体"/>
                      <w:i w:val="0"/>
                      <w:iCs w:val="0"/>
                      <w:color w:val="000000"/>
                      <w:sz w:val="18"/>
                      <w:szCs w:val="18"/>
                      <w:u w:val="none"/>
                    </w:rPr>
                  </w:pPr>
                </w:p>
              </w:tc>
              <w:tc>
                <w:tcPr>
                  <w:tcW w:w="1661" w:type="dxa"/>
                  <w:vMerge w:val="continue"/>
                  <w:tcBorders>
                    <w:top w:val="nil"/>
                    <w:left w:val="single" w:color="000000" w:sz="4" w:space="0"/>
                    <w:bottom w:val="single" w:color="000000" w:sz="4" w:space="0"/>
                    <w:right w:val="single" w:color="000000" w:sz="4" w:space="0"/>
                  </w:tcBorders>
                  <w:shd w:val="clear" w:color="auto" w:fill="auto"/>
                  <w:vAlign w:val="center"/>
                </w:tcPr>
                <w:p w14:paraId="009259C6">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56AB1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严防教育四乱</w:t>
                  </w:r>
                </w:p>
              </w:tc>
              <w:tc>
                <w:tcPr>
                  <w:tcW w:w="1329" w:type="dxa"/>
                  <w:tcBorders>
                    <w:top w:val="nil"/>
                    <w:left w:val="nil"/>
                    <w:bottom w:val="single" w:color="000000" w:sz="8" w:space="0"/>
                    <w:right w:val="single" w:color="000000" w:sz="8" w:space="0"/>
                  </w:tcBorders>
                  <w:shd w:val="clear" w:color="auto" w:fill="auto"/>
                  <w:vAlign w:val="center"/>
                </w:tcPr>
                <w:p w14:paraId="395C8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46E79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7" w:type="dxa"/>
                  <w:tcBorders>
                    <w:top w:val="nil"/>
                    <w:left w:val="nil"/>
                    <w:bottom w:val="single" w:color="000000" w:sz="8" w:space="0"/>
                    <w:right w:val="single" w:color="000000" w:sz="8" w:space="0"/>
                  </w:tcBorders>
                  <w:shd w:val="clear" w:color="auto" w:fill="auto"/>
                  <w:vAlign w:val="center"/>
                </w:tcPr>
                <w:p w14:paraId="59BB5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76" w:type="dxa"/>
                  <w:tcBorders>
                    <w:top w:val="nil"/>
                    <w:left w:val="nil"/>
                    <w:bottom w:val="single" w:color="000000" w:sz="8" w:space="0"/>
                    <w:right w:val="single" w:color="000000" w:sz="8" w:space="0"/>
                  </w:tcBorders>
                  <w:shd w:val="clear" w:color="auto" w:fill="auto"/>
                  <w:vAlign w:val="center"/>
                </w:tcPr>
                <w:p w14:paraId="546DA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5" w:type="dxa"/>
                  <w:tcBorders>
                    <w:top w:val="nil"/>
                    <w:left w:val="nil"/>
                    <w:bottom w:val="single" w:color="000000" w:sz="8" w:space="0"/>
                    <w:right w:val="single" w:color="000000" w:sz="8" w:space="0"/>
                  </w:tcBorders>
                  <w:shd w:val="clear" w:color="auto" w:fill="auto"/>
                  <w:vAlign w:val="center"/>
                </w:tcPr>
                <w:p w14:paraId="7510E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A80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DC02">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DBB4">
                  <w:pPr>
                    <w:jc w:val="center"/>
                    <w:rPr>
                      <w:rFonts w:hint="eastAsia" w:ascii="宋体" w:hAnsi="宋体" w:eastAsia="宋体" w:cs="宋体"/>
                      <w:i w:val="0"/>
                      <w:iCs w:val="0"/>
                      <w:color w:val="000000"/>
                      <w:sz w:val="18"/>
                      <w:szCs w:val="18"/>
                      <w:u w:val="none"/>
                    </w:rPr>
                  </w:pPr>
                </w:p>
              </w:tc>
              <w:tc>
                <w:tcPr>
                  <w:tcW w:w="1661" w:type="dxa"/>
                  <w:vMerge w:val="continue"/>
                  <w:tcBorders>
                    <w:top w:val="nil"/>
                    <w:left w:val="single" w:color="000000" w:sz="4" w:space="0"/>
                    <w:bottom w:val="single" w:color="000000" w:sz="4" w:space="0"/>
                    <w:right w:val="single" w:color="000000" w:sz="4" w:space="0"/>
                  </w:tcBorders>
                  <w:shd w:val="clear" w:color="auto" w:fill="auto"/>
                  <w:vAlign w:val="center"/>
                </w:tcPr>
                <w:p w14:paraId="62572214">
                  <w:pPr>
                    <w:jc w:val="center"/>
                    <w:rPr>
                      <w:rFonts w:hint="eastAsia" w:ascii="宋体" w:hAnsi="宋体" w:eastAsia="宋体" w:cs="宋体"/>
                      <w:i w:val="0"/>
                      <w:iCs w:val="0"/>
                      <w:color w:val="000000"/>
                      <w:sz w:val="18"/>
                      <w:szCs w:val="18"/>
                      <w:u w:val="none"/>
                    </w:rPr>
                  </w:pPr>
                </w:p>
              </w:tc>
              <w:tc>
                <w:tcPr>
                  <w:tcW w:w="2548" w:type="dxa"/>
                  <w:tcBorders>
                    <w:top w:val="nil"/>
                    <w:left w:val="single" w:color="000000" w:sz="8" w:space="0"/>
                    <w:bottom w:val="single" w:color="000000" w:sz="8" w:space="0"/>
                    <w:right w:val="single" w:color="000000" w:sz="8" w:space="0"/>
                  </w:tcBorders>
                  <w:shd w:val="clear" w:color="auto" w:fill="auto"/>
                  <w:vAlign w:val="center"/>
                </w:tcPr>
                <w:p w14:paraId="2D51E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严控安全事故发生率</w:t>
                  </w:r>
                </w:p>
              </w:tc>
              <w:tc>
                <w:tcPr>
                  <w:tcW w:w="1329" w:type="dxa"/>
                  <w:tcBorders>
                    <w:top w:val="nil"/>
                    <w:left w:val="nil"/>
                    <w:bottom w:val="single" w:color="000000" w:sz="8" w:space="0"/>
                    <w:right w:val="single" w:color="000000" w:sz="8" w:space="0"/>
                  </w:tcBorders>
                  <w:shd w:val="clear" w:color="auto" w:fill="auto"/>
                  <w:vAlign w:val="center"/>
                </w:tcPr>
                <w:p w14:paraId="7660C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1" w:type="dxa"/>
                  <w:tcBorders>
                    <w:top w:val="nil"/>
                    <w:left w:val="nil"/>
                    <w:bottom w:val="single" w:color="000000" w:sz="8" w:space="0"/>
                    <w:right w:val="single" w:color="000000" w:sz="8" w:space="0"/>
                  </w:tcBorders>
                  <w:shd w:val="clear" w:color="auto" w:fill="auto"/>
                  <w:vAlign w:val="center"/>
                </w:tcPr>
                <w:p w14:paraId="47FA7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7" w:type="dxa"/>
                  <w:tcBorders>
                    <w:top w:val="nil"/>
                    <w:left w:val="nil"/>
                    <w:bottom w:val="single" w:color="000000" w:sz="8" w:space="0"/>
                    <w:right w:val="single" w:color="000000" w:sz="8" w:space="0"/>
                  </w:tcBorders>
                  <w:shd w:val="clear" w:color="auto" w:fill="auto"/>
                  <w:vAlign w:val="center"/>
                </w:tcPr>
                <w:p w14:paraId="622C1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76" w:type="dxa"/>
                  <w:tcBorders>
                    <w:top w:val="nil"/>
                    <w:left w:val="nil"/>
                    <w:bottom w:val="single" w:color="000000" w:sz="8" w:space="0"/>
                    <w:right w:val="single" w:color="000000" w:sz="8" w:space="0"/>
                  </w:tcBorders>
                  <w:shd w:val="clear" w:color="auto" w:fill="auto"/>
                  <w:vAlign w:val="center"/>
                </w:tcPr>
                <w:p w14:paraId="6D7FA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5" w:type="dxa"/>
                  <w:tcBorders>
                    <w:top w:val="nil"/>
                    <w:left w:val="nil"/>
                    <w:bottom w:val="single" w:color="000000" w:sz="8" w:space="0"/>
                    <w:right w:val="single" w:color="000000" w:sz="8" w:space="0"/>
                  </w:tcBorders>
                  <w:shd w:val="clear" w:color="auto" w:fill="auto"/>
                  <w:vAlign w:val="center"/>
                </w:tcPr>
                <w:p w14:paraId="777F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98A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1DB8">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C8BC">
                  <w:pPr>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0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资金支付、完成工作及时性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A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B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0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F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5FCD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1774">
                  <w:pPr>
                    <w:jc w:val="center"/>
                    <w:rPr>
                      <w:rFonts w:hint="eastAsia" w:ascii="宋体" w:hAnsi="宋体" w:eastAsia="宋体" w:cs="宋体"/>
                      <w:i w:val="0"/>
                      <w:iCs w:val="0"/>
                      <w:color w:val="000000"/>
                      <w:sz w:val="18"/>
                      <w:szCs w:val="18"/>
                      <w:u w:val="none"/>
                    </w:rPr>
                  </w:pP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82E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23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稳步提升教育教学质量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1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5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E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5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2672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D2F3">
                  <w:pPr>
                    <w:jc w:val="center"/>
                    <w:rPr>
                      <w:rFonts w:hint="eastAsia" w:ascii="宋体" w:hAnsi="宋体" w:eastAsia="宋体" w:cs="宋体"/>
                      <w:i w:val="0"/>
                      <w:iCs w:val="0"/>
                      <w:color w:val="000000"/>
                      <w:sz w:val="18"/>
                      <w:szCs w:val="18"/>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8D30">
                  <w:pPr>
                    <w:jc w:val="lef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A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7B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8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E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5F84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6D36">
                  <w:pPr>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37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35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5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家长、学生满意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34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16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E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bl>
          <w:p w14:paraId="005F176E">
            <w:pPr>
              <w:keepNext w:val="0"/>
              <w:keepLines w:val="0"/>
              <w:widowControl/>
              <w:suppressLineNumbers w:val="0"/>
              <w:jc w:val="center"/>
              <w:textAlignment w:val="center"/>
              <w:rPr>
                <w:rFonts w:ascii="黑体" w:hAnsi="宋体" w:eastAsia="黑体" w:cs="黑体"/>
                <w:i w:val="0"/>
                <w:iCs w:val="0"/>
                <w:color w:val="000000"/>
                <w:sz w:val="30"/>
                <w:szCs w:val="30"/>
                <w:u w:val="none"/>
              </w:rPr>
            </w:pPr>
          </w:p>
        </w:tc>
      </w:tr>
      <w:tr w14:paraId="0DD9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856" w:type="dxa"/>
            <w:gridSpan w:val="11"/>
            <w:tcBorders>
              <w:top w:val="nil"/>
              <w:left w:val="nil"/>
              <w:bottom w:val="nil"/>
              <w:right w:val="nil"/>
            </w:tcBorders>
            <w:shd w:val="clear" w:color="auto" w:fill="auto"/>
            <w:vAlign w:val="center"/>
          </w:tcPr>
          <w:p w14:paraId="6EED0797">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271D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856" w:type="dxa"/>
            <w:gridSpan w:val="11"/>
            <w:tcBorders>
              <w:top w:val="nil"/>
              <w:left w:val="nil"/>
              <w:bottom w:val="single" w:color="000000" w:sz="4" w:space="0"/>
              <w:right w:val="nil"/>
            </w:tcBorders>
            <w:shd w:val="clear" w:color="auto" w:fill="auto"/>
            <w:vAlign w:val="center"/>
          </w:tcPr>
          <w:p w14:paraId="0498C83D">
            <w:pPr>
              <w:keepNext w:val="0"/>
              <w:keepLines w:val="0"/>
              <w:widowControl/>
              <w:suppressLineNumbers w:val="0"/>
              <w:jc w:val="right"/>
              <w:textAlignment w:val="center"/>
              <w:rPr>
                <w:rFonts w:ascii="宋体" w:hAnsi="宋体" w:eastAsia="宋体" w:cs="宋体"/>
                <w:i w:val="0"/>
                <w:iCs w:val="0"/>
                <w:color w:val="000000"/>
                <w:sz w:val="18"/>
                <w:szCs w:val="18"/>
                <w:u w:val="none"/>
              </w:rPr>
            </w:pPr>
          </w:p>
        </w:tc>
      </w:tr>
      <w:tr w14:paraId="06C0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6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FA3B3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96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9D5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AAD9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51172422T000005728374-营养餐</w:t>
            </w:r>
          </w:p>
        </w:tc>
      </w:tr>
      <w:tr w14:paraId="0D27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80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13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大竹县高明镇第二中心小学部门</w:t>
            </w:r>
          </w:p>
        </w:tc>
        <w:tc>
          <w:tcPr>
            <w:tcW w:w="979" w:type="dxa"/>
            <w:tcBorders>
              <w:top w:val="nil"/>
              <w:left w:val="nil"/>
              <w:bottom w:val="nil"/>
              <w:right w:val="nil"/>
            </w:tcBorders>
            <w:shd w:val="clear" w:color="auto" w:fill="auto"/>
            <w:vAlign w:val="center"/>
          </w:tcPr>
          <w:p w14:paraId="0CF738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1D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大竹县高明镇第二中心小学</w:t>
            </w:r>
          </w:p>
        </w:tc>
      </w:tr>
      <w:tr w14:paraId="6491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C4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AF0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8A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A386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F3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9962">
            <w:pPr>
              <w:rPr>
                <w:rFonts w:hint="eastAsia" w:ascii="宋体" w:hAnsi="宋体" w:eastAsia="宋体" w:cs="宋体"/>
                <w:i w:val="0"/>
                <w:iCs w:val="0"/>
                <w:color w:val="000000"/>
                <w:sz w:val="18"/>
                <w:szCs w:val="18"/>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152AA">
            <w:pPr>
              <w:rPr>
                <w:rFonts w:hint="eastAsia" w:ascii="宋体" w:hAnsi="宋体" w:eastAsia="宋体" w:cs="宋体"/>
                <w:i w:val="0"/>
                <w:iCs w:val="0"/>
                <w:color w:val="000000"/>
                <w:sz w:val="18"/>
                <w:szCs w:val="18"/>
                <w:u w:val="none"/>
              </w:rPr>
            </w:pPr>
          </w:p>
        </w:tc>
        <w:tc>
          <w:tcPr>
            <w:tcW w:w="60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EB030">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严格落实农村义务教育阶段营养餐改善计划，保障学生足额享受国家营养餐补助。</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A2F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严格按要求实施营养餐改善计划，使学生足额享受营养餐补助。</w:t>
            </w:r>
          </w:p>
        </w:tc>
      </w:tr>
      <w:tr w14:paraId="38D4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E66D">
            <w:pP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9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67A20E">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按照要求，实施营养餐改善计划，保障学生身心健康发展。</w:t>
            </w:r>
          </w:p>
        </w:tc>
      </w:tr>
      <w:tr w14:paraId="12B6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7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A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C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64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A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E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D1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859AB">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7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F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E1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6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46A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7C8B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E9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0339">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0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8E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0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91904">
            <w:pPr>
              <w:rPr>
                <w:rFonts w:hint="eastAsia" w:ascii="黑体" w:hAnsi="黑体" w:eastAsia="黑体" w:cs="黑体"/>
                <w:i/>
                <w:iCs/>
                <w:color w:val="000000"/>
                <w:sz w:val="18"/>
                <w:szCs w:val="18"/>
                <w:u w:val="none"/>
              </w:rPr>
            </w:pPr>
          </w:p>
        </w:tc>
      </w:tr>
      <w:tr w14:paraId="34A8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25E1">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1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5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3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22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8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8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D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146B">
            <w:pPr>
              <w:rPr>
                <w:rFonts w:hint="eastAsia" w:ascii="黑体" w:hAnsi="黑体" w:eastAsia="黑体" w:cs="黑体"/>
                <w:i/>
                <w:iCs/>
                <w:color w:val="000000"/>
                <w:sz w:val="18"/>
                <w:szCs w:val="18"/>
                <w:u w:val="none"/>
              </w:rPr>
            </w:pPr>
          </w:p>
        </w:tc>
      </w:tr>
      <w:tr w14:paraId="1787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1DBA0">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5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8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0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4C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3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1C65">
            <w:pPr>
              <w:rPr>
                <w:rFonts w:hint="eastAsia" w:ascii="黑体" w:hAnsi="黑体" w:eastAsia="黑体" w:cs="黑体"/>
                <w:i/>
                <w:iCs/>
                <w:color w:val="000000"/>
                <w:sz w:val="18"/>
                <w:szCs w:val="18"/>
                <w:u w:val="none"/>
              </w:rPr>
            </w:pPr>
          </w:p>
        </w:tc>
      </w:tr>
      <w:tr w14:paraId="5E47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A4F58">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5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785">
            <w:pPr>
              <w:jc w:val="center"/>
              <w:rPr>
                <w:rFonts w:hint="eastAsia" w:ascii="微软雅黑" w:hAnsi="微软雅黑" w:eastAsia="微软雅黑" w:cs="微软雅黑"/>
                <w:i/>
                <w:iCs/>
                <w:color w:val="000000"/>
                <w:sz w:val="16"/>
                <w:szCs w:val="16"/>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E28">
            <w:pPr>
              <w:jc w:val="center"/>
              <w:rPr>
                <w:rFonts w:hint="eastAsia" w:ascii="微软雅黑" w:hAnsi="微软雅黑" w:eastAsia="微软雅黑" w:cs="微软雅黑"/>
                <w:i/>
                <w:iCs/>
                <w:color w:val="000000"/>
                <w:sz w:val="16"/>
                <w:szCs w:val="16"/>
                <w:u w:val="none"/>
              </w:rPr>
            </w:pP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1E423">
            <w:pPr>
              <w:jc w:val="center"/>
              <w:rPr>
                <w:rFonts w:hint="eastAsia" w:ascii="微软雅黑" w:hAnsi="微软雅黑" w:eastAsia="微软雅黑" w:cs="微软雅黑"/>
                <w:i/>
                <w:iCs/>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30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5E02">
            <w:pPr>
              <w:rPr>
                <w:rFonts w:hint="eastAsia" w:ascii="黑体" w:hAnsi="黑体" w:eastAsia="黑体" w:cs="黑体"/>
                <w:i/>
                <w:iCs/>
                <w:color w:val="000000"/>
                <w:sz w:val="18"/>
                <w:szCs w:val="18"/>
                <w:u w:val="none"/>
              </w:rPr>
            </w:pPr>
          </w:p>
        </w:tc>
      </w:tr>
      <w:tr w14:paraId="0E90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04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E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0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D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0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4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A5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284FF">
            <w:pPr>
              <w:jc w:val="center"/>
              <w:rPr>
                <w:rFonts w:hint="eastAsia" w:ascii="宋体" w:hAnsi="宋体" w:eastAsia="宋体" w:cs="宋体"/>
                <w:i w:val="0"/>
                <w:iCs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F1B">
            <w:pPr>
              <w:jc w:val="center"/>
              <w:rPr>
                <w:rFonts w:hint="eastAsia" w:ascii="宋体" w:hAnsi="宋体" w:eastAsia="宋体" w:cs="宋体"/>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208">
            <w:pPr>
              <w:jc w:val="center"/>
              <w:rPr>
                <w:rFonts w:hint="eastAsia" w:ascii="宋体" w:hAnsi="宋体" w:eastAsia="宋体" w:cs="宋体"/>
                <w:i w:val="0"/>
                <w:iCs w:val="0"/>
                <w:color w:val="000000"/>
                <w:sz w:val="18"/>
                <w:szCs w:val="18"/>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4F3">
            <w:pPr>
              <w:jc w:val="center"/>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945A">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090">
            <w:pPr>
              <w:jc w:val="center"/>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52E">
            <w:pPr>
              <w:jc w:val="center"/>
              <w:rPr>
                <w:rFonts w:hint="eastAsia" w:ascii="宋体" w:hAnsi="宋体" w:eastAsia="宋体" w:cs="宋体"/>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E6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78D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83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632">
            <w:pPr>
              <w:jc w:val="center"/>
              <w:rPr>
                <w:rFonts w:hint="eastAsia" w:ascii="微软雅黑" w:hAnsi="微软雅黑" w:eastAsia="微软雅黑" w:cs="微软雅黑"/>
                <w:i/>
                <w:iCs/>
                <w:color w:val="000000"/>
                <w:sz w:val="16"/>
                <w:szCs w:val="16"/>
                <w:u w:val="none"/>
              </w:rPr>
            </w:pPr>
          </w:p>
        </w:tc>
      </w:tr>
      <w:tr w14:paraId="1A24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AE6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A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8CF8">
            <w:pPr>
              <w:rPr>
                <w:rFonts w:hint="eastAsia" w:ascii="宋体" w:hAnsi="宋体" w:eastAsia="宋体" w:cs="宋体"/>
                <w:i w:val="0"/>
                <w:iCs w:val="0"/>
                <w:color w:val="000000"/>
                <w:sz w:val="18"/>
                <w:szCs w:val="18"/>
                <w:u w:val="none"/>
              </w:rPr>
            </w:pPr>
          </w:p>
        </w:tc>
      </w:tr>
      <w:tr w14:paraId="7510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F078">
            <w:pPr>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67" w:name="_GoBack" w:colFirst="0" w:colLast="10"/>
            <w:r>
              <w:rPr>
                <w:rFonts w:ascii="宋体" w:hAnsi="宋体" w:eastAsia="宋体" w:cs="宋体"/>
                <w:i w:val="0"/>
                <w:iCs w:val="0"/>
                <w:color w:val="000000"/>
                <w:kern w:val="0"/>
                <w:sz w:val="18"/>
                <w:szCs w:val="18"/>
                <w:u w:val="none"/>
                <w:lang w:val="en-US" w:eastAsia="zh-CN" w:bidi="ar"/>
              </w:rPr>
              <w:t>评价结论</w:t>
            </w:r>
          </w:p>
        </w:tc>
        <w:tc>
          <w:tcPr>
            <w:tcW w:w="12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7D439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9A8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0D829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35B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E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DD682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9BD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FD1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项目负责人：朱万勇</w:t>
            </w:r>
          </w:p>
        </w:tc>
        <w:tc>
          <w:tcPr>
            <w:tcW w:w="61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CC06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财务负责人：王治尤</w:t>
            </w:r>
          </w:p>
        </w:tc>
      </w:tr>
      <w:bookmarkEnd w:id="67"/>
    </w:tbl>
    <w:p w14:paraId="1D8F03C4">
      <w:pPr>
        <w:jc w:val="both"/>
        <w:rPr>
          <w:rFonts w:hint="eastAsia" w:ascii="黑体" w:hAnsi="黑体" w:eastAsia="黑体"/>
          <w:sz w:val="44"/>
          <w:szCs w:val="44"/>
        </w:rPr>
        <w:sectPr>
          <w:pgSz w:w="16838" w:h="11906" w:orient="landscape"/>
          <w:pgMar w:top="1800" w:right="1440" w:bottom="1800" w:left="1440" w:header="851" w:footer="992" w:gutter="0"/>
          <w:pgNumType w:fmt="decimal"/>
          <w:cols w:space="425" w:num="1"/>
          <w:titlePg/>
          <w:docGrid w:type="lines" w:linePitch="312" w:charSpace="0"/>
        </w:sectPr>
      </w:pPr>
    </w:p>
    <w:p w14:paraId="44641A59">
      <w:pPr>
        <w:jc w:val="center"/>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5FFE4265">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52829F80">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DEFEFAA">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466B0AF7">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0DEA0EC0">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78708A61">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351C9CC">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A68EEAC">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75AF3CB">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8876CA3">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2D9CCCE6">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501504D">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7396520D">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9" w:type="first"/>
      <w:footerReference r:id="rId8" w:type="default"/>
      <w:pgSz w:w="11906" w:h="16838"/>
      <w:pgMar w:top="1440" w:right="1800" w:bottom="1440" w:left="1800" w:header="851" w:footer="992" w:gutter="0"/>
      <w:pgNumType w:fmt="decimal" w:start="4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224C">
    <w:pPr>
      <w:pStyle w:val="9"/>
      <w:jc w:val="center"/>
      <w:rPr>
        <w:rFonts w:hint="default"/>
        <w:lang w:val="en-US"/>
      </w:rPr>
    </w:pPr>
    <w:sdt>
      <w:sdtPr>
        <w:id w:val="-1994781956"/>
      </w:sdtPr>
      <w:sdtEndPr>
        <w:rPr>
          <w:rFonts w:hint="default"/>
          <w:lang w:val="en-US"/>
        </w:rPr>
      </w:sdtEndPr>
      <w:sdtContent>
        <w:r>
          <w:rPr>
            <w:rFonts w:hint="eastAsia"/>
            <w:lang w:val="en-US" w:eastAsia="zh-CN"/>
          </w:rPr>
          <w:t>18</w:t>
        </w:r>
      </w:sdtContent>
    </w:sdt>
  </w:p>
  <w:p w14:paraId="5E197E7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DF4D">
    <w:pPr>
      <w:pStyle w:val="9"/>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F33B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0F33B7">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51B2">
    <w:pPr>
      <w:pStyle w:val="9"/>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467E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7467E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832D">
    <w:pPr>
      <w:pStyle w:val="9"/>
      <w:jc w:val="center"/>
      <w:rPr>
        <w:rFonts w:hint="default"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BC177">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6BC177">
                    <w:pPr>
                      <w:pStyle w:val="9"/>
                      <w:rPr>
                        <w:rFonts w:hint="default" w:eastAsia="宋体"/>
                        <w:lang w:val="en-US" w:eastAsia="zh-CN"/>
                      </w:rPr>
                    </w:pPr>
                  </w:p>
                </w:txbxContent>
              </v:textbox>
            </v:shape>
          </w:pict>
        </mc:Fallback>
      </mc:AlternateContent>
    </w:r>
    <w:r>
      <w:rPr>
        <w:rFonts w:hint="eastAsia"/>
        <w:sz w:val="18"/>
        <w:lang w:val="en-US" w:eastAsia="zh-CN"/>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19E6">
    <w:pPr>
      <w:pStyle w:val="9"/>
      <w:jc w:val="center"/>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5D07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5D07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E210">
    <w:pPr>
      <w:pStyle w:val="9"/>
      <w:jc w:val="center"/>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EE574">
                          <w:pPr>
                            <w:pStyle w:val="9"/>
                            <w:rPr>
                              <w:rFonts w:hint="default" w:eastAsia="宋体"/>
                              <w:lang w:val="en-US" w:eastAsia="zh-CN"/>
                            </w:rPr>
                          </w:pPr>
                          <w:r>
                            <w:rPr>
                              <w:rFonts w:hint="eastAsia"/>
                              <w:lang w:val="en-US" w:eastAsia="zh-CN"/>
                            </w:rPr>
                            <w:t>19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AEE574">
                    <w:pPr>
                      <w:pStyle w:val="9"/>
                      <w:rPr>
                        <w:rFonts w:hint="default" w:eastAsia="宋体"/>
                        <w:lang w:val="en-US" w:eastAsia="zh-CN"/>
                      </w:rPr>
                    </w:pPr>
                    <w:r>
                      <w:rPr>
                        <w:rFonts w:hint="eastAsia"/>
                        <w:lang w:val="en-US" w:eastAsia="zh-CN"/>
                      </w:rPr>
                      <w:t>19</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9903E">
                          <w:pPr>
                            <w:pStyle w:val="9"/>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79903E">
                    <w:pPr>
                      <w:pStyle w:val="9"/>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F85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AFA6"/>
    <w:multiLevelType w:val="singleLevel"/>
    <w:tmpl w:val="C329AFA6"/>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6922E6B"/>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1B2213"/>
    <w:rsid w:val="25711CC6"/>
    <w:rsid w:val="25C741E6"/>
    <w:rsid w:val="276F80C0"/>
    <w:rsid w:val="27842671"/>
    <w:rsid w:val="291607CD"/>
    <w:rsid w:val="29FD04D3"/>
    <w:rsid w:val="2ABE7A3E"/>
    <w:rsid w:val="2AFF09B6"/>
    <w:rsid w:val="2CA234A8"/>
    <w:rsid w:val="2CC24862"/>
    <w:rsid w:val="2EFA178C"/>
    <w:rsid w:val="2EFDF86C"/>
    <w:rsid w:val="2F9D17E1"/>
    <w:rsid w:val="30B46D73"/>
    <w:rsid w:val="314057CC"/>
    <w:rsid w:val="319F7F4E"/>
    <w:rsid w:val="356A28F1"/>
    <w:rsid w:val="357C035A"/>
    <w:rsid w:val="368E000D"/>
    <w:rsid w:val="38080D1C"/>
    <w:rsid w:val="383D272C"/>
    <w:rsid w:val="39AE70AB"/>
    <w:rsid w:val="3A4DCE41"/>
    <w:rsid w:val="3BCB56FA"/>
    <w:rsid w:val="3C0C0783"/>
    <w:rsid w:val="3EE7C2F4"/>
    <w:rsid w:val="3F371B56"/>
    <w:rsid w:val="3F792ED8"/>
    <w:rsid w:val="3F9F3A96"/>
    <w:rsid w:val="3FECA4B2"/>
    <w:rsid w:val="3FF58C48"/>
    <w:rsid w:val="42FF6694"/>
    <w:rsid w:val="48BF60AB"/>
    <w:rsid w:val="491B0F20"/>
    <w:rsid w:val="493C27E9"/>
    <w:rsid w:val="496F39ED"/>
    <w:rsid w:val="49FF41D3"/>
    <w:rsid w:val="4BE068DB"/>
    <w:rsid w:val="4BF6002B"/>
    <w:rsid w:val="4BFFC6BE"/>
    <w:rsid w:val="4ECE2238"/>
    <w:rsid w:val="51DB4B86"/>
    <w:rsid w:val="51F64DB0"/>
    <w:rsid w:val="55333C3E"/>
    <w:rsid w:val="598C0005"/>
    <w:rsid w:val="5F67802D"/>
    <w:rsid w:val="5F7DC4F2"/>
    <w:rsid w:val="5FB36814"/>
    <w:rsid w:val="5FBB8E56"/>
    <w:rsid w:val="5FFB5535"/>
    <w:rsid w:val="64CA39A1"/>
    <w:rsid w:val="68246C07"/>
    <w:rsid w:val="686F2762"/>
    <w:rsid w:val="69630ADE"/>
    <w:rsid w:val="69BD5F13"/>
    <w:rsid w:val="69FB0B4B"/>
    <w:rsid w:val="6BFFE1FB"/>
    <w:rsid w:val="6C4A05C8"/>
    <w:rsid w:val="6D3B1A89"/>
    <w:rsid w:val="6DB7D8A3"/>
    <w:rsid w:val="6EC78701"/>
    <w:rsid w:val="6F7A5481"/>
    <w:rsid w:val="6FFE07A9"/>
    <w:rsid w:val="71BF4EC2"/>
    <w:rsid w:val="72734D90"/>
    <w:rsid w:val="73E75B71"/>
    <w:rsid w:val="73F241AC"/>
    <w:rsid w:val="740B5D77"/>
    <w:rsid w:val="7412278C"/>
    <w:rsid w:val="75DDCDA9"/>
    <w:rsid w:val="75FF44B1"/>
    <w:rsid w:val="77670518"/>
    <w:rsid w:val="777FA627"/>
    <w:rsid w:val="77DF1B5F"/>
    <w:rsid w:val="77EF2D9D"/>
    <w:rsid w:val="79E7B28D"/>
    <w:rsid w:val="7A274CFC"/>
    <w:rsid w:val="7A32790F"/>
    <w:rsid w:val="7ACFF0C2"/>
    <w:rsid w:val="7AFB9108"/>
    <w:rsid w:val="7B8014CA"/>
    <w:rsid w:val="7B921364"/>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990094225658372"/>
          <c:y val="0.298555036124097"/>
          <c:w val="0.89736651365064"/>
          <c:h val="0.63905652358691"/>
        </c:manualLayout>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543.79</c:v>
                </c:pt>
                <c:pt idx="1">
                  <c:v>523.04</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543.79</c:v>
                </c:pt>
                <c:pt idx="1">
                  <c:v>523.04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953644040"/>
        <c:axId val="596367528"/>
      </c:barChart>
      <c:catAx>
        <c:axId val="953644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367528"/>
        <c:crosses val="autoZero"/>
        <c:auto val="1"/>
        <c:lblAlgn val="ctr"/>
        <c:lblOffset val="100"/>
        <c:noMultiLvlLbl val="0"/>
      </c:catAx>
      <c:valAx>
        <c:axId val="5963675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6440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d3fc66-fefd-4c49-84e3-8da95e5c2e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543.79</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25171400587659"/>
          <c:y val="0.8947979563399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da09ec-adc1-4007-9dab-4ded8bf8ac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title>
    <c:autoTitleDeleted val="0"/>
    <c:plotArea>
      <c:layout/>
      <c:pieChart>
        <c:varyColors val="1"/>
        <c:ser>
          <c:idx val="0"/>
          <c:order val="0"/>
          <c:tx>
            <c:strRef>
              <c:f>Sheet1!$B$1</c:f>
              <c:strCache>
                <c:ptCount val="1"/>
                <c:pt idx="0">
                  <c:v>支出决算结构图</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535.75</c:v>
                </c:pt>
                <c:pt idx="1">
                  <c:v>8.04</c:v>
                </c:pt>
              </c:numCache>
            </c:numRef>
          </c:val>
        </c:ser>
        <c:ser>
          <c:idx val="1"/>
          <c:order val="1"/>
          <c:tx>
            <c:strRef>
              <c:f>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zero"/>
    <c:showDLblsOverMax val="0"/>
    <c:extLst>
      <c:ext uri="{0b15fc19-7d7d-44ad-8c2d-2c3a37ce22c3}">
        <chartProps xmlns="https://web.wps.cn/et/2018/main" chartId="{35c675df-15e9-410b-be37-83555a18f26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543.79</c:v>
                </c:pt>
                <c:pt idx="1">
                  <c:v>523.04</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543.79</c:v>
                </c:pt>
                <c:pt idx="1">
                  <c:v>523.04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415936"/>
        <c:axId val="97417472"/>
      </c:barChart>
      <c:catAx>
        <c:axId val="974159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7472"/>
        <c:crosses val="autoZero"/>
        <c:auto val="1"/>
        <c:lblAlgn val="ctr"/>
        <c:lblOffset val="100"/>
        <c:noMultiLvlLbl val="0"/>
      </c:catAx>
      <c:valAx>
        <c:axId val="97417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593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115cd23-f246-40cb-9d65-3e7fce70585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523.04</c:v>
                </c:pt>
              </c:numCache>
            </c:numRef>
          </c:val>
        </c:ser>
        <c:ser>
          <c:idx val="1"/>
          <c:order val="1"/>
          <c:tx>
            <c:strRef>
              <c:f>Sheet1!$C$1</c:f>
              <c:strCache>
                <c:ptCount val="1"/>
                <c:pt idx="0">
                  <c:v>2023年（万元）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543.79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64008704"/>
        <c:axId val="164010240"/>
      </c:barChart>
      <c:catAx>
        <c:axId val="1640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010240"/>
        <c:crosses val="autoZero"/>
        <c:auto val="1"/>
        <c:lblAlgn val="ctr"/>
        <c:lblOffset val="100"/>
        <c:noMultiLvlLbl val="0"/>
      </c:catAx>
      <c:valAx>
        <c:axId val="164010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0087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0989a5c-e534-4c67-ba69-17cad289ad8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卫生健康</c:v>
                </c:pt>
                <c:pt idx="3">
                  <c:v>住房保障支出</c:v>
                </c:pt>
              </c:strCache>
            </c:strRef>
          </c:cat>
          <c:val>
            <c:numRef>
              <c:f>Sheet1!$B$2:$B$5</c:f>
              <c:numCache>
                <c:formatCode>General</c:formatCode>
                <c:ptCount val="4"/>
                <c:pt idx="0">
                  <c:v>421.3</c:v>
                </c:pt>
                <c:pt idx="1">
                  <c:v>93.81</c:v>
                </c:pt>
                <c:pt idx="2">
                  <c:v>17.75</c:v>
                </c:pt>
                <c:pt idx="3">
                  <c:v>10.92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4a9628d-3658-4eb1-847d-c5105150420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微软雅黑" panose="020B0503020204020204" pitchFamily="34" charset="-122"/>
                <a:ea typeface="微软雅黑" panose="020B0503020204020204" pitchFamily="34" charset="-122"/>
                <a:cs typeface="+mn-cs"/>
              </a:defRPr>
            </a:pPr>
            <a:r>
              <a:rPr sz="1200" b="0"/>
              <a:t>“三公”经费财政拨款支出结构图</a:t>
            </a:r>
            <a:endParaRPr sz="1200" b="0"/>
          </a:p>
        </c:rich>
      </c:tx>
      <c:layout/>
      <c:overlay val="0"/>
    </c:title>
    <c:autoTitleDeleted val="0"/>
    <c:plotArea>
      <c:layout/>
      <c:pieChart>
        <c:varyColors val="1"/>
        <c:ser>
          <c:idx val="0"/>
          <c:order val="0"/>
          <c:tx>
            <c:strRef>
              <c:f>Sheet1!$B$1</c:f>
              <c:strCache>
                <c:ptCount val="1"/>
                <c:pt idx="0">
                  <c:v>“三公”经费财政拨款支出结构</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系列 2</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Sheet1!$C$2:$C$4</c:f>
              <c:numCache>
                <c:formatCode>General</c:formatCode>
                <c:ptCount val="3"/>
              </c:numCache>
            </c:numRef>
          </c:val>
        </c:ser>
        <c:ser>
          <c:idx val="2"/>
          <c:order val="2"/>
          <c:tx>
            <c:strRef>
              <c:f>Sheet1!$D$1</c:f>
              <c:strCache>
                <c:ptCount val="1"/>
                <c:pt idx="0">
                  <c:v>系列 3</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Sheet1!$D$2:$D$4</c:f>
              <c:numCache>
                <c:formatCode>General</c:formatCode>
                <c:ptCount val="3"/>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mn-cs"/>
            </a:defRPr>
          </a:pPr>
        </a:p>
      </c:txPr>
    </c:legend>
    <c:plotVisOnly val="1"/>
    <c:dispBlanksAs val="zero"/>
    <c:showDLblsOverMax val="0"/>
    <c:extLst>
      <c:ext uri="{0b15fc19-7d7d-44ad-8c2d-2c3a37ce22c3}">
        <chartProps xmlns="https://web.wps.cn/et/2018/main" chartId="{0ebfefc3-564f-42b7-9dd5-b4b7616f1c5b}"/>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5156</Words>
  <Characters>7429</Characters>
  <Lines>54</Lines>
  <Paragraphs>15</Paragraphs>
  <TotalTime>12</TotalTime>
  <ScaleCrop>false</ScaleCrop>
  <LinksUpToDate>false</LinksUpToDate>
  <CharactersWithSpaces>7458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2024-10-29T00:41:55Z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C41770282DFF49AAB1161E22257DF796_12</vt:lpwstr>
  </property>
</Properties>
</file>