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2E5B6">
      <w:pPr>
        <w:spacing w:line="600" w:lineRule="exact"/>
        <w:jc w:val="left"/>
        <w:outlineLvl w:val="9"/>
        <w:rPr>
          <w:rFonts w:ascii="方正小标宋简体" w:hAnsi="宋体" w:eastAsia="方正小标宋简体"/>
          <w:szCs w:val="21"/>
        </w:rPr>
      </w:pPr>
      <w:bookmarkStart w:id="0" w:name="_Toc15306267"/>
    </w:p>
    <w:p w14:paraId="77C481C9">
      <w:pPr>
        <w:pStyle w:val="5"/>
        <w:spacing w:before="93"/>
      </w:pPr>
    </w:p>
    <w:p w14:paraId="6A155443">
      <w:pPr>
        <w:spacing w:line="600" w:lineRule="exact"/>
        <w:jc w:val="center"/>
        <w:outlineLvl w:val="9"/>
        <w:rPr>
          <w:rFonts w:ascii="方正小标宋简体" w:hAnsi="宋体" w:eastAsia="方正小标宋简体"/>
          <w:sz w:val="72"/>
          <w:szCs w:val="72"/>
        </w:rPr>
      </w:pPr>
    </w:p>
    <w:p w14:paraId="2BF79DEC">
      <w:pPr>
        <w:spacing w:line="600" w:lineRule="exact"/>
        <w:jc w:val="center"/>
        <w:outlineLvl w:val="9"/>
        <w:rPr>
          <w:rFonts w:ascii="方正小标宋简体" w:hAnsi="宋体" w:eastAsia="方正小标宋简体"/>
          <w:sz w:val="72"/>
          <w:szCs w:val="72"/>
        </w:rPr>
      </w:pPr>
    </w:p>
    <w:p w14:paraId="4EDD0B29">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4262"/>
      <w:bookmarkStart w:id="5" w:name="_Toc15378441"/>
      <w:bookmarkStart w:id="6"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bookmarkEnd w:id="0"/>
    <w:p w14:paraId="6DFB06CE">
      <w:pPr>
        <w:adjustRightInd w:val="0"/>
        <w:snapToGrid w:val="0"/>
        <w:spacing w:line="360" w:lineRule="auto"/>
        <w:jc w:val="center"/>
        <w:outlineLvl w:val="0"/>
        <w:rPr>
          <w:rFonts w:hint="default" w:ascii="方正小标宋简体" w:hAnsi="方正小标宋简体" w:eastAsia="方正小标宋简体" w:cs="方正小标宋简体"/>
          <w:sz w:val="72"/>
          <w:szCs w:val="72"/>
          <w:lang w:val="en-US" w:eastAsia="zh-CN"/>
        </w:rPr>
      </w:pPr>
      <w:bookmarkStart w:id="7" w:name="_Toc16276"/>
      <w:r>
        <w:rPr>
          <w:rFonts w:hint="eastAsia" w:ascii="方正小标宋简体" w:hAnsi="方正小标宋简体" w:eastAsia="方正小标宋简体" w:cs="方正小标宋简体"/>
          <w:sz w:val="72"/>
          <w:szCs w:val="72"/>
          <w:lang w:val="en-US" w:eastAsia="zh-CN"/>
        </w:rPr>
        <w:t>大竹县庙坝镇牌坊小学</w:t>
      </w:r>
      <w:bookmarkEnd w:id="7"/>
    </w:p>
    <w:p w14:paraId="38CAD40E">
      <w:pPr>
        <w:adjustRightInd w:val="0"/>
        <w:snapToGrid w:val="0"/>
        <w:spacing w:line="360" w:lineRule="auto"/>
        <w:jc w:val="center"/>
        <w:outlineLvl w:val="0"/>
        <w:rPr>
          <w:rFonts w:hint="default" w:ascii="方正小标宋简体" w:hAnsi="宋体" w:eastAsia="方正小标宋简体"/>
          <w:sz w:val="52"/>
          <w:szCs w:val="52"/>
          <w:lang w:val="en-US" w:eastAsia="zh-CN"/>
        </w:rPr>
      </w:pPr>
      <w:bookmarkStart w:id="8" w:name="_Toc30379"/>
      <w:r>
        <w:rPr>
          <w:rFonts w:hint="eastAsia" w:ascii="方正小标宋简体" w:hAnsi="宋体" w:eastAsia="方正小标宋简体"/>
          <w:b/>
          <w:bCs/>
          <w:sz w:val="52"/>
          <w:szCs w:val="52"/>
          <w:lang w:val="en-US" w:eastAsia="zh-CN"/>
        </w:rPr>
        <w:t>单位决算</w:t>
      </w:r>
      <w:bookmarkEnd w:id="8"/>
    </w:p>
    <w:p w14:paraId="1517DC06">
      <w:pPr>
        <w:widowControl/>
        <w:jc w:val="center"/>
        <w:rPr>
          <w:rFonts w:hint="eastAsia" w:ascii="黑体" w:hAnsi="黑体" w:eastAsia="黑体"/>
          <w:sz w:val="48"/>
          <w:szCs w:val="48"/>
        </w:rPr>
        <w:sectPr>
          <w:footerReference r:id="rId4" w:type="first"/>
          <w:footerReference r:id="rId3" w:type="default"/>
          <w:pgSz w:w="11906" w:h="16838"/>
          <w:pgMar w:top="1440" w:right="1800" w:bottom="1440" w:left="1800" w:header="851" w:footer="992" w:gutter="0"/>
          <w:pgNumType w:fmt="decimal" w:start="2"/>
          <w:cols w:space="425" w:num="1"/>
          <w:docGrid w:type="lines" w:linePitch="312" w:charSpace="0"/>
        </w:sectPr>
      </w:pPr>
    </w:p>
    <w:p w14:paraId="099C4E91">
      <w:pPr>
        <w:widowControl/>
        <w:jc w:val="center"/>
        <w:rPr>
          <w:rFonts w:ascii="黑体" w:hAnsi="黑体" w:eastAsia="黑体"/>
          <w:sz w:val="48"/>
          <w:szCs w:val="48"/>
        </w:rPr>
      </w:pPr>
      <w:r>
        <w:rPr>
          <w:rFonts w:hint="eastAsia" w:ascii="黑体" w:hAnsi="黑体" w:eastAsia="黑体"/>
          <w:sz w:val="48"/>
          <w:szCs w:val="48"/>
        </w:rPr>
        <w:t>目录</w:t>
      </w:r>
    </w:p>
    <w:p w14:paraId="20BF8F7B">
      <w:pPr>
        <w:widowControl/>
        <w:jc w:val="center"/>
        <w:rPr>
          <w:rFonts w:ascii="黑体" w:hAnsi="黑体" w:eastAsia="黑体" w:cstheme="minorBidi"/>
          <w:sz w:val="28"/>
          <w:szCs w:val="28"/>
        </w:rPr>
      </w:pPr>
    </w:p>
    <w:p w14:paraId="0847F99D">
      <w:pPr>
        <w:pStyle w:val="11"/>
        <w:rPr>
          <w:rFonts w:hint="default" w:eastAsia="仿宋"/>
          <w:highlight w:val="none"/>
          <w:lang w:val="en-US" w:eastAsia="zh-CN"/>
        </w:rPr>
      </w:pPr>
      <w:r>
        <w:rPr>
          <w:rFonts w:hint="eastAsia"/>
          <w:highlight w:val="none"/>
        </w:rPr>
        <w:t>公开时间：202</w:t>
      </w:r>
      <w:r>
        <w:rPr>
          <w:rFonts w:hint="eastAsia"/>
          <w:highlight w:val="none"/>
          <w:lang w:val="en-US" w:eastAsia="zh-CN"/>
        </w:rPr>
        <w:t>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32FD0EC0"/>
    <w:sdt>
      <w:sdtPr>
        <w:rPr>
          <w:rFonts w:ascii="宋体" w:hAnsi="宋体" w:eastAsia="宋体" w:cs="Times New Roman"/>
          <w:kern w:val="2"/>
          <w:sz w:val="21"/>
          <w:szCs w:val="24"/>
          <w:lang w:val="en-US" w:eastAsia="zh-CN" w:bidi="ar-SA"/>
        </w:rPr>
        <w:id w:val="147461188"/>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14:paraId="3BE76A5E">
          <w:pPr>
            <w:spacing w:before="0" w:beforeLines="0" w:after="0" w:afterLines="0" w:line="240" w:lineRule="auto"/>
            <w:ind w:left="0" w:leftChars="0" w:right="0" w:rightChars="0" w:firstLine="0" w:firstLineChars="0"/>
            <w:jc w:val="center"/>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14:paraId="4C5B97B2">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第一部分 单位</w:t>
          </w:r>
          <w:r>
            <w:rPr>
              <w:rFonts w:hint="eastAsia" w:ascii="仿宋" w:hAnsi="仿宋" w:eastAsia="仿宋" w:cs="仿宋"/>
              <w:b/>
              <w:bCs w:val="0"/>
              <w:sz w:val="28"/>
              <w:szCs w:val="28"/>
            </w:rPr>
            <w:t>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458C578">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_Toc17832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一、 </w:t>
          </w:r>
          <w:r>
            <w:rPr>
              <w:rFonts w:hint="eastAsia" w:ascii="仿宋" w:hAnsi="仿宋" w:eastAsia="仿宋" w:cs="仿宋"/>
              <w:bCs w:val="0"/>
              <w:sz w:val="28"/>
              <w:szCs w:val="28"/>
              <w:highlight w:val="none"/>
            </w:rPr>
            <w:t>主要职责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_Toc17832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DEC33D">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 </w:t>
          </w:r>
          <w:r>
            <w:rPr>
              <w:rFonts w:hint="eastAsia" w:ascii="仿宋" w:hAnsi="仿宋" w:eastAsia="仿宋" w:cs="仿宋"/>
              <w:sz w:val="28"/>
              <w:szCs w:val="28"/>
              <w:highlight w:val="none"/>
            </w:rPr>
            <w:t>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_Toc7884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A2D4C6">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第二部分 2023年度</w:t>
          </w:r>
          <w:r>
            <w:rPr>
              <w:rFonts w:hint="eastAsia" w:ascii="仿宋" w:hAnsi="仿宋" w:eastAsia="仿宋" w:cs="仿宋"/>
              <w:b/>
              <w:bCs/>
              <w:sz w:val="28"/>
              <w:szCs w:val="28"/>
            </w:rPr>
            <w:t>单位决算情况说明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_Toc23483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149F038">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_Toc5261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2BD09A">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F1A10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_Toc1124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246F6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_Toc29631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BC9988">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_Toc1707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E5A24D">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_Toc23998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3B947E">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七、财政拨款“三公”经费支出决算情况说明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5564AF">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_Toc26560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D5BECD">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_Toc7002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3E7FCF0">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_Toc4176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CDB777">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_Toc32723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_Toc32723 </w:instrText>
          </w:r>
          <w:r>
            <w:rPr>
              <w:rFonts w:hint="eastAsia" w:ascii="仿宋" w:hAnsi="仿宋" w:eastAsia="仿宋" w:cs="仿宋"/>
              <w:b/>
              <w:sz w:val="28"/>
              <w:szCs w:val="28"/>
            </w:rPr>
            <w:fldChar w:fldCharType="separate"/>
          </w:r>
          <w:r>
            <w:rPr>
              <w:rFonts w:hint="eastAsia" w:ascii="仿宋" w:hAnsi="仿宋" w:eastAsia="仿宋" w:cs="仿宋"/>
              <w:b/>
              <w:sz w:val="28"/>
              <w:szCs w:val="28"/>
            </w:rPr>
            <w:t>14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E86E52A">
          <w:pPr>
            <w:pStyle w:val="34"/>
            <w:tabs>
              <w:tab w:val="right" w:leader="dot" w:pos="8306"/>
            </w:tabs>
            <w:rPr>
              <w:rFonts w:hint="eastAsia" w:ascii="仿宋" w:hAnsi="仿宋" w:eastAsia="仿宋" w:cs="仿宋"/>
              <w:b/>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_Toc3339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4</w:t>
          </w:r>
        </w:p>
        <w:p w14:paraId="59BA2D65">
          <w:pPr>
            <w:pStyle w:val="34"/>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_Toc15696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_Toc15696 </w:instrText>
          </w:r>
          <w:r>
            <w:rPr>
              <w:rFonts w:hint="eastAsia" w:ascii="仿宋" w:hAnsi="仿宋" w:eastAsia="仿宋" w:cs="仿宋"/>
              <w:b/>
              <w:sz w:val="28"/>
              <w:szCs w:val="28"/>
            </w:rPr>
            <w:fldChar w:fldCharType="separate"/>
          </w:r>
          <w:r>
            <w:rPr>
              <w:rFonts w:hint="eastAsia" w:ascii="仿宋" w:hAnsi="仿宋" w:eastAsia="仿宋" w:cs="仿宋"/>
              <w:b/>
              <w:sz w:val="28"/>
              <w:szCs w:val="28"/>
            </w:rPr>
            <w:t>21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97577D1">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_Toc9002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6F2CB4">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_Toc21070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39B019">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_Toc5304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_Toc5304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83A43F">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_Toc18475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FF1AB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_Toc16175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05E44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_Toc25025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820B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_Toc28702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_Toc28702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D4DF42">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_Toc31737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_Toc31737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560F4F7">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_Toc10240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33F734">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_Toc6097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_Toc6097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917360">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国</w:t>
          </w:r>
          <w:r>
            <w:rPr>
              <w:rFonts w:hint="eastAsia" w:ascii="仿宋" w:hAnsi="仿宋" w:eastAsia="仿宋" w:cs="仿宋"/>
              <w:bCs w:val="0"/>
              <w:sz w:val="28"/>
              <w:szCs w:val="28"/>
            </w:rPr>
            <w:t>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_Toc1183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C8F3E5">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07B4D01">
          <w:pPr>
            <w:pStyle w:val="35"/>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_Toc6075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1C54C2">
          <w:pP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39C5D93F">
      <w:pPr>
        <w:pStyle w:val="2"/>
        <w:spacing w:before="0" w:after="0" w:line="240" w:lineRule="auto"/>
        <w:jc w:val="both"/>
        <w:rPr>
          <w:rFonts w:hint="eastAsia" w:ascii="黑体" w:hAnsi="黑体" w:eastAsia="黑体"/>
          <w:b w:val="0"/>
        </w:rPr>
      </w:pPr>
      <w:bookmarkStart w:id="9" w:name="_Toc15396599"/>
      <w:bookmarkStart w:id="10" w:name="_Toc28792"/>
      <w:bookmarkStart w:id="11" w:name="_Toc15377196"/>
    </w:p>
    <w:p w14:paraId="37C7ED0A">
      <w:pPr>
        <w:pStyle w:val="2"/>
        <w:spacing w:before="0" w:after="0" w:line="240" w:lineRule="auto"/>
        <w:jc w:val="center"/>
        <w:rPr>
          <w:rFonts w:hint="eastAsia" w:ascii="黑体" w:hAnsi="黑体" w:eastAsia="黑体"/>
          <w:b w:val="0"/>
        </w:rPr>
      </w:pPr>
    </w:p>
    <w:p w14:paraId="7A591539">
      <w:pPr>
        <w:rPr>
          <w:rFonts w:hint="eastAsia"/>
        </w:rPr>
      </w:pPr>
    </w:p>
    <w:p w14:paraId="76BCF6C2">
      <w:pPr>
        <w:pStyle w:val="2"/>
        <w:spacing w:before="0" w:after="0" w:line="240" w:lineRule="auto"/>
        <w:jc w:val="center"/>
        <w:rPr>
          <w:rFonts w:hint="eastAsia" w:ascii="黑体" w:hAnsi="黑体" w:eastAsia="黑体"/>
          <w:b w:val="0"/>
        </w:rPr>
      </w:pPr>
    </w:p>
    <w:p w14:paraId="08975DD2">
      <w:pPr>
        <w:rPr>
          <w:rFonts w:hint="eastAsia"/>
        </w:rPr>
      </w:pPr>
    </w:p>
    <w:p w14:paraId="4BBFEB6F">
      <w:pPr>
        <w:pStyle w:val="2"/>
        <w:jc w:val="center"/>
        <w:rPr>
          <w:rFonts w:hint="eastAsia" w:ascii="黑体" w:hAnsi="黑体" w:eastAsia="黑体"/>
          <w:b w:val="0"/>
        </w:rPr>
      </w:pPr>
    </w:p>
    <w:p w14:paraId="51132F0D">
      <w:pPr>
        <w:rPr>
          <w:rFonts w:hint="eastAsia" w:ascii="黑体" w:hAnsi="黑体" w:eastAsia="黑体"/>
          <w:b w:val="0"/>
        </w:rPr>
      </w:pPr>
    </w:p>
    <w:p w14:paraId="231A7BEC">
      <w:pPr>
        <w:rPr>
          <w:rFonts w:hint="eastAsia" w:ascii="黑体" w:hAnsi="黑体" w:eastAsia="黑体"/>
          <w:b w:val="0"/>
        </w:rPr>
      </w:pPr>
    </w:p>
    <w:p w14:paraId="582BD4F6">
      <w:pPr>
        <w:rPr>
          <w:rFonts w:hint="eastAsia" w:ascii="黑体" w:hAnsi="黑体" w:eastAsia="黑体"/>
          <w:b w:val="0"/>
        </w:rPr>
      </w:pPr>
    </w:p>
    <w:p w14:paraId="69E7B34C">
      <w:pPr>
        <w:rPr>
          <w:rFonts w:hint="eastAsia"/>
        </w:rPr>
      </w:pPr>
    </w:p>
    <w:p w14:paraId="1DB6BA5B">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9"/>
      <w:bookmarkEnd w:id="10"/>
      <w:bookmarkEnd w:id="11"/>
    </w:p>
    <w:p w14:paraId="30056911">
      <w:pPr>
        <w:widowControl/>
        <w:jc w:val="left"/>
        <w:rPr>
          <w:rFonts w:ascii="黑体" w:eastAsia="黑体"/>
          <w:sz w:val="32"/>
          <w:szCs w:val="32"/>
        </w:rPr>
      </w:pPr>
    </w:p>
    <w:p w14:paraId="027AC45D">
      <w:pPr>
        <w:pStyle w:val="3"/>
        <w:numPr>
          <w:ilvl w:val="0"/>
          <w:numId w:val="1"/>
        </w:numPr>
        <w:rPr>
          <w:rStyle w:val="28"/>
          <w:rFonts w:ascii="黑体" w:hAnsi="黑体" w:eastAsia="黑体"/>
          <w:b w:val="0"/>
          <w:bCs w:val="0"/>
          <w:highlight w:val="none"/>
        </w:rPr>
      </w:pPr>
      <w:bookmarkStart w:id="12" w:name="_Toc17832"/>
      <w:bookmarkStart w:id="13" w:name="_Toc15377197"/>
      <w:bookmarkStart w:id="14" w:name="_Toc15396600"/>
      <w:r>
        <w:rPr>
          <w:rStyle w:val="28"/>
          <w:rFonts w:hint="eastAsia" w:ascii="黑体" w:hAnsi="黑体" w:eastAsia="黑体"/>
          <w:b w:val="0"/>
          <w:bCs w:val="0"/>
          <w:highlight w:val="none"/>
        </w:rPr>
        <w:t>主要职责</w:t>
      </w:r>
      <w:bookmarkEnd w:id="12"/>
    </w:p>
    <w:p w14:paraId="1C6460B4">
      <w:pPr>
        <w:ind w:firstLine="640" w:firstLineChars="200"/>
      </w:pPr>
      <w:bookmarkStart w:id="15" w:name="_Toc18420"/>
      <w:bookmarkStart w:id="16" w:name="_Toc24780"/>
      <w:r>
        <w:rPr>
          <w:rFonts w:hint="eastAsia" w:ascii="仿宋" w:hAnsi="仿宋" w:eastAsia="仿宋"/>
          <w:bCs/>
          <w:color w:val="auto"/>
          <w:kern w:val="0"/>
          <w:sz w:val="32"/>
          <w:szCs w:val="32"/>
        </w:rPr>
        <w:t>大竹县庙坝镇</w:t>
      </w:r>
      <w:r>
        <w:rPr>
          <w:rFonts w:hint="eastAsia" w:ascii="仿宋" w:hAnsi="仿宋" w:eastAsia="仿宋"/>
          <w:bCs/>
          <w:color w:val="auto"/>
          <w:kern w:val="0"/>
          <w:sz w:val="32"/>
          <w:szCs w:val="32"/>
          <w:lang w:val="en-US" w:eastAsia="zh-CN"/>
        </w:rPr>
        <w:t>牌坊</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w:t>
      </w:r>
      <w:r>
        <w:rPr>
          <w:rFonts w:hint="eastAsia" w:ascii="仿宋" w:hAnsi="仿宋" w:eastAsia="仿宋"/>
          <w:b w:val="0"/>
          <w:bCs w:val="0"/>
          <w:color w:val="000000"/>
          <w:sz w:val="32"/>
          <w:szCs w:val="32"/>
          <w:lang w:val="en-US" w:eastAsia="zh-CN"/>
        </w:rPr>
        <w:t>贯彻执行党和国家的教育方针、教育政策、教育法律和教育法规，贯彻执行上级教育行政部门的行政规章。根据县委、县政府制定的教育事业发展规划，结合实际制定并组织实施本校的教育事业发展规划。按照上级有关部门的规定，负责对学校教育的财务和基建进行管理。按照完全小学义务教育课程计划要求开齐课程开足课时，认真实施中小学的教育教学管理，全面推进素质教育，全面提高教育教学质量。</w:t>
      </w:r>
      <w:bookmarkEnd w:id="15"/>
      <w:bookmarkEnd w:id="16"/>
    </w:p>
    <w:p w14:paraId="512C6AE4">
      <w:pPr>
        <w:pStyle w:val="3"/>
        <w:numPr>
          <w:ilvl w:val="0"/>
          <w:numId w:val="1"/>
        </w:numPr>
        <w:ind w:left="0" w:leftChars="0" w:firstLine="0" w:firstLineChars="0"/>
        <w:rPr>
          <w:rFonts w:hint="eastAsia" w:ascii="黑体" w:hAnsi="黑体" w:eastAsia="黑体"/>
          <w:b w:val="0"/>
          <w:highlight w:val="none"/>
        </w:rPr>
      </w:pPr>
      <w:bookmarkStart w:id="17" w:name="_Toc7884"/>
      <w:r>
        <w:rPr>
          <w:rFonts w:hint="eastAsia" w:ascii="黑体" w:hAnsi="黑体" w:eastAsia="黑体"/>
          <w:b w:val="0"/>
          <w:highlight w:val="none"/>
        </w:rPr>
        <w:t>机构设置</w:t>
      </w:r>
      <w:bookmarkEnd w:id="17"/>
    </w:p>
    <w:p w14:paraId="465C39A8">
      <w:pPr>
        <w:pStyle w:val="5"/>
        <w:adjustRightInd w:val="0"/>
        <w:snapToGrid w:val="0"/>
        <w:spacing w:before="93" w:line="600" w:lineRule="exact"/>
        <w:ind w:firstLine="672" w:firstLineChars="210"/>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大竹县庙坝镇牌坊小学为一级预算单位，下属的二级预算单位0个，下设独立编制机构0个，其中行政机构0个，参照公务员法管理的事业机构0个，其它事业机构0个。</w:t>
      </w:r>
    </w:p>
    <w:p w14:paraId="21FE12F9">
      <w:pPr>
        <w:pStyle w:val="5"/>
        <w:spacing w:before="93"/>
        <w:ind w:firstLine="640" w:firstLineChars="200"/>
      </w:pPr>
      <w:r>
        <w:rPr>
          <w:rFonts w:hint="eastAsia" w:ascii="仿宋" w:hAnsi="仿宋" w:eastAsia="仿宋" w:cs="仿宋_GB2312"/>
          <w:sz w:val="32"/>
          <w:szCs w:val="32"/>
        </w:rPr>
        <w:t>纳入大竹县</w:t>
      </w:r>
      <w:r>
        <w:rPr>
          <w:rFonts w:hint="eastAsia" w:ascii="仿宋" w:hAnsi="仿宋" w:eastAsia="仿宋" w:cs="仿宋_GB2312"/>
          <w:sz w:val="32"/>
          <w:szCs w:val="32"/>
          <w:lang w:val="en-US" w:eastAsia="zh-CN"/>
        </w:rPr>
        <w:t>庙坝镇牌坊小学</w:t>
      </w:r>
      <w:r>
        <w:rPr>
          <w:rFonts w:hint="eastAsia" w:ascii="仿宋" w:hAnsi="仿宋" w:eastAsia="仿宋" w:cs="仿宋_GB2312"/>
          <w:sz w:val="32"/>
          <w:szCs w:val="32"/>
        </w:rPr>
        <w:t>2</w:t>
      </w:r>
      <w:r>
        <w:rPr>
          <w:rFonts w:ascii="仿宋" w:hAnsi="仿宋" w:eastAsia="仿宋" w:cs="仿宋_GB2312"/>
          <w:sz w:val="32"/>
          <w:szCs w:val="32"/>
        </w:rPr>
        <w:t>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年度部门决算编制范围的二级预算单位包括：无。</w:t>
      </w:r>
    </w:p>
    <w:p w14:paraId="551FEFE0">
      <w:pPr>
        <w:numPr>
          <w:ilvl w:val="0"/>
          <w:numId w:val="0"/>
        </w:numPr>
        <w:ind w:leftChars="0"/>
      </w:pPr>
    </w:p>
    <w:bookmarkEnd w:id="13"/>
    <w:bookmarkEnd w:id="14"/>
    <w:p w14:paraId="5B44769A">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14:paraId="71A87069">
      <w:pPr>
        <w:pStyle w:val="2"/>
        <w:ind w:right="440"/>
        <w:jc w:val="center"/>
        <w:rPr>
          <w:rStyle w:val="27"/>
          <w:rFonts w:ascii="黑体" w:hAnsi="黑体" w:eastAsia="黑体"/>
          <w:b w:val="0"/>
          <w:bCs/>
        </w:rPr>
      </w:pPr>
      <w:bookmarkStart w:id="18" w:name="_Toc15377204"/>
      <w:bookmarkStart w:id="19" w:name="_Toc15396602"/>
      <w:bookmarkStart w:id="20" w:name="_Toc23483"/>
      <w:r>
        <w:rPr>
          <w:rFonts w:hint="eastAsia" w:ascii="黑体" w:hAnsi="黑体" w:eastAsia="黑体"/>
          <w:b w:val="0"/>
        </w:rPr>
        <w:t>第二部分 2023年度</w:t>
      </w:r>
      <w:r>
        <w:rPr>
          <w:rStyle w:val="27"/>
          <w:rFonts w:hint="eastAsia" w:ascii="黑体" w:hAnsi="黑体" w:eastAsia="黑体"/>
          <w:b w:val="0"/>
          <w:bCs/>
        </w:rPr>
        <w:t>单位决算情况说明</w:t>
      </w:r>
      <w:bookmarkEnd w:id="18"/>
      <w:bookmarkEnd w:id="19"/>
      <w:bookmarkEnd w:id="20"/>
    </w:p>
    <w:p w14:paraId="1A847485"/>
    <w:p w14:paraId="72E0A9AE">
      <w:pPr>
        <w:pStyle w:val="26"/>
        <w:numPr>
          <w:ilvl w:val="0"/>
          <w:numId w:val="2"/>
        </w:numPr>
        <w:spacing w:line="600" w:lineRule="exact"/>
        <w:ind w:firstLineChars="0"/>
        <w:outlineLvl w:val="1"/>
        <w:rPr>
          <w:rStyle w:val="28"/>
          <w:rFonts w:ascii="黑体" w:hAnsi="黑体" w:eastAsia="黑体"/>
          <w:b w:val="0"/>
        </w:rPr>
      </w:pPr>
      <w:bookmarkStart w:id="21" w:name="_Toc15377205"/>
      <w:bookmarkStart w:id="22" w:name="_Toc15396603"/>
      <w:bookmarkStart w:id="23" w:name="_Toc5261"/>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bookmarkEnd w:id="23"/>
    </w:p>
    <w:p w14:paraId="7B744A6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724.03</w:t>
      </w:r>
      <w:r>
        <w:rPr>
          <w:rFonts w:hint="eastAsia" w:ascii="仿宋" w:hAnsi="仿宋" w:eastAsia="仿宋"/>
          <w:sz w:val="32"/>
          <w:szCs w:val="32"/>
        </w:rPr>
        <w:t>万元。与2022年度相比，收、支总计各</w:t>
      </w:r>
      <w:r>
        <w:rPr>
          <w:rFonts w:hint="eastAsia" w:ascii="仿宋" w:hAnsi="仿宋" w:eastAsia="仿宋"/>
          <w:sz w:val="32"/>
          <w:szCs w:val="32"/>
          <w:lang w:val="en-US" w:eastAsia="zh-CN"/>
        </w:rPr>
        <w:t>增加20.33</w:t>
      </w:r>
      <w:r>
        <w:rPr>
          <w:rFonts w:hint="eastAsia" w:ascii="仿宋" w:hAnsi="仿宋" w:eastAsia="仿宋"/>
          <w:sz w:val="32"/>
          <w:szCs w:val="32"/>
        </w:rPr>
        <w:t>万元，</w:t>
      </w:r>
      <w:r>
        <w:rPr>
          <w:rFonts w:hint="eastAsia" w:ascii="仿宋" w:hAnsi="仿宋" w:eastAsia="仿宋"/>
          <w:sz w:val="32"/>
          <w:szCs w:val="32"/>
          <w:lang w:val="en-US" w:eastAsia="zh-CN"/>
        </w:rPr>
        <w:t>增涨2.89</w:t>
      </w:r>
      <w:r>
        <w:rPr>
          <w:rFonts w:hint="eastAsia" w:ascii="仿宋" w:hAnsi="仿宋" w:eastAsia="仿宋"/>
          <w:sz w:val="32"/>
          <w:szCs w:val="32"/>
        </w:rPr>
        <w:t>%。主要变动原因是</w:t>
      </w:r>
      <w:r>
        <w:rPr>
          <w:rFonts w:hint="eastAsia" w:ascii="仿宋" w:hAnsi="仿宋" w:eastAsia="仿宋"/>
          <w:sz w:val="32"/>
          <w:szCs w:val="32"/>
          <w:lang w:val="en-US" w:eastAsia="zh-CN"/>
        </w:rPr>
        <w:t>本年支付上年度存量资金五险一金欠缴部分</w:t>
      </w:r>
      <w:r>
        <w:rPr>
          <w:rFonts w:hint="eastAsia" w:ascii="仿宋" w:hAnsi="仿宋" w:eastAsia="仿宋"/>
          <w:sz w:val="32"/>
          <w:szCs w:val="32"/>
        </w:rPr>
        <w:t>。</w:t>
      </w:r>
    </w:p>
    <w:p w14:paraId="4A8E341D">
      <w:pPr>
        <w:spacing w:line="240" w:lineRule="auto"/>
        <w:ind w:firstLine="0" w:firstLineChars="0"/>
        <w:rPr>
          <w:rFonts w:hint="eastAsia" w:ascii="仿宋" w:hAnsi="仿宋" w:eastAsia="仿宋"/>
          <w:sz w:val="32"/>
          <w:szCs w:val="32"/>
          <w:highlight w:val="yellow"/>
        </w:rPr>
      </w:pPr>
      <w:r>
        <w:drawing>
          <wp:inline distT="0" distB="0" distL="114300" distR="114300">
            <wp:extent cx="5356860" cy="2903220"/>
            <wp:effectExtent l="4445" t="4445" r="10795" b="69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7ED067">
      <w:pPr>
        <w:spacing w:line="600" w:lineRule="exact"/>
        <w:rPr>
          <w:rFonts w:hint="eastAsia" w:ascii="仿宋" w:hAnsi="仿宋" w:eastAsia="仿宋"/>
          <w:sz w:val="32"/>
          <w:szCs w:val="32"/>
          <w:highlight w:val="yellow"/>
        </w:rPr>
      </w:pPr>
    </w:p>
    <w:p w14:paraId="5189269A">
      <w:pPr>
        <w:spacing w:line="60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w:t>
      </w:r>
    </w:p>
    <w:p w14:paraId="073D876C">
      <w:pPr>
        <w:spacing w:line="600" w:lineRule="exact"/>
        <w:ind w:firstLine="640" w:firstLineChars="200"/>
        <w:jc w:val="left"/>
        <w:rPr>
          <w:rFonts w:ascii="仿宋_GB2312" w:eastAsia="仿宋_GB2312"/>
          <w:sz w:val="32"/>
          <w:szCs w:val="32"/>
        </w:rPr>
      </w:pPr>
    </w:p>
    <w:p w14:paraId="4CD8EC56">
      <w:pPr>
        <w:pStyle w:val="26"/>
        <w:numPr>
          <w:ilvl w:val="0"/>
          <w:numId w:val="2"/>
        </w:numPr>
        <w:spacing w:line="600" w:lineRule="exact"/>
        <w:ind w:firstLineChars="0"/>
        <w:outlineLvl w:val="1"/>
        <w:rPr>
          <w:rStyle w:val="28"/>
          <w:rFonts w:ascii="黑体" w:hAnsi="黑体" w:eastAsia="黑体"/>
          <w:b w:val="0"/>
        </w:rPr>
      </w:pPr>
      <w:bookmarkStart w:id="24" w:name="_Toc15396604"/>
      <w:bookmarkStart w:id="25" w:name="_Toc293"/>
      <w:bookmarkStart w:id="26"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bookmarkEnd w:id="26"/>
    </w:p>
    <w:p w14:paraId="4F92FA7E">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2023年度本年收入合计700.37万元，其中：一般公共预算财政拨款收入700.37万元，占100%。</w:t>
      </w:r>
    </w:p>
    <w:p w14:paraId="3BEB1F9F">
      <w:pPr>
        <w:spacing w:line="600" w:lineRule="exact"/>
        <w:ind w:firstLine="640" w:firstLineChars="200"/>
        <w:rPr>
          <w:rFonts w:hint="eastAsia" w:ascii="仿宋" w:hAnsi="仿宋" w:eastAsia="仿宋"/>
          <w:sz w:val="32"/>
          <w:szCs w:val="32"/>
          <w:lang w:val="en-US" w:eastAsia="zh-CN"/>
        </w:rPr>
      </w:pPr>
    </w:p>
    <w:p w14:paraId="2C72DE7F">
      <w:pPr>
        <w:spacing w:line="600" w:lineRule="exact"/>
        <w:ind w:firstLine="640" w:firstLineChars="200"/>
        <w:outlineLvl w:val="9"/>
        <w:rPr>
          <w:rFonts w:ascii="仿宋" w:hAnsi="仿宋" w:eastAsia="仿宋"/>
          <w:sz w:val="32"/>
          <w:szCs w:val="32"/>
        </w:rPr>
      </w:pPr>
    </w:p>
    <w:p w14:paraId="7BFA83DE">
      <w:pPr>
        <w:spacing w:line="600" w:lineRule="exact"/>
        <w:ind w:firstLine="640" w:firstLineChars="200"/>
        <w:outlineLvl w:val="9"/>
        <w:rPr>
          <w:rFonts w:ascii="仿宋" w:hAnsi="仿宋" w:eastAsia="仿宋"/>
          <w:sz w:val="32"/>
          <w:szCs w:val="32"/>
        </w:rPr>
      </w:pPr>
    </w:p>
    <w:p w14:paraId="4453B89A">
      <w:pPr>
        <w:spacing w:line="600" w:lineRule="exact"/>
        <w:ind w:firstLine="640" w:firstLineChars="200"/>
        <w:outlineLvl w:val="9"/>
        <w:rPr>
          <w:rFonts w:ascii="仿宋" w:hAnsi="仿宋" w:eastAsia="仿宋"/>
          <w:sz w:val="32"/>
          <w:szCs w:val="32"/>
        </w:rPr>
      </w:pPr>
    </w:p>
    <w:p w14:paraId="0394A67C">
      <w:pPr>
        <w:spacing w:line="600" w:lineRule="exact"/>
        <w:ind w:firstLine="640" w:firstLineChars="200"/>
        <w:outlineLvl w:val="9"/>
        <w:rPr>
          <w:rFonts w:ascii="仿宋" w:hAnsi="仿宋" w:eastAsia="仿宋"/>
          <w:sz w:val="32"/>
          <w:szCs w:val="32"/>
        </w:rPr>
      </w:pPr>
    </w:p>
    <w:p w14:paraId="205344EA">
      <w:pPr>
        <w:spacing w:line="240" w:lineRule="auto"/>
        <w:ind w:firstLine="0" w:firstLineChars="0"/>
        <w:outlineLvl w:val="9"/>
        <w:rPr>
          <w:rFonts w:ascii="仿宋" w:hAnsi="仿宋" w:eastAsia="仿宋"/>
          <w:sz w:val="32"/>
          <w:szCs w:val="32"/>
        </w:rPr>
      </w:pPr>
      <w:r>
        <w:drawing>
          <wp:inline distT="0" distB="0" distL="114300" distR="114300">
            <wp:extent cx="5170170" cy="2820035"/>
            <wp:effectExtent l="4445" t="4445" r="6985"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2ED81B">
      <w:pPr>
        <w:spacing w:line="600" w:lineRule="exact"/>
        <w:ind w:firstLine="640" w:firstLineChars="200"/>
        <w:jc w:val="center"/>
        <w:rPr>
          <w:rFonts w:ascii="仿宋" w:hAnsi="仿宋" w:eastAsia="仿宋"/>
          <w:sz w:val="32"/>
          <w:szCs w:val="32"/>
          <w:highlight w:val="none"/>
        </w:rPr>
      </w:pPr>
      <w:r>
        <w:rPr>
          <w:rFonts w:hint="eastAsia" w:ascii="仿宋" w:hAnsi="仿宋" w:eastAsia="仿宋"/>
          <w:sz w:val="32"/>
          <w:szCs w:val="32"/>
          <w:highlight w:val="none"/>
        </w:rPr>
        <w:t>（图2：收入决算结构图）</w:t>
      </w:r>
    </w:p>
    <w:p w14:paraId="46DA2E6F">
      <w:pPr>
        <w:spacing w:line="600" w:lineRule="exact"/>
        <w:ind w:firstLine="640" w:firstLineChars="200"/>
        <w:rPr>
          <w:rFonts w:ascii="仿宋_GB2312" w:eastAsia="仿宋_GB2312"/>
          <w:sz w:val="32"/>
          <w:szCs w:val="32"/>
          <w:highlight w:val="yellow"/>
        </w:rPr>
      </w:pPr>
    </w:p>
    <w:p w14:paraId="754E36C8">
      <w:pPr>
        <w:pStyle w:val="26"/>
        <w:numPr>
          <w:ilvl w:val="0"/>
          <w:numId w:val="2"/>
        </w:numPr>
        <w:spacing w:line="600" w:lineRule="exact"/>
        <w:ind w:firstLineChars="0"/>
        <w:outlineLvl w:val="1"/>
        <w:rPr>
          <w:rStyle w:val="28"/>
          <w:rFonts w:ascii="黑体" w:hAnsi="黑体" w:eastAsia="黑体"/>
          <w:b w:val="0"/>
        </w:rPr>
      </w:pPr>
      <w:bookmarkStart w:id="27" w:name="_Toc1124"/>
      <w:bookmarkStart w:id="28" w:name="_Toc15396605"/>
      <w:bookmarkStart w:id="29" w:name="_Toc15377207"/>
      <w:r>
        <w:rPr>
          <w:rFonts w:hint="eastAsia" w:ascii="黑体" w:hAnsi="黑体" w:eastAsia="黑体"/>
          <w:sz w:val="32"/>
          <w:szCs w:val="32"/>
        </w:rPr>
        <w:t>支</w:t>
      </w:r>
      <w:r>
        <w:rPr>
          <w:rStyle w:val="28"/>
          <w:rFonts w:hint="eastAsia" w:ascii="黑体" w:hAnsi="黑体" w:eastAsia="黑体"/>
          <w:b w:val="0"/>
        </w:rPr>
        <w:t>出决算情况说明</w:t>
      </w:r>
      <w:bookmarkEnd w:id="27"/>
      <w:bookmarkEnd w:id="28"/>
      <w:bookmarkEnd w:id="29"/>
    </w:p>
    <w:p w14:paraId="130BDA49">
      <w:pPr>
        <w:spacing w:line="600" w:lineRule="exact"/>
        <w:ind w:firstLine="640" w:firstLineChars="200"/>
        <w:outlineLvl w:val="1"/>
        <w:rPr>
          <w:rFonts w:ascii="仿宋" w:hAnsi="仿宋" w:eastAsia="仿宋"/>
          <w:sz w:val="32"/>
          <w:szCs w:val="32"/>
        </w:rPr>
      </w:pPr>
      <w:bookmarkStart w:id="30" w:name="_Toc13572"/>
      <w:r>
        <w:rPr>
          <w:rFonts w:hint="eastAsia" w:ascii="仿宋" w:hAnsi="仿宋" w:eastAsia="仿宋"/>
          <w:sz w:val="32"/>
          <w:szCs w:val="32"/>
          <w:lang w:val="en-US" w:eastAsia="zh-CN"/>
        </w:rPr>
        <w:t>2023年度本年支出合计724.03万元，其中：基本支出708.67万元，占97.87%；项目支出15.36万元，占2.12%。</w:t>
      </w:r>
      <w:bookmarkEnd w:id="30"/>
    </w:p>
    <w:p w14:paraId="793151E3">
      <w:pPr>
        <w:spacing w:line="240" w:lineRule="auto"/>
        <w:ind w:firstLine="0"/>
        <w:rPr>
          <w:rFonts w:ascii="仿宋" w:hAnsi="仿宋" w:eastAsia="仿宋"/>
          <w:sz w:val="32"/>
          <w:szCs w:val="32"/>
          <w:shd w:val="pct10" w:color="auto" w:fill="FFFFFF"/>
        </w:rPr>
      </w:pPr>
      <w:r>
        <w:drawing>
          <wp:inline distT="0" distB="0" distL="114300" distR="114300">
            <wp:extent cx="5143500" cy="264795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8A40C">
      <w:pPr>
        <w:spacing w:line="600" w:lineRule="exact"/>
        <w:ind w:firstLine="640" w:firstLineChars="200"/>
        <w:jc w:val="center"/>
        <w:rPr>
          <w:rFonts w:ascii="仿宋_GB2312" w:eastAsia="仿宋_GB2312"/>
          <w:sz w:val="32"/>
          <w:szCs w:val="32"/>
          <w:highlight w:val="yellow"/>
        </w:rPr>
      </w:pPr>
      <w:r>
        <w:rPr>
          <w:rFonts w:hint="eastAsia" w:ascii="仿宋" w:hAnsi="仿宋" w:eastAsia="仿宋"/>
          <w:sz w:val="32"/>
          <w:szCs w:val="32"/>
          <w:highlight w:val="none"/>
        </w:rPr>
        <w:t>（图3：支出决算结构图）</w:t>
      </w:r>
    </w:p>
    <w:p w14:paraId="6C209202">
      <w:pPr>
        <w:spacing w:line="600" w:lineRule="exact"/>
        <w:ind w:firstLine="640" w:firstLineChars="200"/>
        <w:outlineLvl w:val="1"/>
        <w:rPr>
          <w:rStyle w:val="28"/>
          <w:rFonts w:ascii="黑体" w:hAnsi="黑体" w:eastAsia="黑体"/>
          <w:b w:val="0"/>
        </w:rPr>
      </w:pPr>
      <w:bookmarkStart w:id="31" w:name="_Toc29631"/>
      <w:bookmarkStart w:id="32" w:name="_Toc15377208"/>
      <w:bookmarkStart w:id="33"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1"/>
      <w:bookmarkEnd w:id="32"/>
      <w:bookmarkEnd w:id="33"/>
    </w:p>
    <w:p w14:paraId="16B4D390">
      <w:pPr>
        <w:spacing w:line="600" w:lineRule="exact"/>
        <w:ind w:firstLine="640" w:firstLineChars="200"/>
        <w:rPr>
          <w:rStyle w:val="16"/>
          <w:rFonts w:hint="eastAsia" w:ascii="仿宋" w:hAnsi="仿宋" w:eastAsia="仿宋"/>
          <w:b w:val="0"/>
          <w:bCs w:val="0"/>
          <w:color w:val="auto"/>
          <w:sz w:val="32"/>
          <w:szCs w:val="32"/>
        </w:rPr>
      </w:pPr>
      <w:r>
        <w:rPr>
          <w:rStyle w:val="16"/>
          <w:rFonts w:hint="eastAsia" w:ascii="仿宋" w:hAnsi="仿宋" w:eastAsia="仿宋"/>
          <w:b w:val="0"/>
          <w:bCs w:val="0"/>
          <w:color w:val="auto"/>
          <w:sz w:val="32"/>
          <w:szCs w:val="32"/>
        </w:rPr>
        <w:t>2023年度财政拨款收、支总计均为</w:t>
      </w:r>
      <w:r>
        <w:rPr>
          <w:rStyle w:val="16"/>
          <w:rFonts w:hint="eastAsia" w:ascii="仿宋" w:hAnsi="仿宋" w:eastAsia="仿宋"/>
          <w:b w:val="0"/>
          <w:bCs w:val="0"/>
          <w:color w:val="auto"/>
          <w:sz w:val="32"/>
          <w:szCs w:val="32"/>
          <w:lang w:val="en-US" w:eastAsia="zh-CN"/>
        </w:rPr>
        <w:t>724.03</w:t>
      </w:r>
      <w:r>
        <w:rPr>
          <w:rStyle w:val="16"/>
          <w:rFonts w:hint="eastAsia" w:ascii="仿宋" w:hAnsi="仿宋" w:eastAsia="仿宋"/>
          <w:b w:val="0"/>
          <w:bCs w:val="0"/>
          <w:color w:val="auto"/>
          <w:sz w:val="32"/>
          <w:szCs w:val="32"/>
        </w:rPr>
        <w:t>万元。与2022年度相比，财政拨款收、支总计各增加20.33万元，增涨2.89%万元。主要变动原因是</w:t>
      </w:r>
      <w:r>
        <w:rPr>
          <w:rStyle w:val="16"/>
          <w:rFonts w:hint="eastAsia" w:ascii="仿宋" w:hAnsi="仿宋" w:eastAsia="仿宋"/>
          <w:b w:val="0"/>
          <w:bCs w:val="0"/>
          <w:color w:val="auto"/>
          <w:sz w:val="32"/>
          <w:szCs w:val="32"/>
          <w:lang w:val="en-US" w:eastAsia="zh-CN"/>
        </w:rPr>
        <w:t>支付了上年度存量资金五险一金欠缴部分。</w:t>
      </w:r>
    </w:p>
    <w:p w14:paraId="0E3F07A0">
      <w:pPr>
        <w:spacing w:line="240" w:lineRule="auto"/>
        <w:rPr>
          <w:rFonts w:ascii="仿宋" w:hAnsi="仿宋" w:eastAsia="仿宋"/>
          <w:sz w:val="32"/>
          <w:szCs w:val="32"/>
        </w:rPr>
      </w:pPr>
      <w:r>
        <w:drawing>
          <wp:inline distT="0" distB="0" distL="114300" distR="114300">
            <wp:extent cx="5228590" cy="3057525"/>
            <wp:effectExtent l="4445" t="4445" r="571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BD5E7B">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（图4：财政拨款收、支决算总计变动情况）</w:t>
      </w:r>
    </w:p>
    <w:p w14:paraId="5CF4696A">
      <w:pPr>
        <w:spacing w:line="600" w:lineRule="exact"/>
        <w:ind w:firstLine="640"/>
        <w:rPr>
          <w:rFonts w:ascii="仿宋" w:hAnsi="仿宋" w:eastAsia="仿宋"/>
          <w:b/>
          <w:sz w:val="32"/>
          <w:szCs w:val="32"/>
        </w:rPr>
      </w:pPr>
    </w:p>
    <w:p w14:paraId="701C3995">
      <w:pPr>
        <w:spacing w:line="600" w:lineRule="exact"/>
        <w:ind w:firstLine="640" w:firstLineChars="200"/>
        <w:outlineLvl w:val="1"/>
        <w:rPr>
          <w:rStyle w:val="28"/>
          <w:rFonts w:ascii="黑体" w:hAnsi="黑体" w:eastAsia="黑体"/>
          <w:b w:val="0"/>
        </w:rPr>
      </w:pPr>
      <w:bookmarkStart w:id="34" w:name="_Toc1707"/>
      <w:bookmarkStart w:id="35" w:name="_Toc15377209"/>
      <w:bookmarkStart w:id="36"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4"/>
      <w:bookmarkEnd w:id="35"/>
      <w:bookmarkEnd w:id="36"/>
    </w:p>
    <w:p w14:paraId="31653A3B">
      <w:pPr>
        <w:spacing w:line="600" w:lineRule="exact"/>
        <w:ind w:firstLine="643" w:firstLineChars="200"/>
        <w:outlineLvl w:val="2"/>
        <w:rPr>
          <w:rFonts w:ascii="仿宋" w:hAnsi="仿宋" w:eastAsia="仿宋"/>
          <w:b/>
          <w:sz w:val="32"/>
          <w:szCs w:val="32"/>
        </w:rPr>
      </w:pPr>
      <w:bookmarkStart w:id="37" w:name="_Toc15377210"/>
      <w:r>
        <w:rPr>
          <w:rFonts w:hint="eastAsia" w:ascii="仿宋" w:hAnsi="仿宋" w:eastAsia="仿宋"/>
          <w:b/>
          <w:sz w:val="32"/>
          <w:szCs w:val="32"/>
        </w:rPr>
        <w:t>（一）一般公共预算财政拨款支出决算总体情况</w:t>
      </w:r>
      <w:bookmarkEnd w:id="37"/>
    </w:p>
    <w:p w14:paraId="3CF73398">
      <w:pPr>
        <w:spacing w:line="600" w:lineRule="exact"/>
        <w:ind w:firstLine="640"/>
        <w:rPr>
          <w:rFonts w:hint="default" w:ascii="仿宋" w:hAnsi="仿宋" w:eastAsia="仿宋"/>
          <w:sz w:val="32"/>
          <w:szCs w:val="32"/>
          <w:highlight w:val="none"/>
          <w:lang w:val="en-US" w:eastAsia="zh-CN"/>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724.03</w:t>
      </w:r>
      <w:r>
        <w:rPr>
          <w:rFonts w:hint="eastAsia" w:ascii="仿宋" w:hAnsi="仿宋" w:eastAsia="仿宋"/>
          <w:sz w:val="32"/>
          <w:szCs w:val="32"/>
        </w:rPr>
        <w:t>万元，占本年支出合计的100%。与2</w:t>
      </w:r>
      <w:r>
        <w:rPr>
          <w:rFonts w:hint="eastAsia" w:ascii="仿宋" w:hAnsi="仿宋" w:eastAsia="仿宋"/>
          <w:sz w:val="32"/>
          <w:szCs w:val="32"/>
          <w:highlight w:val="none"/>
        </w:rPr>
        <w:t>022年度相比，一般公共预算财政拨款支出增加</w:t>
      </w:r>
      <w:r>
        <w:rPr>
          <w:rFonts w:hint="eastAsia" w:ascii="仿宋" w:hAnsi="仿宋" w:eastAsia="仿宋"/>
          <w:sz w:val="32"/>
          <w:szCs w:val="32"/>
          <w:highlight w:val="none"/>
          <w:lang w:val="en-US" w:eastAsia="zh-CN"/>
        </w:rPr>
        <w:t>20.33万元，增涨2.89%</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支付了上年度存量资金五险一金欠缴部分。</w:t>
      </w:r>
    </w:p>
    <w:p w14:paraId="59B94B8F">
      <w:pPr>
        <w:spacing w:line="600" w:lineRule="exact"/>
        <w:ind w:firstLine="640" w:firstLineChars="200"/>
        <w:rPr>
          <w:rFonts w:ascii="仿宋" w:hAnsi="仿宋" w:eastAsia="仿宋"/>
          <w:sz w:val="32"/>
          <w:szCs w:val="32"/>
          <w:highlight w:val="yellow"/>
        </w:rPr>
      </w:pPr>
    </w:p>
    <w:p w14:paraId="3B470A5D">
      <w:pPr>
        <w:spacing w:line="240" w:lineRule="auto"/>
        <w:ind w:firstLine="0" w:firstLineChars="0"/>
        <w:rPr>
          <w:rFonts w:ascii="仿宋" w:hAnsi="仿宋" w:eastAsia="仿宋"/>
          <w:sz w:val="32"/>
          <w:szCs w:val="32"/>
        </w:rPr>
      </w:pPr>
      <w:r>
        <w:drawing>
          <wp:inline distT="0" distB="0" distL="114300" distR="114300">
            <wp:extent cx="5143500" cy="2600960"/>
            <wp:effectExtent l="4445" t="4445" r="14605" b="23495"/>
            <wp:docPr id="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3A7B03">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w:t>
      </w:r>
    </w:p>
    <w:p w14:paraId="560A2EFF">
      <w:pPr>
        <w:spacing w:line="600" w:lineRule="exact"/>
        <w:ind w:firstLine="643" w:firstLineChars="200"/>
        <w:outlineLvl w:val="9"/>
        <w:rPr>
          <w:rFonts w:hint="eastAsia" w:ascii="仿宋" w:hAnsi="仿宋" w:eastAsia="仿宋"/>
          <w:b/>
          <w:sz w:val="32"/>
          <w:szCs w:val="32"/>
        </w:rPr>
      </w:pPr>
      <w:bookmarkStart w:id="38" w:name="_Toc15377211"/>
    </w:p>
    <w:p w14:paraId="3CBAEF25">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8"/>
    </w:p>
    <w:p w14:paraId="35A2BF3D">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w:t>
      </w:r>
      <w:r>
        <w:rPr>
          <w:rFonts w:hint="eastAsia" w:ascii="仿宋" w:hAnsi="仿宋" w:eastAsia="仿宋"/>
          <w:sz w:val="32"/>
          <w:szCs w:val="32"/>
          <w:lang w:val="en-US" w:eastAsia="zh-CN"/>
        </w:rPr>
        <w:t>款支出724.03万元，主要用于以下方面:教育支出509.74万元，占71%；社会保障和就业支出153.02万元，占21%；卫生健康支出22.79万元，占3%；住房保障支出38.48万元，占5%。</w:t>
      </w:r>
    </w:p>
    <w:p w14:paraId="52B10D21">
      <w:pPr>
        <w:spacing w:line="240" w:lineRule="auto"/>
        <w:ind w:firstLine="0"/>
        <w:rPr>
          <w:rFonts w:ascii="仿宋" w:hAnsi="仿宋" w:eastAsia="仿宋"/>
          <w:sz w:val="32"/>
          <w:szCs w:val="32"/>
        </w:rPr>
      </w:pPr>
      <w:r>
        <w:drawing>
          <wp:inline distT="0" distB="0" distL="114300" distR="114300">
            <wp:extent cx="5189855" cy="2933065"/>
            <wp:effectExtent l="4445" t="4445" r="6350" b="15240"/>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B5EC26">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w:t>
      </w:r>
    </w:p>
    <w:p w14:paraId="27A6A143">
      <w:pPr>
        <w:spacing w:line="600" w:lineRule="exact"/>
        <w:ind w:firstLine="643" w:firstLineChars="200"/>
        <w:outlineLvl w:val="2"/>
        <w:rPr>
          <w:rFonts w:ascii="仿宋" w:hAnsi="仿宋" w:eastAsia="仿宋"/>
          <w:b/>
          <w:sz w:val="32"/>
          <w:szCs w:val="32"/>
        </w:rPr>
      </w:pPr>
      <w:bookmarkStart w:id="39" w:name="_Toc15377212"/>
      <w:r>
        <w:rPr>
          <w:rFonts w:hint="eastAsia" w:ascii="仿宋" w:hAnsi="仿宋" w:eastAsia="仿宋"/>
          <w:b/>
          <w:sz w:val="32"/>
          <w:szCs w:val="32"/>
        </w:rPr>
        <w:t>（三）一般公共预算财政拨款支出决算具体情况</w:t>
      </w:r>
      <w:bookmarkEnd w:id="39"/>
    </w:p>
    <w:p w14:paraId="3841DD63">
      <w:pPr>
        <w:spacing w:line="600" w:lineRule="exact"/>
        <w:ind w:firstLine="640"/>
        <w:rPr>
          <w:rFonts w:hint="eastAsia" w:ascii="仿宋" w:hAnsi="仿宋" w:eastAsia="仿宋"/>
          <w:sz w:val="32"/>
          <w:szCs w:val="32"/>
          <w:lang w:val="en-US" w:eastAsia="zh-CN"/>
        </w:rPr>
      </w:pPr>
      <w:bookmarkStart w:id="40" w:name="_Toc15378460"/>
      <w:bookmarkStart w:id="41" w:name="_Toc15377213"/>
      <w:bookmarkStart w:id="42" w:name="_Toc15377444"/>
      <w:r>
        <w:rPr>
          <w:rFonts w:hint="eastAsia" w:ascii="仿宋" w:hAnsi="仿宋" w:eastAsia="仿宋"/>
          <w:sz w:val="32"/>
          <w:szCs w:val="32"/>
          <w:lang w:val="en-US" w:eastAsia="zh-CN"/>
        </w:rPr>
        <w:t>2023年度一般公共预算支出决算数为724.03万元，完成预算100%。其中：</w:t>
      </w:r>
      <w:bookmarkEnd w:id="40"/>
      <w:bookmarkEnd w:id="41"/>
      <w:bookmarkEnd w:id="42"/>
    </w:p>
    <w:p w14:paraId="2509D78C">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1.教育（205）普通教育（02）学前教育（01）: 支出决算为3.65万元，完成预算100%。</w:t>
      </w:r>
    </w:p>
    <w:p w14:paraId="3767E5A0">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2. 教育（205）普通教育（02）小学教育（02）: 支出决算为506.09万元，完成预算100%。</w:t>
      </w:r>
    </w:p>
    <w:p w14:paraId="12C944E2">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3. 社会保障和就业（208）行政事业单位养老支出（05） 事业单位离退休（02）支出决算为5.38万元，完成预算100%。</w:t>
      </w:r>
    </w:p>
    <w:p w14:paraId="5CB111CD">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4. 社会保障和就业（208）行政事业单位养老支出（05） 机关事业单位基本养老保险缴费支出（05）支出决算为31.05万元，完成预算100%。</w:t>
      </w:r>
    </w:p>
    <w:p w14:paraId="264C807D">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5、 社会保障和就业（208）行政事业单位养老支出（05） 其他行政事业单位养老支出（99）支出决算为95.31万元，完成预算100%。</w:t>
      </w:r>
    </w:p>
    <w:p w14:paraId="32FADD45">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6、 社会保障和就业（208）抚恤（08）死亡抚恤（01）支出决算为21.28万元，完成预算100%。</w:t>
      </w:r>
    </w:p>
    <w:p w14:paraId="366567A5">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7.卫生健康（210）行政事业单位医疗（11）事业单位医疗（02）:支出决算为22.79万元，完成预算100%。</w:t>
      </w:r>
    </w:p>
    <w:p w14:paraId="2138EC66">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8.住房保障支出（221）住房改革支出（02）住房公积金（01）:支出决算为38.48万元，完成预算100%。</w:t>
      </w:r>
    </w:p>
    <w:p w14:paraId="05E098C2">
      <w:pPr>
        <w:spacing w:line="600" w:lineRule="exact"/>
        <w:ind w:firstLine="640"/>
        <w:rPr>
          <w:rFonts w:hint="eastAsia" w:ascii="仿宋" w:hAnsi="仿宋" w:eastAsia="仿宋"/>
          <w:sz w:val="32"/>
          <w:szCs w:val="32"/>
          <w:lang w:val="en-US" w:eastAsia="zh-CN"/>
        </w:rPr>
      </w:pPr>
    </w:p>
    <w:p w14:paraId="54A0CBF5">
      <w:pPr>
        <w:tabs>
          <w:tab w:val="right" w:pos="8306"/>
        </w:tabs>
        <w:spacing w:line="600" w:lineRule="exact"/>
        <w:ind w:firstLine="640"/>
        <w:outlineLvl w:val="1"/>
        <w:rPr>
          <w:rStyle w:val="28"/>
        </w:rPr>
      </w:pPr>
      <w:bookmarkStart w:id="43" w:name="_Toc23998"/>
      <w:bookmarkStart w:id="44" w:name="_Toc15377214"/>
      <w:bookmarkStart w:id="4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3"/>
      <w:bookmarkEnd w:id="44"/>
      <w:bookmarkEnd w:id="45"/>
      <w:r>
        <w:rPr>
          <w:rStyle w:val="28"/>
          <w:rFonts w:ascii="黑体" w:hAnsi="黑体" w:eastAsia="黑体"/>
          <w:b w:val="0"/>
        </w:rPr>
        <w:tab/>
      </w:r>
    </w:p>
    <w:p w14:paraId="48A20613">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2023年度一般公共预算财政拨款基本支出</w:t>
      </w:r>
      <w:r>
        <w:rPr>
          <w:rFonts w:hint="eastAsia" w:ascii="仿宋" w:hAnsi="仿宋" w:eastAsia="仿宋"/>
          <w:sz w:val="32"/>
          <w:szCs w:val="32"/>
          <w:lang w:val="en-US" w:eastAsia="zh-CN"/>
        </w:rPr>
        <w:t>708.67万元，其中：</w:t>
      </w:r>
    </w:p>
    <w:p w14:paraId="488272B0">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lang w:val="en-US" w:eastAsia="zh-CN"/>
        </w:rPr>
        <w:t>人员经费638.05万元，主要包括：基本工资164.81万元、津贴补贴28.72万元、绩效工资105.67万元、机关事业单位基本养老保险缴费31.05万元、其他工资福利</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124.11万元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21.28万元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退休费5.38万元、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95.75万元</w:t>
      </w:r>
      <w:r>
        <w:rPr>
          <w:rFonts w:hint="eastAsia" w:ascii="仿宋" w:hAnsi="仿宋" w:eastAsia="仿宋"/>
          <w:color w:val="auto"/>
          <w:sz w:val="32"/>
          <w:szCs w:val="32"/>
          <w:highlight w:val="none"/>
        </w:rPr>
        <w:t>、奖励金</w:t>
      </w:r>
      <w:r>
        <w:rPr>
          <w:rFonts w:hint="eastAsia" w:ascii="仿宋" w:hAnsi="仿宋" w:eastAsia="仿宋"/>
          <w:color w:val="auto"/>
          <w:sz w:val="32"/>
          <w:szCs w:val="32"/>
          <w:highlight w:val="none"/>
          <w:lang w:val="en-US" w:eastAsia="zh-CN"/>
        </w:rPr>
        <w:t>0.02万元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职工基本医疗保险缴费21.13万元、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38.48万元、其它社会保障缴费1.65万元</w:t>
      </w:r>
      <w:r>
        <w:rPr>
          <w:rFonts w:hint="eastAsia" w:ascii="仿宋" w:hAnsi="仿宋" w:eastAsia="仿宋"/>
          <w:color w:val="auto"/>
          <w:sz w:val="32"/>
          <w:szCs w:val="32"/>
          <w:highlight w:val="none"/>
        </w:rPr>
        <w:t>。</w:t>
      </w:r>
    </w:p>
    <w:p w14:paraId="01DC02CB">
      <w:pPr>
        <w:spacing w:line="600" w:lineRule="exact"/>
        <w:ind w:firstLine="640"/>
        <w:outlineLvl w:val="1"/>
        <w:rPr>
          <w:rFonts w:hint="eastAsia" w:ascii="仿宋" w:hAnsi="仿宋" w:eastAsia="仿宋"/>
          <w:color w:val="auto"/>
          <w:sz w:val="32"/>
          <w:szCs w:val="32"/>
          <w:highlight w:val="none"/>
        </w:rPr>
      </w:pPr>
      <w:bookmarkStart w:id="46" w:name="_Toc29038"/>
      <w:bookmarkStart w:id="47" w:name="_Toc15389"/>
      <w:bookmarkStart w:id="48" w:name="_Toc30650"/>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70.61</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18.31万元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0.22万元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1.07万元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0.67万元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0.07万元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7.87万元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0.2万元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0.05万元</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0.13万元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9.96万元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13.72万元、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18.34万元</w:t>
      </w:r>
      <w:r>
        <w:rPr>
          <w:rFonts w:hint="eastAsia" w:ascii="仿宋" w:hAnsi="仿宋" w:eastAsia="仿宋"/>
          <w:color w:val="auto"/>
          <w:sz w:val="32"/>
          <w:szCs w:val="32"/>
          <w:highlight w:val="none"/>
        </w:rPr>
        <w:t>。</w:t>
      </w:r>
      <w:bookmarkEnd w:id="46"/>
      <w:bookmarkEnd w:id="47"/>
      <w:bookmarkEnd w:id="48"/>
    </w:p>
    <w:p w14:paraId="5A2C02BC">
      <w:pPr>
        <w:spacing w:line="600" w:lineRule="exact"/>
        <w:ind w:firstLine="640"/>
        <w:outlineLvl w:val="9"/>
        <w:rPr>
          <w:rFonts w:hint="eastAsia" w:ascii="仿宋" w:hAnsi="仿宋" w:eastAsia="仿宋"/>
          <w:color w:val="auto"/>
          <w:sz w:val="32"/>
          <w:szCs w:val="32"/>
          <w:highlight w:val="none"/>
        </w:rPr>
      </w:pPr>
    </w:p>
    <w:p w14:paraId="4B3BCD6D">
      <w:pPr>
        <w:spacing w:line="600" w:lineRule="exact"/>
        <w:ind w:firstLine="640"/>
        <w:outlineLvl w:val="1"/>
        <w:rPr>
          <w:rStyle w:val="28"/>
          <w:rFonts w:ascii="黑体" w:hAnsi="黑体" w:eastAsia="黑体"/>
          <w:b w:val="0"/>
        </w:rPr>
      </w:pPr>
      <w:bookmarkStart w:id="49" w:name="_Toc15377215"/>
      <w:bookmarkStart w:id="50" w:name="_Toc21074"/>
      <w:bookmarkStart w:id="5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9"/>
      <w:bookmarkEnd w:id="50"/>
      <w:bookmarkEnd w:id="51"/>
    </w:p>
    <w:p w14:paraId="6EAEA1DB">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14:paraId="6FFA00C7">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2023年度“三公”经费财政拨款支出决</w:t>
      </w:r>
      <w:r>
        <w:rPr>
          <w:rFonts w:hint="eastAsia" w:ascii="仿宋" w:hAnsi="仿宋" w:eastAsia="仿宋"/>
          <w:sz w:val="32"/>
          <w:szCs w:val="32"/>
          <w:lang w:val="en-US" w:eastAsia="zh-CN"/>
        </w:rPr>
        <w:t>算为0万元，完成预算0%，与上年一致，决算与预算一致。</w:t>
      </w:r>
    </w:p>
    <w:p w14:paraId="48894941">
      <w:pPr>
        <w:spacing w:line="600" w:lineRule="exact"/>
        <w:ind w:firstLine="640"/>
        <w:outlineLvl w:val="9"/>
        <w:rPr>
          <w:rFonts w:hint="eastAsia" w:ascii="仿宋" w:hAnsi="仿宋" w:eastAsia="仿宋"/>
          <w:b/>
          <w:sz w:val="32"/>
          <w:szCs w:val="32"/>
        </w:rPr>
      </w:pPr>
      <w:bookmarkStart w:id="53" w:name="_Toc15377217"/>
    </w:p>
    <w:p w14:paraId="250C3A60">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53"/>
    </w:p>
    <w:p w14:paraId="74CC4466">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2023年度“三公”经费财政拨款支出决算中</w:t>
      </w:r>
      <w:r>
        <w:rPr>
          <w:rFonts w:hint="eastAsia" w:ascii="仿宋" w:hAnsi="仿宋" w:eastAsia="仿宋"/>
          <w:sz w:val="32"/>
          <w:szCs w:val="32"/>
          <w:highlight w:val="none"/>
        </w:rPr>
        <w:t>，因公出国（境）费支出</w:t>
      </w:r>
      <w:r>
        <w:rPr>
          <w:rFonts w:hint="eastAsia" w:ascii="仿宋" w:hAnsi="仿宋" w:eastAsia="仿宋"/>
          <w:sz w:val="32"/>
          <w:szCs w:val="32"/>
          <w:lang w:val="en-US" w:eastAsia="zh-CN"/>
        </w:rPr>
        <w:t>决算0万元，占0%；公务用车购置及运行维护费支出决算0万元，占0%；公务接待费支出决算0万元，占0%。具体情况如下：</w:t>
      </w:r>
    </w:p>
    <w:p w14:paraId="24C04D4A">
      <w:pPr>
        <w:spacing w:line="600" w:lineRule="exact"/>
        <w:ind w:firstLine="640"/>
        <w:rPr>
          <w:rFonts w:hint="eastAsia" w:ascii="仿宋" w:hAnsi="仿宋" w:eastAsia="仿宋"/>
          <w:sz w:val="32"/>
          <w:szCs w:val="32"/>
          <w:highlight w:val="none"/>
        </w:rPr>
      </w:pPr>
    </w:p>
    <w:p w14:paraId="61A8E3A6">
      <w:pPr>
        <w:spacing w:line="240" w:lineRule="auto"/>
        <w:ind w:firstLine="0"/>
        <w:rPr>
          <w:rFonts w:hint="eastAsia" w:ascii="仿宋" w:hAnsi="仿宋" w:eastAsia="仿宋"/>
          <w:sz w:val="32"/>
          <w:szCs w:val="32"/>
          <w:highlight w:val="yellow"/>
        </w:rPr>
      </w:pPr>
      <w:r>
        <w:drawing>
          <wp:inline distT="0" distB="0" distL="114300" distR="114300">
            <wp:extent cx="5238115" cy="2828925"/>
            <wp:effectExtent l="4445" t="4445" r="15240" b="508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DC6C7A">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w:t>
      </w:r>
    </w:p>
    <w:p w14:paraId="69B464C2">
      <w:pPr>
        <w:spacing w:line="600" w:lineRule="exact"/>
        <w:ind w:firstLine="640"/>
        <w:rPr>
          <w:rFonts w:ascii="仿宋_GB2312" w:eastAsia="仿宋_GB2312"/>
          <w:color w:val="auto"/>
          <w:sz w:val="32"/>
          <w:szCs w:val="32"/>
          <w:highlight w:val="none"/>
        </w:rPr>
      </w:pPr>
      <w:bookmarkStart w:id="54" w:name="_Toc15377218"/>
      <w:bookmarkStart w:id="55" w:name="_Toc15396610"/>
      <w:r>
        <w:rPr>
          <w:rFonts w:ascii="仿宋_GB2312" w:eastAsia="仿宋_GB2312"/>
          <w:color w:val="auto"/>
          <w:sz w:val="32"/>
          <w:szCs w:val="32"/>
          <w:highlight w:val="none"/>
        </w:rPr>
        <w:t>1.</w:t>
      </w:r>
      <w:r>
        <w:rPr>
          <w:rFonts w:hint="eastAsia" w:ascii="仿宋_GB2312" w:eastAsia="仿宋_GB2312"/>
          <w:color w:val="auto"/>
          <w:sz w:val="32"/>
          <w:szCs w:val="32"/>
          <w:highlight w:val="none"/>
        </w:rPr>
        <w:t>因公出国（境）经费支出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万元，完成预算</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。全年安排因公出国（境）团组</w:t>
      </w:r>
      <w:r>
        <w:rPr>
          <w:rFonts w:ascii="仿宋_GB2312" w:eastAsia="仿宋_GB2312"/>
          <w:color w:val="auto"/>
          <w:sz w:val="32"/>
          <w:szCs w:val="32"/>
          <w:highlight w:val="none"/>
        </w:rPr>
        <w:t>0</w:t>
      </w:r>
      <w:r>
        <w:rPr>
          <w:rFonts w:hint="eastAsia" w:ascii="仿宋_GB2312" w:eastAsia="仿宋_GB2312"/>
          <w:color w:val="auto"/>
          <w:sz w:val="32"/>
          <w:szCs w:val="32"/>
          <w:highlight w:val="none"/>
        </w:rPr>
        <w:t>次，出国（境）</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一致</w:t>
      </w:r>
      <w:r>
        <w:rPr>
          <w:rFonts w:hint="eastAsia" w:ascii="仿宋_GB2312" w:eastAsia="仿宋_GB2312"/>
          <w:color w:val="auto"/>
          <w:sz w:val="32"/>
          <w:szCs w:val="32"/>
          <w:highlight w:val="none"/>
        </w:rPr>
        <w:t>。</w:t>
      </w:r>
    </w:p>
    <w:p w14:paraId="3416EB09">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公务用车购置及运行维护费支出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万元,完成预算</w:t>
      </w:r>
      <w:r>
        <w:rPr>
          <w:rFonts w:ascii="仿宋_GB2312" w:eastAsia="仿宋_GB2312"/>
          <w:color w:val="auto"/>
          <w:sz w:val="32"/>
          <w:szCs w:val="32"/>
          <w:highlight w:val="none"/>
        </w:rPr>
        <w:t>0%</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与2022年一致</w:t>
      </w:r>
      <w:r>
        <w:rPr>
          <w:rFonts w:hint="eastAsia" w:ascii="仿宋_GB2312" w:eastAsia="仿宋_GB2312"/>
          <w:color w:val="auto"/>
          <w:sz w:val="32"/>
          <w:szCs w:val="32"/>
          <w:highlight w:val="none"/>
        </w:rPr>
        <w:t>。</w:t>
      </w:r>
    </w:p>
    <w:p w14:paraId="50FD04E5">
      <w:pPr>
        <w:spacing w:line="600" w:lineRule="exact"/>
        <w:ind w:firstLine="640"/>
        <w:rPr>
          <w:rFonts w:ascii="仿宋_GB2312" w:eastAsia="仿宋_GB2312"/>
          <w:b/>
          <w:sz w:val="32"/>
          <w:szCs w:val="32"/>
          <w:highlight w:val="yellow"/>
        </w:rPr>
      </w:pPr>
      <w:r>
        <w:rPr>
          <w:rFonts w:hint="eastAsia" w:ascii="仿宋_GB2312" w:eastAsia="仿宋_GB2312"/>
          <w:color w:val="auto"/>
          <w:sz w:val="32"/>
          <w:szCs w:val="32"/>
          <w:highlight w:val="none"/>
        </w:rPr>
        <w:t>其中：公务用车购置支出</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月31日，单位共有公务用车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0723FE39">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公务用车运行维护费支出0万元。</w:t>
      </w:r>
    </w:p>
    <w:p w14:paraId="03F57F02">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万元，完成预算100%。公务接待费支出决算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22一致</w:t>
      </w:r>
      <w:r>
        <w:rPr>
          <w:rFonts w:hint="eastAsia" w:ascii="仿宋_GB2312" w:eastAsia="仿宋_GB2312"/>
          <w:color w:val="auto"/>
          <w:sz w:val="32"/>
          <w:szCs w:val="32"/>
          <w:highlight w:val="none"/>
        </w:rPr>
        <w:t>。其中：</w:t>
      </w:r>
    </w:p>
    <w:p w14:paraId="7AD290B1">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国内公务接待支出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2C4BBD8">
      <w:pPr>
        <w:spacing w:line="600" w:lineRule="exact"/>
        <w:ind w:firstLine="64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外事接待支出0万元。外事接待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7AAE261">
      <w:pPr>
        <w:spacing w:line="600" w:lineRule="exact"/>
        <w:ind w:firstLine="640"/>
        <w:outlineLvl w:val="1"/>
        <w:rPr>
          <w:rFonts w:hint="eastAsia" w:ascii="黑体" w:eastAsia="黑体"/>
          <w:sz w:val="32"/>
          <w:szCs w:val="32"/>
        </w:rPr>
      </w:pPr>
      <w:bookmarkStart w:id="56" w:name="_Toc26560"/>
    </w:p>
    <w:p w14:paraId="297196C8">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54"/>
      <w:bookmarkEnd w:id="55"/>
      <w:bookmarkEnd w:id="56"/>
    </w:p>
    <w:p w14:paraId="52BAF984">
      <w:pPr>
        <w:spacing w:line="600" w:lineRule="exact"/>
        <w:ind w:firstLine="640"/>
        <w:rPr>
          <w:rFonts w:hint="eastAsia"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sz w:val="32"/>
          <w:szCs w:val="32"/>
          <w:lang w:val="en-US" w:eastAsia="zh-CN"/>
        </w:rPr>
        <w:t>0万</w:t>
      </w:r>
      <w:r>
        <w:rPr>
          <w:rFonts w:hint="eastAsia" w:ascii="仿宋_GB2312" w:eastAsia="仿宋_GB2312"/>
          <w:sz w:val="32"/>
          <w:szCs w:val="32"/>
        </w:rPr>
        <w:t>元。</w:t>
      </w:r>
    </w:p>
    <w:p w14:paraId="431FF152">
      <w:pPr>
        <w:spacing w:line="600" w:lineRule="exact"/>
        <w:ind w:firstLine="640"/>
        <w:rPr>
          <w:rFonts w:hint="eastAsia" w:ascii="仿宋_GB2312" w:eastAsia="仿宋_GB2312"/>
          <w:sz w:val="32"/>
          <w:szCs w:val="32"/>
        </w:rPr>
      </w:pPr>
    </w:p>
    <w:p w14:paraId="5B00E270">
      <w:pPr>
        <w:numPr>
          <w:ilvl w:val="0"/>
          <w:numId w:val="3"/>
        </w:numPr>
        <w:spacing w:line="600" w:lineRule="exact"/>
        <w:ind w:firstLine="640"/>
        <w:outlineLvl w:val="1"/>
        <w:rPr>
          <w:rStyle w:val="28"/>
          <w:rFonts w:ascii="黑体" w:hAnsi="黑体" w:eastAsia="黑体"/>
          <w:b w:val="0"/>
        </w:rPr>
      </w:pPr>
      <w:bookmarkStart w:id="57" w:name="_Toc7002"/>
      <w:bookmarkStart w:id="58" w:name="_Toc15396611"/>
      <w:bookmarkStart w:id="59" w:name="_Toc15377219"/>
      <w:r>
        <w:rPr>
          <w:rStyle w:val="28"/>
          <w:rFonts w:hint="eastAsia" w:ascii="黑体" w:hAnsi="黑体" w:eastAsia="黑体"/>
          <w:b w:val="0"/>
        </w:rPr>
        <w:t>国有资本经营预算支出决算情况说明</w:t>
      </w:r>
      <w:bookmarkEnd w:id="57"/>
      <w:bookmarkEnd w:id="58"/>
      <w:bookmarkEnd w:id="59"/>
    </w:p>
    <w:p w14:paraId="5AD52B69">
      <w:pPr>
        <w:spacing w:line="600" w:lineRule="exact"/>
        <w:ind w:firstLine="640"/>
        <w:rPr>
          <w:rFonts w:hint="eastAsia" w:ascii="仿宋_GB2312" w:eastAsia="仿宋_GB2312"/>
          <w:sz w:val="32"/>
          <w:szCs w:val="32"/>
        </w:rPr>
      </w:pPr>
      <w:r>
        <w:rPr>
          <w:rFonts w:hint="eastAsia" w:ascii="仿宋_GB2312" w:eastAsia="仿宋_GB2312"/>
          <w:sz w:val="32"/>
          <w:szCs w:val="32"/>
        </w:rPr>
        <w:t>2023年度国有资本经营预算财政拨款支出</w:t>
      </w:r>
      <w:r>
        <w:rPr>
          <w:rFonts w:hint="eastAsia" w:ascii="仿宋" w:hAnsi="仿宋" w:eastAsia="仿宋"/>
          <w:sz w:val="32"/>
          <w:szCs w:val="32"/>
          <w:lang w:val="en-US" w:eastAsia="zh-CN"/>
        </w:rPr>
        <w:t>0</w:t>
      </w:r>
      <w:r>
        <w:rPr>
          <w:rFonts w:hint="eastAsia" w:ascii="仿宋_GB2312" w:eastAsia="仿宋_GB2312"/>
          <w:sz w:val="32"/>
          <w:szCs w:val="32"/>
        </w:rPr>
        <w:t>万元。</w:t>
      </w:r>
    </w:p>
    <w:p w14:paraId="26A1A31F">
      <w:pPr>
        <w:spacing w:line="600" w:lineRule="exact"/>
        <w:ind w:firstLine="640"/>
        <w:rPr>
          <w:rFonts w:hint="eastAsia" w:ascii="仿宋_GB2312" w:eastAsia="仿宋_GB2312"/>
          <w:sz w:val="32"/>
          <w:szCs w:val="32"/>
        </w:rPr>
      </w:pPr>
    </w:p>
    <w:p w14:paraId="7835648A">
      <w:pPr>
        <w:numPr>
          <w:ilvl w:val="0"/>
          <w:numId w:val="3"/>
        </w:numPr>
        <w:spacing w:line="600" w:lineRule="exact"/>
        <w:ind w:firstLine="640"/>
        <w:outlineLvl w:val="1"/>
        <w:rPr>
          <w:rStyle w:val="28"/>
          <w:rFonts w:ascii="黑体" w:hAnsi="黑体" w:eastAsia="黑体"/>
          <w:b w:val="0"/>
        </w:rPr>
      </w:pPr>
      <w:bookmarkStart w:id="60" w:name="_Toc4176"/>
      <w:bookmarkStart w:id="61" w:name="_Toc15377221"/>
      <w:bookmarkStart w:id="62" w:name="_Toc15396612"/>
      <w:r>
        <w:rPr>
          <w:rStyle w:val="28"/>
          <w:rFonts w:hint="eastAsia" w:ascii="黑体" w:hAnsi="黑体" w:eastAsia="黑体"/>
          <w:b w:val="0"/>
        </w:rPr>
        <w:t>其他重要事项的情况说明</w:t>
      </w:r>
      <w:bookmarkEnd w:id="60"/>
      <w:bookmarkEnd w:id="61"/>
      <w:bookmarkEnd w:id="62"/>
    </w:p>
    <w:p w14:paraId="1783A15F">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7963A52E">
      <w:pPr>
        <w:spacing w:line="600" w:lineRule="exact"/>
        <w:ind w:firstLine="640" w:firstLineChars="200"/>
        <w:rPr>
          <w:rFonts w:ascii="仿宋" w:hAnsi="仿宋" w:eastAsia="仿宋"/>
          <w:b/>
          <w:sz w:val="32"/>
          <w:szCs w:val="32"/>
        </w:rPr>
      </w:pPr>
      <w:r>
        <w:rPr>
          <w:rFonts w:hint="eastAsia" w:ascii="仿宋_GB2312" w:eastAsia="仿宋_GB2312"/>
          <w:color w:val="auto"/>
          <w:sz w:val="32"/>
          <w:szCs w:val="32"/>
        </w:rPr>
        <w:t>我单位为事业单位（学校），执行政府会计制度，无机关运行经费。</w:t>
      </w:r>
    </w:p>
    <w:p w14:paraId="6285ECEC">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061805C1">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w:t>
      </w:r>
      <w:r>
        <w:rPr>
          <w:rFonts w:hint="eastAsia" w:ascii="仿宋_GB2312" w:eastAsia="仿宋_GB2312"/>
          <w:color w:val="auto"/>
          <w:sz w:val="32"/>
          <w:szCs w:val="32"/>
          <w:lang w:val="en-US" w:eastAsia="zh-CN"/>
        </w:rPr>
        <w:t>大竹县庙坝镇牌坊小学</w:t>
      </w:r>
      <w:r>
        <w:rPr>
          <w:rFonts w:hint="eastAsia" w:ascii="仿宋_GB2312" w:eastAsia="仿宋_GB2312"/>
          <w:color w:val="auto"/>
          <w:sz w:val="32"/>
          <w:szCs w:val="32"/>
        </w:rPr>
        <w:t>政府采购支出总额0万元，其中：政府采购货物支出0万元、政府采购工程支出0万元、政府采购服务支出0万元。</w:t>
      </w:r>
    </w:p>
    <w:p w14:paraId="4B0674D9">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1AF821DA">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sz w:val="32"/>
          <w:szCs w:val="32"/>
        </w:rPr>
        <w:t>大竹县庙坝镇</w:t>
      </w:r>
      <w:r>
        <w:rPr>
          <w:rFonts w:hint="eastAsia" w:ascii="仿宋_GB2312" w:eastAsia="仿宋_GB2312"/>
          <w:sz w:val="32"/>
          <w:szCs w:val="32"/>
          <w:lang w:val="en-US" w:eastAsia="zh-CN"/>
        </w:rPr>
        <w:t>牌坊</w:t>
      </w:r>
      <w:r>
        <w:rPr>
          <w:rFonts w:hint="eastAsia" w:ascii="仿宋_GB2312" w:eastAsia="仿宋_GB2312"/>
          <w:sz w:val="32"/>
          <w:szCs w:val="32"/>
        </w:rPr>
        <w:t>小学</w:t>
      </w:r>
      <w:r>
        <w:rPr>
          <w:rFonts w:hint="eastAsia" w:ascii="仿宋_GB2312" w:eastAsia="仿宋_GB2312"/>
          <w:color w:val="000000"/>
          <w:sz w:val="32"/>
          <w:szCs w:val="32"/>
        </w:rPr>
        <w:t>共有车辆0辆，其中：主要领导干部用车0辆、机要通信用车0辆、应急保障用车0辆、其他用车0辆、其他用车0辆。单价50万元以上通用设备0台（套），单价100万元以上专用设备0台（套）。</w:t>
      </w:r>
    </w:p>
    <w:p w14:paraId="55F4E66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F03031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营养餐和校舍维修</w:t>
      </w:r>
      <w:r>
        <w:rPr>
          <w:rFonts w:hint="eastAsia" w:ascii="仿宋_GB2312" w:eastAsia="仿宋_GB2312"/>
          <w:sz w:val="32"/>
          <w:szCs w:val="32"/>
        </w:rPr>
        <w:t>项目等</w:t>
      </w:r>
      <w:r>
        <w:rPr>
          <w:rFonts w:hint="eastAsia" w:ascii="仿宋_GB2312" w:eastAsia="仿宋_GB2312"/>
          <w:sz w:val="32"/>
          <w:szCs w:val="32"/>
          <w:lang w:val="en-US" w:eastAsia="zh-CN"/>
        </w:rPr>
        <w:t>2</w:t>
      </w:r>
      <w:r>
        <w:rPr>
          <w:rFonts w:hint="eastAsia" w:ascii="仿宋_GB2312" w:eastAsia="仿宋_GB2312"/>
          <w:sz w:val="32"/>
          <w:szCs w:val="32"/>
        </w:rPr>
        <w:t>个项目编制了绩效目标</w:t>
      </w:r>
      <w:r>
        <w:rPr>
          <w:rFonts w:hint="eastAsia" w:ascii="仿宋_GB2312" w:eastAsia="仿宋_GB2312"/>
          <w:sz w:val="32"/>
          <w:szCs w:val="32"/>
          <w:lang w:val="en-US" w:eastAsia="zh-CN"/>
        </w:rPr>
        <w:t>对</w:t>
      </w:r>
      <w:r>
        <w:rPr>
          <w:rFonts w:hint="eastAsia" w:ascii="仿宋_GB2312" w:eastAsia="仿宋_GB2312"/>
          <w:sz w:val="32"/>
          <w:szCs w:val="32"/>
        </w:rPr>
        <w:t>开展绩效监控，</w:t>
      </w:r>
      <w:r>
        <w:rPr>
          <w:rFonts w:hint="eastAsia" w:ascii="仿宋_GB2312" w:eastAsia="仿宋_GB2312"/>
          <w:sz w:val="32"/>
          <w:szCs w:val="32"/>
          <w:lang w:val="en-US" w:eastAsia="zh-CN"/>
        </w:rPr>
        <w:t>和</w:t>
      </w:r>
      <w:r>
        <w:rPr>
          <w:rFonts w:hint="eastAsia" w:ascii="仿宋_GB2312" w:eastAsia="仿宋_GB2312"/>
          <w:sz w:val="32"/>
          <w:szCs w:val="32"/>
        </w:rPr>
        <w:t>绩效自评，绩效自评表详见第四部分附件。</w:t>
      </w:r>
    </w:p>
    <w:p w14:paraId="6AE88C7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br w:type="page"/>
      </w:r>
    </w:p>
    <w:p w14:paraId="700150A8">
      <w:pPr>
        <w:numPr>
          <w:ilvl w:val="0"/>
          <w:numId w:val="4"/>
        </w:numPr>
        <w:spacing w:line="600" w:lineRule="exact"/>
        <w:ind w:firstLine="660" w:firstLineChars="150"/>
        <w:jc w:val="center"/>
        <w:outlineLvl w:val="0"/>
        <w:rPr>
          <w:rStyle w:val="27"/>
          <w:rFonts w:ascii="黑体" w:hAnsi="黑体" w:eastAsia="黑体"/>
          <w:b w:val="0"/>
        </w:rPr>
      </w:pPr>
      <w:bookmarkStart w:id="66" w:name="_Toc15377225"/>
      <w:bookmarkStart w:id="67" w:name="_Toc15396613"/>
      <w:bookmarkStart w:id="68" w:name="_Toc32723"/>
      <w:r>
        <w:rPr>
          <w:rFonts w:hint="eastAsia" w:ascii="黑体" w:hAnsi="黑体" w:eastAsia="黑体"/>
          <w:sz w:val="44"/>
          <w:szCs w:val="44"/>
        </w:rPr>
        <w:t>名</w:t>
      </w:r>
      <w:r>
        <w:rPr>
          <w:rStyle w:val="27"/>
          <w:rFonts w:hint="eastAsia" w:ascii="黑体" w:hAnsi="黑体" w:eastAsia="黑体"/>
          <w:b w:val="0"/>
        </w:rPr>
        <w:t>词解释</w:t>
      </w:r>
      <w:bookmarkEnd w:id="66"/>
      <w:bookmarkEnd w:id="67"/>
      <w:bookmarkEnd w:id="68"/>
    </w:p>
    <w:p w14:paraId="35AFD741">
      <w:pPr>
        <w:spacing w:line="600" w:lineRule="exact"/>
        <w:jc w:val="left"/>
        <w:rPr>
          <w:rFonts w:ascii="宋体"/>
          <w:b/>
          <w:sz w:val="44"/>
          <w:szCs w:val="44"/>
        </w:rPr>
      </w:pPr>
    </w:p>
    <w:p w14:paraId="5D18147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264F371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31224DC8">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622E1BD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44B53C30">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167E9E45">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484EB073">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3E5898A9">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03D1958F">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5ECF945D">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096D608">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30EE7B82">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16038C8D">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6841C9A2">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716EC38B">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6B0F061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058299C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3D2F5D6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8F999B">
      <w:pPr>
        <w:spacing w:line="600" w:lineRule="exact"/>
        <w:ind w:firstLine="640"/>
        <w:rPr>
          <w:rFonts w:hint="eastAsia" w:ascii="仿宋_GB2312" w:hAnsi="Calibri" w:eastAsia="仿宋_GB2312" w:cs="仿宋"/>
          <w:color w:val="auto"/>
          <w:kern w:val="0"/>
          <w:sz w:val="32"/>
          <w:szCs w:val="32"/>
          <w:lang w:eastAsia="zh-CN"/>
        </w:rPr>
        <w:sectPr>
          <w:footerReference r:id="rId5" w:type="default"/>
          <w:pgSz w:w="11906" w:h="16838"/>
          <w:pgMar w:top="1440" w:right="1800" w:bottom="1440" w:left="1800" w:header="851" w:footer="992" w:gutter="0"/>
          <w:pgNumType w:fmt="decimal" w:start="2"/>
          <w:cols w:space="425" w:num="1"/>
          <w:docGrid w:type="lines" w:linePitch="312" w:charSpace="0"/>
        </w:sect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Calibri" w:eastAsia="仿宋_GB2312" w:cs="仿宋"/>
          <w:color w:val="auto"/>
          <w:kern w:val="0"/>
          <w:sz w:val="32"/>
          <w:szCs w:val="32"/>
          <w:lang w:eastAsia="zh-CN"/>
        </w:rPr>
        <w:t>。</w:t>
      </w:r>
    </w:p>
    <w:p w14:paraId="41717789">
      <w:pPr>
        <w:pStyle w:val="5"/>
        <w:spacing w:before="93"/>
        <w:jc w:val="center"/>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196"/>
        <w:gridCol w:w="1635"/>
        <w:gridCol w:w="686"/>
        <w:gridCol w:w="1"/>
        <w:gridCol w:w="1289"/>
        <w:gridCol w:w="1058"/>
        <w:gridCol w:w="1031"/>
        <w:gridCol w:w="1008"/>
      </w:tblGrid>
      <w:tr w14:paraId="19F9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14:paraId="4FA322A5">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273E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14:paraId="79B789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6E56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14:paraId="130C0613">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3DE1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8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DF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346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大竹县庙坝镇牌坊小学部门</w:t>
            </w:r>
          </w:p>
        </w:tc>
      </w:tr>
      <w:tr w14:paraId="323E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27A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323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02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22B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7599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FDE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0B79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724.03</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BDE9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lang w:val="en-US"/>
              </w:rPr>
            </w:pPr>
            <w:r>
              <w:rPr>
                <w:rFonts w:hint="eastAsia" w:ascii="宋体" w:hAnsi="宋体" w:cs="宋体"/>
                <w:i w:val="0"/>
                <w:iCs w:val="0"/>
                <w:color w:val="000000"/>
                <w:kern w:val="0"/>
                <w:sz w:val="18"/>
                <w:szCs w:val="18"/>
                <w:u w:val="none"/>
                <w:lang w:val="en-US" w:eastAsia="zh-CN" w:bidi="ar"/>
              </w:rPr>
              <w:t>724.03</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35AB2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bookmarkStart w:id="98" w:name="_GoBack"/>
            <w:bookmarkEnd w:id="98"/>
            <w:r>
              <w:rPr>
                <w:rFonts w:ascii="宋体" w:hAnsi="宋体" w:eastAsia="宋体" w:cs="宋体"/>
                <w:i w:val="0"/>
                <w:iCs w:val="0"/>
                <w:color w:val="000000"/>
                <w:kern w:val="0"/>
                <w:sz w:val="18"/>
                <w:szCs w:val="18"/>
                <w:u w:val="none"/>
                <w:lang w:val="en-US" w:eastAsia="zh-CN" w:bidi="ar"/>
              </w:rPr>
              <w:t>0.00</w:t>
            </w:r>
          </w:p>
        </w:tc>
      </w:tr>
      <w:tr w14:paraId="024A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A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31ED5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6928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目标1：完成上级重点工作考核目标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目标2：保障大竹县牌坊乡中心小学在职人员39人、退休人员44人的正常办公、生活。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目标3：坚决执行党和国家的教育方针政策，尤其关注留守儿童的成长和教育。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目标4：管好用好国家的教育资金，改善和优化农村的办学条件。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目标5：把教育教学质量放在首位，提高教师从教的幸福感，办人民满意的教育。</w:t>
            </w:r>
          </w:p>
        </w:tc>
      </w:tr>
      <w:tr w14:paraId="76A0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85C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426CD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62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B89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3EC3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2ABC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AF3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 xml:space="preserve">提升教师全面发展 </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7F9F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 xml:space="preserve">督促、指导教师的思想政治工作、德育工作、体育卫生与艺术教育、国防教育工作、安全维稳工作等，全面发展。    </w:t>
            </w:r>
          </w:p>
        </w:tc>
      </w:tr>
      <w:tr w14:paraId="561A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262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2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加强人才培养工作 </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4617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加大教师培训力度，切实做好教师的培训工作，提升能力、素质。    </w:t>
            </w:r>
          </w:p>
        </w:tc>
      </w:tr>
      <w:tr w14:paraId="3163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712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79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 xml:space="preserve">提升教育教学工作质量 </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C625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ascii="宋体" w:hAnsi="宋体" w:eastAsia="宋体" w:cs="宋体"/>
                <w:i w:val="0"/>
                <w:iCs w:val="0"/>
                <w:color w:val="000000"/>
                <w:kern w:val="0"/>
                <w:sz w:val="18"/>
                <w:szCs w:val="18"/>
                <w:u w:val="none"/>
                <w:lang w:val="en-US" w:eastAsia="zh-CN" w:bidi="ar"/>
              </w:rPr>
              <w:t>加强教师教育教学工作管理，完成年度教育教学任务；指导、管理资助经济困难学生工作,关心关注留守儿童教育工作。</w:t>
            </w:r>
          </w:p>
        </w:tc>
      </w:tr>
      <w:tr w14:paraId="1423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CA3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85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保障学校各项工作正常运行 </w:t>
            </w:r>
          </w:p>
        </w:tc>
        <w:tc>
          <w:tcPr>
            <w:tcW w:w="67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EBA7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 xml:space="preserve">依法办学，严格执行党的教育方针政策，确保各项工作正常开展。    </w:t>
            </w:r>
          </w:p>
        </w:tc>
      </w:tr>
      <w:tr w14:paraId="2C1C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9F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336ED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8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2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CA2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2A119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1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E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1031" w:type="dxa"/>
            <w:tcBorders>
              <w:top w:val="single" w:color="000000" w:sz="4" w:space="0"/>
              <w:left w:val="single" w:color="000000" w:sz="4" w:space="0"/>
              <w:bottom w:val="single" w:color="000000" w:sz="4" w:space="0"/>
            </w:tcBorders>
            <w:shd w:val="clear" w:color="auto" w:fill="auto"/>
            <w:vAlign w:val="center"/>
          </w:tcPr>
          <w:p w14:paraId="60E25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14:paraId="34C4C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14:paraId="36F6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0AE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64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0A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E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控辍保学（辍学率）</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3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0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6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2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008" w:type="dxa"/>
            <w:tcBorders>
              <w:left w:val="single" w:color="000000" w:sz="4" w:space="0"/>
              <w:bottom w:val="single" w:color="000000" w:sz="4" w:space="0"/>
              <w:right w:val="single" w:color="000000" w:sz="4" w:space="0"/>
            </w:tcBorders>
            <w:shd w:val="clear" w:color="auto" w:fill="auto"/>
            <w:vAlign w:val="center"/>
          </w:tcPr>
          <w:p w14:paraId="129CB9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p>
        </w:tc>
      </w:tr>
      <w:tr w14:paraId="1FF0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9C5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0D9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836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19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留守学生亲情交流及课外活动</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F9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2F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4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次/年</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E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32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4</w:t>
            </w:r>
          </w:p>
        </w:tc>
      </w:tr>
      <w:tr w14:paraId="4C59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60"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013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AAD8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027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33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适龄儿童全部入学，小学生毕业率</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3C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E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E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2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B67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100</w:t>
            </w:r>
          </w:p>
        </w:tc>
      </w:tr>
      <w:tr w14:paraId="4FC7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65E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432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vMerge w:val="restart"/>
            <w:tcBorders>
              <w:top w:val="single" w:color="000000" w:sz="4" w:space="0"/>
              <w:left w:val="single" w:color="000000" w:sz="4" w:space="0"/>
              <w:right w:val="single" w:color="000000" w:sz="4" w:space="0"/>
            </w:tcBorders>
            <w:shd w:val="clear" w:color="auto" w:fill="auto"/>
            <w:vAlign w:val="center"/>
          </w:tcPr>
          <w:p w14:paraId="6C369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5F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教学质量稳步提升，同级学校排名</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85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0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0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2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37A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14</w:t>
            </w:r>
          </w:p>
        </w:tc>
      </w:tr>
      <w:tr w14:paraId="4029A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EAA7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B99A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14:paraId="454C86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0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整治教育四乱</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51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D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A9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次/年</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2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3CB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r>
      <w:tr w14:paraId="74FF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062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409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right w:val="single" w:color="000000" w:sz="4" w:space="0"/>
            </w:tcBorders>
            <w:shd w:val="clear" w:color="auto" w:fill="auto"/>
            <w:vAlign w:val="center"/>
          </w:tcPr>
          <w:p w14:paraId="3CB65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1D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按时按质完成资助工作</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E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7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20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A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Fonts w:ascii="宋体" w:hAnsi="宋体" w:eastAsia="宋体" w:cs="宋体"/>
                <w:i w:val="0"/>
                <w:iCs w:val="0"/>
                <w:color w:val="000000"/>
                <w:kern w:val="0"/>
                <w:sz w:val="18"/>
                <w:szCs w:val="18"/>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18"/>
                <w:szCs w:val="18"/>
                <w:u w:val="none"/>
                <w:lang w:val="en-US" w:eastAsia="zh-CN" w:bidi="ar"/>
              </w:rPr>
              <w:t>100</w:t>
            </w:r>
          </w:p>
        </w:tc>
      </w:tr>
      <w:tr w14:paraId="4ED3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0CCC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2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14:paraId="17D93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056E8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E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社会、家长、学生满意</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1E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2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7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B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BB0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3658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6AF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5E2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vMerge w:val="continue"/>
            <w:tcBorders>
              <w:top w:val="single" w:color="000000" w:sz="4" w:space="0"/>
              <w:left w:val="single" w:color="000000" w:sz="4" w:space="0"/>
              <w:right w:val="single" w:color="000000" w:sz="4" w:space="0"/>
            </w:tcBorders>
            <w:shd w:val="clear" w:color="auto" w:fill="auto"/>
            <w:vAlign w:val="center"/>
          </w:tcPr>
          <w:p w14:paraId="549190D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5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提高学生整体素质</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D2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6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E44F">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A69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优</w:t>
            </w:r>
          </w:p>
        </w:tc>
      </w:tr>
      <w:tr w14:paraId="6C3C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790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08F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eastAsia="宋体" w:cs="Times New Roman"/>
                <w:i w:val="0"/>
                <w:color w:val="000000"/>
                <w:kern w:val="0"/>
                <w:sz w:val="24"/>
                <w:szCs w:val="24"/>
                <w:u w:val="none"/>
                <w:lang w:val="en-US" w:eastAsia="zh-CN" w:bidi="ar"/>
              </w:rPr>
              <w:t>可持续发展指标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AB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学生心理健康</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99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6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好坏</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64C">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18"/>
                <w:szCs w:val="18"/>
                <w:u w:val="none"/>
                <w:lang w:val="en-US" w:eastAsia="zh-CN" w:bidi="ar-SA"/>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20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eastAsia="宋体" w:cs="Times New Roman"/>
                <w:i w:val="0"/>
                <w:color w:val="000000"/>
                <w:sz w:val="24"/>
                <w:szCs w:val="24"/>
                <w:u w:val="none"/>
                <w:lang w:eastAsia="zh-CN"/>
              </w:rPr>
              <w:t>好</w:t>
            </w:r>
          </w:p>
        </w:tc>
      </w:tr>
      <w:tr w14:paraId="4A5F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7DC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right w:val="single" w:color="000000" w:sz="4" w:space="0"/>
            </w:tcBorders>
            <w:shd w:val="clear" w:color="auto" w:fill="auto"/>
            <w:vAlign w:val="center"/>
          </w:tcPr>
          <w:p w14:paraId="58104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14:paraId="4EE6F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3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家长、学生满意度</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A6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F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4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E98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r w14:paraId="7F9F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AD8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left w:val="single" w:color="000000" w:sz="4" w:space="0"/>
              <w:bottom w:val="single" w:color="000000" w:sz="4" w:space="0"/>
              <w:right w:val="single" w:color="000000" w:sz="4" w:space="0"/>
            </w:tcBorders>
            <w:shd w:val="clear" w:color="auto" w:fill="auto"/>
            <w:vAlign w:val="center"/>
          </w:tcPr>
          <w:p w14:paraId="199C8A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14:paraId="073A95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3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教职工满意度</w:t>
            </w:r>
          </w:p>
        </w:tc>
        <w:tc>
          <w:tcPr>
            <w:tcW w:w="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E5B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8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38D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96</w:t>
            </w:r>
          </w:p>
        </w:tc>
      </w:tr>
    </w:tbl>
    <w:p w14:paraId="7E4EDAF5">
      <w:pPr>
        <w:pStyle w:val="5"/>
        <w:spacing w:before="93"/>
        <w:rPr>
          <w:rStyle w:val="27"/>
          <w:rFonts w:hint="eastAsia" w:ascii="黑体" w:hAnsi="黑体" w:eastAsia="黑体"/>
          <w:b w:val="0"/>
          <w:lang w:eastAsia="zh-CN"/>
        </w:rPr>
        <w:sectPr>
          <w:footerReference r:id="rId6" w:type="default"/>
          <w:pgSz w:w="11906" w:h="16838"/>
          <w:pgMar w:top="1440" w:right="1800" w:bottom="1440" w:left="1800" w:header="851" w:footer="992" w:gutter="0"/>
          <w:pgNumType w:fmt="decimal" w:start="17"/>
          <w:cols w:space="425" w:num="1"/>
          <w:docGrid w:type="lines" w:linePitch="312" w:charSpace="0"/>
        </w:sect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7"/>
        <w:gridCol w:w="2028"/>
        <w:gridCol w:w="1754"/>
        <w:gridCol w:w="2240"/>
        <w:gridCol w:w="518"/>
        <w:gridCol w:w="1661"/>
        <w:gridCol w:w="518"/>
        <w:gridCol w:w="1088"/>
        <w:gridCol w:w="506"/>
        <w:gridCol w:w="576"/>
        <w:gridCol w:w="2534"/>
      </w:tblGrid>
      <w:tr w14:paraId="656D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9F5B4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69" w:name="_Toc15377226"/>
            <w:bookmarkStart w:id="70"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F59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132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023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51172422T000005727579-营养餐</w:t>
            </w:r>
          </w:p>
        </w:tc>
      </w:tr>
      <w:tr w14:paraId="6A53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911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353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大竹县庙坝镇牌坊小学部门</w:t>
            </w:r>
          </w:p>
        </w:tc>
        <w:tc>
          <w:tcPr>
            <w:tcW w:w="1088" w:type="dxa"/>
            <w:tcBorders>
              <w:top w:val="nil"/>
              <w:left w:val="nil"/>
              <w:bottom w:val="nil"/>
              <w:right w:val="nil"/>
            </w:tcBorders>
            <w:shd w:val="clear" w:color="auto" w:fill="auto"/>
            <w:vAlign w:val="center"/>
          </w:tcPr>
          <w:p w14:paraId="15F31A7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F19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大竹县庙坝镇牌坊小学</w:t>
            </w:r>
          </w:p>
        </w:tc>
      </w:tr>
      <w:tr w14:paraId="5FE0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37D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D92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6D7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987D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868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E551">
            <w:pP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45F9">
            <w:pPr>
              <w:rPr>
                <w:rFonts w:hint="eastAsia" w:ascii="宋体" w:hAnsi="宋体" w:eastAsia="宋体" w:cs="宋体"/>
                <w:i w:val="0"/>
                <w:iCs w:val="0"/>
                <w:color w:val="000000"/>
                <w:sz w:val="18"/>
                <w:szCs w:val="18"/>
                <w:u w:val="none"/>
              </w:rPr>
            </w:pP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409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严格执行相关政策，保障学生营养餐工作顺利实施，预算编制科学合理，减少结余资金</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590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严格执行相关政策，及时申请营养餐资金，并及时拨付到位。</w:t>
            </w:r>
          </w:p>
        </w:tc>
      </w:tr>
      <w:tr w14:paraId="14F4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8045">
            <w:pP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7F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403F3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该资金全部用于学生营养餐支出，由单位向上级单位上报实际学生人数，财政按学生人数拨款，再由学校申请资金，拨付到食材供应商。</w:t>
            </w:r>
          </w:p>
        </w:tc>
      </w:tr>
      <w:tr w14:paraId="3C0F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33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D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0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62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E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D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F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C001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4D13">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C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E7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E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12.86</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3C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19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9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5F49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预算执行情况为43.55%，主要是因为学生人数减少，支出减少；年初财政未上指标，后由财政统一追加营养餐指标。</w:t>
            </w:r>
          </w:p>
        </w:tc>
      </w:tr>
      <w:tr w14:paraId="3C3F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52D5">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B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7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12.86</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3B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C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0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A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DA60">
            <w:pPr>
              <w:rPr>
                <w:rFonts w:hint="eastAsia" w:ascii="黑体" w:hAnsi="黑体" w:eastAsia="黑体" w:cs="黑体"/>
                <w:i/>
                <w:iCs/>
                <w:color w:val="000000"/>
                <w:sz w:val="18"/>
                <w:szCs w:val="18"/>
                <w:u w:val="none"/>
              </w:rPr>
            </w:pPr>
          </w:p>
        </w:tc>
      </w:tr>
      <w:tr w14:paraId="0C4E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FDB7">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2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1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7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5C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0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DE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6A1F8">
            <w:pPr>
              <w:rPr>
                <w:rFonts w:hint="eastAsia" w:ascii="黑体" w:hAnsi="黑体" w:eastAsia="黑体" w:cs="黑体"/>
                <w:i/>
                <w:iCs/>
                <w:color w:val="000000"/>
                <w:sz w:val="18"/>
                <w:szCs w:val="18"/>
                <w:u w:val="none"/>
              </w:rPr>
            </w:pPr>
          </w:p>
        </w:tc>
      </w:tr>
      <w:tr w14:paraId="7641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F3068">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2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C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F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C0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19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2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6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E0F6">
            <w:pPr>
              <w:rPr>
                <w:rFonts w:hint="eastAsia" w:ascii="黑体" w:hAnsi="黑体" w:eastAsia="黑体" w:cs="黑体"/>
                <w:i/>
                <w:iCs/>
                <w:color w:val="000000"/>
                <w:sz w:val="18"/>
                <w:szCs w:val="18"/>
                <w:u w:val="none"/>
              </w:rPr>
            </w:pPr>
          </w:p>
        </w:tc>
      </w:tr>
      <w:tr w14:paraId="2DE5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0037">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02F5">
            <w:pPr>
              <w:jc w:val="center"/>
              <w:rPr>
                <w:rFonts w:hint="eastAsia" w:ascii="微软雅黑" w:hAnsi="微软雅黑" w:eastAsia="微软雅黑" w:cs="微软雅黑"/>
                <w:i/>
                <w:iCs/>
                <w:color w:val="000000"/>
                <w:sz w:val="16"/>
                <w:szCs w:val="16"/>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CC2">
            <w:pPr>
              <w:jc w:val="center"/>
              <w:rPr>
                <w:rFonts w:hint="eastAsia" w:ascii="微软雅黑" w:hAnsi="微软雅黑" w:eastAsia="微软雅黑" w:cs="微软雅黑"/>
                <w:i/>
                <w:iCs/>
                <w:color w:val="000000"/>
                <w:sz w:val="16"/>
                <w:szCs w:val="16"/>
                <w:u w:val="none"/>
              </w:rPr>
            </w:pP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39DDD">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BA38">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7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C490">
            <w:pPr>
              <w:rPr>
                <w:rFonts w:hint="eastAsia" w:ascii="黑体" w:hAnsi="黑体" w:eastAsia="黑体" w:cs="黑体"/>
                <w:i/>
                <w:iCs/>
                <w:color w:val="000000"/>
                <w:sz w:val="18"/>
                <w:szCs w:val="18"/>
                <w:u w:val="none"/>
              </w:rPr>
            </w:pPr>
          </w:p>
        </w:tc>
      </w:tr>
      <w:tr w14:paraId="4FE8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0A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0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B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2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7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1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B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2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EC5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75A72">
            <w:pPr>
              <w:jc w:val="center"/>
              <w:rPr>
                <w:rFonts w:hint="eastAsia" w:ascii="宋体" w:hAnsi="宋体" w:eastAsia="宋体" w:cs="宋体"/>
                <w:i w:val="0"/>
                <w:iCs w:val="0"/>
                <w:color w:val="000000"/>
                <w:sz w:val="18"/>
                <w:szCs w:val="18"/>
                <w:u w:val="none"/>
              </w:rPr>
            </w:pP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58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4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1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80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D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A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084">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0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AF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学生人数减少，支出减少。</w:t>
            </w:r>
          </w:p>
        </w:tc>
      </w:tr>
      <w:tr w14:paraId="0392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6472">
            <w:pPr>
              <w:jc w:val="cente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BA0C">
            <w:pPr>
              <w:jc w:val="center"/>
              <w:rPr>
                <w:rFonts w:hint="eastAsia" w:ascii="宋体" w:hAnsi="宋体" w:eastAsia="宋体" w:cs="宋体"/>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8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4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及时足额拨付</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3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2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798">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24AA">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D0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6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9D10">
            <w:pPr>
              <w:jc w:val="center"/>
              <w:rPr>
                <w:rFonts w:hint="eastAsia" w:ascii="微软雅黑" w:hAnsi="微软雅黑" w:eastAsia="微软雅黑" w:cs="微软雅黑"/>
                <w:i/>
                <w:iCs/>
                <w:color w:val="000000"/>
                <w:sz w:val="16"/>
                <w:szCs w:val="16"/>
                <w:u w:val="none"/>
              </w:rPr>
            </w:pPr>
          </w:p>
        </w:tc>
      </w:tr>
      <w:tr w14:paraId="2592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AB5C3">
            <w:pPr>
              <w:jc w:val="cente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68A0">
            <w:pPr>
              <w:jc w:val="center"/>
              <w:rPr>
                <w:rFonts w:hint="eastAsia" w:ascii="宋体" w:hAnsi="宋体" w:eastAsia="宋体" w:cs="宋体"/>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7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5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A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4C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02CA">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D1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61DC">
            <w:pPr>
              <w:jc w:val="center"/>
              <w:rPr>
                <w:rFonts w:hint="eastAsia" w:ascii="微软雅黑" w:hAnsi="微软雅黑" w:eastAsia="微软雅黑" w:cs="微软雅黑"/>
                <w:i/>
                <w:iCs/>
                <w:color w:val="000000"/>
                <w:sz w:val="16"/>
                <w:szCs w:val="16"/>
                <w:u w:val="none"/>
              </w:rPr>
            </w:pPr>
          </w:p>
        </w:tc>
      </w:tr>
      <w:tr w14:paraId="15C4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CE65">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A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6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D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减轻学生家庭负担</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F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4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09E4">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13CB">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1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7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6C6">
            <w:pPr>
              <w:jc w:val="center"/>
              <w:rPr>
                <w:rFonts w:hint="eastAsia" w:ascii="微软雅黑" w:hAnsi="微软雅黑" w:eastAsia="微软雅黑" w:cs="微软雅黑"/>
                <w:i/>
                <w:iCs/>
                <w:color w:val="000000"/>
                <w:sz w:val="16"/>
                <w:szCs w:val="16"/>
                <w:u w:val="none"/>
              </w:rPr>
            </w:pPr>
          </w:p>
        </w:tc>
      </w:tr>
      <w:tr w14:paraId="1BD6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21A7">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D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4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D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2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EE7">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B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E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9091">
            <w:pPr>
              <w:jc w:val="center"/>
              <w:rPr>
                <w:rFonts w:hint="eastAsia" w:ascii="微软雅黑" w:hAnsi="微软雅黑" w:eastAsia="微软雅黑" w:cs="微软雅黑"/>
                <w:i/>
                <w:iCs/>
                <w:color w:val="000000"/>
                <w:sz w:val="16"/>
                <w:szCs w:val="16"/>
                <w:u w:val="none"/>
              </w:rPr>
            </w:pPr>
          </w:p>
        </w:tc>
      </w:tr>
      <w:tr w14:paraId="6616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993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B3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56F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8E50">
            <w:pPr>
              <w:rPr>
                <w:rFonts w:hint="eastAsia" w:ascii="宋体" w:hAnsi="宋体" w:eastAsia="宋体" w:cs="宋体"/>
                <w:i w:val="0"/>
                <w:iCs w:val="0"/>
                <w:color w:val="000000"/>
                <w:sz w:val="18"/>
                <w:szCs w:val="18"/>
                <w:u w:val="none"/>
              </w:rPr>
            </w:pPr>
          </w:p>
        </w:tc>
      </w:tr>
      <w:tr w14:paraId="6346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E5426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项目自评总分达到96分，表明项目实施取得了良好的成效。通过实施，项目达到了预期目标，解决了实际问题，取得了显著成果。</w:t>
            </w:r>
          </w:p>
        </w:tc>
      </w:tr>
      <w:tr w14:paraId="4549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F6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FB7E2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拨付率不够。</w:t>
            </w:r>
          </w:p>
        </w:tc>
      </w:tr>
      <w:tr w14:paraId="2B46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7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C436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及时申请资金，并加强与财政沟通、</w:t>
            </w:r>
          </w:p>
        </w:tc>
      </w:tr>
      <w:tr w14:paraId="6C65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607C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项目负责人：陈祥平、王立富</w:t>
            </w:r>
          </w:p>
        </w:tc>
        <w:tc>
          <w:tcPr>
            <w:tcW w:w="68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EC66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财务负责人：陈禄秀</w:t>
            </w:r>
          </w:p>
        </w:tc>
      </w:tr>
      <w:tr w14:paraId="58B3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7" w:type="dxa"/>
            <w:tcBorders>
              <w:top w:val="nil"/>
              <w:left w:val="nil"/>
              <w:bottom w:val="nil"/>
              <w:right w:val="nil"/>
            </w:tcBorders>
            <w:shd w:val="clear" w:color="auto" w:fill="auto"/>
            <w:vAlign w:val="center"/>
          </w:tcPr>
          <w:p w14:paraId="73159FE3">
            <w:pPr>
              <w:rPr>
                <w:rFonts w:hint="eastAsia" w:ascii="宋体" w:hAnsi="宋体" w:eastAsia="宋体" w:cs="宋体"/>
                <w:i w:val="0"/>
                <w:iCs w:val="0"/>
                <w:color w:val="000000"/>
                <w:sz w:val="18"/>
                <w:szCs w:val="18"/>
                <w:u w:val="none"/>
              </w:rPr>
            </w:pPr>
          </w:p>
        </w:tc>
        <w:tc>
          <w:tcPr>
            <w:tcW w:w="2028" w:type="dxa"/>
            <w:tcBorders>
              <w:top w:val="nil"/>
              <w:left w:val="nil"/>
              <w:bottom w:val="nil"/>
              <w:right w:val="nil"/>
            </w:tcBorders>
            <w:shd w:val="clear" w:color="auto" w:fill="auto"/>
            <w:vAlign w:val="center"/>
          </w:tcPr>
          <w:p w14:paraId="5AFB3AAE">
            <w:pPr>
              <w:rPr>
                <w:rFonts w:hint="eastAsia" w:ascii="宋体" w:hAnsi="宋体" w:eastAsia="宋体" w:cs="宋体"/>
                <w:i w:val="0"/>
                <w:iCs w:val="0"/>
                <w:color w:val="000000"/>
                <w:sz w:val="18"/>
                <w:szCs w:val="18"/>
                <w:u w:val="none"/>
              </w:rPr>
            </w:pPr>
          </w:p>
        </w:tc>
        <w:tc>
          <w:tcPr>
            <w:tcW w:w="1754" w:type="dxa"/>
            <w:tcBorders>
              <w:top w:val="nil"/>
              <w:left w:val="nil"/>
              <w:bottom w:val="nil"/>
              <w:right w:val="nil"/>
            </w:tcBorders>
            <w:shd w:val="clear" w:color="auto" w:fill="auto"/>
            <w:vAlign w:val="center"/>
          </w:tcPr>
          <w:p w14:paraId="6F265117">
            <w:pPr>
              <w:rPr>
                <w:rFonts w:hint="eastAsia" w:ascii="宋体" w:hAnsi="宋体" w:eastAsia="宋体" w:cs="宋体"/>
                <w:i w:val="0"/>
                <w:iCs w:val="0"/>
                <w:color w:val="000000"/>
                <w:sz w:val="18"/>
                <w:szCs w:val="18"/>
                <w:u w:val="none"/>
              </w:rPr>
            </w:pPr>
          </w:p>
        </w:tc>
        <w:tc>
          <w:tcPr>
            <w:tcW w:w="2240" w:type="dxa"/>
            <w:tcBorders>
              <w:top w:val="nil"/>
              <w:left w:val="nil"/>
              <w:bottom w:val="nil"/>
              <w:right w:val="nil"/>
            </w:tcBorders>
            <w:shd w:val="clear" w:color="auto" w:fill="auto"/>
            <w:vAlign w:val="center"/>
          </w:tcPr>
          <w:p w14:paraId="4E6D8FD1">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14:paraId="501ADC15">
            <w:pPr>
              <w:rPr>
                <w:rFonts w:hint="eastAsia" w:ascii="宋体" w:hAnsi="宋体" w:eastAsia="宋体" w:cs="宋体"/>
                <w:i w:val="0"/>
                <w:iCs w:val="0"/>
                <w:color w:val="000000"/>
                <w:sz w:val="18"/>
                <w:szCs w:val="18"/>
                <w:u w:val="none"/>
              </w:rPr>
            </w:pPr>
          </w:p>
        </w:tc>
        <w:tc>
          <w:tcPr>
            <w:tcW w:w="1661" w:type="dxa"/>
            <w:tcBorders>
              <w:top w:val="nil"/>
              <w:left w:val="nil"/>
              <w:bottom w:val="nil"/>
              <w:right w:val="nil"/>
            </w:tcBorders>
            <w:shd w:val="clear" w:color="auto" w:fill="auto"/>
            <w:vAlign w:val="center"/>
          </w:tcPr>
          <w:p w14:paraId="17D82216">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14:paraId="64976220">
            <w:pPr>
              <w:rPr>
                <w:rFonts w:hint="eastAsia" w:ascii="宋体" w:hAnsi="宋体" w:eastAsia="宋体" w:cs="宋体"/>
                <w:i w:val="0"/>
                <w:iCs w:val="0"/>
                <w:color w:val="000000"/>
                <w:sz w:val="18"/>
                <w:szCs w:val="18"/>
                <w:u w:val="none"/>
              </w:rPr>
            </w:pPr>
          </w:p>
        </w:tc>
        <w:tc>
          <w:tcPr>
            <w:tcW w:w="1088" w:type="dxa"/>
            <w:tcBorders>
              <w:top w:val="nil"/>
              <w:left w:val="nil"/>
              <w:bottom w:val="nil"/>
              <w:right w:val="nil"/>
            </w:tcBorders>
            <w:shd w:val="clear" w:color="auto" w:fill="auto"/>
            <w:vAlign w:val="center"/>
          </w:tcPr>
          <w:p w14:paraId="5E564F03">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66FC6F26">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177D0CD1">
            <w:pPr>
              <w:rPr>
                <w:rFonts w:hint="eastAsia" w:ascii="宋体" w:hAnsi="宋体" w:eastAsia="宋体" w:cs="宋体"/>
                <w:i w:val="0"/>
                <w:iCs w:val="0"/>
                <w:color w:val="000000"/>
                <w:sz w:val="18"/>
                <w:szCs w:val="18"/>
                <w:u w:val="none"/>
              </w:rPr>
            </w:pPr>
          </w:p>
        </w:tc>
        <w:tc>
          <w:tcPr>
            <w:tcW w:w="2534" w:type="dxa"/>
            <w:tcBorders>
              <w:top w:val="nil"/>
              <w:left w:val="nil"/>
              <w:bottom w:val="nil"/>
              <w:right w:val="nil"/>
            </w:tcBorders>
            <w:shd w:val="clear" w:color="auto" w:fill="auto"/>
            <w:vAlign w:val="center"/>
          </w:tcPr>
          <w:p w14:paraId="272DEEC8">
            <w:pPr>
              <w:rPr>
                <w:rFonts w:hint="eastAsia" w:ascii="宋体" w:hAnsi="宋体" w:eastAsia="宋体" w:cs="宋体"/>
                <w:i w:val="0"/>
                <w:iCs w:val="0"/>
                <w:color w:val="000000"/>
                <w:sz w:val="18"/>
                <w:szCs w:val="18"/>
                <w:u w:val="none"/>
              </w:rPr>
            </w:pPr>
          </w:p>
        </w:tc>
      </w:tr>
      <w:tr w14:paraId="4A90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7" w:type="dxa"/>
            <w:tcBorders>
              <w:top w:val="nil"/>
              <w:left w:val="nil"/>
              <w:bottom w:val="nil"/>
              <w:right w:val="nil"/>
            </w:tcBorders>
            <w:shd w:val="clear" w:color="auto" w:fill="auto"/>
            <w:vAlign w:val="center"/>
          </w:tcPr>
          <w:p w14:paraId="41C5F9DE">
            <w:pPr>
              <w:rPr>
                <w:rFonts w:hint="eastAsia" w:ascii="宋体" w:hAnsi="宋体" w:eastAsia="宋体" w:cs="宋体"/>
                <w:i w:val="0"/>
                <w:iCs w:val="0"/>
                <w:color w:val="000000"/>
                <w:sz w:val="18"/>
                <w:szCs w:val="18"/>
                <w:u w:val="none"/>
              </w:rPr>
            </w:pPr>
          </w:p>
          <w:p w14:paraId="1C59A4B1">
            <w:pPr>
              <w:rPr>
                <w:rFonts w:hint="eastAsia" w:ascii="宋体" w:hAnsi="宋体" w:eastAsia="宋体" w:cs="宋体"/>
                <w:i w:val="0"/>
                <w:iCs w:val="0"/>
                <w:color w:val="000000"/>
                <w:sz w:val="18"/>
                <w:szCs w:val="18"/>
                <w:u w:val="none"/>
              </w:rPr>
            </w:pPr>
          </w:p>
        </w:tc>
        <w:tc>
          <w:tcPr>
            <w:tcW w:w="2028" w:type="dxa"/>
            <w:tcBorders>
              <w:top w:val="nil"/>
              <w:left w:val="nil"/>
              <w:bottom w:val="nil"/>
              <w:right w:val="nil"/>
            </w:tcBorders>
            <w:shd w:val="clear" w:color="auto" w:fill="auto"/>
            <w:vAlign w:val="center"/>
          </w:tcPr>
          <w:p w14:paraId="3FE2A895">
            <w:pPr>
              <w:rPr>
                <w:rFonts w:hint="eastAsia" w:ascii="宋体" w:hAnsi="宋体" w:eastAsia="宋体" w:cs="宋体"/>
                <w:i w:val="0"/>
                <w:iCs w:val="0"/>
                <w:color w:val="000000"/>
                <w:sz w:val="18"/>
                <w:szCs w:val="18"/>
                <w:u w:val="none"/>
              </w:rPr>
            </w:pPr>
          </w:p>
        </w:tc>
        <w:tc>
          <w:tcPr>
            <w:tcW w:w="1754" w:type="dxa"/>
            <w:tcBorders>
              <w:top w:val="nil"/>
              <w:left w:val="nil"/>
              <w:bottom w:val="nil"/>
              <w:right w:val="nil"/>
            </w:tcBorders>
            <w:shd w:val="clear" w:color="auto" w:fill="auto"/>
            <w:vAlign w:val="center"/>
          </w:tcPr>
          <w:p w14:paraId="71611FC9">
            <w:pPr>
              <w:rPr>
                <w:rFonts w:hint="eastAsia" w:ascii="宋体" w:hAnsi="宋体" w:eastAsia="宋体" w:cs="宋体"/>
                <w:i w:val="0"/>
                <w:iCs w:val="0"/>
                <w:color w:val="000000"/>
                <w:sz w:val="18"/>
                <w:szCs w:val="18"/>
                <w:u w:val="none"/>
              </w:rPr>
            </w:pPr>
          </w:p>
        </w:tc>
        <w:tc>
          <w:tcPr>
            <w:tcW w:w="2240" w:type="dxa"/>
            <w:tcBorders>
              <w:top w:val="nil"/>
              <w:left w:val="nil"/>
              <w:bottom w:val="nil"/>
              <w:right w:val="nil"/>
            </w:tcBorders>
            <w:shd w:val="clear" w:color="auto" w:fill="auto"/>
            <w:vAlign w:val="center"/>
          </w:tcPr>
          <w:p w14:paraId="2CFCEE85">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14:paraId="6A8F2BA4">
            <w:pPr>
              <w:rPr>
                <w:rFonts w:hint="eastAsia" w:ascii="宋体" w:hAnsi="宋体" w:eastAsia="宋体" w:cs="宋体"/>
                <w:i w:val="0"/>
                <w:iCs w:val="0"/>
                <w:color w:val="000000"/>
                <w:sz w:val="18"/>
                <w:szCs w:val="18"/>
                <w:u w:val="none"/>
              </w:rPr>
            </w:pPr>
          </w:p>
        </w:tc>
        <w:tc>
          <w:tcPr>
            <w:tcW w:w="1661" w:type="dxa"/>
            <w:tcBorders>
              <w:top w:val="nil"/>
              <w:left w:val="nil"/>
              <w:bottom w:val="nil"/>
              <w:right w:val="nil"/>
            </w:tcBorders>
            <w:shd w:val="clear" w:color="auto" w:fill="auto"/>
            <w:vAlign w:val="center"/>
          </w:tcPr>
          <w:p w14:paraId="047C5D7A">
            <w:pPr>
              <w:rPr>
                <w:rFonts w:hint="eastAsia" w:ascii="宋体" w:hAnsi="宋体" w:eastAsia="宋体" w:cs="宋体"/>
                <w:i w:val="0"/>
                <w:iCs w:val="0"/>
                <w:color w:val="000000"/>
                <w:sz w:val="18"/>
                <w:szCs w:val="18"/>
                <w:u w:val="none"/>
              </w:rPr>
            </w:pPr>
          </w:p>
        </w:tc>
        <w:tc>
          <w:tcPr>
            <w:tcW w:w="518" w:type="dxa"/>
            <w:tcBorders>
              <w:top w:val="nil"/>
              <w:left w:val="nil"/>
              <w:bottom w:val="nil"/>
              <w:right w:val="nil"/>
            </w:tcBorders>
            <w:shd w:val="clear" w:color="auto" w:fill="auto"/>
            <w:vAlign w:val="center"/>
          </w:tcPr>
          <w:p w14:paraId="351798F4">
            <w:pPr>
              <w:rPr>
                <w:rFonts w:hint="eastAsia" w:ascii="宋体" w:hAnsi="宋体" w:eastAsia="宋体" w:cs="宋体"/>
                <w:i w:val="0"/>
                <w:iCs w:val="0"/>
                <w:color w:val="000000"/>
                <w:sz w:val="18"/>
                <w:szCs w:val="18"/>
                <w:u w:val="none"/>
              </w:rPr>
            </w:pPr>
          </w:p>
        </w:tc>
        <w:tc>
          <w:tcPr>
            <w:tcW w:w="1088" w:type="dxa"/>
            <w:tcBorders>
              <w:top w:val="nil"/>
              <w:left w:val="nil"/>
              <w:bottom w:val="nil"/>
              <w:right w:val="nil"/>
            </w:tcBorders>
            <w:shd w:val="clear" w:color="auto" w:fill="auto"/>
            <w:vAlign w:val="center"/>
          </w:tcPr>
          <w:p w14:paraId="007F6EAB">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393B818C">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14:paraId="3034BEA9">
            <w:pPr>
              <w:rPr>
                <w:rFonts w:hint="eastAsia" w:ascii="宋体" w:hAnsi="宋体" w:eastAsia="宋体" w:cs="宋体"/>
                <w:i w:val="0"/>
                <w:iCs w:val="0"/>
                <w:color w:val="000000"/>
                <w:sz w:val="18"/>
                <w:szCs w:val="18"/>
                <w:u w:val="none"/>
              </w:rPr>
            </w:pPr>
          </w:p>
        </w:tc>
        <w:tc>
          <w:tcPr>
            <w:tcW w:w="2534" w:type="dxa"/>
            <w:tcBorders>
              <w:top w:val="nil"/>
              <w:left w:val="nil"/>
              <w:bottom w:val="nil"/>
              <w:right w:val="nil"/>
            </w:tcBorders>
            <w:shd w:val="clear" w:color="auto" w:fill="auto"/>
            <w:vAlign w:val="center"/>
          </w:tcPr>
          <w:p w14:paraId="59999291">
            <w:pPr>
              <w:rPr>
                <w:rFonts w:hint="eastAsia" w:ascii="宋体" w:hAnsi="宋体" w:eastAsia="宋体" w:cs="宋体"/>
                <w:i w:val="0"/>
                <w:iCs w:val="0"/>
                <w:color w:val="000000"/>
                <w:sz w:val="18"/>
                <w:szCs w:val="18"/>
                <w:u w:val="none"/>
              </w:rPr>
            </w:pPr>
          </w:p>
        </w:tc>
      </w:tr>
      <w:tr w14:paraId="7F9D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AB161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6DF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9C2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568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51172423T000008000148-校舍维修改造</w:t>
            </w:r>
          </w:p>
        </w:tc>
      </w:tr>
      <w:tr w14:paraId="2D90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7AB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AE0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大竹县庙坝镇牌坊小学部门</w:t>
            </w:r>
          </w:p>
        </w:tc>
        <w:tc>
          <w:tcPr>
            <w:tcW w:w="1088" w:type="dxa"/>
            <w:tcBorders>
              <w:top w:val="nil"/>
              <w:left w:val="nil"/>
              <w:bottom w:val="nil"/>
              <w:right w:val="nil"/>
            </w:tcBorders>
            <w:shd w:val="clear" w:color="auto" w:fill="auto"/>
            <w:vAlign w:val="center"/>
          </w:tcPr>
          <w:p w14:paraId="412E10B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63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大竹县庙坝镇牌坊小学</w:t>
            </w:r>
          </w:p>
        </w:tc>
      </w:tr>
      <w:tr w14:paraId="2B7E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5DF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D9B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76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C646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5FC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757F">
            <w:pP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5BDC4">
            <w:pPr>
              <w:rPr>
                <w:rFonts w:hint="eastAsia" w:ascii="宋体" w:hAnsi="宋体" w:eastAsia="宋体" w:cs="宋体"/>
                <w:i w:val="0"/>
                <w:iCs w:val="0"/>
                <w:color w:val="000000"/>
                <w:sz w:val="18"/>
                <w:szCs w:val="18"/>
                <w:u w:val="none"/>
              </w:rPr>
            </w:pPr>
          </w:p>
        </w:tc>
        <w:tc>
          <w:tcPr>
            <w:tcW w:w="66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05D1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严格执行相关政策，保障校舍维修顺利实施，预算编制科学合理，减少结余资金</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8907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严格执行相关政策，保障校舍维修顺利实施。</w:t>
            </w:r>
          </w:p>
        </w:tc>
      </w:tr>
      <w:tr w14:paraId="4A0F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89B59">
            <w:pP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46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868D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该资金全部用于学校校舍维修改造，验收合格，并支付完成。</w:t>
            </w:r>
          </w:p>
        </w:tc>
      </w:tr>
      <w:tr w14:paraId="1C2F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C0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A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5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B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27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E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D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8F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9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E34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3AD4">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B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F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4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E0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E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CB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931B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预算多了，最后按实际竣工结算总价支付，有结余资金。</w:t>
            </w:r>
          </w:p>
        </w:tc>
      </w:tr>
      <w:tr w14:paraId="7A63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CC053">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2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EC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4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97.60%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5B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F00B">
            <w:pPr>
              <w:rPr>
                <w:rFonts w:hint="eastAsia" w:ascii="黑体" w:hAnsi="黑体" w:eastAsia="黑体" w:cs="黑体"/>
                <w:i/>
                <w:iCs/>
                <w:color w:val="000000"/>
                <w:sz w:val="18"/>
                <w:szCs w:val="18"/>
                <w:u w:val="none"/>
              </w:rPr>
            </w:pPr>
          </w:p>
        </w:tc>
      </w:tr>
      <w:tr w14:paraId="19A1A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EC64">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E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CB7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AC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6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305C0">
            <w:pPr>
              <w:rPr>
                <w:rFonts w:hint="eastAsia" w:ascii="黑体" w:hAnsi="黑体" w:eastAsia="黑体" w:cs="黑体"/>
                <w:i/>
                <w:iCs/>
                <w:color w:val="000000"/>
                <w:sz w:val="18"/>
                <w:szCs w:val="18"/>
                <w:u w:val="none"/>
              </w:rPr>
            </w:pPr>
          </w:p>
        </w:tc>
      </w:tr>
      <w:tr w14:paraId="599B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D968">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4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3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D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DE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4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C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ACCC3">
            <w:pPr>
              <w:rPr>
                <w:rFonts w:hint="eastAsia" w:ascii="黑体" w:hAnsi="黑体" w:eastAsia="黑体" w:cs="黑体"/>
                <w:i/>
                <w:iCs/>
                <w:color w:val="000000"/>
                <w:sz w:val="18"/>
                <w:szCs w:val="18"/>
                <w:u w:val="none"/>
              </w:rPr>
            </w:pPr>
          </w:p>
        </w:tc>
      </w:tr>
      <w:tr w14:paraId="0166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0015">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6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DFC9">
            <w:pPr>
              <w:jc w:val="center"/>
              <w:rPr>
                <w:rFonts w:hint="eastAsia" w:ascii="微软雅黑" w:hAnsi="微软雅黑" w:eastAsia="微软雅黑" w:cs="微软雅黑"/>
                <w:i/>
                <w:iCs/>
                <w:color w:val="000000"/>
                <w:sz w:val="16"/>
                <w:szCs w:val="16"/>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D53D">
            <w:pPr>
              <w:jc w:val="center"/>
              <w:rPr>
                <w:rFonts w:hint="eastAsia" w:ascii="微软雅黑" w:hAnsi="微软雅黑" w:eastAsia="微软雅黑" w:cs="微软雅黑"/>
                <w:i/>
                <w:iCs/>
                <w:color w:val="000000"/>
                <w:sz w:val="16"/>
                <w:szCs w:val="16"/>
                <w:u w:val="none"/>
              </w:rPr>
            </w:pP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C155F">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96C1">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9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530F">
            <w:pPr>
              <w:rPr>
                <w:rFonts w:hint="eastAsia" w:ascii="黑体" w:hAnsi="黑体" w:eastAsia="黑体" w:cs="黑体"/>
                <w:i/>
                <w:iCs/>
                <w:color w:val="000000"/>
                <w:sz w:val="18"/>
                <w:szCs w:val="18"/>
                <w:u w:val="none"/>
              </w:rPr>
            </w:pPr>
          </w:p>
        </w:tc>
      </w:tr>
      <w:tr w14:paraId="6D19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2A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62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7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F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2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A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3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1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3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306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C315">
            <w:pPr>
              <w:jc w:val="center"/>
              <w:rPr>
                <w:rFonts w:hint="eastAsia" w:ascii="宋体" w:hAnsi="宋体" w:eastAsia="宋体" w:cs="宋体"/>
                <w:i w:val="0"/>
                <w:iCs w:val="0"/>
                <w:color w:val="000000"/>
                <w:sz w:val="18"/>
                <w:szCs w:val="18"/>
                <w:u w:val="none"/>
              </w:rPr>
            </w:pPr>
          </w:p>
        </w:tc>
        <w:tc>
          <w:tcPr>
            <w:tcW w:w="2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30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D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F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1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76B7">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B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649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预算多了，有结余资金。</w:t>
            </w:r>
          </w:p>
        </w:tc>
      </w:tr>
      <w:tr w14:paraId="686C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8973">
            <w:pPr>
              <w:jc w:val="cente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CFFE">
            <w:pPr>
              <w:jc w:val="center"/>
              <w:rPr>
                <w:rFonts w:hint="eastAsia" w:ascii="宋体" w:hAnsi="宋体" w:eastAsia="宋体" w:cs="宋体"/>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F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2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及时足额拨付</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4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2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6387">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06F">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A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0739">
            <w:pPr>
              <w:jc w:val="center"/>
              <w:rPr>
                <w:rFonts w:hint="eastAsia" w:ascii="微软雅黑" w:hAnsi="微软雅黑" w:eastAsia="微软雅黑" w:cs="微软雅黑"/>
                <w:i/>
                <w:iCs/>
                <w:color w:val="000000"/>
                <w:sz w:val="16"/>
                <w:szCs w:val="16"/>
                <w:u w:val="none"/>
              </w:rPr>
            </w:pPr>
          </w:p>
        </w:tc>
      </w:tr>
      <w:tr w14:paraId="49E4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CC27">
            <w:pPr>
              <w:jc w:val="center"/>
              <w:rPr>
                <w:rFonts w:hint="eastAsia" w:ascii="宋体" w:hAnsi="宋体" w:eastAsia="宋体" w:cs="宋体"/>
                <w:i w:val="0"/>
                <w:iCs w:val="0"/>
                <w:color w:val="000000"/>
                <w:sz w:val="18"/>
                <w:szCs w:val="18"/>
                <w:u w:val="none"/>
              </w:rPr>
            </w:pPr>
          </w:p>
        </w:tc>
        <w:tc>
          <w:tcPr>
            <w:tcW w:w="2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462B">
            <w:pPr>
              <w:jc w:val="center"/>
              <w:rPr>
                <w:rFonts w:hint="eastAsia" w:ascii="宋体" w:hAnsi="宋体" w:eastAsia="宋体" w:cs="宋体"/>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D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08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项目实施时限</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A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3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1480">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4B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C7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F6B">
            <w:pPr>
              <w:jc w:val="center"/>
              <w:rPr>
                <w:rFonts w:hint="eastAsia" w:ascii="微软雅黑" w:hAnsi="微软雅黑" w:eastAsia="微软雅黑" w:cs="微软雅黑"/>
                <w:i/>
                <w:iCs/>
                <w:color w:val="000000"/>
                <w:sz w:val="16"/>
                <w:szCs w:val="16"/>
                <w:u w:val="none"/>
              </w:rPr>
            </w:pPr>
          </w:p>
        </w:tc>
      </w:tr>
      <w:tr w14:paraId="035F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8F51">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E0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保障学校校舍安全</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C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6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AB9">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958">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B4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BDF">
            <w:pPr>
              <w:jc w:val="center"/>
              <w:rPr>
                <w:rFonts w:hint="eastAsia" w:ascii="微软雅黑" w:hAnsi="微软雅黑" w:eastAsia="微软雅黑" w:cs="微软雅黑"/>
                <w:i/>
                <w:iCs/>
                <w:color w:val="000000"/>
                <w:sz w:val="16"/>
                <w:szCs w:val="16"/>
                <w:u w:val="none"/>
              </w:rPr>
            </w:pPr>
          </w:p>
        </w:tc>
      </w:tr>
      <w:tr w14:paraId="1E91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5C78">
            <w:pPr>
              <w:jc w:val="center"/>
              <w:rPr>
                <w:rFonts w:hint="eastAsia" w:ascii="宋体" w:hAnsi="宋体" w:eastAsia="宋体" w:cs="宋体"/>
                <w:i w:val="0"/>
                <w:iCs w:val="0"/>
                <w:color w:val="000000"/>
                <w:sz w:val="18"/>
                <w:szCs w:val="18"/>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8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4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学生、家长、社会满意度</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E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6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B349">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B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57C">
            <w:pPr>
              <w:jc w:val="center"/>
              <w:rPr>
                <w:rFonts w:hint="eastAsia" w:ascii="微软雅黑" w:hAnsi="微软雅黑" w:eastAsia="微软雅黑" w:cs="微软雅黑"/>
                <w:i/>
                <w:iCs/>
                <w:color w:val="000000"/>
                <w:sz w:val="16"/>
                <w:szCs w:val="16"/>
                <w:u w:val="none"/>
              </w:rPr>
            </w:pPr>
          </w:p>
        </w:tc>
      </w:tr>
      <w:tr w14:paraId="779C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D51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B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8B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62F4">
            <w:pPr>
              <w:rPr>
                <w:rFonts w:hint="eastAsia" w:ascii="宋体" w:hAnsi="宋体" w:eastAsia="宋体" w:cs="宋体"/>
                <w:i w:val="0"/>
                <w:iCs w:val="0"/>
                <w:color w:val="000000"/>
                <w:sz w:val="18"/>
                <w:szCs w:val="18"/>
                <w:u w:val="none"/>
              </w:rPr>
            </w:pPr>
          </w:p>
        </w:tc>
      </w:tr>
      <w:tr w14:paraId="2171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37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1680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项目自评总分达到100分，表明项目实施取得了良好的成效。通过实施，项目达到了预期目标，解决了实际问题，取得了显著成果。</w:t>
            </w:r>
          </w:p>
        </w:tc>
      </w:tr>
      <w:tr w14:paraId="4C08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D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47B2B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预算多了，存在结余资金。</w:t>
            </w:r>
          </w:p>
        </w:tc>
      </w:tr>
      <w:tr w14:paraId="4BAE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7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F70D9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预算更精确，保障资金的有效使用。</w:t>
            </w:r>
          </w:p>
        </w:tc>
      </w:tr>
      <w:tr w14:paraId="7964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45D2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项目负责人：陈祥平</w:t>
            </w:r>
          </w:p>
        </w:tc>
        <w:tc>
          <w:tcPr>
            <w:tcW w:w="68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DAE5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财务负责人：陈禄秀</w:t>
            </w:r>
          </w:p>
        </w:tc>
      </w:tr>
    </w:tbl>
    <w:p w14:paraId="57656EEC">
      <w:pPr>
        <w:pStyle w:val="5"/>
        <w:spacing w:before="93"/>
        <w:rPr>
          <w:rFonts w:hAnsi="Calibri" w:cs="仿宋"/>
          <w:sz w:val="32"/>
          <w:szCs w:val="32"/>
        </w:rPr>
        <w:sectPr>
          <w:headerReference r:id="rId7" w:type="default"/>
          <w:footerReference r:id="rId8" w:type="default"/>
          <w:pgSz w:w="16838" w:h="11906" w:orient="landscape"/>
          <w:pgMar w:top="1440" w:right="1800" w:bottom="1440" w:left="1800" w:header="851" w:footer="992" w:gutter="0"/>
          <w:pgNumType w:fmt="decimal"/>
          <w:cols w:space="425" w:num="1"/>
          <w:titlePg/>
          <w:docGrid w:type="lines" w:linePitch="312" w:charSpace="0"/>
        </w:sectPr>
      </w:pPr>
    </w:p>
    <w:p w14:paraId="01CD94CA">
      <w:pPr>
        <w:spacing w:line="600" w:lineRule="exact"/>
        <w:jc w:val="center"/>
        <w:outlineLvl w:val="0"/>
        <w:rPr>
          <w:rFonts w:ascii="仿宋" w:hAnsi="仿宋" w:eastAsia="仿宋"/>
        </w:rPr>
      </w:pPr>
      <w:bookmarkStart w:id="71" w:name="_Toc15696"/>
      <w:r>
        <w:rPr>
          <w:rFonts w:hint="eastAsia" w:ascii="黑体" w:hAnsi="黑体" w:eastAsia="黑体"/>
          <w:sz w:val="44"/>
          <w:szCs w:val="44"/>
        </w:rPr>
        <w:t>第</w:t>
      </w:r>
      <w:r>
        <w:rPr>
          <w:rStyle w:val="27"/>
          <w:rFonts w:hint="eastAsia" w:ascii="黑体" w:hAnsi="黑体" w:eastAsia="黑体"/>
          <w:b w:val="0"/>
        </w:rPr>
        <w:t>五部分</w:t>
      </w:r>
      <w:r>
        <w:rPr>
          <w:rStyle w:val="27"/>
          <w:rFonts w:hint="eastAsia" w:ascii="黑体" w:hAnsi="黑体" w:eastAsia="黑体"/>
          <w:b w:val="0"/>
          <w:lang w:val="en-US" w:eastAsia="zh-CN"/>
        </w:rPr>
        <w:t xml:space="preserve"> </w:t>
      </w:r>
      <w:r>
        <w:rPr>
          <w:rStyle w:val="27"/>
          <w:rFonts w:hint="eastAsia" w:ascii="黑体" w:hAnsi="黑体" w:eastAsia="黑体"/>
          <w:b w:val="0"/>
        </w:rPr>
        <w:t>附表</w:t>
      </w:r>
      <w:bookmarkEnd w:id="69"/>
      <w:bookmarkEnd w:id="70"/>
      <w:bookmarkEnd w:id="71"/>
      <w:bookmarkStart w:id="72" w:name="_Toc15396619"/>
    </w:p>
    <w:p w14:paraId="7BB88BEC">
      <w:pPr>
        <w:pStyle w:val="3"/>
        <w:rPr>
          <w:rFonts w:ascii="仿宋" w:hAnsi="仿宋" w:eastAsia="仿宋"/>
        </w:rPr>
      </w:pPr>
      <w:bookmarkStart w:id="73" w:name="_Toc9002"/>
      <w:r>
        <w:rPr>
          <w:rFonts w:hint="eastAsia" w:ascii="仿宋" w:hAnsi="仿宋" w:eastAsia="仿宋"/>
          <w:b w:val="0"/>
        </w:rPr>
        <w:t>一、收</w:t>
      </w:r>
      <w:r>
        <w:rPr>
          <w:rStyle w:val="28"/>
          <w:rFonts w:hint="eastAsia" w:ascii="仿宋" w:hAnsi="仿宋" w:eastAsia="仿宋"/>
          <w:b w:val="0"/>
          <w:bCs w:val="0"/>
        </w:rPr>
        <w:t>入支出决算总表</w:t>
      </w:r>
      <w:bookmarkEnd w:id="72"/>
      <w:bookmarkEnd w:id="73"/>
    </w:p>
    <w:p w14:paraId="75699AF0">
      <w:pPr>
        <w:pStyle w:val="3"/>
        <w:rPr>
          <w:rFonts w:ascii="仿宋" w:hAnsi="仿宋" w:eastAsia="仿宋"/>
        </w:rPr>
      </w:pPr>
      <w:bookmarkStart w:id="74" w:name="_Toc15396620"/>
      <w:bookmarkStart w:id="75" w:name="_Toc21070"/>
      <w:r>
        <w:rPr>
          <w:rFonts w:hint="eastAsia" w:ascii="仿宋" w:hAnsi="仿宋" w:eastAsia="仿宋"/>
          <w:b w:val="0"/>
        </w:rPr>
        <w:t>二、收</w:t>
      </w:r>
      <w:r>
        <w:rPr>
          <w:rStyle w:val="28"/>
          <w:rFonts w:hint="eastAsia" w:ascii="仿宋" w:hAnsi="仿宋" w:eastAsia="仿宋"/>
          <w:b w:val="0"/>
          <w:bCs w:val="0"/>
        </w:rPr>
        <w:t>入决算表</w:t>
      </w:r>
      <w:bookmarkEnd w:id="74"/>
      <w:bookmarkEnd w:id="75"/>
    </w:p>
    <w:p w14:paraId="70190567">
      <w:pPr>
        <w:pStyle w:val="3"/>
        <w:rPr>
          <w:rFonts w:ascii="仿宋" w:hAnsi="仿宋" w:eastAsia="仿宋"/>
        </w:rPr>
      </w:pPr>
      <w:bookmarkStart w:id="76" w:name="_Toc5304"/>
      <w:bookmarkStart w:id="77"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6"/>
      <w:bookmarkEnd w:id="77"/>
    </w:p>
    <w:p w14:paraId="057B5378">
      <w:pPr>
        <w:pStyle w:val="3"/>
        <w:rPr>
          <w:rFonts w:ascii="仿宋" w:hAnsi="仿宋" w:eastAsia="仿宋"/>
          <w:b w:val="0"/>
        </w:rPr>
      </w:pPr>
      <w:bookmarkStart w:id="78" w:name="_Toc18475"/>
      <w:bookmarkStart w:id="79"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78"/>
      <w:bookmarkEnd w:id="79"/>
    </w:p>
    <w:p w14:paraId="08D4529A">
      <w:pPr>
        <w:pStyle w:val="3"/>
        <w:rPr>
          <w:rStyle w:val="28"/>
          <w:rFonts w:ascii="仿宋" w:hAnsi="仿宋" w:eastAsia="仿宋"/>
          <w:b w:val="0"/>
          <w:bCs w:val="0"/>
        </w:rPr>
      </w:pPr>
      <w:bookmarkStart w:id="80" w:name="_Toc16175"/>
      <w:bookmarkStart w:id="81"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0"/>
      <w:bookmarkEnd w:id="81"/>
      <w:bookmarkStart w:id="82" w:name="_Toc15396624"/>
    </w:p>
    <w:p w14:paraId="67A232C5">
      <w:pPr>
        <w:pStyle w:val="3"/>
        <w:rPr>
          <w:rFonts w:ascii="仿宋" w:hAnsi="仿宋" w:eastAsia="仿宋"/>
        </w:rPr>
      </w:pPr>
      <w:bookmarkStart w:id="83" w:name="_Toc25025"/>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2"/>
      <w:bookmarkEnd w:id="83"/>
    </w:p>
    <w:p w14:paraId="09B8B392">
      <w:pPr>
        <w:pStyle w:val="3"/>
        <w:rPr>
          <w:rFonts w:ascii="仿宋" w:hAnsi="仿宋" w:eastAsia="仿宋"/>
        </w:rPr>
      </w:pPr>
      <w:bookmarkStart w:id="84" w:name="_Toc28702"/>
      <w:bookmarkStart w:id="85"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4"/>
      <w:bookmarkEnd w:id="85"/>
    </w:p>
    <w:p w14:paraId="6EEBD496">
      <w:pPr>
        <w:pStyle w:val="3"/>
        <w:rPr>
          <w:rFonts w:ascii="仿宋" w:hAnsi="仿宋" w:eastAsia="仿宋"/>
        </w:rPr>
      </w:pPr>
      <w:bookmarkStart w:id="86" w:name="_Toc15396626"/>
      <w:bookmarkStart w:id="87" w:name="_Toc31737"/>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6"/>
      <w:bookmarkEnd w:id="87"/>
    </w:p>
    <w:p w14:paraId="4FA763B8">
      <w:pPr>
        <w:pStyle w:val="3"/>
        <w:rPr>
          <w:rFonts w:ascii="仿宋" w:hAnsi="仿宋" w:eastAsia="仿宋"/>
        </w:rPr>
      </w:pPr>
      <w:bookmarkStart w:id="88" w:name="_Toc10240"/>
      <w:bookmarkStart w:id="89"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88"/>
      <w:bookmarkEnd w:id="89"/>
    </w:p>
    <w:p w14:paraId="4FEE19F6">
      <w:pPr>
        <w:pStyle w:val="3"/>
        <w:rPr>
          <w:rFonts w:ascii="仿宋" w:hAnsi="仿宋" w:eastAsia="仿宋"/>
        </w:rPr>
      </w:pPr>
      <w:bookmarkStart w:id="90" w:name="_Toc15396628"/>
      <w:bookmarkStart w:id="91" w:name="_Toc6097"/>
      <w:r>
        <w:rPr>
          <w:rStyle w:val="28"/>
          <w:rFonts w:hint="eastAsia" w:ascii="仿宋" w:hAnsi="仿宋" w:eastAsia="仿宋"/>
          <w:b w:val="0"/>
          <w:bCs w:val="0"/>
        </w:rPr>
        <w:t>十、</w:t>
      </w:r>
      <w:bookmarkEnd w:id="90"/>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1"/>
    </w:p>
    <w:p w14:paraId="4058582C">
      <w:pPr>
        <w:pStyle w:val="3"/>
        <w:rPr>
          <w:rFonts w:ascii="仿宋" w:hAnsi="仿宋" w:eastAsia="仿宋"/>
        </w:rPr>
      </w:pPr>
      <w:bookmarkStart w:id="92" w:name="_Toc15396629"/>
      <w:bookmarkStart w:id="93" w:name="_Toc1183"/>
      <w:r>
        <w:rPr>
          <w:rStyle w:val="28"/>
          <w:rFonts w:hint="eastAsia" w:ascii="仿宋" w:hAnsi="仿宋" w:eastAsia="仿宋"/>
          <w:b w:val="0"/>
          <w:bCs w:val="0"/>
        </w:rPr>
        <w:t>十一、</w:t>
      </w:r>
      <w:bookmarkEnd w:id="92"/>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3"/>
    </w:p>
    <w:p w14:paraId="04D03ABD">
      <w:pPr>
        <w:pStyle w:val="3"/>
        <w:rPr>
          <w:rFonts w:ascii="仿宋" w:hAnsi="仿宋" w:eastAsia="仿宋"/>
        </w:rPr>
      </w:pPr>
      <w:bookmarkStart w:id="94" w:name="_Toc15396630"/>
      <w:bookmarkStart w:id="95" w:name="_Toc419"/>
      <w:r>
        <w:rPr>
          <w:rStyle w:val="28"/>
          <w:rFonts w:hint="eastAsia" w:ascii="仿宋" w:hAnsi="仿宋" w:eastAsia="仿宋"/>
          <w:b w:val="0"/>
          <w:bCs w:val="0"/>
        </w:rPr>
        <w:t>十二、</w:t>
      </w:r>
      <w:bookmarkEnd w:id="94"/>
      <w:r>
        <w:rPr>
          <w:rStyle w:val="28"/>
          <w:rFonts w:hint="eastAsia" w:ascii="仿宋" w:hAnsi="仿宋" w:eastAsia="仿宋"/>
          <w:b w:val="0"/>
          <w:bCs w:val="0"/>
        </w:rPr>
        <w:t>国有资本经营预算财政拨款支出决算表</w:t>
      </w:r>
      <w:bookmarkEnd w:id="95"/>
    </w:p>
    <w:p w14:paraId="4FCD817B">
      <w:pPr>
        <w:pStyle w:val="3"/>
        <w:rPr>
          <w:rFonts w:eastAsia="仿宋"/>
        </w:rPr>
      </w:pPr>
      <w:bookmarkStart w:id="96" w:name="_Toc15396631"/>
      <w:bookmarkStart w:id="97" w:name="_Toc6075"/>
      <w:r>
        <w:rPr>
          <w:rStyle w:val="28"/>
          <w:rFonts w:hint="eastAsia" w:ascii="仿宋" w:hAnsi="仿宋" w:eastAsia="仿宋"/>
          <w:b w:val="0"/>
          <w:bCs w:val="0"/>
        </w:rPr>
        <w:t>十三、</w:t>
      </w:r>
      <w:bookmarkEnd w:id="96"/>
      <w:r>
        <w:rPr>
          <w:rStyle w:val="28"/>
          <w:rFonts w:hint="eastAsia" w:ascii="仿宋" w:hAnsi="仿宋" w:eastAsia="仿宋"/>
          <w:b w:val="0"/>
          <w:bCs w:val="0"/>
        </w:rPr>
        <w:t>财政拨款“三公”经费支出决算表</w:t>
      </w:r>
      <w:bookmarkEnd w:id="97"/>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942E">
    <w:pPr>
      <w:pStyle w:val="9"/>
      <w:jc w:val="center"/>
    </w:pPr>
  </w:p>
  <w:p w14:paraId="24D1971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B0D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FAF43">
                          <w:pPr>
                            <w:pStyle w:val="9"/>
                            <w:rPr>
                              <w:rFonts w:hint="eastAsia"/>
                              <w:lang w:val="en-US" w:eastAsia="zh-C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45FAF43">
                    <w:pPr>
                      <w:pStyle w:val="9"/>
                      <w:rPr>
                        <w:rFonts w:hint="eastAsia"/>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B871">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DCFB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21DCFB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3C97F662">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8861">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CE6A">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0DCE6A">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14:paraId="0975569C">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1E9EA">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4522470</wp:posOffset>
              </wp:positionH>
              <wp:positionV relativeFrom="paragraph">
                <wp:posOffset>66675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BEE1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6.1pt;margin-top:5.25pt;height:144pt;width:144pt;mso-position-horizontal-relative:margin;mso-wrap-style:none;z-index:251661312;mso-width-relative:page;mso-height-relative:page;" filled="f" stroked="f" coordsize="21600,21600" o:gfxdata="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0g+ia1wAAAAsBAAAPAAAAAAAAAAEAIAAAACIAAABkcnMvZG93bnJldi54bWxQ&#10;SwECFAAUAAAACACHTuJAbP7xkTECAABjBAAADgAAAAAAAAABACAAAAAmAQAAZHJzL2Uyb0RvYy54&#10;bWxQSwUGAAAAAAYABgBZAQAAyQUAAAAA&#10;">
              <v:fill on="f" focussize="0,0"/>
              <v:stroke on="f" weight="0.5pt"/>
              <v:imagedata o:title=""/>
              <o:lock v:ext="edit" aspectratio="f"/>
              <v:textbox inset="0mm,0mm,0mm,0mm" style="mso-fit-shape-to-text:t;">
                <w:txbxContent>
                  <w:p w14:paraId="1FABEE1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sdt>
      <w:sdtPr>
        <w:id w:val="-1994781956"/>
      </w:sdtPr>
      <w:sdtEndPr>
        <w:rPr>
          <w:rFonts w:hint="default"/>
          <w:lang w:val="en-US"/>
        </w:rPr>
      </w:sdtEndPr>
      <w:sdtContent/>
    </w:sdt>
  </w:p>
  <w:p w14:paraId="325D019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817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YWI4ZjdiZGZiMjBmNWNkOTk3YzE2YWQxNmQyZ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6A05249"/>
    <w:rsid w:val="081B5E94"/>
    <w:rsid w:val="0A2032A3"/>
    <w:rsid w:val="0B8A37D8"/>
    <w:rsid w:val="0F5FFB2F"/>
    <w:rsid w:val="0FFFCF60"/>
    <w:rsid w:val="10C055FF"/>
    <w:rsid w:val="118107EC"/>
    <w:rsid w:val="11DD6519"/>
    <w:rsid w:val="16BB723D"/>
    <w:rsid w:val="17E42975"/>
    <w:rsid w:val="18015F3F"/>
    <w:rsid w:val="1BE8440E"/>
    <w:rsid w:val="1D155CEE"/>
    <w:rsid w:val="1E8839E2"/>
    <w:rsid w:val="1F712A3D"/>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411586F"/>
    <w:rsid w:val="356A28F1"/>
    <w:rsid w:val="357C035A"/>
    <w:rsid w:val="368E000D"/>
    <w:rsid w:val="383D272C"/>
    <w:rsid w:val="39AE70AB"/>
    <w:rsid w:val="3A4DCE41"/>
    <w:rsid w:val="3BCB56FA"/>
    <w:rsid w:val="3BD078ED"/>
    <w:rsid w:val="3C0C0783"/>
    <w:rsid w:val="3EE7C2F4"/>
    <w:rsid w:val="3F371B56"/>
    <w:rsid w:val="3F792ED8"/>
    <w:rsid w:val="3F9F3A96"/>
    <w:rsid w:val="3FECA4B2"/>
    <w:rsid w:val="3FF58C48"/>
    <w:rsid w:val="42FF6694"/>
    <w:rsid w:val="48BF60AB"/>
    <w:rsid w:val="493C27E9"/>
    <w:rsid w:val="496F39ED"/>
    <w:rsid w:val="49887708"/>
    <w:rsid w:val="49FF41D3"/>
    <w:rsid w:val="4BE068DB"/>
    <w:rsid w:val="4BF6002B"/>
    <w:rsid w:val="4BFFC6BE"/>
    <w:rsid w:val="4ECE2238"/>
    <w:rsid w:val="51DB4B86"/>
    <w:rsid w:val="51F64DB0"/>
    <w:rsid w:val="55333C3E"/>
    <w:rsid w:val="5EAA7403"/>
    <w:rsid w:val="5F67802D"/>
    <w:rsid w:val="5F7DC4F2"/>
    <w:rsid w:val="5FB36814"/>
    <w:rsid w:val="5FBB8E56"/>
    <w:rsid w:val="5FFB5535"/>
    <w:rsid w:val="64CA39A1"/>
    <w:rsid w:val="65A54A64"/>
    <w:rsid w:val="69630ADE"/>
    <w:rsid w:val="69BD5F13"/>
    <w:rsid w:val="69FB0B4B"/>
    <w:rsid w:val="6BFFE1FB"/>
    <w:rsid w:val="6C4A05C8"/>
    <w:rsid w:val="6D2E4DE9"/>
    <w:rsid w:val="6D3B1A89"/>
    <w:rsid w:val="6DB7D8A3"/>
    <w:rsid w:val="6E0B59B0"/>
    <w:rsid w:val="6EC78701"/>
    <w:rsid w:val="6F7A5481"/>
    <w:rsid w:val="6FFE07A9"/>
    <w:rsid w:val="71BF4EC2"/>
    <w:rsid w:val="72734D90"/>
    <w:rsid w:val="73E75B71"/>
    <w:rsid w:val="7412278C"/>
    <w:rsid w:val="75437989"/>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4"/>
    <w:autoRedefine/>
    <w:qFormat/>
    <w:uiPriority w:val="99"/>
    <w:pPr>
      <w:spacing w:beforeLines="30"/>
    </w:pPr>
    <w:rPr>
      <w:rFonts w:ascii="仿宋_GB2312" w:eastAsia="仿宋_GB2312"/>
      <w:kern w:val="0"/>
      <w:sz w:val="30"/>
    </w:rPr>
  </w:style>
  <w:style w:type="paragraph" w:styleId="6">
    <w:name w:val="Body Text Indent"/>
    <w:basedOn w:val="1"/>
    <w:autoRedefine/>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autoRedefine/>
    <w:unhideWhenUsed/>
    <w:qFormat/>
    <w:uiPriority w:val="39"/>
    <w:pPr>
      <w:tabs>
        <w:tab w:val="right" w:leader="dot" w:pos="8296"/>
      </w:tabs>
      <w:ind w:left="420" w:leftChars="200"/>
    </w:pPr>
  </w:style>
  <w:style w:type="paragraph" w:styleId="13">
    <w:name w:val="Body Text First Indent 2"/>
    <w:basedOn w:val="6"/>
    <w:autoRedefine/>
    <w:unhideWhenUsed/>
    <w:qFormat/>
    <w:uiPriority w:val="99"/>
    <w:pPr>
      <w:ind w:firstLine="420" w:firstLineChars="200"/>
    </w:pPr>
  </w:style>
  <w:style w:type="character" w:styleId="16">
    <w:name w:val="Strong"/>
    <w:basedOn w:val="15"/>
    <w:autoRedefine/>
    <w:qFormat/>
    <w:uiPriority w:val="99"/>
    <w:rPr>
      <w:b/>
    </w:rPr>
  </w:style>
  <w:style w:type="character" w:styleId="17">
    <w:name w:val="Hyperlink"/>
    <w:basedOn w:val="15"/>
    <w:autoRedefine/>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autoRedefine/>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autoRedefine/>
    <w:semiHidden/>
    <w:qFormat/>
    <w:uiPriority w:val="99"/>
    <w:rPr>
      <w:rFonts w:ascii="Times New Roman" w:hAnsi="Times New Roman"/>
      <w:sz w:val="18"/>
      <w:szCs w:val="18"/>
    </w:rPr>
  </w:style>
  <w:style w:type="character" w:customStyle="1" w:styleId="20">
    <w:name w:val="页眉 字符"/>
    <w:link w:val="10"/>
    <w:autoRedefine/>
    <w:semiHidden/>
    <w:qFormat/>
    <w:locked/>
    <w:uiPriority w:val="99"/>
    <w:rPr>
      <w:sz w:val="18"/>
    </w:rPr>
  </w:style>
  <w:style w:type="character" w:customStyle="1" w:styleId="21">
    <w:name w:val="Footer Char"/>
    <w:basedOn w:val="15"/>
    <w:autoRedefine/>
    <w:semiHidden/>
    <w:qFormat/>
    <w:uiPriority w:val="99"/>
    <w:rPr>
      <w:rFonts w:ascii="Times New Roman" w:hAnsi="Times New Roman"/>
      <w:sz w:val="18"/>
      <w:szCs w:val="18"/>
    </w:rPr>
  </w:style>
  <w:style w:type="character" w:customStyle="1" w:styleId="22">
    <w:name w:val="页脚 字符"/>
    <w:link w:val="9"/>
    <w:autoRedefine/>
    <w:qFormat/>
    <w:locked/>
    <w:uiPriority w:val="99"/>
    <w:rPr>
      <w:sz w:val="18"/>
    </w:rPr>
  </w:style>
  <w:style w:type="character" w:customStyle="1" w:styleId="23">
    <w:name w:val="Body Text Char"/>
    <w:basedOn w:val="15"/>
    <w:autoRedefine/>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autoRedefine/>
    <w:qFormat/>
    <w:uiPriority w:val="34"/>
    <w:pPr>
      <w:ind w:firstLine="420" w:firstLineChars="200"/>
    </w:pPr>
  </w:style>
  <w:style w:type="character" w:customStyle="1" w:styleId="27">
    <w:name w:val="标题 1 字符"/>
    <w:basedOn w:val="15"/>
    <w:link w:val="2"/>
    <w:autoRedefine/>
    <w:qFormat/>
    <w:uiPriority w:val="9"/>
    <w:rPr>
      <w:rFonts w:ascii="Times New Roman" w:hAnsi="Times New Roman"/>
      <w:b/>
      <w:bCs/>
      <w:kern w:val="44"/>
      <w:sz w:val="44"/>
      <w:szCs w:val="44"/>
    </w:rPr>
  </w:style>
  <w:style w:type="character" w:customStyle="1" w:styleId="28">
    <w:name w:val="标题 2 字符"/>
    <w:basedOn w:val="15"/>
    <w:link w:val="3"/>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4"/>
    <w:autoRedefine/>
    <w:qFormat/>
    <w:uiPriority w:val="9"/>
    <w:rPr>
      <w:rFonts w:ascii="Times New Roman" w:hAnsi="Times New Roman"/>
      <w:b/>
      <w:bCs/>
      <w:kern w:val="2"/>
      <w:sz w:val="32"/>
      <w:szCs w:val="32"/>
    </w:rPr>
  </w:style>
  <w:style w:type="paragraph" w:customStyle="1" w:styleId="3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15"/>
    <w:basedOn w:val="15"/>
    <w:autoRedefine/>
    <w:qFormat/>
    <w:uiPriority w:val="0"/>
    <w:rPr>
      <w:rFonts w:hint="default" w:ascii="Calibri" w:hAnsi="Calibri"/>
      <w:b/>
      <w:bCs/>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J:\2022\2022&#24180;&#20915;&#31639;\2021&#24180;&#20915;&#31639;&#20844;&#24320;\2020&#24180;&#20915;&#31639;&#20844;&#24320;&#39292;&#29366;&#22270;&#21442;&#327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J:\2022\2022&#24180;&#20915;&#31639;\2021&#24180;&#20915;&#31639;&#20844;&#24320;\2020&#24180;&#20915;&#31639;&#20844;&#24320;&#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99633153731514"/>
          <c:y val="0.0926190476190476"/>
          <c:w val="0.913034506477129"/>
          <c:h val="0.724619047619048"/>
        </c:manualLayout>
      </c:layout>
      <c:barChart>
        <c:barDir val="col"/>
        <c:grouping val="clustered"/>
        <c:varyColors val="0"/>
        <c:ser>
          <c:idx val="0"/>
          <c:order val="0"/>
          <c:tx>
            <c:strRef>
              <c:f>[2020年决算公开饼状图参考.xlsx]Sheet1!$A$3</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[2020年决算公开饼状图参考.xlsx]Sheet1!$B$2:$C$2</c:f>
              <c:strCache>
                <c:ptCount val="2"/>
                <c:pt idx="0">
                  <c:v>收入（万元）</c:v>
                </c:pt>
                <c:pt idx="1">
                  <c:v>支出（万元）</c:v>
                </c:pt>
              </c:strCache>
            </c:strRef>
          </c:cat>
          <c:val>
            <c:numRef>
              <c:f>[2020年决算公开饼状图参考.xlsx]Sheet1!$B$3:$C$3</c:f>
              <c:numCache>
                <c:formatCode>General</c:formatCode>
                <c:ptCount val="2"/>
                <c:pt idx="0">
                  <c:v>703.7</c:v>
                </c:pt>
                <c:pt idx="1">
                  <c:v>703.7</c:v>
                </c:pt>
              </c:numCache>
            </c:numRef>
          </c:val>
        </c:ser>
        <c:ser>
          <c:idx val="1"/>
          <c:order val="1"/>
          <c:tx>
            <c:strRef>
              <c:f>[2020年决算公开饼状图参考.xlsx]Sheet1!$A$4</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[2020年决算公开饼状图参考.xlsx]Sheet1!$B$2:$C$2</c:f>
              <c:strCache>
                <c:ptCount val="2"/>
                <c:pt idx="0">
                  <c:v>收入（万元）</c:v>
                </c:pt>
                <c:pt idx="1">
                  <c:v>支出（万元）</c:v>
                </c:pt>
              </c:strCache>
            </c:strRef>
          </c:cat>
          <c:val>
            <c:numRef>
              <c:f>[2020年决算公开饼状图参考.xlsx]Sheet1!$B$4:$C$4</c:f>
              <c:numCache>
                <c:formatCode>General</c:formatCode>
                <c:ptCount val="2"/>
                <c:pt idx="0">
                  <c:v>724.03</c:v>
                </c:pt>
                <c:pt idx="1">
                  <c:v>724.03</c:v>
                </c:pt>
              </c:numCache>
            </c:numRef>
          </c:val>
        </c:ser>
        <c:dLbls>
          <c:showLegendKey val="0"/>
          <c:showVal val="1"/>
          <c:showCatName val="0"/>
          <c:showSerName val="0"/>
          <c:showPercent val="0"/>
          <c:showBubbleSize val="0"/>
        </c:dLbls>
        <c:gapWidth val="219"/>
        <c:overlap val="-27"/>
        <c:axId val="168015360"/>
        <c:axId val="168016896"/>
      </c:barChart>
      <c:catAx>
        <c:axId val="168015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6896"/>
        <c:crosses val="autoZero"/>
        <c:auto val="1"/>
        <c:lblAlgn val="ctr"/>
        <c:lblOffset val="100"/>
        <c:noMultiLvlLbl val="0"/>
      </c:catAx>
      <c:valAx>
        <c:axId val="16801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015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cfe6c4b-b6bf-4274-8de1-e45e10c587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[2020年决算公开饼状图参考.xlsx]Sheet1!$A$25</c:f>
              <c:strCache>
                <c:ptCount val="1"/>
                <c:pt idx="0">
                  <c:v>本年收入（万元）</c:v>
                </c:pt>
              </c:strCache>
            </c:strRef>
          </c:tx>
          <c:spPr>
            <a:ln w="3175">
              <a:solidFill>
                <a:schemeClr val="bg1"/>
              </a:solidFill>
            </a:ln>
          </c:spPr>
          <c:explosion val="0"/>
          <c:dPt>
            <c:idx val="0"/>
            <c:bubble3D val="0"/>
            <c:spPr>
              <a:solidFill>
                <a:schemeClr val="accent1"/>
              </a:solidFill>
              <a:ln w="3175">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[2020年决算公开饼状图参考.xlsx]Sheet1!$B$24</c:f>
              <c:strCache>
                <c:ptCount val="1"/>
                <c:pt idx="0">
                  <c:v>一般公共预算财政拨款收入</c:v>
                </c:pt>
              </c:strCache>
            </c:strRef>
          </c:cat>
          <c:val>
            <c:numRef>
              <c:f>[2020年决算公开饼状图参考.xlsx]Sheet1!$B$25</c:f>
              <c:numCache>
                <c:formatCode>General</c:formatCode>
                <c:ptCount val="1"/>
                <c:pt idx="0">
                  <c:v>700.37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2b0532f1-cbbc-49c6-a8dc-633cd6850d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[2020年决算公开饼状图参考.xlsx]Sheet1!$A$46</c:f>
              <c:strCache>
                <c:ptCount val="1"/>
                <c:pt idx="0">
                  <c:v>本年支出（万元）</c:v>
                </c:pt>
              </c:strCache>
            </c:strRef>
          </c:tx>
          <c:spPr>
            <a:ln w="3175">
              <a:solidFill>
                <a:schemeClr val="lt1"/>
              </a:solidFill>
            </a:ln>
          </c:spPr>
          <c:explosion val="0"/>
          <c:dPt>
            <c:idx val="0"/>
            <c:bubble3D val="0"/>
            <c:spPr>
              <a:solidFill>
                <a:schemeClr val="accent1"/>
              </a:solidFill>
              <a:ln w="3175">
                <a:solidFill>
                  <a:schemeClr val="lt1"/>
                </a:solidFill>
              </a:ln>
              <a:effectLst/>
            </c:spPr>
          </c:dPt>
          <c:dPt>
            <c:idx val="1"/>
            <c:bubble3D val="0"/>
            <c:spPr>
              <a:solidFill>
                <a:schemeClr val="accent2"/>
              </a:solidFill>
              <a:ln w="3175">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[2020年决算公开饼状图参考.xlsx]Sheet1!$B$45:$C$45</c:f>
              <c:strCache>
                <c:ptCount val="2"/>
                <c:pt idx="0">
                  <c:v>基本支出</c:v>
                </c:pt>
                <c:pt idx="1">
                  <c:v>项目支出</c:v>
                </c:pt>
              </c:strCache>
            </c:strRef>
          </c:cat>
          <c:val>
            <c:numRef>
              <c:f>[2020年决算公开饼状图参考.xlsx]Sheet1!$B$46:$C$46</c:f>
              <c:numCache>
                <c:formatCode>General</c:formatCode>
                <c:ptCount val="2"/>
                <c:pt idx="0">
                  <c:v>708.67</c:v>
                </c:pt>
                <c:pt idx="1">
                  <c:v>15.36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aad686e0-2c28-48e6-ad83-13123dd1f91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[2020年决算公开饼状图参考.xlsx]Sheet1!$A$68</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[2020年决算公开饼状图参考.xlsx]Sheet1!$B$68:$C$68</c:f>
              <c:numCache>
                <c:formatCode>General</c:formatCode>
                <c:ptCount val="2"/>
                <c:pt idx="0">
                  <c:v>703.7</c:v>
                </c:pt>
                <c:pt idx="1">
                  <c:v>703.7</c:v>
                </c:pt>
              </c:numCache>
            </c:numRef>
          </c:val>
        </c:ser>
        <c:ser>
          <c:idx val="1"/>
          <c:order val="1"/>
          <c:tx>
            <c:strRef>
              <c:f>[2020年决算公开饼状图参考.xlsx]Sheet1!$A$69</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[2020年决算公开饼状图参考.xlsx]Sheet1!$B$67:$C$67</c:f>
              <c:strCache>
                <c:ptCount val="2"/>
                <c:pt idx="0">
                  <c:v>收入总计（万元）</c:v>
                </c:pt>
                <c:pt idx="1">
                  <c:v>支出总计（万元）</c:v>
                </c:pt>
              </c:strCache>
            </c:strRef>
          </c:cat>
          <c:val>
            <c:numRef>
              <c:f>[2020年决算公开饼状图参考.xlsx]Sheet1!$B$69:$C$69</c:f>
              <c:numCache>
                <c:formatCode>General</c:formatCode>
                <c:ptCount val="2"/>
                <c:pt idx="0">
                  <c:v>724.03</c:v>
                </c:pt>
                <c:pt idx="1">
                  <c:v>724.03</c:v>
                </c:pt>
              </c:numCache>
            </c:numRef>
          </c:val>
        </c:ser>
        <c:dLbls>
          <c:showLegendKey val="0"/>
          <c:showVal val="1"/>
          <c:showCatName val="0"/>
          <c:showSerName val="0"/>
          <c:showPercent val="0"/>
          <c:showBubbleSize val="0"/>
        </c:dLbls>
        <c:gapWidth val="219"/>
        <c:overlap val="-27"/>
        <c:axId val="174825472"/>
        <c:axId val="174827008"/>
      </c:barChart>
      <c:catAx>
        <c:axId val="1748254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7008"/>
        <c:crosses val="autoZero"/>
        <c:auto val="1"/>
        <c:lblAlgn val="ctr"/>
        <c:lblOffset val="100"/>
        <c:noMultiLvlLbl val="0"/>
      </c:catAx>
      <c:valAx>
        <c:axId val="17482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25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d9b9cc8-86c8-4e63-b46b-004e31050a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单位：万元</a:t>
            </a:r>
            <a:endParaRPr altLang="en-US"/>
          </a:p>
        </c:rich>
      </c:tx>
      <c:layout>
        <c:manualLayout>
          <c:xMode val="edge"/>
          <c:yMode val="edge"/>
          <c:x val="0.115876546642569"/>
          <c:y val="0.0285714285714286"/>
        </c:manualLayout>
      </c:layout>
      <c:overlay val="0"/>
      <c:spPr>
        <a:noFill/>
        <a:ln>
          <a:noFill/>
        </a:ln>
        <a:effectLst/>
      </c:spPr>
    </c:title>
    <c:autoTitleDeleted val="0"/>
    <c:plotArea>
      <c:layout/>
      <c:barChart>
        <c:barDir val="col"/>
        <c:grouping val="clustered"/>
        <c:varyColors val="0"/>
        <c:ser>
          <c:idx val="0"/>
          <c:order val="0"/>
          <c:tx>
            <c:strRef>
              <c:f>[2020年决算公开饼状图参考.xlsx]Sheet1!$A$90</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[2020年决算公开饼状图参考.xlsx]Sheet1!$B$89:$C$89</c:f>
              <c:strCache>
                <c:ptCount val="2"/>
                <c:pt idx="0">
                  <c:v>2022年</c:v>
                </c:pt>
                <c:pt idx="1">
                  <c:v>2023年</c:v>
                </c:pt>
              </c:strCache>
            </c:strRef>
          </c:cat>
          <c:val>
            <c:numRef>
              <c:f>[2020年决算公开饼状图参考.xlsx]Sheet1!$B$90:$C$90</c:f>
              <c:numCache>
                <c:formatCode>General</c:formatCode>
                <c:ptCount val="2"/>
                <c:pt idx="0">
                  <c:v>703.7</c:v>
                </c:pt>
                <c:pt idx="1">
                  <c:v>724.03</c:v>
                </c:pt>
              </c:numCache>
            </c:numRef>
          </c:val>
        </c:ser>
        <c:dLbls>
          <c:showLegendKey val="0"/>
          <c:showVal val="1"/>
          <c:showCatName val="0"/>
          <c:showSerName val="0"/>
          <c:showPercent val="0"/>
          <c:showBubbleSize val="0"/>
        </c:dLbls>
        <c:gapWidth val="219"/>
        <c:overlap val="-27"/>
        <c:axId val="174851584"/>
        <c:axId val="174853120"/>
      </c:barChart>
      <c:catAx>
        <c:axId val="174851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3120"/>
        <c:crosses val="autoZero"/>
        <c:auto val="1"/>
        <c:lblAlgn val="ctr"/>
        <c:lblOffset val="100"/>
        <c:noMultiLvlLbl val="0"/>
      </c:catAx>
      <c:valAx>
        <c:axId val="17485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4851584"/>
        <c:crosses val="autoZero"/>
        <c:crossBetween val="between"/>
      </c:valAx>
      <c:spPr>
        <a:noFill/>
        <a:ln>
          <a:noFill/>
        </a:ln>
        <a:effectLst/>
      </c:spPr>
    </c:plotArea>
    <c:plotVisOnly val="1"/>
    <c:dispBlanksAs val="gap"/>
    <c:showDLblsOverMax val="0"/>
    <c:extLst>
      <c:ext uri="{0b15fc19-7d7d-44ad-8c2d-2c3a37ce22c3}">
        <chartProps xmlns="https://web.wps.cn/et/2018/main" chartId="{09022514-0d90-4e43-b7f3-908f87cef69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447240372584"/>
          <c:y val="0.0285714285714286"/>
        </c:manualLayout>
      </c:layout>
      <c:overlay val="0"/>
      <c:spPr>
        <a:noFill/>
        <a:ln>
          <a:noFill/>
        </a:ln>
        <a:effectLst/>
      </c:spPr>
      <c:txPr>
        <a:bodyPr rot="0" spcFirstLastPara="0" vertOverflow="ellipsis" vert="horz" wrap="square" anchor="ctr" anchorCtr="1"/>
        <a:lstStyle/>
        <a:p>
          <a:pPr>
            <a:defRPr lang="zh-CN" sz="1600" b="1" i="0" u="none" strike="noStrike" kern="1200" spc="0" normalizeH="0" baseline="0">
              <a:solidFill>
                <a:schemeClr val="dk1">
                  <a:lumMod val="50000"/>
                  <a:lumOff val="50000"/>
                </a:schemeClr>
              </a:solidFill>
              <a:latin typeface="+mj-lt"/>
              <a:ea typeface="+mj-ea"/>
              <a:cs typeface="+mj-cs"/>
            </a:defRPr>
          </a:pPr>
        </a:p>
      </c:txPr>
    </c:title>
    <c:autoTitleDeleted val="0"/>
    <c:plotArea>
      <c:layout/>
      <c:pieChart>
        <c:varyColors val="1"/>
        <c:ser>
          <c:idx val="0"/>
          <c:order val="0"/>
          <c:tx>
            <c:strRef>
              <c:f>[2020年决算公开饼状图参考.xlsx]Sheet1!$A$110</c:f>
              <c:strCache>
                <c:ptCount val="1"/>
                <c:pt idx="0">
                  <c:v>一般公共预算财政拨款支出（万元）</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[2020年决算公开饼状图参考.xlsx]Sheet1!$B$109:$E$109</c:f>
              <c:strCache>
                <c:ptCount val="4"/>
                <c:pt idx="0">
                  <c:v>教育支出</c:v>
                </c:pt>
                <c:pt idx="1">
                  <c:v>社会保障和就业支出</c:v>
                </c:pt>
                <c:pt idx="2">
                  <c:v>卫生健康支出</c:v>
                </c:pt>
                <c:pt idx="3">
                  <c:v>住房保障支出</c:v>
                </c:pt>
              </c:strCache>
            </c:strRef>
          </c:cat>
          <c:val>
            <c:numRef>
              <c:f>[2020年决算公开饼状图参考.xlsx]Sheet1!$B$110:$E$110</c:f>
              <c:numCache>
                <c:formatCode>General</c:formatCode>
                <c:ptCount val="4"/>
                <c:pt idx="0">
                  <c:v>509.74</c:v>
                </c:pt>
                <c:pt idx="1">
                  <c:v>153.02</c:v>
                </c:pt>
                <c:pt idx="2">
                  <c:v>22.79</c:v>
                </c:pt>
                <c:pt idx="3">
                  <c:v>38.48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9dab390-9cc9-4901-9b3d-dcc80baa2e31}"/>
      </c:ext>
    </c:extLst>
  </c:chart>
  <c:spPr>
    <a:pattFill prst="pct80">
      <a:fgClr>
        <a:schemeClr val="lt1"/>
      </a:fgClr>
      <a:bgClr>
        <a:schemeClr val="bg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[2020年决算公开饼状图参考.xlsx]Sheet1!$A$131</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[2020年决算公开饼状图参考.xlsx]Sheet1!$B$130:$D$130</c:f>
              <c:strCache>
                <c:ptCount val="3"/>
                <c:pt idx="0">
                  <c:v>公务接待费</c:v>
                </c:pt>
                <c:pt idx="1">
                  <c:v>公务用车购置及运行维护费</c:v>
                </c:pt>
                <c:pt idx="2">
                  <c:v>因公出国（境）费</c:v>
                </c:pt>
              </c:strCache>
            </c:strRef>
          </c:cat>
          <c:val>
            <c:numRef>
              <c:f>[2020年决算公开饼状图参考.xlsx]Sheet1!$B$131:$D$131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f4adf84-b186-4c5f-b83b-241481eea4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482</Words>
  <Characters>513</Characters>
  <Lines>54</Lines>
  <Paragraphs>15</Paragraphs>
  <TotalTime>1</TotalTime>
  <ScaleCrop>false</ScaleCrop>
  <LinksUpToDate>false</LinksUpToDate>
  <CharactersWithSpaces>555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Nancy</cp:lastModifiedBy>
  <cp:lastPrinted>2023-08-03T02:35:00Z</cp:lastPrinted>
  <dcterms:modified xsi:type="dcterms:W3CDTF">2024-10-25T08:58:40Z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B75FCFF9082944309E16D4DFEC98DBFA_13</vt:lpwstr>
  </property>
</Properties>
</file>