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9DC9">
      <w:pPr>
        <w:spacing w:line="600" w:lineRule="exact"/>
        <w:jc w:val="left"/>
        <w:outlineLvl w:val="0"/>
        <w:rPr>
          <w:rFonts w:ascii="方正小标宋简体" w:hAnsi="宋体" w:eastAsia="方正小标宋简体"/>
          <w:szCs w:val="21"/>
        </w:rPr>
      </w:pPr>
      <w:bookmarkStart w:id="0" w:name="_Toc15306267"/>
    </w:p>
    <w:p w14:paraId="50052277">
      <w:pPr>
        <w:pStyle w:val="2"/>
        <w:spacing w:before="93"/>
      </w:pPr>
    </w:p>
    <w:p w14:paraId="31729D9E">
      <w:pPr>
        <w:spacing w:line="600" w:lineRule="exact"/>
        <w:jc w:val="center"/>
        <w:outlineLvl w:val="0"/>
        <w:rPr>
          <w:rFonts w:ascii="方正小标宋简体" w:hAnsi="宋体" w:eastAsia="方正小标宋简体"/>
          <w:sz w:val="72"/>
          <w:szCs w:val="72"/>
        </w:rPr>
      </w:pPr>
    </w:p>
    <w:p w14:paraId="46F25DCA">
      <w:pPr>
        <w:spacing w:line="600" w:lineRule="exact"/>
        <w:jc w:val="center"/>
        <w:outlineLvl w:val="0"/>
        <w:rPr>
          <w:rFonts w:ascii="方正小标宋简体" w:hAnsi="宋体" w:eastAsia="方正小标宋简体"/>
          <w:sz w:val="72"/>
          <w:szCs w:val="72"/>
        </w:rPr>
      </w:pPr>
    </w:p>
    <w:p w14:paraId="5121876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0CC1B5F">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eastAsia="zh-CN"/>
        </w:rPr>
      </w:pPr>
      <w:bookmarkStart w:id="6" w:name="_Toc15377426"/>
      <w:bookmarkStart w:id="7" w:name="_Toc15378442"/>
      <w:bookmarkStart w:id="8" w:name="_Toc15306268"/>
      <w:bookmarkStart w:id="9" w:name="_Toc15377194"/>
      <w:bookmarkStart w:id="10" w:name="_Toc15396598"/>
      <w:bookmarkStart w:id="11" w:name="_Toc15396476"/>
      <w:r>
        <w:rPr>
          <w:rFonts w:hint="eastAsia" w:ascii="方正小标宋简体" w:hAnsi="方正小标宋简体" w:eastAsia="方正小标宋简体" w:cs="方正小标宋简体"/>
          <w:sz w:val="72"/>
          <w:szCs w:val="72"/>
          <w:highlight w:val="none"/>
          <w:lang w:eastAsia="zh-CN"/>
        </w:rPr>
        <w:t>大竹县牲畜良种推广站</w:t>
      </w:r>
    </w:p>
    <w:p w14:paraId="379D8728">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单位决算</w:t>
      </w:r>
      <w:bookmarkEnd w:id="6"/>
      <w:bookmarkEnd w:id="7"/>
      <w:bookmarkEnd w:id="8"/>
      <w:bookmarkEnd w:id="9"/>
      <w:bookmarkEnd w:id="10"/>
      <w:bookmarkEnd w:id="11"/>
    </w:p>
    <w:p w14:paraId="6D1C295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0462325">
      <w:pPr>
        <w:widowControl/>
        <w:jc w:val="center"/>
        <w:rPr>
          <w:rFonts w:ascii="黑体" w:hAnsi="黑体" w:eastAsia="黑体" w:cstheme="minorBidi"/>
          <w:sz w:val="28"/>
          <w:szCs w:val="28"/>
        </w:rPr>
      </w:pPr>
    </w:p>
    <w:p w14:paraId="5B198F21">
      <w:pPr>
        <w:pStyle w:val="11"/>
        <w:rPr>
          <w:rFonts w:hint="default" w:eastAsia="仿宋"/>
          <w:highlight w:val="none"/>
          <w:lang w:val="en-US" w:eastAsia="zh-CN"/>
        </w:rPr>
      </w:pPr>
      <w:r>
        <w:rPr>
          <w:rFonts w:hint="eastAsia"/>
          <w:highlight w:val="none"/>
        </w:rPr>
        <w:t>公开时间：2023年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410FB382"/>
    <w:p w14:paraId="75AE8E55">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color w:val="auto"/>
          <w:sz w:val="24"/>
          <w:highlight w:val="none"/>
        </w:rPr>
        <w:tab/>
      </w:r>
      <w:r>
        <w:rPr>
          <w:rFonts w:hint="eastAsia"/>
          <w:color w:val="auto"/>
          <w:sz w:val="24"/>
          <w:highlight w:val="none"/>
          <w:lang w:val="en-US" w:eastAsia="zh-CN"/>
        </w:rPr>
        <w:t>4</w:t>
      </w:r>
    </w:p>
    <w:p w14:paraId="49FC6519">
      <w:pPr>
        <w:pStyle w:val="12"/>
        <w:adjustRightInd w:val="0"/>
        <w:snapToGrid w:val="0"/>
        <w:spacing w:line="440" w:lineRule="exact"/>
        <w:jc w:val="left"/>
        <w:rPr>
          <w:sz w:val="24"/>
        </w:rPr>
      </w:pPr>
      <w:r>
        <w:rPr>
          <w:rFonts w:hint="eastAsia"/>
          <w:sz w:val="24"/>
        </w:rPr>
        <w:t>一、主要职责</w:t>
      </w:r>
      <w:r>
        <w:rPr>
          <w:rFonts w:hint="eastAsia"/>
          <w:color w:val="auto"/>
          <w:sz w:val="24"/>
          <w:highlight w:val="none"/>
        </w:rPr>
        <w:tab/>
      </w:r>
      <w:r>
        <w:rPr>
          <w:rFonts w:hint="eastAsia"/>
          <w:color w:val="auto"/>
          <w:sz w:val="24"/>
          <w:highlight w:val="none"/>
          <w:lang w:val="en-US" w:eastAsia="zh-CN"/>
        </w:rPr>
        <w:t>4</w:t>
      </w:r>
    </w:p>
    <w:p w14:paraId="4F63E7E0">
      <w:pPr>
        <w:pStyle w:val="12"/>
        <w:adjustRightInd w:val="0"/>
        <w:snapToGrid w:val="0"/>
        <w:spacing w:line="440" w:lineRule="exact"/>
        <w:jc w:val="left"/>
      </w:pPr>
      <w:r>
        <w:rPr>
          <w:rFonts w:hint="eastAsia"/>
          <w:sz w:val="24"/>
        </w:rPr>
        <w:t>二、机构设置</w:t>
      </w:r>
      <w:r>
        <w:rPr>
          <w:rFonts w:hint="eastAsia"/>
          <w:color w:val="auto"/>
          <w:sz w:val="24"/>
          <w:highlight w:val="none"/>
        </w:rPr>
        <w:tab/>
      </w:r>
      <w:r>
        <w:rPr>
          <w:rFonts w:hint="eastAsia"/>
          <w:color w:val="auto"/>
          <w:sz w:val="24"/>
          <w:highlight w:val="none"/>
          <w:lang w:val="en-US" w:eastAsia="zh-CN"/>
        </w:rPr>
        <w:t>4</w:t>
      </w:r>
    </w:p>
    <w:p w14:paraId="60761DB8">
      <w:pPr>
        <w:pStyle w:val="11"/>
        <w:adjustRightInd w:val="0"/>
        <w:snapToGrid w:val="0"/>
        <w:spacing w:before="0" w:line="440" w:lineRule="exact"/>
        <w:jc w:val="left"/>
        <w:rPr>
          <w:sz w:val="24"/>
          <w:szCs w:val="24"/>
        </w:rPr>
      </w:pPr>
      <w:r>
        <w:rPr>
          <w:rFonts w:hint="eastAsia"/>
          <w:sz w:val="24"/>
        </w:rPr>
        <w:t>第二部分 2023年度单位决算情况说明</w:t>
      </w:r>
      <w:r>
        <w:rPr>
          <w:rFonts w:hint="eastAsia"/>
          <w:color w:val="auto"/>
          <w:sz w:val="24"/>
          <w:highlight w:val="none"/>
        </w:rPr>
        <w:tab/>
      </w:r>
      <w:r>
        <w:rPr>
          <w:rFonts w:hint="eastAsia"/>
          <w:color w:val="auto"/>
          <w:sz w:val="24"/>
          <w:highlight w:val="none"/>
          <w:lang w:val="en-US" w:eastAsia="zh-CN"/>
        </w:rPr>
        <w:t>5</w:t>
      </w:r>
    </w:p>
    <w:p w14:paraId="1EA42696">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color w:val="auto"/>
          <w:sz w:val="24"/>
          <w:highlight w:val="none"/>
        </w:rPr>
        <w:tab/>
      </w:r>
      <w:r>
        <w:rPr>
          <w:rFonts w:hint="eastAsia"/>
          <w:color w:val="auto"/>
          <w:sz w:val="24"/>
          <w:highlight w:val="none"/>
          <w:lang w:val="en-US" w:eastAsia="zh-CN"/>
        </w:rPr>
        <w:t>5</w:t>
      </w:r>
    </w:p>
    <w:p w14:paraId="3AF25108">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color w:val="auto"/>
          <w:sz w:val="24"/>
          <w:highlight w:val="none"/>
        </w:rPr>
        <w:tab/>
      </w:r>
      <w:r>
        <w:rPr>
          <w:rFonts w:hint="eastAsia"/>
          <w:color w:val="auto"/>
          <w:sz w:val="24"/>
          <w:highlight w:val="none"/>
          <w:lang w:val="en-US" w:eastAsia="zh-CN"/>
        </w:rPr>
        <w:t>5</w:t>
      </w:r>
    </w:p>
    <w:p w14:paraId="1D017CD5">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color w:val="auto"/>
          <w:sz w:val="24"/>
          <w:highlight w:val="none"/>
        </w:rPr>
        <w:tab/>
      </w:r>
      <w:r>
        <w:rPr>
          <w:rFonts w:hint="eastAsia"/>
          <w:color w:val="auto"/>
          <w:sz w:val="24"/>
          <w:highlight w:val="none"/>
          <w:lang w:val="en-US" w:eastAsia="zh-CN"/>
        </w:rPr>
        <w:t>6</w:t>
      </w:r>
    </w:p>
    <w:p w14:paraId="1A9C6EFC">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color w:val="auto"/>
          <w:sz w:val="24"/>
          <w:highlight w:val="none"/>
        </w:rPr>
        <w:tab/>
      </w:r>
      <w:r>
        <w:rPr>
          <w:rFonts w:hint="eastAsia"/>
          <w:color w:val="auto"/>
          <w:sz w:val="24"/>
          <w:highlight w:val="none"/>
          <w:lang w:val="en-US" w:eastAsia="zh-CN"/>
        </w:rPr>
        <w:t>7</w:t>
      </w:r>
    </w:p>
    <w:p w14:paraId="1210C491">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color w:val="auto"/>
          <w:sz w:val="24"/>
          <w:highlight w:val="none"/>
        </w:rPr>
        <w:tab/>
      </w:r>
      <w:r>
        <w:rPr>
          <w:rFonts w:hint="eastAsia"/>
          <w:color w:val="auto"/>
          <w:sz w:val="24"/>
          <w:highlight w:val="none"/>
          <w:lang w:val="en-US" w:eastAsia="zh-CN"/>
        </w:rPr>
        <w:t>8</w:t>
      </w:r>
    </w:p>
    <w:p w14:paraId="415FF98A">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color w:val="auto"/>
          <w:sz w:val="24"/>
          <w:highlight w:val="none"/>
        </w:rPr>
        <w:tab/>
      </w:r>
      <w:r>
        <w:rPr>
          <w:rFonts w:hint="eastAsia"/>
          <w:color w:val="auto"/>
          <w:sz w:val="24"/>
          <w:highlight w:val="none"/>
          <w:lang w:val="en-US" w:eastAsia="zh-CN"/>
        </w:rPr>
        <w:t>10</w:t>
      </w:r>
    </w:p>
    <w:p w14:paraId="304B5580">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color w:val="auto"/>
          <w:sz w:val="24"/>
          <w:highlight w:val="none"/>
        </w:rPr>
        <w:tab/>
      </w:r>
      <w:r>
        <w:rPr>
          <w:rFonts w:hint="eastAsia"/>
          <w:color w:val="auto"/>
          <w:sz w:val="24"/>
          <w:highlight w:val="none"/>
          <w:lang w:val="en-US" w:eastAsia="zh-CN"/>
        </w:rPr>
        <w:t>11</w:t>
      </w:r>
    </w:p>
    <w:p w14:paraId="01E9249E">
      <w:pPr>
        <w:pStyle w:val="12"/>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color w:val="auto"/>
          <w:sz w:val="24"/>
          <w:highlight w:val="none"/>
        </w:rPr>
        <w:tab/>
      </w:r>
      <w:r>
        <w:rPr>
          <w:rFonts w:hint="eastAsia"/>
          <w:color w:val="auto"/>
          <w:sz w:val="24"/>
          <w:highlight w:val="none"/>
          <w:lang w:val="en-US" w:eastAsia="zh-CN"/>
        </w:rPr>
        <w:t>13</w:t>
      </w:r>
    </w:p>
    <w:p w14:paraId="6851AE9A">
      <w:pPr>
        <w:pStyle w:val="12"/>
        <w:adjustRightInd w:val="0"/>
        <w:snapToGrid w:val="0"/>
        <w:spacing w:line="440" w:lineRule="exact"/>
        <w:jc w:val="left"/>
        <w:rPr>
          <w:rFonts w:hint="default"/>
          <w:lang w:val="en-US"/>
        </w:rPr>
      </w:pPr>
      <w:r>
        <w:rPr>
          <w:rFonts w:hint="eastAsia"/>
          <w:sz w:val="24"/>
        </w:rPr>
        <w:t>九、国有资本经营预算支出决算情况说明</w:t>
      </w:r>
      <w:r>
        <w:rPr>
          <w:rFonts w:hint="eastAsia"/>
          <w:color w:val="auto"/>
          <w:sz w:val="24"/>
          <w:highlight w:val="none"/>
        </w:rPr>
        <w:tab/>
      </w:r>
      <w:r>
        <w:rPr>
          <w:rFonts w:hint="eastAsia"/>
          <w:color w:val="auto"/>
          <w:sz w:val="24"/>
          <w:highlight w:val="none"/>
          <w:lang w:val="en-US" w:eastAsia="zh-CN"/>
        </w:rPr>
        <w:t>13</w:t>
      </w:r>
    </w:p>
    <w:p w14:paraId="6133974D">
      <w:pPr>
        <w:pStyle w:val="12"/>
        <w:adjustRightInd w:val="0"/>
        <w:snapToGrid w:val="0"/>
        <w:spacing w:line="440" w:lineRule="exact"/>
        <w:jc w:val="left"/>
        <w:rPr>
          <w:rFonts w:hint="default"/>
          <w:sz w:val="24"/>
          <w:lang w:val="en-US"/>
        </w:rPr>
      </w:pPr>
      <w:r>
        <w:rPr>
          <w:rFonts w:hint="eastAsia"/>
          <w:sz w:val="24"/>
        </w:rPr>
        <w:t>十、其他重要事项的情况说明</w:t>
      </w:r>
      <w:r>
        <w:rPr>
          <w:rFonts w:hint="eastAsia"/>
          <w:color w:val="auto"/>
          <w:sz w:val="24"/>
          <w:highlight w:val="none"/>
        </w:rPr>
        <w:tab/>
      </w:r>
      <w:r>
        <w:rPr>
          <w:rFonts w:hint="eastAsia"/>
          <w:color w:val="auto"/>
          <w:sz w:val="24"/>
          <w:highlight w:val="none"/>
          <w:lang w:val="en-US" w:eastAsia="zh-CN"/>
        </w:rPr>
        <w:t>13</w:t>
      </w:r>
    </w:p>
    <w:p w14:paraId="49DE997E">
      <w:pPr>
        <w:pStyle w:val="11"/>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color w:val="auto"/>
          <w:sz w:val="24"/>
          <w:highlight w:val="none"/>
        </w:rPr>
        <w:tab/>
      </w:r>
      <w:r>
        <w:rPr>
          <w:rFonts w:hint="eastAsia"/>
          <w:color w:val="auto"/>
          <w:sz w:val="24"/>
          <w:highlight w:val="none"/>
          <w:lang w:val="en-US" w:eastAsia="zh-CN"/>
        </w:rPr>
        <w:t>16</w:t>
      </w:r>
    </w:p>
    <w:p w14:paraId="7DD51868">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color w:val="auto"/>
          <w:sz w:val="24"/>
          <w:highlight w:val="none"/>
        </w:rPr>
        <w:tab/>
      </w:r>
      <w:r>
        <w:rPr>
          <w:rFonts w:hint="eastAsia"/>
          <w:color w:val="auto"/>
          <w:sz w:val="24"/>
          <w:highlight w:val="none"/>
          <w:lang w:val="en-US" w:eastAsia="zh-CN"/>
        </w:rPr>
        <w:t>18</w:t>
      </w:r>
    </w:p>
    <w:p w14:paraId="6E2296DC">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color w:val="auto"/>
          <w:sz w:val="24"/>
          <w:highlight w:val="none"/>
        </w:rPr>
        <w:tab/>
      </w:r>
      <w:r>
        <w:rPr>
          <w:rFonts w:hint="eastAsia"/>
          <w:color w:val="auto"/>
          <w:sz w:val="24"/>
          <w:highlight w:val="none"/>
          <w:lang w:val="en-US" w:eastAsia="zh-CN"/>
        </w:rPr>
        <w:t>22</w:t>
      </w:r>
    </w:p>
    <w:p w14:paraId="25D12C85">
      <w:pPr>
        <w:pStyle w:val="12"/>
        <w:adjustRightInd w:val="0"/>
        <w:snapToGrid w:val="0"/>
        <w:spacing w:line="440" w:lineRule="exact"/>
        <w:jc w:val="left"/>
        <w:rPr>
          <w:rFonts w:hint="default"/>
          <w:sz w:val="24"/>
          <w:lang w:val="en-US"/>
        </w:rPr>
      </w:pPr>
      <w:r>
        <w:rPr>
          <w:rFonts w:hint="eastAsia"/>
          <w:sz w:val="24"/>
        </w:rPr>
        <w:t>一、收入支出决算总表</w:t>
      </w:r>
      <w:r>
        <w:rPr>
          <w:rFonts w:hint="eastAsia"/>
          <w:color w:val="auto"/>
          <w:sz w:val="24"/>
          <w:highlight w:val="none"/>
        </w:rPr>
        <w:tab/>
      </w:r>
      <w:r>
        <w:rPr>
          <w:rFonts w:hint="eastAsia"/>
          <w:color w:val="auto"/>
          <w:sz w:val="24"/>
          <w:highlight w:val="none"/>
          <w:lang w:val="en-US" w:eastAsia="zh-CN"/>
        </w:rPr>
        <w:t>22</w:t>
      </w:r>
    </w:p>
    <w:p w14:paraId="5B9FB3C3">
      <w:pPr>
        <w:pStyle w:val="12"/>
        <w:adjustRightInd w:val="0"/>
        <w:snapToGrid w:val="0"/>
        <w:spacing w:line="440" w:lineRule="exact"/>
        <w:jc w:val="left"/>
        <w:rPr>
          <w:rFonts w:hint="default"/>
          <w:sz w:val="24"/>
          <w:lang w:val="en-US"/>
        </w:rPr>
      </w:pPr>
      <w:r>
        <w:rPr>
          <w:rFonts w:hint="eastAsia"/>
          <w:sz w:val="24"/>
        </w:rPr>
        <w:t>二、收入决算表</w:t>
      </w:r>
      <w:r>
        <w:rPr>
          <w:rFonts w:hint="eastAsia"/>
          <w:color w:val="auto"/>
          <w:sz w:val="24"/>
          <w:highlight w:val="none"/>
        </w:rPr>
        <w:tab/>
      </w:r>
      <w:r>
        <w:rPr>
          <w:rFonts w:hint="eastAsia"/>
          <w:color w:val="auto"/>
          <w:sz w:val="24"/>
          <w:highlight w:val="none"/>
          <w:lang w:val="en-US" w:eastAsia="zh-CN"/>
        </w:rPr>
        <w:t>22</w:t>
      </w:r>
    </w:p>
    <w:p w14:paraId="6E9DE792">
      <w:pPr>
        <w:pStyle w:val="12"/>
        <w:adjustRightInd w:val="0"/>
        <w:snapToGrid w:val="0"/>
        <w:spacing w:line="440" w:lineRule="exact"/>
        <w:jc w:val="left"/>
        <w:rPr>
          <w:rFonts w:hint="default"/>
          <w:sz w:val="24"/>
          <w:lang w:val="en-US"/>
        </w:rPr>
      </w:pPr>
      <w:r>
        <w:rPr>
          <w:rFonts w:hint="eastAsia"/>
          <w:sz w:val="24"/>
        </w:rPr>
        <w:t>三、支出决算表</w:t>
      </w:r>
      <w:r>
        <w:rPr>
          <w:rFonts w:hint="eastAsia"/>
          <w:color w:val="auto"/>
          <w:sz w:val="24"/>
          <w:highlight w:val="none"/>
        </w:rPr>
        <w:tab/>
      </w:r>
      <w:r>
        <w:rPr>
          <w:rFonts w:hint="eastAsia"/>
          <w:color w:val="auto"/>
          <w:sz w:val="24"/>
          <w:highlight w:val="none"/>
          <w:lang w:val="en-US" w:eastAsia="zh-CN"/>
        </w:rPr>
        <w:t>22</w:t>
      </w:r>
    </w:p>
    <w:p w14:paraId="38675722">
      <w:pPr>
        <w:pStyle w:val="12"/>
        <w:adjustRightInd w:val="0"/>
        <w:snapToGrid w:val="0"/>
        <w:spacing w:line="440" w:lineRule="exact"/>
        <w:jc w:val="left"/>
        <w:rPr>
          <w:rFonts w:hint="default"/>
          <w:sz w:val="24"/>
          <w:lang w:val="en-US"/>
        </w:rPr>
      </w:pPr>
      <w:r>
        <w:rPr>
          <w:rFonts w:hint="eastAsia"/>
          <w:sz w:val="24"/>
        </w:rPr>
        <w:t>四、财政拨款收入支出决算总表</w:t>
      </w:r>
      <w:r>
        <w:rPr>
          <w:rFonts w:hint="eastAsia"/>
          <w:color w:val="auto"/>
          <w:sz w:val="24"/>
          <w:highlight w:val="none"/>
        </w:rPr>
        <w:tab/>
      </w:r>
      <w:r>
        <w:rPr>
          <w:rFonts w:hint="eastAsia"/>
          <w:color w:val="auto"/>
          <w:sz w:val="24"/>
          <w:highlight w:val="none"/>
          <w:lang w:val="en-US" w:eastAsia="zh-CN"/>
        </w:rPr>
        <w:t>22</w:t>
      </w:r>
    </w:p>
    <w:p w14:paraId="37CEA25F">
      <w:pPr>
        <w:pStyle w:val="12"/>
        <w:adjustRightInd w:val="0"/>
        <w:snapToGrid w:val="0"/>
        <w:spacing w:line="440" w:lineRule="exact"/>
        <w:jc w:val="left"/>
        <w:rPr>
          <w:rFonts w:hint="default"/>
          <w:sz w:val="24"/>
          <w:lang w:val="en-US"/>
        </w:rPr>
      </w:pPr>
      <w:r>
        <w:rPr>
          <w:rFonts w:hint="eastAsia"/>
          <w:sz w:val="24"/>
        </w:rPr>
        <w:t>五、财政拨款支出决算明细表</w:t>
      </w:r>
      <w:r>
        <w:rPr>
          <w:rFonts w:hint="eastAsia"/>
          <w:color w:val="auto"/>
          <w:sz w:val="24"/>
          <w:highlight w:val="none"/>
        </w:rPr>
        <w:tab/>
      </w:r>
      <w:r>
        <w:rPr>
          <w:rFonts w:hint="eastAsia"/>
          <w:color w:val="auto"/>
          <w:sz w:val="24"/>
          <w:highlight w:val="none"/>
          <w:lang w:val="en-US" w:eastAsia="zh-CN"/>
        </w:rPr>
        <w:t>22</w:t>
      </w:r>
    </w:p>
    <w:p w14:paraId="79E01C11">
      <w:pPr>
        <w:pStyle w:val="12"/>
        <w:adjustRightInd w:val="0"/>
        <w:snapToGrid w:val="0"/>
        <w:spacing w:line="440" w:lineRule="exact"/>
        <w:jc w:val="left"/>
        <w:rPr>
          <w:rFonts w:hint="default"/>
          <w:sz w:val="24"/>
          <w:lang w:val="en-US"/>
        </w:rPr>
      </w:pPr>
      <w:r>
        <w:rPr>
          <w:rFonts w:hint="eastAsia"/>
          <w:sz w:val="24"/>
        </w:rPr>
        <w:t>六、一般公共预算财政拨款支出决算表</w:t>
      </w:r>
      <w:r>
        <w:rPr>
          <w:rFonts w:hint="eastAsia"/>
          <w:color w:val="auto"/>
          <w:sz w:val="24"/>
          <w:highlight w:val="none"/>
        </w:rPr>
        <w:tab/>
      </w:r>
      <w:r>
        <w:rPr>
          <w:rFonts w:hint="eastAsia"/>
          <w:color w:val="auto"/>
          <w:sz w:val="24"/>
          <w:highlight w:val="none"/>
          <w:lang w:val="en-US" w:eastAsia="zh-CN"/>
        </w:rPr>
        <w:t>22</w:t>
      </w:r>
    </w:p>
    <w:p w14:paraId="597F4189">
      <w:pPr>
        <w:pStyle w:val="12"/>
        <w:adjustRightInd w:val="0"/>
        <w:snapToGrid w:val="0"/>
        <w:spacing w:line="440" w:lineRule="exact"/>
        <w:jc w:val="left"/>
        <w:rPr>
          <w:rFonts w:hint="default"/>
          <w:sz w:val="24"/>
          <w:lang w:val="en-US"/>
        </w:rPr>
      </w:pPr>
      <w:r>
        <w:rPr>
          <w:rFonts w:hint="eastAsia"/>
          <w:sz w:val="24"/>
        </w:rPr>
        <w:t>七、一般公共预算财政拨款支出决算明细表</w:t>
      </w:r>
      <w:r>
        <w:rPr>
          <w:rFonts w:hint="eastAsia"/>
          <w:color w:val="auto"/>
          <w:sz w:val="24"/>
          <w:highlight w:val="none"/>
        </w:rPr>
        <w:tab/>
      </w:r>
      <w:r>
        <w:rPr>
          <w:rFonts w:hint="eastAsia"/>
          <w:color w:val="auto"/>
          <w:sz w:val="24"/>
          <w:highlight w:val="none"/>
          <w:lang w:val="en-US" w:eastAsia="zh-CN"/>
        </w:rPr>
        <w:t>22</w:t>
      </w:r>
    </w:p>
    <w:p w14:paraId="56116C63">
      <w:pPr>
        <w:pStyle w:val="12"/>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eastAsia"/>
          <w:color w:val="auto"/>
          <w:sz w:val="24"/>
          <w:highlight w:val="none"/>
        </w:rPr>
        <w:tab/>
      </w:r>
      <w:r>
        <w:rPr>
          <w:rFonts w:hint="eastAsia"/>
          <w:color w:val="auto"/>
          <w:sz w:val="24"/>
          <w:highlight w:val="none"/>
          <w:lang w:val="en-US" w:eastAsia="zh-CN"/>
        </w:rPr>
        <w:t>22</w:t>
      </w:r>
    </w:p>
    <w:p w14:paraId="2333D005">
      <w:pPr>
        <w:pStyle w:val="12"/>
        <w:adjustRightInd w:val="0"/>
        <w:snapToGrid w:val="0"/>
        <w:spacing w:line="440" w:lineRule="exact"/>
        <w:jc w:val="left"/>
        <w:rPr>
          <w:rFonts w:hint="default"/>
          <w:sz w:val="24"/>
          <w:lang w:val="en-US"/>
        </w:rPr>
      </w:pPr>
      <w:r>
        <w:rPr>
          <w:rFonts w:hint="eastAsia"/>
          <w:sz w:val="24"/>
        </w:rPr>
        <w:t>九、一般公共预算财政拨款项目支出决算表</w:t>
      </w:r>
      <w:r>
        <w:rPr>
          <w:rFonts w:hint="eastAsia"/>
          <w:color w:val="auto"/>
          <w:sz w:val="24"/>
          <w:highlight w:val="none"/>
        </w:rPr>
        <w:tab/>
      </w:r>
      <w:r>
        <w:rPr>
          <w:rFonts w:hint="eastAsia"/>
          <w:color w:val="auto"/>
          <w:sz w:val="24"/>
          <w:highlight w:val="none"/>
          <w:lang w:val="en-US" w:eastAsia="zh-CN"/>
        </w:rPr>
        <w:t>22</w:t>
      </w:r>
    </w:p>
    <w:p w14:paraId="2CBFC8A7">
      <w:pPr>
        <w:pStyle w:val="12"/>
        <w:adjustRightInd w:val="0"/>
        <w:snapToGrid w:val="0"/>
        <w:spacing w:line="440" w:lineRule="exact"/>
        <w:jc w:val="left"/>
        <w:rPr>
          <w:rFonts w:hint="default"/>
          <w:sz w:val="24"/>
          <w:lang w:val="en-US"/>
        </w:rPr>
      </w:pPr>
      <w:r>
        <w:rPr>
          <w:rFonts w:hint="eastAsia"/>
          <w:sz w:val="24"/>
        </w:rPr>
        <w:t>十、政府性基金预算财政拨款收入支出决算表</w:t>
      </w:r>
      <w:r>
        <w:rPr>
          <w:rFonts w:hint="eastAsia"/>
          <w:color w:val="auto"/>
          <w:sz w:val="24"/>
          <w:highlight w:val="none"/>
        </w:rPr>
        <w:tab/>
      </w:r>
      <w:r>
        <w:rPr>
          <w:rFonts w:hint="eastAsia"/>
          <w:color w:val="auto"/>
          <w:sz w:val="24"/>
          <w:highlight w:val="none"/>
          <w:lang w:val="en-US" w:eastAsia="zh-CN"/>
        </w:rPr>
        <w:t>22</w:t>
      </w:r>
    </w:p>
    <w:p w14:paraId="7CDDE136">
      <w:pPr>
        <w:pStyle w:val="12"/>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hint="eastAsia"/>
          <w:color w:val="auto"/>
          <w:sz w:val="24"/>
          <w:highlight w:val="none"/>
        </w:rPr>
        <w:tab/>
      </w:r>
      <w:r>
        <w:rPr>
          <w:rFonts w:hint="eastAsia"/>
          <w:color w:val="auto"/>
          <w:sz w:val="24"/>
          <w:highlight w:val="none"/>
          <w:lang w:val="en-US" w:eastAsia="zh-CN"/>
        </w:rPr>
        <w:t>22</w:t>
      </w:r>
    </w:p>
    <w:p w14:paraId="7D7AFD9E">
      <w:pPr>
        <w:pStyle w:val="12"/>
        <w:adjustRightInd w:val="0"/>
        <w:snapToGrid w:val="0"/>
        <w:spacing w:line="440" w:lineRule="exact"/>
        <w:jc w:val="left"/>
        <w:rPr>
          <w:rFonts w:hint="default"/>
          <w:sz w:val="24"/>
          <w:lang w:val="en-US"/>
        </w:rPr>
      </w:pPr>
      <w:r>
        <w:rPr>
          <w:rFonts w:hint="eastAsia"/>
          <w:sz w:val="24"/>
        </w:rPr>
        <w:t>十二、国有资本经营预算财政拨款支出决算表</w:t>
      </w:r>
      <w:r>
        <w:rPr>
          <w:rFonts w:hint="eastAsia"/>
          <w:color w:val="auto"/>
          <w:sz w:val="24"/>
          <w:highlight w:val="none"/>
        </w:rPr>
        <w:tab/>
      </w:r>
      <w:r>
        <w:rPr>
          <w:rFonts w:hint="eastAsia"/>
          <w:color w:val="auto"/>
          <w:sz w:val="24"/>
          <w:highlight w:val="none"/>
          <w:lang w:val="en-US" w:eastAsia="zh-CN"/>
        </w:rPr>
        <w:t>22</w:t>
      </w:r>
    </w:p>
    <w:p w14:paraId="4A527710">
      <w:pPr>
        <w:pStyle w:val="12"/>
        <w:adjustRightInd w:val="0"/>
        <w:snapToGrid w:val="0"/>
        <w:spacing w:line="440" w:lineRule="exact"/>
        <w:jc w:val="left"/>
        <w:rPr>
          <w:rFonts w:hint="default"/>
          <w:sz w:val="24"/>
          <w:lang w:val="en-US"/>
        </w:rPr>
      </w:pPr>
      <w:r>
        <w:rPr>
          <w:rFonts w:hint="eastAsia"/>
          <w:sz w:val="24"/>
        </w:rPr>
        <w:t>十三、财政拨款“三公”经费支出决算表</w:t>
      </w:r>
      <w:r>
        <w:rPr>
          <w:rFonts w:hint="eastAsia"/>
          <w:color w:val="auto"/>
          <w:sz w:val="24"/>
          <w:highlight w:val="none"/>
        </w:rPr>
        <w:tab/>
      </w:r>
      <w:r>
        <w:rPr>
          <w:rFonts w:hint="eastAsia"/>
          <w:color w:val="auto"/>
          <w:sz w:val="24"/>
          <w:highlight w:val="none"/>
          <w:lang w:val="en-US" w:eastAsia="zh-CN"/>
        </w:rPr>
        <w:t>22</w:t>
      </w:r>
    </w:p>
    <w:p w14:paraId="7654EED7">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53F5B88">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2DF8F35E">
      <w:pPr>
        <w:widowControl/>
        <w:jc w:val="left"/>
        <w:rPr>
          <w:rFonts w:ascii="黑体" w:eastAsia="黑体"/>
          <w:sz w:val="32"/>
          <w:szCs w:val="32"/>
        </w:rPr>
      </w:pPr>
    </w:p>
    <w:p w14:paraId="762C95A9">
      <w:pPr>
        <w:pStyle w:val="4"/>
        <w:numPr>
          <w:ilvl w:val="0"/>
          <w:numId w:val="1"/>
        </w:numPr>
        <w:rPr>
          <w:rStyle w:val="28"/>
          <w:rFonts w:ascii="黑体" w:hAnsi="黑体" w:eastAsia="黑体"/>
          <w:b w:val="0"/>
          <w:bCs w:val="0"/>
          <w:highlight w:val="none"/>
        </w:rPr>
      </w:pPr>
      <w:bookmarkStart w:id="14" w:name="_Toc15377197"/>
      <w:bookmarkStart w:id="15" w:name="_Toc15396600"/>
      <w:r>
        <w:rPr>
          <w:rStyle w:val="28"/>
          <w:rFonts w:hint="eastAsia" w:ascii="黑体" w:hAnsi="黑体" w:eastAsia="黑体"/>
          <w:b w:val="0"/>
          <w:bCs w:val="0"/>
          <w:highlight w:val="none"/>
        </w:rPr>
        <w:t>主要职责</w:t>
      </w:r>
    </w:p>
    <w:p w14:paraId="6FB531DC">
      <w:pPr>
        <w:ind w:firstLine="640" w:firstLineChars="200"/>
      </w:pPr>
      <w:r>
        <w:rPr>
          <w:rFonts w:hint="eastAsia" w:ascii="仿宋" w:hAnsi="仿宋" w:eastAsia="仿宋"/>
          <w:kern w:val="2"/>
          <w:sz w:val="32"/>
          <w:szCs w:val="32"/>
        </w:rPr>
        <w:t>大竹县牲畜良种推广站的基本职能：指导全县畜禽品种改良、引进良种和先进繁育技术、举办饲养技术培训班、生猪固定监测、推广实用技术等。主要开展生猪数据监测、畜禽标准化养殖示范场</w:t>
      </w:r>
      <w:r>
        <w:rPr>
          <w:rFonts w:hint="eastAsia" w:ascii="仿宋" w:hAnsi="仿宋" w:eastAsia="仿宋"/>
          <w:kern w:val="2"/>
          <w:sz w:val="32"/>
          <w:szCs w:val="32"/>
          <w:lang w:eastAsia="zh-CN"/>
        </w:rPr>
        <w:t>指导和</w:t>
      </w:r>
      <w:r>
        <w:rPr>
          <w:rFonts w:hint="eastAsia" w:ascii="仿宋" w:hAnsi="仿宋" w:eastAsia="仿宋"/>
          <w:kern w:val="2"/>
          <w:sz w:val="32"/>
          <w:szCs w:val="32"/>
        </w:rPr>
        <w:t>建设，开展本地黄牛与西门塔尔的杂交工作、全县蜂业</w:t>
      </w:r>
      <w:bookmarkStart w:id="67" w:name="_GoBack"/>
      <w:bookmarkEnd w:id="67"/>
      <w:r>
        <w:rPr>
          <w:rFonts w:hint="eastAsia" w:ascii="仿宋" w:hAnsi="仿宋" w:eastAsia="仿宋"/>
          <w:kern w:val="2"/>
          <w:sz w:val="32"/>
          <w:szCs w:val="32"/>
        </w:rPr>
        <w:t>技术指导、畜禽良种推广工作、对全县畜禽养殖户进行技术指导和技术培训工作。</w:t>
      </w:r>
    </w:p>
    <w:p w14:paraId="768CEF72">
      <w:pPr>
        <w:pStyle w:val="4"/>
        <w:rPr>
          <w:rFonts w:hint="eastAsia" w:ascii="黑体" w:hAnsi="黑体" w:eastAsia="黑体"/>
          <w:b w:val="0"/>
          <w:highlight w:val="none"/>
        </w:rPr>
      </w:pPr>
      <w:r>
        <w:rPr>
          <w:rFonts w:hint="eastAsia" w:ascii="黑体" w:hAnsi="黑体" w:eastAsia="黑体"/>
          <w:b w:val="0"/>
          <w:highlight w:val="none"/>
        </w:rPr>
        <w:t>二、机构设置</w:t>
      </w:r>
    </w:p>
    <w:p w14:paraId="2DAC9A24">
      <w:pPr>
        <w:ind w:firstLine="640" w:firstLineChars="200"/>
        <w:rPr>
          <w:rFonts w:hint="eastAsia"/>
          <w:lang w:val="en-US" w:eastAsia="zh-CN"/>
        </w:rPr>
      </w:pPr>
      <w:r>
        <w:rPr>
          <w:rFonts w:hint="eastAsia" w:ascii="华文楷体" w:hAnsi="华文楷体" w:eastAsia="仿宋" w:cs="华文楷体"/>
          <w:color w:val="000000"/>
          <w:sz w:val="32"/>
          <w:szCs w:val="32"/>
        </w:rPr>
        <w:t>大竹县</w:t>
      </w:r>
      <w:r>
        <w:rPr>
          <w:rFonts w:hint="eastAsia" w:ascii="仿宋" w:hAnsi="仿宋" w:eastAsia="仿宋"/>
          <w:kern w:val="2"/>
          <w:sz w:val="32"/>
          <w:szCs w:val="32"/>
        </w:rPr>
        <w:t>牲畜良种推广站</w:t>
      </w:r>
      <w:r>
        <w:rPr>
          <w:rFonts w:hint="eastAsia" w:ascii="华文楷体" w:hAnsi="华文楷体" w:eastAsia="仿宋" w:cs="华文楷体"/>
          <w:color w:val="000000"/>
          <w:sz w:val="32"/>
          <w:szCs w:val="32"/>
        </w:rPr>
        <w:t>是大竹县畜牧发展促进中心下属事业单位，属于一级预算单位。</w:t>
      </w:r>
    </w:p>
    <w:p w14:paraId="4525A3C8"/>
    <w:bookmarkEnd w:id="14"/>
    <w:bookmarkEnd w:id="15"/>
    <w:p w14:paraId="19C51801">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68E74B0B">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3DF0CD1"/>
    <w:p w14:paraId="70AEB495">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2D4A8C7">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293.35</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w:t>
      </w:r>
      <w:r>
        <w:rPr>
          <w:rFonts w:hint="eastAsia" w:ascii="仿宋" w:hAnsi="仿宋" w:eastAsia="仿宋"/>
          <w:sz w:val="32"/>
          <w:szCs w:val="32"/>
          <w:highlight w:val="none"/>
          <w:lang w:val="en-US" w:eastAsia="zh-CN"/>
        </w:rPr>
        <w:t>77.63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35.99</w:t>
      </w:r>
      <w:r>
        <w:rPr>
          <w:rFonts w:ascii="仿宋" w:hAnsi="仿宋" w:eastAsia="仿宋"/>
          <w:sz w:val="32"/>
          <w:szCs w:val="32"/>
          <w:highlight w:val="none"/>
        </w:rPr>
        <w:t>%</w:t>
      </w:r>
      <w:r>
        <w:rPr>
          <w:rFonts w:hint="eastAsia" w:ascii="仿宋" w:hAnsi="仿宋" w:eastAsia="仿宋"/>
          <w:sz w:val="32"/>
          <w:szCs w:val="32"/>
          <w:highlight w:val="none"/>
        </w:rPr>
        <w:t>。主要变动原因</w:t>
      </w:r>
      <w:r>
        <w:rPr>
          <w:rFonts w:hint="eastAsia" w:ascii="仿宋" w:hAnsi="仿宋" w:eastAsia="仿宋"/>
          <w:sz w:val="32"/>
          <w:szCs w:val="32"/>
          <w:highlight w:val="none"/>
          <w:lang w:eastAsia="zh-CN"/>
        </w:rPr>
        <w:t>是人员增加</w:t>
      </w:r>
      <w:r>
        <w:rPr>
          <w:rFonts w:hint="eastAsia" w:ascii="仿宋" w:hAnsi="仿宋" w:eastAsia="仿宋"/>
          <w:sz w:val="32"/>
          <w:szCs w:val="32"/>
          <w:highlight w:val="none"/>
          <w:lang w:val="en-US" w:eastAsia="zh-CN"/>
        </w:rPr>
        <w:t>1人</w:t>
      </w:r>
      <w:r>
        <w:rPr>
          <w:rFonts w:hint="eastAsia" w:ascii="仿宋" w:hAnsi="仿宋" w:eastAsia="仿宋"/>
          <w:sz w:val="32"/>
          <w:szCs w:val="32"/>
          <w:highlight w:val="none"/>
          <w:lang w:eastAsia="zh-CN"/>
        </w:rPr>
        <w:t>，人员经费增加；</w:t>
      </w:r>
      <w:r>
        <w:rPr>
          <w:rFonts w:hint="eastAsia" w:ascii="仿宋" w:hAnsi="仿宋" w:eastAsia="仿宋"/>
          <w:sz w:val="32"/>
          <w:szCs w:val="32"/>
          <w:highlight w:val="none"/>
          <w:lang w:val="en-US" w:eastAsia="zh-CN"/>
        </w:rPr>
        <w:t>2023年年初结转和结余肉牛冻精采购资金16万元，2023年新增肉牛冻精采购资金10万元</w:t>
      </w:r>
      <w:r>
        <w:rPr>
          <w:rFonts w:hint="eastAsia" w:ascii="仿宋" w:hAnsi="仿宋" w:eastAsia="仿宋"/>
          <w:sz w:val="32"/>
          <w:szCs w:val="32"/>
          <w:highlight w:val="none"/>
        </w:rPr>
        <w:t>。</w:t>
      </w:r>
    </w:p>
    <w:p w14:paraId="05236BBE">
      <w:pPr>
        <w:pStyle w:val="2"/>
        <w:jc w:val="center"/>
      </w:pPr>
      <w:r>
        <w:drawing>
          <wp:inline distT="0" distB="0" distL="114300" distR="114300">
            <wp:extent cx="4091940" cy="2926080"/>
            <wp:effectExtent l="4445" t="5080" r="18415" b="1016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0CF686">
      <w:pPr>
        <w:spacing w:line="600" w:lineRule="exact"/>
        <w:jc w:val="center"/>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1E856EAD">
      <w:pPr>
        <w:spacing w:line="600" w:lineRule="exact"/>
        <w:jc w:val="left"/>
        <w:rPr>
          <w:rFonts w:ascii="仿宋_GB2312" w:eastAsia="仿宋_GB2312"/>
          <w:sz w:val="32"/>
          <w:szCs w:val="32"/>
        </w:rPr>
      </w:pPr>
    </w:p>
    <w:p w14:paraId="1C2BEE56">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3DE09F6">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279.56</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279.56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562403F8">
      <w:pPr>
        <w:pStyle w:val="2"/>
        <w:jc w:val="center"/>
        <w:rPr>
          <w:rFonts w:ascii="仿宋" w:hAnsi="仿宋" w:eastAsia="仿宋"/>
          <w:sz w:val="32"/>
          <w:szCs w:val="32"/>
        </w:rPr>
      </w:pPr>
      <w:r>
        <w:drawing>
          <wp:inline distT="0" distB="0" distL="114300" distR="114300">
            <wp:extent cx="4091940" cy="2926080"/>
            <wp:effectExtent l="4445" t="5080" r="1841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97CB85">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图2：收入决算结构图</w:t>
      </w:r>
    </w:p>
    <w:p w14:paraId="3BD57416">
      <w:pPr>
        <w:spacing w:line="600" w:lineRule="exact"/>
        <w:ind w:firstLine="640" w:firstLineChars="200"/>
        <w:rPr>
          <w:rFonts w:ascii="仿宋_GB2312" w:eastAsia="仿宋_GB2312"/>
          <w:sz w:val="32"/>
          <w:szCs w:val="32"/>
          <w:highlight w:val="yellow"/>
        </w:rPr>
      </w:pPr>
    </w:p>
    <w:p w14:paraId="30CA6A50">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2C54012">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293.35</w:t>
      </w:r>
      <w:r>
        <w:rPr>
          <w:rFonts w:hint="eastAsia" w:ascii="仿宋" w:hAnsi="仿宋" w:eastAsia="仿宋"/>
          <w:sz w:val="32"/>
          <w:szCs w:val="32"/>
        </w:rPr>
        <w:t>万元，其中：基本支出</w:t>
      </w:r>
      <w:r>
        <w:rPr>
          <w:rFonts w:hint="eastAsia" w:ascii="仿宋" w:hAnsi="仿宋" w:eastAsia="仿宋"/>
          <w:b/>
          <w:sz w:val="32"/>
          <w:szCs w:val="32"/>
          <w:lang w:val="en-US" w:eastAsia="zh-CN"/>
        </w:rPr>
        <w:t>255.44</w:t>
      </w:r>
      <w:r>
        <w:rPr>
          <w:rFonts w:hint="eastAsia" w:ascii="仿宋" w:hAnsi="仿宋" w:eastAsia="仿宋"/>
          <w:sz w:val="32"/>
          <w:szCs w:val="32"/>
        </w:rPr>
        <w:t>万元，占</w:t>
      </w:r>
      <w:r>
        <w:rPr>
          <w:rFonts w:hint="eastAsia" w:ascii="仿宋" w:hAnsi="仿宋" w:eastAsia="仿宋"/>
          <w:b/>
          <w:sz w:val="32"/>
          <w:szCs w:val="32"/>
          <w:lang w:val="en-US" w:eastAsia="zh-CN"/>
        </w:rPr>
        <w:t>87.08</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37.91</w:t>
      </w:r>
      <w:r>
        <w:rPr>
          <w:rFonts w:hint="eastAsia" w:ascii="仿宋" w:hAnsi="仿宋" w:eastAsia="仿宋"/>
          <w:sz w:val="32"/>
          <w:szCs w:val="32"/>
        </w:rPr>
        <w:t>万元，占</w:t>
      </w:r>
      <w:r>
        <w:rPr>
          <w:rFonts w:hint="eastAsia" w:ascii="仿宋" w:hAnsi="仿宋" w:eastAsia="仿宋"/>
          <w:b/>
          <w:sz w:val="32"/>
          <w:szCs w:val="32"/>
          <w:lang w:val="en-US" w:eastAsia="zh-CN"/>
        </w:rPr>
        <w:t>12.92</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363CC749">
      <w:pPr>
        <w:spacing w:line="600" w:lineRule="exact"/>
        <w:rPr>
          <w:rFonts w:ascii="仿宋" w:hAnsi="仿宋" w:eastAsia="仿宋"/>
          <w:sz w:val="32"/>
          <w:szCs w:val="32"/>
          <w:shd w:val="pct10" w:color="auto" w:fill="FFFFFF"/>
        </w:rPr>
      </w:pPr>
    </w:p>
    <w:p w14:paraId="46065FC7">
      <w:pPr>
        <w:pStyle w:val="2"/>
        <w:rPr>
          <w:rFonts w:ascii="仿宋" w:hAnsi="仿宋" w:eastAsia="仿宋"/>
          <w:sz w:val="32"/>
          <w:szCs w:val="32"/>
          <w:shd w:val="pct10" w:color="auto" w:fill="FFFFFF"/>
        </w:rPr>
      </w:pPr>
    </w:p>
    <w:p w14:paraId="2B85CC27">
      <w:pPr>
        <w:pStyle w:val="2"/>
        <w:rPr>
          <w:rFonts w:ascii="仿宋" w:hAnsi="仿宋" w:eastAsia="仿宋"/>
          <w:sz w:val="32"/>
          <w:szCs w:val="32"/>
          <w:shd w:val="pct10" w:color="auto" w:fill="FFFFFF"/>
        </w:rPr>
      </w:pPr>
    </w:p>
    <w:p w14:paraId="68A0E57F">
      <w:pPr>
        <w:pStyle w:val="2"/>
        <w:rPr>
          <w:rFonts w:ascii="仿宋" w:hAnsi="仿宋" w:eastAsia="仿宋"/>
          <w:sz w:val="32"/>
          <w:szCs w:val="32"/>
          <w:shd w:val="pct10" w:color="auto" w:fill="FFFFFF"/>
        </w:rPr>
      </w:pPr>
    </w:p>
    <w:p w14:paraId="057315B8">
      <w:pPr>
        <w:pStyle w:val="2"/>
        <w:jc w:val="center"/>
        <w:rPr>
          <w:rFonts w:ascii="仿宋" w:hAnsi="仿宋" w:eastAsia="仿宋"/>
          <w:sz w:val="32"/>
          <w:szCs w:val="32"/>
          <w:shd w:val="pct10" w:color="auto" w:fill="FFFFFF"/>
        </w:rPr>
      </w:pPr>
      <w:r>
        <w:drawing>
          <wp:inline distT="0" distB="0" distL="114300" distR="114300">
            <wp:extent cx="3795395" cy="2715260"/>
            <wp:effectExtent l="4445" t="4445" r="10160" b="825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EB518D">
      <w:pPr>
        <w:spacing w:line="600" w:lineRule="exact"/>
        <w:jc w:val="center"/>
        <w:rPr>
          <w:rFonts w:ascii="仿宋_GB2312" w:eastAsia="仿宋_GB2312"/>
          <w:sz w:val="32"/>
          <w:szCs w:val="32"/>
          <w:highlight w:val="yellow"/>
        </w:rPr>
      </w:pPr>
      <w:r>
        <w:rPr>
          <w:rFonts w:hint="eastAsia" w:ascii="仿宋" w:hAnsi="仿宋" w:eastAsia="仿宋"/>
          <w:sz w:val="32"/>
          <w:szCs w:val="32"/>
          <w:highlight w:val="none"/>
        </w:rPr>
        <w:t>图3：支出决算结构图</w:t>
      </w:r>
    </w:p>
    <w:p w14:paraId="7444B48C">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08AE7BF">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293.35</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，财政拨款收、支总计各增加</w:t>
      </w:r>
      <w:r>
        <w:rPr>
          <w:rFonts w:hint="eastAsia" w:ascii="仿宋" w:hAnsi="仿宋" w:eastAsia="仿宋"/>
          <w:sz w:val="32"/>
          <w:szCs w:val="32"/>
          <w:highlight w:val="none"/>
          <w:lang w:val="en-US" w:eastAsia="zh-CN"/>
        </w:rPr>
        <w:t>77.63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35.99</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人员增加</w:t>
      </w:r>
      <w:r>
        <w:rPr>
          <w:rFonts w:hint="eastAsia" w:ascii="仿宋" w:hAnsi="仿宋" w:eastAsia="仿宋"/>
          <w:sz w:val="32"/>
          <w:szCs w:val="32"/>
          <w:highlight w:val="none"/>
          <w:lang w:val="en-US" w:eastAsia="zh-CN"/>
        </w:rPr>
        <w:t>1人</w:t>
      </w:r>
      <w:r>
        <w:rPr>
          <w:rFonts w:hint="eastAsia" w:ascii="仿宋" w:hAnsi="仿宋" w:eastAsia="仿宋"/>
          <w:sz w:val="32"/>
          <w:szCs w:val="32"/>
          <w:highlight w:val="none"/>
          <w:lang w:eastAsia="zh-CN"/>
        </w:rPr>
        <w:t>，人员经费增加；</w:t>
      </w:r>
      <w:r>
        <w:rPr>
          <w:rFonts w:hint="eastAsia" w:ascii="仿宋" w:hAnsi="仿宋" w:eastAsia="仿宋"/>
          <w:sz w:val="32"/>
          <w:szCs w:val="32"/>
          <w:highlight w:val="none"/>
          <w:lang w:val="en-US" w:eastAsia="zh-CN"/>
        </w:rPr>
        <w:t>2023年年初结转和结余肉牛冻精采购资金16万元，2023年新增肉牛冻精采购资金10万元</w:t>
      </w:r>
      <w:r>
        <w:rPr>
          <w:rFonts w:hint="eastAsia" w:ascii="仿宋" w:hAnsi="仿宋" w:eastAsia="仿宋"/>
          <w:sz w:val="32"/>
          <w:szCs w:val="32"/>
          <w:highlight w:val="none"/>
        </w:rPr>
        <w:t>。</w:t>
      </w:r>
    </w:p>
    <w:p w14:paraId="1CAC506C">
      <w:pPr>
        <w:pStyle w:val="2"/>
        <w:jc w:val="center"/>
        <w:rPr>
          <w:rFonts w:ascii="仿宋" w:hAnsi="仿宋" w:eastAsia="仿宋"/>
          <w:sz w:val="32"/>
          <w:szCs w:val="32"/>
        </w:rPr>
      </w:pPr>
      <w:r>
        <w:drawing>
          <wp:inline distT="0" distB="0" distL="114300" distR="114300">
            <wp:extent cx="3778250" cy="2644140"/>
            <wp:effectExtent l="4445" t="5080" r="12065" b="1778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ABC721">
      <w:pPr>
        <w:spacing w:line="600" w:lineRule="exact"/>
        <w:jc w:val="center"/>
        <w:rPr>
          <w:rFonts w:ascii="仿宋" w:hAnsi="仿宋" w:eastAsia="仿宋"/>
          <w:b/>
          <w:sz w:val="32"/>
          <w:szCs w:val="32"/>
        </w:rPr>
      </w:pPr>
      <w:r>
        <w:rPr>
          <w:rFonts w:hint="eastAsia" w:ascii="仿宋" w:hAnsi="仿宋" w:eastAsia="仿宋"/>
          <w:sz w:val="32"/>
          <w:szCs w:val="32"/>
          <w:highlight w:val="none"/>
        </w:rPr>
        <w:t>图4：财政拨款收、支决算总计变动情况</w:t>
      </w:r>
    </w:p>
    <w:p w14:paraId="4C3FB390">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996C2E6">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13F8A93">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293.35</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77.63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35.99</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人员增加</w:t>
      </w:r>
      <w:r>
        <w:rPr>
          <w:rFonts w:hint="eastAsia" w:ascii="仿宋" w:hAnsi="仿宋" w:eastAsia="仿宋"/>
          <w:sz w:val="32"/>
          <w:szCs w:val="32"/>
          <w:highlight w:val="none"/>
          <w:lang w:val="en-US" w:eastAsia="zh-CN"/>
        </w:rPr>
        <w:t>1人</w:t>
      </w:r>
      <w:r>
        <w:rPr>
          <w:rFonts w:hint="eastAsia" w:ascii="仿宋" w:hAnsi="仿宋" w:eastAsia="仿宋"/>
          <w:sz w:val="32"/>
          <w:szCs w:val="32"/>
          <w:highlight w:val="none"/>
          <w:lang w:eastAsia="zh-CN"/>
        </w:rPr>
        <w:t>，人员经费支出增加；</w:t>
      </w:r>
      <w:r>
        <w:rPr>
          <w:rFonts w:hint="eastAsia" w:ascii="仿宋" w:hAnsi="仿宋" w:eastAsia="仿宋"/>
          <w:sz w:val="32"/>
          <w:szCs w:val="32"/>
          <w:highlight w:val="none"/>
          <w:lang w:val="en-US" w:eastAsia="zh-CN"/>
        </w:rPr>
        <w:t>2023年肉牛冻精采购资金转预算外26万元；</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年支付了去年的公用经费和五险一金</w:t>
      </w:r>
      <w:r>
        <w:rPr>
          <w:rFonts w:hint="eastAsia" w:ascii="仿宋" w:hAnsi="仿宋" w:eastAsia="仿宋"/>
          <w:color w:val="auto"/>
          <w:sz w:val="32"/>
          <w:szCs w:val="32"/>
          <w:highlight w:val="none"/>
          <w:lang w:eastAsia="zh-CN"/>
        </w:rPr>
        <w:t>。</w:t>
      </w:r>
    </w:p>
    <w:p w14:paraId="55D7AEF3">
      <w:pPr>
        <w:pStyle w:val="2"/>
        <w:jc w:val="center"/>
        <w:rPr>
          <w:rFonts w:ascii="仿宋" w:hAnsi="仿宋" w:eastAsia="仿宋"/>
          <w:sz w:val="32"/>
          <w:szCs w:val="32"/>
        </w:rPr>
      </w:pPr>
      <w:r>
        <w:drawing>
          <wp:inline distT="0" distB="0" distL="114300" distR="114300">
            <wp:extent cx="4091940" cy="2926080"/>
            <wp:effectExtent l="4445" t="5080" r="18415" b="1016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C2C44D">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5059CA9C">
      <w:pPr>
        <w:spacing w:line="600" w:lineRule="exact"/>
        <w:ind w:firstLine="640" w:firstLineChars="200"/>
        <w:rPr>
          <w:rFonts w:ascii="仿宋" w:hAnsi="仿宋" w:eastAsia="仿宋"/>
          <w:sz w:val="32"/>
          <w:szCs w:val="32"/>
          <w:highlight w:val="yellow"/>
        </w:rPr>
      </w:pPr>
    </w:p>
    <w:p w14:paraId="1887AB25">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5F0F6DA">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293.35</w:t>
      </w:r>
      <w:r>
        <w:rPr>
          <w:rFonts w:hint="eastAsia" w:ascii="仿宋" w:hAnsi="仿宋" w:eastAsia="仿宋"/>
          <w:sz w:val="32"/>
          <w:szCs w:val="32"/>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科学技术</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文化旅游体育与传媒支出</w:t>
      </w:r>
      <w:r>
        <w:rPr>
          <w:rFonts w:hint="eastAsia" w:ascii="仿宋" w:hAnsi="仿宋" w:eastAsia="仿宋"/>
          <w:b/>
          <w:bCs/>
          <w:sz w:val="32"/>
          <w:szCs w:val="32"/>
          <w:highlight w:val="none"/>
          <w:lang w:val="en-US" w:eastAsia="zh-CN"/>
        </w:rPr>
        <w:t>0</w:t>
      </w:r>
      <w:r>
        <w:rPr>
          <w:rFonts w:hint="eastAsia" w:ascii="仿宋" w:hAnsi="仿宋" w:eastAsia="仿宋"/>
          <w:b/>
          <w:bCs/>
          <w:sz w:val="32"/>
          <w:szCs w:val="32"/>
          <w:highlight w:val="none"/>
        </w:rPr>
        <w:t>万元，占</w:t>
      </w:r>
      <w:r>
        <w:rPr>
          <w:rFonts w:hint="eastAsia" w:ascii="仿宋" w:hAnsi="仿宋" w:eastAsia="仿宋"/>
          <w:b/>
          <w:bCs/>
          <w:sz w:val="32"/>
          <w:szCs w:val="32"/>
          <w:highlight w:val="none"/>
          <w:lang w:val="en-US" w:eastAsia="zh-CN"/>
        </w:rPr>
        <w:t>0</w:t>
      </w:r>
      <w:r>
        <w:rPr>
          <w:rFonts w:ascii="仿宋" w:hAnsi="仿宋" w:eastAsia="仿宋"/>
          <w:b/>
          <w:bCs/>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41.32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14.09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7.75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2.64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16.55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5.64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color w:val="auto"/>
          <w:sz w:val="32"/>
          <w:szCs w:val="32"/>
          <w:highlight w:val="none"/>
          <w:lang w:eastAsia="zh-CN"/>
        </w:rPr>
        <w:t>农林水</w:t>
      </w:r>
      <w:r>
        <w:rPr>
          <w:rFonts w:hint="eastAsia" w:ascii="仿宋" w:hAnsi="仿宋" w:eastAsia="仿宋"/>
          <w:b/>
          <w:bCs/>
          <w:sz w:val="32"/>
          <w:szCs w:val="32"/>
        </w:rPr>
        <w:t>支出</w:t>
      </w:r>
      <w:r>
        <w:rPr>
          <w:rFonts w:hint="eastAsia" w:ascii="仿宋" w:hAnsi="仿宋" w:eastAsia="仿宋"/>
          <w:sz w:val="32"/>
          <w:szCs w:val="32"/>
          <w:lang w:val="en-US" w:eastAsia="zh-CN"/>
        </w:rPr>
        <w:t>227.72</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lang w:val="en-US" w:eastAsia="zh-CN"/>
        </w:rPr>
        <w:t>77.63</w:t>
      </w:r>
      <w:r>
        <w:rPr>
          <w:rFonts w:hint="eastAsia" w:ascii="仿宋" w:hAnsi="仿宋" w:eastAsia="仿宋"/>
          <w:sz w:val="32"/>
          <w:szCs w:val="32"/>
        </w:rPr>
        <w:t>%。</w:t>
      </w:r>
    </w:p>
    <w:p w14:paraId="65667012">
      <w:pPr>
        <w:pStyle w:val="2"/>
        <w:jc w:val="center"/>
        <w:rPr>
          <w:rFonts w:ascii="仿宋" w:hAnsi="仿宋" w:eastAsia="仿宋"/>
          <w:sz w:val="32"/>
          <w:szCs w:val="32"/>
          <w:highlight w:val="none"/>
        </w:rPr>
      </w:pPr>
      <w:r>
        <w:rPr>
          <w:highlight w:val="none"/>
        </w:rPr>
        <w:drawing>
          <wp:inline distT="0" distB="0" distL="114300" distR="114300">
            <wp:extent cx="4091940" cy="2926080"/>
            <wp:effectExtent l="4445" t="5080" r="18415" b="1016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A96835">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6D3FEE7B">
      <w:pPr>
        <w:spacing w:line="600" w:lineRule="exact"/>
        <w:ind w:firstLine="640" w:firstLineChars="200"/>
        <w:rPr>
          <w:rFonts w:ascii="仿宋" w:hAnsi="仿宋" w:eastAsia="仿宋"/>
          <w:sz w:val="32"/>
          <w:szCs w:val="32"/>
        </w:rPr>
      </w:pPr>
    </w:p>
    <w:p w14:paraId="1064BA40">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437EA85">
      <w:pPr>
        <w:spacing w:line="600" w:lineRule="exact"/>
        <w:ind w:firstLine="643" w:firstLineChars="200"/>
        <w:outlineLvl w:val="2"/>
        <w:rPr>
          <w:rFonts w:ascii="仿宋" w:hAnsi="仿宋" w:eastAsia="仿宋"/>
          <w:sz w:val="32"/>
          <w:szCs w:val="32"/>
          <w:highlight w:val="none"/>
        </w:rPr>
      </w:pPr>
      <w:bookmarkStart w:id="31" w:name="_Toc15377444"/>
      <w:bookmarkStart w:id="32" w:name="_Toc15377213"/>
      <w:bookmarkStart w:id="33"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293.35万元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51946FE0">
      <w:pPr>
        <w:spacing w:line="600" w:lineRule="exact"/>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社会保障和就业（208）行政事业单位养老支出（05）机关事业单位基本养老保险缴费支出（05）</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13.88</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6DDB33EF">
      <w:pPr>
        <w:pStyle w:val="2"/>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社会保障和就业（208）行政事业单位养老支出（05）  其他行政事业单位养老支出（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27.19</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65E423A1">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社会保障和就业（208）</w:t>
      </w:r>
      <w:r>
        <w:rPr>
          <w:rStyle w:val="16"/>
          <w:rFonts w:hint="eastAsia" w:ascii="仿宋" w:hAnsi="仿宋" w:eastAsia="仿宋"/>
          <w:bCs/>
          <w:sz w:val="32"/>
          <w:szCs w:val="32"/>
          <w:highlight w:val="none"/>
          <w:lang w:eastAsia="zh-CN"/>
        </w:rPr>
        <w:t>其他社会保障和就业</w:t>
      </w:r>
      <w:r>
        <w:rPr>
          <w:rStyle w:val="16"/>
          <w:rFonts w:hint="eastAsia" w:ascii="仿宋" w:hAnsi="仿宋" w:eastAsia="仿宋"/>
          <w:bCs/>
          <w:sz w:val="32"/>
          <w:szCs w:val="32"/>
          <w:highlight w:val="none"/>
        </w:rPr>
        <w:t>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 xml:space="preserve">）  </w:t>
      </w:r>
      <w:r>
        <w:rPr>
          <w:rStyle w:val="16"/>
          <w:rFonts w:hint="eastAsia" w:ascii="仿宋" w:hAnsi="仿宋" w:eastAsia="仿宋"/>
          <w:bCs/>
          <w:sz w:val="32"/>
          <w:szCs w:val="32"/>
          <w:highlight w:val="none"/>
          <w:lang w:eastAsia="zh-CN"/>
        </w:rPr>
        <w:t>其他社会保障和就业</w:t>
      </w:r>
      <w:r>
        <w:rPr>
          <w:rStyle w:val="16"/>
          <w:rFonts w:hint="eastAsia" w:ascii="仿宋" w:hAnsi="仿宋" w:eastAsia="仿宋"/>
          <w:bCs/>
          <w:sz w:val="32"/>
          <w:szCs w:val="32"/>
          <w:highlight w:val="none"/>
        </w:rPr>
        <w:t>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0.25</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5D828B22">
      <w:pPr>
        <w:spacing w:line="600" w:lineRule="exact"/>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4.</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（210）</w:t>
      </w:r>
      <w:r>
        <w:rPr>
          <w:rFonts w:hint="eastAsia" w:ascii="仿宋" w:hAnsi="仿宋" w:eastAsia="仿宋"/>
          <w:b/>
          <w:sz w:val="32"/>
          <w:szCs w:val="32"/>
          <w:highlight w:val="none"/>
        </w:rPr>
        <w:t>行政事业单位医疗</w:t>
      </w:r>
      <w:r>
        <w:rPr>
          <w:rStyle w:val="16"/>
          <w:rFonts w:hint="eastAsia" w:ascii="仿宋" w:hAnsi="仿宋" w:eastAsia="仿宋"/>
          <w:bCs/>
          <w:sz w:val="32"/>
          <w:szCs w:val="32"/>
          <w:highlight w:val="none"/>
        </w:rPr>
        <w:t>（11）事业单位医疗（02）</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支出决算为7.</w:t>
      </w:r>
      <w:r>
        <w:rPr>
          <w:rStyle w:val="16"/>
          <w:rFonts w:hint="eastAsia" w:ascii="仿宋" w:hAnsi="仿宋" w:eastAsia="仿宋"/>
          <w:b w:val="0"/>
          <w:bCs/>
          <w:sz w:val="32"/>
          <w:szCs w:val="32"/>
          <w:highlight w:val="none"/>
          <w:lang w:val="en-US" w:eastAsia="zh-CN"/>
        </w:rPr>
        <w:t>75</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101CE852">
      <w:pPr>
        <w:numPr>
          <w:ilvl w:val="0"/>
          <w:numId w:val="0"/>
        </w:numPr>
        <w:spacing w:line="600" w:lineRule="exact"/>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5.</w:t>
      </w:r>
      <w:r>
        <w:rPr>
          <w:rFonts w:hint="eastAsia" w:ascii="仿宋" w:hAnsi="仿宋" w:eastAsia="仿宋"/>
          <w:b/>
          <w:bCs/>
          <w:sz w:val="32"/>
          <w:szCs w:val="32"/>
          <w:highlight w:val="none"/>
          <w:lang w:eastAsia="zh-CN"/>
        </w:rPr>
        <w:t>农林水</w:t>
      </w:r>
      <w:r>
        <w:rPr>
          <w:rFonts w:hint="eastAsia" w:ascii="仿宋" w:hAnsi="仿宋" w:eastAsia="仿宋"/>
          <w:b/>
          <w:bCs/>
          <w:sz w:val="32"/>
          <w:szCs w:val="32"/>
          <w:highlight w:val="none"/>
        </w:rPr>
        <w:t>支出（2</w:t>
      </w:r>
      <w:r>
        <w:rPr>
          <w:rFonts w:hint="eastAsia" w:ascii="仿宋" w:hAnsi="仿宋" w:eastAsia="仿宋"/>
          <w:b/>
          <w:bCs/>
          <w:sz w:val="32"/>
          <w:szCs w:val="32"/>
          <w:highlight w:val="none"/>
          <w:lang w:val="en-US" w:eastAsia="zh-CN"/>
        </w:rPr>
        <w:t>13</w:t>
      </w: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农业农村</w:t>
      </w:r>
      <w:r>
        <w:rPr>
          <w:rFonts w:hint="eastAsia" w:ascii="仿宋" w:hAnsi="仿宋" w:eastAsia="仿宋"/>
          <w:b/>
          <w:bCs/>
          <w:sz w:val="32"/>
          <w:szCs w:val="32"/>
          <w:highlight w:val="none"/>
        </w:rPr>
        <w:t>（01）事业运行（</w:t>
      </w:r>
      <w:r>
        <w:rPr>
          <w:rFonts w:hint="eastAsia" w:ascii="仿宋" w:hAnsi="仿宋" w:eastAsia="仿宋"/>
          <w:b/>
          <w:bCs/>
          <w:sz w:val="32"/>
          <w:szCs w:val="32"/>
          <w:highlight w:val="none"/>
          <w:lang w:val="en-US" w:eastAsia="zh-CN"/>
        </w:rPr>
        <w:t>04</w:t>
      </w:r>
      <w:r>
        <w:rPr>
          <w:rFonts w:hint="eastAsia" w:ascii="仿宋" w:hAnsi="仿宋" w:eastAsia="仿宋"/>
          <w:b/>
          <w:bCs/>
          <w:sz w:val="32"/>
          <w:szCs w:val="32"/>
          <w:highlight w:val="none"/>
        </w:rPr>
        <w:t>）</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176.02</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73F7BD25">
      <w:pPr>
        <w:pStyle w:val="2"/>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6.</w:t>
      </w:r>
      <w:r>
        <w:rPr>
          <w:rFonts w:hint="eastAsia" w:ascii="仿宋" w:hAnsi="仿宋" w:eastAsia="仿宋"/>
          <w:b/>
          <w:bCs/>
          <w:sz w:val="32"/>
          <w:szCs w:val="32"/>
          <w:highlight w:val="none"/>
          <w:lang w:eastAsia="zh-CN"/>
        </w:rPr>
        <w:t>农林水</w:t>
      </w:r>
      <w:r>
        <w:rPr>
          <w:rFonts w:hint="eastAsia" w:ascii="仿宋" w:hAnsi="仿宋" w:eastAsia="仿宋"/>
          <w:b/>
          <w:bCs/>
          <w:sz w:val="32"/>
          <w:szCs w:val="32"/>
          <w:highlight w:val="none"/>
        </w:rPr>
        <w:t>支出（2</w:t>
      </w:r>
      <w:r>
        <w:rPr>
          <w:rFonts w:hint="eastAsia" w:ascii="仿宋" w:hAnsi="仿宋" w:eastAsia="仿宋"/>
          <w:b/>
          <w:bCs/>
          <w:sz w:val="32"/>
          <w:szCs w:val="32"/>
          <w:highlight w:val="none"/>
          <w:lang w:val="en-US" w:eastAsia="zh-CN"/>
        </w:rPr>
        <w:t>13</w:t>
      </w: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农业农村</w:t>
      </w:r>
      <w:r>
        <w:rPr>
          <w:rFonts w:hint="eastAsia" w:ascii="仿宋" w:hAnsi="仿宋" w:eastAsia="仿宋"/>
          <w:b/>
          <w:bCs/>
          <w:sz w:val="32"/>
          <w:szCs w:val="32"/>
          <w:highlight w:val="none"/>
        </w:rPr>
        <w:t>（01）</w:t>
      </w:r>
      <w:r>
        <w:rPr>
          <w:rFonts w:hint="eastAsia" w:ascii="仿宋" w:hAnsi="仿宋" w:eastAsia="仿宋"/>
          <w:b/>
          <w:bCs/>
          <w:sz w:val="32"/>
          <w:szCs w:val="32"/>
          <w:highlight w:val="none"/>
          <w:lang w:eastAsia="zh-CN"/>
        </w:rPr>
        <w:t>其他农业农村支出</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99</w:t>
      </w:r>
      <w:r>
        <w:rPr>
          <w:rFonts w:hint="eastAsia" w:ascii="仿宋" w:hAnsi="仿宋" w:eastAsia="仿宋"/>
          <w:b/>
          <w:bCs/>
          <w:sz w:val="32"/>
          <w:szCs w:val="32"/>
          <w:highlight w:val="none"/>
        </w:rPr>
        <w:t>）</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37.91</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565E7A9C">
      <w:pPr>
        <w:pStyle w:val="2"/>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7</w:t>
      </w:r>
      <w:r>
        <w:rPr>
          <w:rStyle w:val="16"/>
          <w:rFonts w:ascii="仿宋" w:hAnsi="仿宋" w:eastAsia="仿宋"/>
          <w:bCs/>
          <w:sz w:val="32"/>
          <w:szCs w:val="32"/>
          <w:highlight w:val="none"/>
        </w:rPr>
        <w:t>.</w:t>
      </w:r>
      <w:r>
        <w:rPr>
          <w:rFonts w:hint="eastAsia" w:ascii="仿宋" w:hAnsi="仿宋" w:eastAsia="仿宋"/>
          <w:b/>
          <w:bCs/>
          <w:sz w:val="32"/>
          <w:szCs w:val="32"/>
          <w:highlight w:val="none"/>
          <w:lang w:eastAsia="zh-CN"/>
        </w:rPr>
        <w:t>农林水</w:t>
      </w:r>
      <w:r>
        <w:rPr>
          <w:rFonts w:hint="eastAsia" w:ascii="仿宋" w:hAnsi="仿宋" w:eastAsia="仿宋"/>
          <w:b/>
          <w:bCs/>
          <w:sz w:val="32"/>
          <w:szCs w:val="32"/>
          <w:highlight w:val="none"/>
        </w:rPr>
        <w:t>支出（2</w:t>
      </w:r>
      <w:r>
        <w:rPr>
          <w:rFonts w:hint="eastAsia" w:ascii="仿宋" w:hAnsi="仿宋" w:eastAsia="仿宋"/>
          <w:b/>
          <w:bCs/>
          <w:sz w:val="32"/>
          <w:szCs w:val="32"/>
          <w:highlight w:val="none"/>
          <w:lang w:val="en-US" w:eastAsia="zh-CN"/>
        </w:rPr>
        <w:t>13</w:t>
      </w: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其他农林水支出</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99</w:t>
      </w:r>
      <w:r>
        <w:rPr>
          <w:rFonts w:hint="eastAsia" w:ascii="仿宋" w:hAnsi="仿宋" w:eastAsia="仿宋"/>
          <w:b/>
          <w:bCs/>
          <w:sz w:val="32"/>
          <w:szCs w:val="32"/>
          <w:highlight w:val="none"/>
        </w:rPr>
        <w:t>）</w:t>
      </w:r>
      <w:r>
        <w:rPr>
          <w:rFonts w:hint="eastAsia" w:ascii="仿宋" w:hAnsi="仿宋" w:eastAsia="仿宋"/>
          <w:b/>
          <w:bCs/>
          <w:sz w:val="32"/>
          <w:szCs w:val="32"/>
          <w:highlight w:val="none"/>
          <w:lang w:eastAsia="zh-CN"/>
        </w:rPr>
        <w:t>其他农林水支出</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99</w:t>
      </w:r>
      <w:r>
        <w:rPr>
          <w:rFonts w:hint="eastAsia" w:ascii="仿宋" w:hAnsi="仿宋" w:eastAsia="仿宋"/>
          <w:b/>
          <w:bCs/>
          <w:sz w:val="32"/>
          <w:szCs w:val="32"/>
          <w:highlight w:val="none"/>
        </w:rPr>
        <w:t>）</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13.80</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6DDE0CB7">
      <w:pPr>
        <w:pStyle w:val="2"/>
        <w:ind w:firstLine="643" w:firstLineChars="200"/>
        <w:rPr>
          <w:rStyle w:val="16"/>
          <w:rFonts w:hint="eastAsia" w:ascii="仿宋" w:hAnsi="仿宋" w:eastAsia="仿宋"/>
          <w:b w:val="0"/>
          <w:bCs/>
          <w:sz w:val="32"/>
          <w:szCs w:val="32"/>
          <w:highlight w:val="none"/>
        </w:rPr>
      </w:pPr>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rPr>
        <w:t>住房保障支出（221）住房改革支出（02）住房公积金（01）</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16.55</w:t>
      </w:r>
      <w:r>
        <w:rPr>
          <w:rStyle w:val="16"/>
          <w:rFonts w:hint="eastAsia" w:ascii="仿宋" w:hAnsi="仿宋" w:eastAsia="仿宋"/>
          <w:b w:val="0"/>
          <w:bCs/>
          <w:sz w:val="32"/>
          <w:szCs w:val="32"/>
          <w:highlight w:val="none"/>
        </w:rPr>
        <w:t>万元，完成预算100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57BCB164">
      <w:pPr>
        <w:spacing w:line="600" w:lineRule="exact"/>
        <w:rPr>
          <w:rFonts w:ascii="仿宋" w:hAnsi="仿宋" w:eastAsia="仿宋"/>
          <w:b/>
          <w:sz w:val="32"/>
          <w:szCs w:val="32"/>
        </w:rPr>
      </w:pPr>
    </w:p>
    <w:p w14:paraId="425616E8">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05DDAB2">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255.44</w:t>
      </w:r>
      <w:r>
        <w:rPr>
          <w:rFonts w:hint="eastAsia" w:ascii="仿宋" w:hAnsi="仿宋" w:eastAsia="仿宋"/>
          <w:sz w:val="32"/>
          <w:szCs w:val="32"/>
        </w:rPr>
        <w:t>万元，其中：</w:t>
      </w:r>
    </w:p>
    <w:p w14:paraId="3DCE787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230.41</w:t>
      </w:r>
      <w:r>
        <w:rPr>
          <w:rFonts w:hint="eastAsia" w:ascii="仿宋" w:hAnsi="仿宋" w:eastAsia="仿宋"/>
          <w:sz w:val="32"/>
          <w:szCs w:val="32"/>
        </w:rPr>
        <w:t>万元，主要包括：基本工资</w:t>
      </w:r>
      <w:r>
        <w:rPr>
          <w:rFonts w:hint="eastAsia" w:ascii="仿宋" w:hAnsi="仿宋" w:eastAsia="仿宋"/>
          <w:sz w:val="32"/>
          <w:szCs w:val="32"/>
          <w:lang w:val="en-US" w:eastAsia="zh-CN"/>
        </w:rPr>
        <w:t>38.61万元</w:t>
      </w:r>
      <w:r>
        <w:rPr>
          <w:rFonts w:hint="eastAsia" w:ascii="仿宋" w:hAnsi="仿宋" w:eastAsia="仿宋"/>
          <w:sz w:val="32"/>
          <w:szCs w:val="32"/>
        </w:rPr>
        <w:t>、津贴补贴</w:t>
      </w:r>
      <w:r>
        <w:rPr>
          <w:rFonts w:hint="eastAsia" w:ascii="仿宋" w:hAnsi="仿宋" w:eastAsia="仿宋"/>
          <w:sz w:val="32"/>
          <w:szCs w:val="32"/>
          <w:lang w:val="en-US" w:eastAsia="zh-CN"/>
        </w:rPr>
        <w:t>15.05万元</w:t>
      </w:r>
      <w:r>
        <w:rPr>
          <w:rFonts w:hint="eastAsia" w:ascii="仿宋" w:hAnsi="仿宋" w:eastAsia="仿宋"/>
          <w:sz w:val="32"/>
          <w:szCs w:val="32"/>
        </w:rPr>
        <w:t>、绩效工资</w:t>
      </w:r>
      <w:r>
        <w:rPr>
          <w:rFonts w:hint="eastAsia" w:ascii="仿宋" w:hAnsi="仿宋" w:eastAsia="仿宋"/>
          <w:sz w:val="32"/>
          <w:szCs w:val="32"/>
          <w:lang w:val="en-US" w:eastAsia="zh-CN"/>
        </w:rPr>
        <w:t>44.18万元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13.88万元</w:t>
      </w:r>
      <w:r>
        <w:rPr>
          <w:rFonts w:hint="eastAsia" w:ascii="仿宋" w:hAnsi="仿宋" w:eastAsia="仿宋"/>
          <w:sz w:val="32"/>
          <w:szCs w:val="32"/>
        </w:rPr>
        <w:t>、</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lang w:val="en-US" w:eastAsia="zh-CN"/>
        </w:rPr>
        <w:t>7.75万元、</w:t>
      </w:r>
      <w:r>
        <w:rPr>
          <w:rFonts w:hint="eastAsia" w:ascii="仿宋" w:hAnsi="仿宋" w:eastAsia="仿宋"/>
          <w:sz w:val="32"/>
          <w:szCs w:val="32"/>
        </w:rPr>
        <w:t>其他社会保障缴费</w:t>
      </w:r>
      <w:r>
        <w:rPr>
          <w:rFonts w:hint="eastAsia" w:ascii="仿宋" w:hAnsi="仿宋" w:eastAsia="仿宋"/>
          <w:sz w:val="32"/>
          <w:szCs w:val="32"/>
          <w:lang w:val="en-US" w:eastAsia="zh-CN"/>
        </w:rPr>
        <w:t>0.25万元</w:t>
      </w:r>
      <w:r>
        <w:rPr>
          <w:rFonts w:hint="eastAsia" w:ascii="仿宋" w:hAnsi="仿宋" w:eastAsia="仿宋"/>
          <w:sz w:val="32"/>
          <w:szCs w:val="32"/>
        </w:rPr>
        <w:t>、</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16.55万元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其他工资福利支出</w:t>
      </w:r>
      <w:r>
        <w:rPr>
          <w:rFonts w:hint="eastAsia" w:ascii="仿宋" w:hAnsi="仿宋" w:eastAsia="仿宋"/>
          <w:color w:val="auto"/>
          <w:sz w:val="32"/>
          <w:szCs w:val="32"/>
          <w:highlight w:val="none"/>
          <w:lang w:val="en-US" w:eastAsia="zh-CN"/>
        </w:rPr>
        <w:t>48.54万元、</w:t>
      </w:r>
      <w:r>
        <w:rPr>
          <w:rFonts w:hint="eastAsia" w:ascii="仿宋" w:hAnsi="仿宋" w:eastAsia="仿宋"/>
          <w:sz w:val="32"/>
          <w:szCs w:val="32"/>
        </w:rPr>
        <w:t>抚恤金</w:t>
      </w:r>
      <w:r>
        <w:rPr>
          <w:rFonts w:hint="eastAsia" w:ascii="仿宋" w:hAnsi="仿宋" w:eastAsia="仿宋"/>
          <w:sz w:val="32"/>
          <w:szCs w:val="32"/>
          <w:lang w:val="en-US" w:eastAsia="zh-CN"/>
        </w:rPr>
        <w:t>18.40万元</w:t>
      </w:r>
      <w:r>
        <w:rPr>
          <w:rFonts w:hint="eastAsia" w:ascii="仿宋" w:hAnsi="仿宋" w:eastAsia="仿宋"/>
          <w:sz w:val="32"/>
          <w:szCs w:val="32"/>
        </w:rPr>
        <w:t>、生活补助</w:t>
      </w:r>
      <w:r>
        <w:rPr>
          <w:rFonts w:hint="eastAsia" w:ascii="仿宋" w:hAnsi="仿宋" w:eastAsia="仿宋"/>
          <w:sz w:val="32"/>
          <w:szCs w:val="32"/>
          <w:lang w:val="en-US" w:eastAsia="zh-CN"/>
        </w:rPr>
        <w:t>27.19万元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25.03</w:t>
      </w:r>
      <w:r>
        <w:rPr>
          <w:rFonts w:hint="eastAsia" w:ascii="仿宋" w:hAnsi="仿宋" w:eastAsia="仿宋"/>
          <w:sz w:val="32"/>
          <w:szCs w:val="32"/>
        </w:rPr>
        <w:t>万元，主要包括：办公费</w:t>
      </w:r>
      <w:r>
        <w:rPr>
          <w:rFonts w:hint="eastAsia" w:ascii="仿宋" w:hAnsi="仿宋" w:eastAsia="仿宋"/>
          <w:sz w:val="32"/>
          <w:szCs w:val="32"/>
          <w:lang w:val="en-US" w:eastAsia="zh-CN"/>
        </w:rPr>
        <w:t>1.08万元</w:t>
      </w:r>
      <w:r>
        <w:rPr>
          <w:rFonts w:hint="eastAsia" w:ascii="仿宋" w:hAnsi="仿宋" w:eastAsia="仿宋"/>
          <w:sz w:val="32"/>
          <w:szCs w:val="32"/>
        </w:rPr>
        <w:t>、水费</w:t>
      </w:r>
      <w:r>
        <w:rPr>
          <w:rFonts w:hint="eastAsia" w:ascii="仿宋" w:hAnsi="仿宋" w:eastAsia="仿宋"/>
          <w:sz w:val="32"/>
          <w:szCs w:val="32"/>
          <w:lang w:val="en-US" w:eastAsia="zh-CN"/>
        </w:rPr>
        <w:t>0.06万元</w:t>
      </w:r>
      <w:r>
        <w:rPr>
          <w:rFonts w:hint="eastAsia" w:ascii="仿宋" w:hAnsi="仿宋" w:eastAsia="仿宋"/>
          <w:sz w:val="32"/>
          <w:szCs w:val="32"/>
        </w:rPr>
        <w:t>、电费</w:t>
      </w:r>
      <w:r>
        <w:rPr>
          <w:rFonts w:hint="eastAsia" w:ascii="仿宋" w:hAnsi="仿宋" w:eastAsia="仿宋"/>
          <w:sz w:val="32"/>
          <w:szCs w:val="32"/>
          <w:lang w:val="en-US" w:eastAsia="zh-CN"/>
        </w:rPr>
        <w:t>0.82万元</w:t>
      </w:r>
      <w:r>
        <w:rPr>
          <w:rFonts w:hint="eastAsia" w:ascii="仿宋" w:hAnsi="仿宋" w:eastAsia="仿宋"/>
          <w:sz w:val="32"/>
          <w:szCs w:val="32"/>
        </w:rPr>
        <w:t>、邮电费</w:t>
      </w:r>
      <w:r>
        <w:rPr>
          <w:rFonts w:hint="eastAsia" w:ascii="仿宋" w:hAnsi="仿宋" w:eastAsia="仿宋"/>
          <w:sz w:val="32"/>
          <w:szCs w:val="32"/>
          <w:lang w:val="en-US" w:eastAsia="zh-CN"/>
        </w:rPr>
        <w:t>0.53万元</w:t>
      </w:r>
      <w:r>
        <w:rPr>
          <w:rFonts w:hint="eastAsia" w:ascii="仿宋" w:hAnsi="仿宋" w:eastAsia="仿宋"/>
          <w:sz w:val="32"/>
          <w:szCs w:val="32"/>
        </w:rPr>
        <w:t>、物业管理费</w:t>
      </w:r>
      <w:r>
        <w:rPr>
          <w:rFonts w:hint="eastAsia" w:ascii="仿宋" w:hAnsi="仿宋" w:eastAsia="仿宋"/>
          <w:sz w:val="32"/>
          <w:szCs w:val="32"/>
          <w:lang w:val="en-US" w:eastAsia="zh-CN"/>
        </w:rPr>
        <w:t>0.18万元</w:t>
      </w:r>
      <w:r>
        <w:rPr>
          <w:rFonts w:hint="eastAsia" w:ascii="仿宋" w:hAnsi="仿宋" w:eastAsia="仿宋"/>
          <w:sz w:val="32"/>
          <w:szCs w:val="32"/>
        </w:rPr>
        <w:t>、差旅费</w:t>
      </w:r>
      <w:r>
        <w:rPr>
          <w:rFonts w:hint="eastAsia" w:ascii="仿宋" w:hAnsi="仿宋" w:eastAsia="仿宋"/>
          <w:sz w:val="32"/>
          <w:szCs w:val="32"/>
          <w:lang w:val="en-US" w:eastAsia="zh-CN"/>
        </w:rPr>
        <w:t>7.29万元</w:t>
      </w:r>
      <w:r>
        <w:rPr>
          <w:rFonts w:hint="eastAsia" w:ascii="仿宋" w:hAnsi="仿宋" w:eastAsia="仿宋"/>
          <w:sz w:val="32"/>
          <w:szCs w:val="32"/>
        </w:rPr>
        <w:t>、维修（护）费</w:t>
      </w:r>
      <w:r>
        <w:rPr>
          <w:rFonts w:hint="eastAsia" w:ascii="仿宋" w:hAnsi="仿宋" w:eastAsia="仿宋"/>
          <w:sz w:val="32"/>
          <w:szCs w:val="32"/>
          <w:lang w:val="en-US" w:eastAsia="zh-CN"/>
        </w:rPr>
        <w:t>0.91万元</w:t>
      </w:r>
      <w:r>
        <w:rPr>
          <w:rFonts w:hint="eastAsia" w:ascii="仿宋" w:hAnsi="仿宋" w:eastAsia="仿宋"/>
          <w:sz w:val="32"/>
          <w:szCs w:val="32"/>
        </w:rPr>
        <w:t>、培训费</w:t>
      </w:r>
      <w:r>
        <w:rPr>
          <w:rFonts w:hint="eastAsia" w:ascii="仿宋" w:hAnsi="仿宋" w:eastAsia="仿宋"/>
          <w:sz w:val="32"/>
          <w:szCs w:val="32"/>
          <w:lang w:val="en-US" w:eastAsia="zh-CN"/>
        </w:rPr>
        <w:t>0.07万元</w:t>
      </w:r>
      <w:r>
        <w:rPr>
          <w:rFonts w:hint="eastAsia" w:ascii="仿宋" w:hAnsi="仿宋" w:eastAsia="仿宋"/>
          <w:sz w:val="32"/>
          <w:szCs w:val="32"/>
        </w:rPr>
        <w:t>、公务接待费</w:t>
      </w:r>
      <w:r>
        <w:rPr>
          <w:rFonts w:hint="eastAsia" w:ascii="仿宋" w:hAnsi="仿宋" w:eastAsia="仿宋"/>
          <w:sz w:val="32"/>
          <w:szCs w:val="32"/>
          <w:lang w:val="en-US" w:eastAsia="zh-CN"/>
        </w:rPr>
        <w:t>1.12万元</w:t>
      </w:r>
      <w:r>
        <w:rPr>
          <w:rFonts w:hint="eastAsia" w:ascii="仿宋" w:hAnsi="仿宋" w:eastAsia="仿宋"/>
          <w:sz w:val="32"/>
          <w:szCs w:val="32"/>
        </w:rPr>
        <w:t>、委托业务费</w:t>
      </w:r>
      <w:r>
        <w:rPr>
          <w:rFonts w:hint="eastAsia" w:ascii="仿宋" w:hAnsi="仿宋" w:eastAsia="仿宋"/>
          <w:sz w:val="32"/>
          <w:szCs w:val="32"/>
          <w:lang w:val="en-US" w:eastAsia="zh-CN"/>
        </w:rPr>
        <w:t>4.46万元</w:t>
      </w:r>
      <w:r>
        <w:rPr>
          <w:rFonts w:hint="eastAsia" w:ascii="仿宋" w:hAnsi="仿宋" w:eastAsia="仿宋"/>
          <w:sz w:val="32"/>
          <w:szCs w:val="32"/>
        </w:rPr>
        <w:t>、工会经费</w:t>
      </w:r>
      <w:r>
        <w:rPr>
          <w:rFonts w:hint="eastAsia" w:ascii="仿宋" w:hAnsi="仿宋" w:eastAsia="仿宋"/>
          <w:sz w:val="32"/>
          <w:szCs w:val="32"/>
          <w:lang w:val="en-US" w:eastAsia="zh-CN"/>
        </w:rPr>
        <w:t>2.79万元</w:t>
      </w:r>
      <w:r>
        <w:rPr>
          <w:rFonts w:hint="eastAsia" w:ascii="仿宋" w:hAnsi="仿宋" w:eastAsia="仿宋"/>
          <w:sz w:val="32"/>
          <w:szCs w:val="32"/>
        </w:rPr>
        <w:t>、福利费</w:t>
      </w:r>
      <w:r>
        <w:rPr>
          <w:rFonts w:hint="eastAsia" w:ascii="仿宋" w:hAnsi="仿宋" w:eastAsia="仿宋"/>
          <w:sz w:val="32"/>
          <w:szCs w:val="32"/>
          <w:lang w:val="en-US" w:eastAsia="zh-CN"/>
        </w:rPr>
        <w:t>2.74万元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2.27万元</w:t>
      </w:r>
      <w:r>
        <w:rPr>
          <w:rFonts w:hint="eastAsia" w:ascii="仿宋" w:hAnsi="仿宋" w:eastAsia="仿宋"/>
          <w:sz w:val="32"/>
          <w:szCs w:val="32"/>
        </w:rPr>
        <w:t>、办公设备购置</w:t>
      </w:r>
      <w:r>
        <w:rPr>
          <w:rFonts w:hint="eastAsia" w:ascii="仿宋" w:hAnsi="仿宋" w:eastAsia="仿宋"/>
          <w:sz w:val="32"/>
          <w:szCs w:val="32"/>
          <w:lang w:val="en-US" w:eastAsia="zh-CN"/>
        </w:rPr>
        <w:t>0.71万元</w:t>
      </w:r>
      <w:r>
        <w:rPr>
          <w:rFonts w:hint="eastAsia" w:ascii="仿宋" w:hAnsi="仿宋" w:eastAsia="仿宋"/>
          <w:sz w:val="32"/>
          <w:szCs w:val="32"/>
        </w:rPr>
        <w:t>。</w:t>
      </w:r>
    </w:p>
    <w:p w14:paraId="64AD6863">
      <w:pPr>
        <w:spacing w:line="600" w:lineRule="exact"/>
        <w:ind w:firstLine="640"/>
        <w:rPr>
          <w:rFonts w:ascii="仿宋" w:hAnsi="仿宋" w:eastAsia="仿宋"/>
          <w:b/>
          <w:sz w:val="32"/>
          <w:szCs w:val="32"/>
        </w:rPr>
      </w:pPr>
    </w:p>
    <w:p w14:paraId="41D1FBA4">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0F8AEB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B75E503">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1.12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highlight w:val="none"/>
        </w:rPr>
        <w:t>，较上年度减少</w:t>
      </w:r>
      <w:r>
        <w:rPr>
          <w:rFonts w:hint="eastAsia" w:ascii="仿宋" w:hAnsi="仿宋" w:eastAsia="仿宋"/>
          <w:sz w:val="32"/>
          <w:szCs w:val="32"/>
          <w:highlight w:val="none"/>
          <w:lang w:val="en-US" w:eastAsia="zh-CN"/>
        </w:rPr>
        <w:t>0.13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10.4</w:t>
      </w:r>
      <w:r>
        <w:rPr>
          <w:rFonts w:hint="eastAsia" w:ascii="仿宋" w:hAnsi="仿宋" w:eastAsia="仿宋"/>
          <w:sz w:val="32"/>
          <w:szCs w:val="32"/>
          <w:highlight w:val="none"/>
        </w:rPr>
        <w:t>%。决算数与预算数持平。</w:t>
      </w:r>
    </w:p>
    <w:p w14:paraId="3270109D">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802BA67">
      <w:pPr>
        <w:spacing w:line="600" w:lineRule="exact"/>
        <w:ind w:firstLine="640"/>
        <w:rPr>
          <w:rFonts w:hint="eastAsia" w:ascii="仿宋" w:hAnsi="仿宋" w:eastAsia="仿宋"/>
          <w:sz w:val="32"/>
          <w:szCs w:val="32"/>
          <w:highlight w:val="none"/>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none"/>
        </w:rPr>
        <w:t>，因公出国（境）费支出决算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1.12</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59B6F546">
      <w:pPr>
        <w:pStyle w:val="2"/>
        <w:rPr>
          <w:rFonts w:hint="eastAsia" w:ascii="仿宋" w:hAnsi="仿宋" w:eastAsia="仿宋"/>
          <w:sz w:val="32"/>
          <w:szCs w:val="32"/>
          <w:highlight w:val="none"/>
        </w:rPr>
      </w:pPr>
    </w:p>
    <w:p w14:paraId="5BF8BDC5">
      <w:pPr>
        <w:pStyle w:val="2"/>
        <w:jc w:val="center"/>
        <w:rPr>
          <w:rFonts w:hint="eastAsia" w:ascii="仿宋" w:hAnsi="仿宋" w:eastAsia="仿宋"/>
          <w:sz w:val="32"/>
          <w:szCs w:val="32"/>
          <w:highlight w:val="none"/>
        </w:rPr>
      </w:pPr>
      <w:r>
        <w:drawing>
          <wp:inline distT="0" distB="0" distL="114300" distR="114300">
            <wp:extent cx="4091940" cy="2926080"/>
            <wp:effectExtent l="4445" t="5080" r="18415" b="1016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3F91DB">
      <w:pP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图7：“三公”经费财政拨款支出结构</w:t>
      </w:r>
    </w:p>
    <w:p w14:paraId="2744D953">
      <w:pPr>
        <w:spacing w:line="600" w:lineRule="exact"/>
        <w:ind w:firstLine="640"/>
        <w:rPr>
          <w:rFonts w:ascii="仿宋_GB2312" w:eastAsia="仿宋_GB2312"/>
          <w:b/>
          <w:sz w:val="32"/>
          <w:szCs w:val="32"/>
          <w:highlight w:val="none"/>
        </w:rPr>
      </w:pPr>
      <w:bookmarkStart w:id="40" w:name="_Toc15377218"/>
      <w:bookmarkStart w:id="41"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3498B78E">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559F44E8">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12E4C6AD">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p>
    <w:p w14:paraId="4C6F5A2F">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_GB2312" w:eastAsia="仿宋_GB2312"/>
          <w:b/>
          <w:sz w:val="32"/>
          <w:szCs w:val="32"/>
          <w:highlight w:val="none"/>
          <w:lang w:val="en-US" w:eastAsia="zh-CN"/>
        </w:rPr>
        <w:t>1.12</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公务接待费支出决算比2022年度减少</w:t>
      </w:r>
      <w:r>
        <w:rPr>
          <w:rFonts w:hint="eastAsia" w:ascii="仿宋_GB2312" w:eastAsia="仿宋_GB2312"/>
          <w:sz w:val="32"/>
          <w:szCs w:val="32"/>
          <w:highlight w:val="none"/>
          <w:lang w:val="en-US" w:eastAsia="zh-CN"/>
        </w:rPr>
        <w:t>0.13</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10.4</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color w:val="auto"/>
          <w:sz w:val="32"/>
          <w:szCs w:val="32"/>
          <w:highlight w:val="none"/>
          <w:lang w:eastAsia="zh-CN"/>
        </w:rPr>
        <w:t>践行党政机关过“紧日子”的观念，压缩“三公”经费</w:t>
      </w:r>
      <w:r>
        <w:rPr>
          <w:rFonts w:hint="eastAsia" w:ascii="仿宋_GB2312" w:eastAsia="仿宋_GB2312"/>
          <w:sz w:val="32"/>
          <w:szCs w:val="32"/>
          <w:highlight w:val="none"/>
        </w:rPr>
        <w:t>。其中：</w:t>
      </w:r>
    </w:p>
    <w:p w14:paraId="0AEF2045">
      <w:pPr>
        <w:spacing w:line="600" w:lineRule="exact"/>
        <w:ind w:firstLine="640"/>
        <w:rPr>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1.12</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主要用于执行公务、开展业务活动开支的交通费、住宿费、用餐费等</w:t>
      </w:r>
      <w:r>
        <w:rPr>
          <w:rFonts w:hint="eastAsia" w:ascii="仿宋_GB2312" w:eastAsia="仿宋_GB2312"/>
          <w:sz w:val="32"/>
          <w:szCs w:val="32"/>
          <w:highlight w:val="none"/>
        </w:rPr>
        <w:t>。</w:t>
      </w:r>
      <w:r>
        <w:rPr>
          <w:rFonts w:hint="eastAsia" w:ascii="仿宋_GB2312" w:eastAsia="仿宋_GB2312"/>
          <w:color w:val="auto"/>
          <w:sz w:val="32"/>
          <w:szCs w:val="32"/>
          <w:highlight w:val="none"/>
        </w:rPr>
        <w:t>国内公务接待</w:t>
      </w:r>
      <w:r>
        <w:rPr>
          <w:rFonts w:hint="eastAsia"/>
          <w:color w:val="auto"/>
          <w:sz w:val="32"/>
          <w:szCs w:val="32"/>
          <w:highlight w:val="none"/>
          <w:lang w:val="en-US" w:eastAsia="zh-CN"/>
        </w:rPr>
        <w:t>445</w:t>
      </w:r>
      <w:r>
        <w:rPr>
          <w:rFonts w:hint="eastAsia" w:ascii="仿宋_GB2312" w:eastAsia="仿宋_GB2312"/>
          <w:color w:val="auto"/>
          <w:sz w:val="32"/>
          <w:szCs w:val="32"/>
          <w:highlight w:val="none"/>
        </w:rPr>
        <w:t>批次，</w:t>
      </w:r>
      <w:r>
        <w:rPr>
          <w:rFonts w:hint="eastAsia"/>
          <w:color w:val="auto"/>
          <w:sz w:val="32"/>
          <w:szCs w:val="32"/>
          <w:highlight w:val="none"/>
          <w:lang w:val="en-US" w:eastAsia="zh-CN"/>
        </w:rPr>
        <w:t>224</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w:t>
      </w:r>
      <w:r>
        <w:rPr>
          <w:rFonts w:hint="eastAsia"/>
          <w:color w:val="auto"/>
          <w:sz w:val="32"/>
          <w:szCs w:val="32"/>
          <w:highlight w:val="none"/>
          <w:lang w:val="en-US" w:eastAsia="zh-CN"/>
        </w:rPr>
        <w:t>12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上级领导和专家到我县检查指导工作</w:t>
      </w:r>
      <w:r>
        <w:rPr>
          <w:rFonts w:hint="eastAsia" w:ascii="仿宋_GB2312" w:eastAsia="仿宋_GB2312"/>
          <w:color w:val="auto"/>
          <w:sz w:val="32"/>
          <w:szCs w:val="32"/>
          <w:highlight w:val="none"/>
        </w:rPr>
        <w:t>。</w:t>
      </w:r>
    </w:p>
    <w:p w14:paraId="6F26743F">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747E8BE5">
      <w:pPr>
        <w:spacing w:line="600" w:lineRule="exact"/>
        <w:ind w:firstLine="640"/>
        <w:outlineLvl w:val="1"/>
        <w:rPr>
          <w:rFonts w:ascii="黑体" w:eastAsia="黑体"/>
          <w:sz w:val="32"/>
          <w:szCs w:val="32"/>
        </w:rPr>
      </w:pPr>
    </w:p>
    <w:p w14:paraId="73BEBF0C">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52096A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75E13371">
      <w:pPr>
        <w:spacing w:line="600" w:lineRule="exact"/>
        <w:ind w:firstLine="640"/>
        <w:rPr>
          <w:rFonts w:ascii="仿宋_GB2312" w:eastAsia="仿宋_GB2312"/>
          <w:sz w:val="32"/>
          <w:szCs w:val="32"/>
        </w:rPr>
      </w:pPr>
    </w:p>
    <w:p w14:paraId="1B98E860">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4BEA80C2">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C9CC3A5">
      <w:pPr>
        <w:spacing w:line="580" w:lineRule="exact"/>
        <w:jc w:val="center"/>
        <w:rPr>
          <w:rFonts w:ascii="方正小标宋简体" w:hAnsi="方正小标宋简体" w:eastAsia="方正小标宋简体" w:cs="方正小标宋简体"/>
          <w:sz w:val="44"/>
          <w:szCs w:val="44"/>
        </w:rPr>
      </w:pPr>
    </w:p>
    <w:p w14:paraId="7681197F">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02BD276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8972488">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2023年度，</w:t>
      </w:r>
      <w:r>
        <w:rPr>
          <w:rFonts w:hint="eastAsia" w:ascii="仿宋_GB2312" w:eastAsia="仿宋_GB2312"/>
          <w:b/>
          <w:sz w:val="32"/>
          <w:szCs w:val="32"/>
          <w:highlight w:val="none"/>
          <w:lang w:val="en-US" w:eastAsia="zh-CN"/>
        </w:rPr>
        <w:t>本单位</w:t>
      </w:r>
      <w:r>
        <w:rPr>
          <w:rFonts w:hint="eastAsia" w:ascii="仿宋_GB2312" w:eastAsia="仿宋_GB2312"/>
          <w:sz w:val="32"/>
          <w:szCs w:val="32"/>
          <w:highlight w:val="none"/>
        </w:rPr>
        <w:t>机关运行经费支出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万元，与2022年度决算数持平</w:t>
      </w:r>
      <w:r>
        <w:rPr>
          <w:rFonts w:hint="eastAsia" w:ascii="仿宋_GB2312" w:eastAsia="仿宋_GB2312"/>
          <w:sz w:val="32"/>
          <w:szCs w:val="32"/>
          <w:highlight w:val="none"/>
          <w:lang w:eastAsia="zh-CN"/>
        </w:rPr>
        <w:t>。</w:t>
      </w:r>
    </w:p>
    <w:p w14:paraId="438A9DE4">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7" w:name="_Toc15377223"/>
      <w:r>
        <w:rPr>
          <w:rFonts w:hint="eastAsia" w:ascii="仿宋" w:hAnsi="仿宋" w:eastAsia="仿宋"/>
          <w:b/>
          <w:sz w:val="32"/>
          <w:szCs w:val="32"/>
          <w:highlight w:val="none"/>
        </w:rPr>
        <w:t>（二）政府采购支出情况</w:t>
      </w:r>
      <w:bookmarkEnd w:id="47"/>
    </w:p>
    <w:p w14:paraId="35640C87">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sz w:val="32"/>
          <w:szCs w:val="32"/>
          <w:highlight w:val="none"/>
          <w:lang w:eastAsia="zh-CN"/>
        </w:rPr>
        <w:t>本单位</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1A13D7C">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8" w:name="_Toc15377224"/>
      <w:r>
        <w:rPr>
          <w:rFonts w:hint="eastAsia" w:ascii="仿宋" w:hAnsi="仿宋" w:eastAsia="仿宋"/>
          <w:b/>
          <w:sz w:val="32"/>
          <w:szCs w:val="32"/>
          <w:highlight w:val="none"/>
        </w:rPr>
        <w:t>（三）国有资产占有使用情况</w:t>
      </w:r>
      <w:bookmarkEnd w:id="48"/>
    </w:p>
    <w:p w14:paraId="0B5A192D">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sz w:val="32"/>
          <w:szCs w:val="32"/>
          <w:highlight w:val="none"/>
          <w:lang w:eastAsia="zh-CN"/>
        </w:rPr>
        <w:t>本单位</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3E74BBB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6CCC61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w:t>
      </w:r>
      <w:r>
        <w:rPr>
          <w:rFonts w:hint="eastAsia" w:ascii="仿宋_GB2312" w:eastAsia="仿宋_GB2312"/>
          <w:sz w:val="32"/>
          <w:szCs w:val="32"/>
        </w:rPr>
        <w:t>个项目开展绩效自评，绩效自评表详见第四部分附件。</w:t>
      </w:r>
    </w:p>
    <w:p w14:paraId="03E7294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E4A01BE">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25D873F">
      <w:pPr>
        <w:spacing w:line="600" w:lineRule="exact"/>
        <w:jc w:val="left"/>
        <w:rPr>
          <w:rFonts w:ascii="宋体"/>
          <w:b/>
          <w:sz w:val="44"/>
          <w:szCs w:val="44"/>
        </w:rPr>
      </w:pPr>
    </w:p>
    <w:p w14:paraId="0E063BA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A445DA0">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0B0B34F0">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3A27571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64FABF35">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30C02718">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4540E5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6582F12">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0C5220A4">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.社会保障和就业（208）行政事业单位养老支出（05）事业单位离退休（02）:</w:t>
      </w:r>
      <w:r>
        <w:rPr>
          <w:rFonts w:hint="eastAsia" w:ascii="仿宋_GB2312" w:eastAsia="仿宋_GB2312"/>
          <w:color w:val="auto"/>
          <w:sz w:val="32"/>
          <w:szCs w:val="32"/>
          <w:highlight w:val="none"/>
          <w:lang w:eastAsia="zh-CN"/>
        </w:rPr>
        <w:t>指反映事业单位开支的离退休经费。</w:t>
      </w:r>
    </w:p>
    <w:p w14:paraId="4011D17E">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社会保障和就业（208）行政事业单位养老支出（05）机关事业单位基本养老保险缴费支出（05）：指反映机关事业单位实施养老保险制度由单位缴纳的基本养老保险费支出。</w:t>
      </w:r>
    </w:p>
    <w:p w14:paraId="7123479C">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社会保障和就业（208）行政事业单位养老支出（05）机关事业单位职业年金缴费支出（06）：指反映机关事业单位实施养老保险制度由单位缴纳的职业年金支出。</w:t>
      </w:r>
    </w:p>
    <w:p w14:paraId="562C4C6E">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社会保障和就业（208）行政事业单位养老支出（05）其他行政事业单位养老支出（99）：指用于除上述项目外其他行政事业单位养老方面的支出。</w:t>
      </w:r>
    </w:p>
    <w:p w14:paraId="427CF8CA">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卫生健康支出（210）行政事业单位医疗（11款）事业单位医疗（02）：指财政部门安排的事业单位基本医疗保险缴费经费。</w:t>
      </w:r>
    </w:p>
    <w:p w14:paraId="71D76362">
      <w:pPr>
        <w:ind w:firstLine="640" w:firstLineChars="200"/>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农林水支出（213）农业农村（01）事业运行（04）</w:t>
      </w:r>
      <w:r>
        <w:rPr>
          <w:rFonts w:hint="eastAsia" w:ascii="仿宋_GB2312" w:eastAsia="仿宋_GB2312"/>
          <w:sz w:val="32"/>
          <w:szCs w:val="32"/>
          <w:lang w:eastAsia="zh-CN"/>
        </w:rPr>
        <w:t>：指反映用于农业</w:t>
      </w:r>
      <w:r>
        <w:rPr>
          <w:rFonts w:hint="eastAsia" w:ascii="仿宋_GB2312" w:eastAsia="仿宋_GB2312"/>
          <w:sz w:val="32"/>
          <w:szCs w:val="32"/>
        </w:rPr>
        <w:t>事业单位基本支出，事业单位设施、系统运行与资产维护等方面的支出。</w:t>
      </w:r>
    </w:p>
    <w:p w14:paraId="3E5A3AB4">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农林水支出（213）农业农村（01）其他农业农村支出（99）：指用于除上述项目外其他</w:t>
      </w:r>
      <w:r>
        <w:rPr>
          <w:rFonts w:hint="eastAsia" w:ascii="仿宋_GB2312" w:eastAsia="仿宋_GB2312"/>
          <w:sz w:val="32"/>
          <w:szCs w:val="32"/>
          <w:lang w:eastAsia="zh-CN"/>
        </w:rPr>
        <w:t>用于农业农村</w:t>
      </w:r>
      <w:r>
        <w:rPr>
          <w:rFonts w:hint="eastAsia" w:ascii="仿宋_GB2312" w:eastAsia="仿宋_GB2312"/>
          <w:sz w:val="32"/>
          <w:szCs w:val="32"/>
        </w:rPr>
        <w:t>方面的支出。</w:t>
      </w:r>
    </w:p>
    <w:p w14:paraId="34B9B86D">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住房保障支出（221）住房改革支出（02）住房公积金（01）：指按人力资源和社会保障部、财政部规定的基本工资和津贴补贴以及规定比例为职工缴纳的住房公积金。</w:t>
      </w:r>
    </w:p>
    <w:p w14:paraId="2302593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14:paraId="5CD373D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656187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FB825F4">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3BDDD2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970A21">
      <w:pPr>
        <w:pStyle w:val="25"/>
        <w:spacing w:line="560" w:lineRule="exact"/>
        <w:rPr>
          <w:rFonts w:ascii="仿宋_GB2312" w:eastAsia="仿宋_GB2312" w:cs="黑体"/>
          <w:color w:val="auto"/>
          <w:sz w:val="32"/>
          <w:szCs w:val="32"/>
        </w:rPr>
      </w:pPr>
    </w:p>
    <w:p w14:paraId="23D7E269">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2F1AFD6E">
      <w:pPr>
        <w:pStyle w:val="2"/>
        <w:spacing w:before="93"/>
        <w:rPr>
          <w:rFonts w:hAnsi="Calibri" w:cs="仿宋"/>
          <w:sz w:val="32"/>
          <w:szCs w:val="32"/>
        </w:rPr>
      </w:pPr>
      <w:bookmarkStart w:id="53" w:name="_Toc15396618"/>
    </w:p>
    <w:tbl>
      <w:tblPr>
        <w:tblStyle w:val="14"/>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03"/>
        <w:gridCol w:w="921"/>
        <w:gridCol w:w="1145"/>
        <w:gridCol w:w="396"/>
        <w:gridCol w:w="882"/>
        <w:gridCol w:w="396"/>
        <w:gridCol w:w="846"/>
        <w:gridCol w:w="486"/>
        <w:gridCol w:w="396"/>
        <w:gridCol w:w="1293"/>
      </w:tblGrid>
      <w:tr w14:paraId="7B01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BC8FF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6E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F61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E49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51172422T000006649741-液氮购置及运输</w:t>
            </w:r>
          </w:p>
        </w:tc>
      </w:tr>
      <w:tr w14:paraId="1FC0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C54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A6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大竹县牲畜良种推广站部门</w:t>
            </w:r>
          </w:p>
        </w:tc>
        <w:tc>
          <w:tcPr>
            <w:tcW w:w="643" w:type="dxa"/>
            <w:tcBorders>
              <w:top w:val="nil"/>
              <w:left w:val="nil"/>
              <w:bottom w:val="nil"/>
              <w:right w:val="nil"/>
            </w:tcBorders>
            <w:shd w:val="clear" w:color="auto" w:fill="auto"/>
            <w:vAlign w:val="center"/>
          </w:tcPr>
          <w:p w14:paraId="6596F67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6C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大竹县牲畜良种推广站</w:t>
            </w:r>
          </w:p>
        </w:tc>
      </w:tr>
      <w:tr w14:paraId="328A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3FF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2B5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18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B84D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84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2D789">
            <w:pP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2D98">
            <w:pPr>
              <w:rPr>
                <w:rFonts w:hint="eastAsia" w:ascii="宋体" w:hAnsi="宋体" w:eastAsia="宋体" w:cs="宋体"/>
                <w:i w:val="0"/>
                <w:iCs w:val="0"/>
                <w:color w:val="000000"/>
                <w:sz w:val="18"/>
                <w:szCs w:val="18"/>
                <w:u w:val="none"/>
              </w:rPr>
            </w:pP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8B8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及时从达州市购买和运输液氮，确保单位的肉牛冻精能够得到有效保存。及时向各个乡镇配送肉牛冻精，确保养殖户的正常生产经营，提高服务质量与服务效果，为我县畜牧业持续健康稳步发展添砖加瓦。</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C01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本站及时从达州市购买和运输液氮，确保单位的肉牛冻精能够得到有效保存。及时向各个乡镇配送肉牛冻精，确保养殖户的正常生产经营。</w:t>
            </w:r>
          </w:p>
        </w:tc>
      </w:tr>
      <w:tr w14:paraId="2948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221D">
            <w:pP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C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75C914">
            <w:pPr>
              <w:rPr>
                <w:rFonts w:hint="eastAsia" w:ascii="宋体" w:hAnsi="宋体" w:eastAsia="宋体" w:cs="宋体"/>
                <w:i w:val="0"/>
                <w:iCs w:val="0"/>
                <w:color w:val="000000"/>
                <w:sz w:val="18"/>
                <w:szCs w:val="18"/>
                <w:u w:val="none"/>
              </w:rPr>
            </w:pPr>
          </w:p>
        </w:tc>
      </w:tr>
      <w:tr w14:paraId="04C0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A4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B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C9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F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C4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12F0">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9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F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EA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5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1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3A8C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44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8B7ED">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F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4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74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A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A13D">
            <w:pPr>
              <w:rPr>
                <w:rFonts w:hint="eastAsia" w:ascii="黑体" w:hAnsi="黑体" w:eastAsia="黑体" w:cs="黑体"/>
                <w:i/>
                <w:iCs/>
                <w:color w:val="000000"/>
                <w:sz w:val="18"/>
                <w:szCs w:val="18"/>
                <w:u w:val="none"/>
              </w:rPr>
            </w:pPr>
          </w:p>
        </w:tc>
      </w:tr>
      <w:tr w14:paraId="1034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1AFF">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2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B2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6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4599">
            <w:pPr>
              <w:rPr>
                <w:rFonts w:hint="eastAsia" w:ascii="黑体" w:hAnsi="黑体" w:eastAsia="黑体" w:cs="黑体"/>
                <w:i/>
                <w:iCs/>
                <w:color w:val="000000"/>
                <w:sz w:val="18"/>
                <w:szCs w:val="18"/>
                <w:u w:val="none"/>
              </w:rPr>
            </w:pPr>
          </w:p>
        </w:tc>
      </w:tr>
      <w:tr w14:paraId="4AE9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AC06">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5C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2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2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AE6B">
            <w:pPr>
              <w:rPr>
                <w:rFonts w:hint="eastAsia" w:ascii="黑体" w:hAnsi="黑体" w:eastAsia="黑体" w:cs="黑体"/>
                <w:i/>
                <w:iCs/>
                <w:color w:val="000000"/>
                <w:sz w:val="18"/>
                <w:szCs w:val="18"/>
                <w:u w:val="none"/>
              </w:rPr>
            </w:pPr>
          </w:p>
        </w:tc>
      </w:tr>
      <w:tr w14:paraId="15B0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312F1">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5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3DA4">
            <w:pPr>
              <w:jc w:val="center"/>
              <w:rPr>
                <w:rFonts w:hint="eastAsia" w:ascii="微软雅黑" w:hAnsi="微软雅黑" w:eastAsia="微软雅黑" w:cs="微软雅黑"/>
                <w:i/>
                <w:iCs/>
                <w:color w:val="000000"/>
                <w:sz w:val="16"/>
                <w:szCs w:val="16"/>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6518">
            <w:pPr>
              <w:jc w:val="center"/>
              <w:rPr>
                <w:rFonts w:hint="eastAsia" w:ascii="微软雅黑" w:hAnsi="微软雅黑" w:eastAsia="微软雅黑" w:cs="微软雅黑"/>
                <w:i/>
                <w:iCs/>
                <w:color w:val="000000"/>
                <w:sz w:val="16"/>
                <w:szCs w:val="16"/>
                <w:u w:val="none"/>
              </w:rPr>
            </w:pP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4667D">
            <w:pPr>
              <w:jc w:val="center"/>
              <w:rPr>
                <w:rFonts w:hint="eastAsia" w:ascii="微软雅黑" w:hAnsi="微软雅黑" w:eastAsia="微软雅黑" w:cs="微软雅黑"/>
                <w:i/>
                <w:iCs/>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3E7">
            <w:pPr>
              <w:jc w:val="center"/>
              <w:rPr>
                <w:rFonts w:hint="eastAsia" w:ascii="微软雅黑" w:hAnsi="微软雅黑" w:eastAsia="微软雅黑" w:cs="微软雅黑"/>
                <w:i/>
                <w:iCs/>
                <w:color w:val="000000"/>
                <w:sz w:val="16"/>
                <w:szCs w:val="16"/>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1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0683">
            <w:pPr>
              <w:rPr>
                <w:rFonts w:hint="eastAsia" w:ascii="黑体" w:hAnsi="黑体" w:eastAsia="黑体" w:cs="黑体"/>
                <w:i/>
                <w:iCs/>
                <w:color w:val="000000"/>
                <w:sz w:val="18"/>
                <w:szCs w:val="18"/>
                <w:u w:val="none"/>
              </w:rPr>
            </w:pPr>
          </w:p>
        </w:tc>
      </w:tr>
      <w:tr w14:paraId="0CD5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34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1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F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E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1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F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674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791A">
            <w:pPr>
              <w:jc w:val="center"/>
              <w:rPr>
                <w:rFonts w:hint="eastAsia" w:ascii="宋体" w:hAnsi="宋体" w:eastAsia="宋体" w:cs="宋体"/>
                <w:i w:val="0"/>
                <w:iCs w:val="0"/>
                <w:color w:val="000000"/>
                <w:sz w:val="18"/>
                <w:szCs w:val="18"/>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30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58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6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肉牛冻精配送次数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B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972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320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9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295">
            <w:pPr>
              <w:jc w:val="center"/>
              <w:rPr>
                <w:rFonts w:hint="eastAsia" w:ascii="微软雅黑" w:hAnsi="微软雅黑" w:eastAsia="微软雅黑" w:cs="微软雅黑"/>
                <w:i/>
                <w:iCs/>
                <w:color w:val="000000"/>
                <w:sz w:val="16"/>
                <w:szCs w:val="16"/>
                <w:u w:val="none"/>
              </w:rPr>
            </w:pPr>
          </w:p>
        </w:tc>
      </w:tr>
      <w:tr w14:paraId="614C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6D75">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37BA">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5570">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7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液氮运输次数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67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0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7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FE6">
            <w:pPr>
              <w:jc w:val="center"/>
              <w:rPr>
                <w:rFonts w:hint="eastAsia" w:ascii="微软雅黑" w:hAnsi="微软雅黑" w:eastAsia="微软雅黑" w:cs="微软雅黑"/>
                <w:i/>
                <w:iCs/>
                <w:color w:val="000000"/>
                <w:sz w:val="16"/>
                <w:szCs w:val="16"/>
                <w:u w:val="none"/>
              </w:rPr>
            </w:pPr>
          </w:p>
        </w:tc>
      </w:tr>
      <w:tr w14:paraId="1D61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38E1">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712E2">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1A8E">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购买液氮罐数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9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9E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6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A5B0">
            <w:pPr>
              <w:jc w:val="center"/>
              <w:rPr>
                <w:rFonts w:hint="eastAsia" w:ascii="微软雅黑" w:hAnsi="微软雅黑" w:eastAsia="微软雅黑" w:cs="微软雅黑"/>
                <w:i/>
                <w:iCs/>
                <w:color w:val="000000"/>
                <w:sz w:val="16"/>
                <w:szCs w:val="16"/>
                <w:u w:val="none"/>
              </w:rPr>
            </w:pPr>
          </w:p>
        </w:tc>
      </w:tr>
      <w:tr w14:paraId="7786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C561">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6DE9">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C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良好保存肉牛冻精</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D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4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FE7D">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E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B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A4C">
            <w:pPr>
              <w:jc w:val="center"/>
              <w:rPr>
                <w:rFonts w:hint="eastAsia" w:ascii="微软雅黑" w:hAnsi="微软雅黑" w:eastAsia="微软雅黑" w:cs="微软雅黑"/>
                <w:i/>
                <w:iCs/>
                <w:color w:val="000000"/>
                <w:sz w:val="16"/>
                <w:szCs w:val="16"/>
                <w:u w:val="none"/>
              </w:rPr>
            </w:pPr>
          </w:p>
        </w:tc>
      </w:tr>
      <w:tr w14:paraId="339F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3BAD">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8F72">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0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及时购买液氮和运送冻精</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2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F94">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30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5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92D1">
            <w:pPr>
              <w:jc w:val="center"/>
              <w:rPr>
                <w:rFonts w:hint="eastAsia" w:ascii="微软雅黑" w:hAnsi="微软雅黑" w:eastAsia="微软雅黑" w:cs="微软雅黑"/>
                <w:i/>
                <w:iCs/>
                <w:color w:val="000000"/>
                <w:sz w:val="16"/>
                <w:szCs w:val="16"/>
                <w:u w:val="none"/>
              </w:rPr>
            </w:pPr>
          </w:p>
        </w:tc>
      </w:tr>
      <w:tr w14:paraId="5870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C88F">
            <w:pPr>
              <w:jc w:val="center"/>
              <w:rPr>
                <w:rFonts w:hint="eastAsia" w:ascii="宋体" w:hAnsi="宋体" w:eastAsia="宋体" w:cs="宋体"/>
                <w:i w:val="0"/>
                <w:iCs w:val="0"/>
                <w:color w:val="000000"/>
                <w:sz w:val="18"/>
                <w:szCs w:val="18"/>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66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2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合理合规购买液氮</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214">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EC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2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A36">
            <w:pPr>
              <w:jc w:val="center"/>
              <w:rPr>
                <w:rFonts w:hint="eastAsia" w:ascii="微软雅黑" w:hAnsi="微软雅黑" w:eastAsia="微软雅黑" w:cs="微软雅黑"/>
                <w:i/>
                <w:iCs/>
                <w:color w:val="000000"/>
                <w:sz w:val="16"/>
                <w:szCs w:val="16"/>
                <w:u w:val="none"/>
              </w:rPr>
            </w:pPr>
          </w:p>
        </w:tc>
      </w:tr>
      <w:tr w14:paraId="25ED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A513">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8CB9">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2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储存肉牛冻精，用于良种推广</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7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AF2">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CF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E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9F78">
            <w:pPr>
              <w:jc w:val="center"/>
              <w:rPr>
                <w:rFonts w:hint="eastAsia" w:ascii="微软雅黑" w:hAnsi="微软雅黑" w:eastAsia="微软雅黑" w:cs="微软雅黑"/>
                <w:i/>
                <w:iCs/>
                <w:color w:val="000000"/>
                <w:sz w:val="16"/>
                <w:szCs w:val="16"/>
                <w:u w:val="none"/>
              </w:rPr>
            </w:pPr>
          </w:p>
        </w:tc>
      </w:tr>
      <w:tr w14:paraId="2F5C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B5FF">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A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F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0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服务对象满意度不低于90%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E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1A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7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FC82">
            <w:pPr>
              <w:jc w:val="center"/>
              <w:rPr>
                <w:rFonts w:hint="eastAsia" w:ascii="微软雅黑" w:hAnsi="微软雅黑" w:eastAsia="微软雅黑" w:cs="微软雅黑"/>
                <w:i/>
                <w:iCs/>
                <w:color w:val="000000"/>
                <w:sz w:val="16"/>
                <w:szCs w:val="16"/>
                <w:u w:val="none"/>
              </w:rPr>
            </w:pPr>
          </w:p>
        </w:tc>
      </w:tr>
      <w:tr w14:paraId="3340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BA930">
            <w:pPr>
              <w:jc w:val="center"/>
              <w:rPr>
                <w:rFonts w:hint="eastAsia" w:ascii="宋体" w:hAnsi="宋体" w:eastAsia="宋体" w:cs="宋体"/>
                <w:i w:val="0"/>
                <w:iCs w:val="0"/>
                <w:color w:val="000000"/>
                <w:sz w:val="18"/>
                <w:szCs w:val="18"/>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0B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AE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2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一次液氮运输400元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A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5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D2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2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2546">
            <w:pPr>
              <w:jc w:val="center"/>
              <w:rPr>
                <w:rFonts w:hint="eastAsia" w:ascii="微软雅黑" w:hAnsi="微软雅黑" w:eastAsia="微软雅黑" w:cs="微软雅黑"/>
                <w:i/>
                <w:iCs/>
                <w:color w:val="000000"/>
                <w:sz w:val="16"/>
                <w:szCs w:val="16"/>
                <w:u w:val="none"/>
              </w:rPr>
            </w:pPr>
          </w:p>
        </w:tc>
      </w:tr>
      <w:tr w14:paraId="0996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CBEB">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7C1B">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FB1B8">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一罐液氮30升，每罐200元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3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2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E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A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6388">
            <w:pPr>
              <w:jc w:val="center"/>
              <w:rPr>
                <w:rFonts w:hint="eastAsia" w:ascii="微软雅黑" w:hAnsi="微软雅黑" w:eastAsia="微软雅黑" w:cs="微软雅黑"/>
                <w:i/>
                <w:iCs/>
                <w:color w:val="000000"/>
                <w:sz w:val="16"/>
                <w:szCs w:val="16"/>
                <w:u w:val="none"/>
              </w:rPr>
            </w:pPr>
          </w:p>
        </w:tc>
      </w:tr>
      <w:tr w14:paraId="760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86F9E">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F613">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6005">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4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一次冻精配送约60-400元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7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95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240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1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B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4F94">
            <w:pPr>
              <w:jc w:val="center"/>
              <w:rPr>
                <w:rFonts w:hint="eastAsia" w:ascii="微软雅黑" w:hAnsi="微软雅黑" w:eastAsia="微软雅黑" w:cs="微软雅黑"/>
                <w:i/>
                <w:iCs/>
                <w:color w:val="000000"/>
                <w:sz w:val="16"/>
                <w:szCs w:val="16"/>
                <w:u w:val="none"/>
              </w:rPr>
            </w:pPr>
          </w:p>
        </w:tc>
      </w:tr>
      <w:tr w14:paraId="5DF4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650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51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4C3">
            <w:pPr>
              <w:rPr>
                <w:rFonts w:hint="eastAsia" w:ascii="宋体" w:hAnsi="宋体" w:eastAsia="宋体" w:cs="宋体"/>
                <w:i w:val="0"/>
                <w:iCs w:val="0"/>
                <w:color w:val="000000"/>
                <w:sz w:val="18"/>
                <w:szCs w:val="18"/>
                <w:u w:val="none"/>
              </w:rPr>
            </w:pPr>
          </w:p>
        </w:tc>
      </w:tr>
      <w:tr w14:paraId="3D07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899A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该项目考核分为100分，自评得分为96分。</w:t>
            </w:r>
          </w:p>
        </w:tc>
      </w:tr>
      <w:tr w14:paraId="0177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8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27E2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1.部分养殖户生态环境意识淡薄，养殖污染排放不达标，造成养殖污染。</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2.部分养殖户缺少技术指导，没有采用我县推广的优良肉牛品种，生产效率较为低下。</w:t>
            </w:r>
          </w:p>
        </w:tc>
      </w:tr>
      <w:tr w14:paraId="69AD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D873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1.通过宣传指导，提高养殖户的生态环境意识，对于养殖废弃物排放条件不达标的养殖场，进行技术指导和监督整改。</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2.加强我县的良种肉牛推广，以提高畜禽生产效率，促进我县畜牧业持续健康发展。</w:t>
            </w:r>
          </w:p>
        </w:tc>
      </w:tr>
      <w:tr w14:paraId="0EE7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3F8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项目负责人：肖云</w:t>
            </w:r>
          </w:p>
        </w:tc>
        <w:tc>
          <w:tcPr>
            <w:tcW w:w="4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E8DC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财务负责人：何纪颜</w:t>
            </w:r>
          </w:p>
        </w:tc>
      </w:tr>
      <w:tr w14:paraId="4B0F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nil"/>
              <w:left w:val="nil"/>
              <w:bottom w:val="nil"/>
              <w:right w:val="nil"/>
            </w:tcBorders>
            <w:shd w:val="clear" w:color="auto" w:fill="auto"/>
            <w:vAlign w:val="center"/>
          </w:tcPr>
          <w:p w14:paraId="5E2CA3C1">
            <w:pPr>
              <w:rPr>
                <w:rFonts w:hint="eastAsia" w:ascii="宋体" w:hAnsi="宋体" w:eastAsia="宋体" w:cs="宋体"/>
                <w:i w:val="0"/>
                <w:iCs w:val="0"/>
                <w:color w:val="000000"/>
                <w:sz w:val="18"/>
                <w:szCs w:val="18"/>
                <w:u w:val="none"/>
              </w:rPr>
            </w:pPr>
          </w:p>
        </w:tc>
        <w:tc>
          <w:tcPr>
            <w:tcW w:w="1198" w:type="dxa"/>
            <w:tcBorders>
              <w:top w:val="nil"/>
              <w:left w:val="nil"/>
              <w:bottom w:val="nil"/>
              <w:right w:val="nil"/>
            </w:tcBorders>
            <w:shd w:val="clear" w:color="auto" w:fill="auto"/>
            <w:vAlign w:val="center"/>
          </w:tcPr>
          <w:p w14:paraId="7A0E0AC0">
            <w:pPr>
              <w:rPr>
                <w:rFonts w:hint="eastAsia" w:ascii="宋体" w:hAnsi="宋体" w:eastAsia="宋体" w:cs="宋体"/>
                <w:i w:val="0"/>
                <w:iCs w:val="0"/>
                <w:color w:val="000000"/>
                <w:sz w:val="18"/>
                <w:szCs w:val="18"/>
                <w:u w:val="none"/>
              </w:rPr>
            </w:pPr>
          </w:p>
        </w:tc>
        <w:tc>
          <w:tcPr>
            <w:tcW w:w="1038" w:type="dxa"/>
            <w:tcBorders>
              <w:top w:val="nil"/>
              <w:left w:val="nil"/>
              <w:bottom w:val="nil"/>
              <w:right w:val="nil"/>
            </w:tcBorders>
            <w:shd w:val="clear" w:color="auto" w:fill="auto"/>
            <w:vAlign w:val="center"/>
          </w:tcPr>
          <w:p w14:paraId="087C7EFE">
            <w:pPr>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14:paraId="4C4965A7">
            <w:pPr>
              <w:rPr>
                <w:rFonts w:hint="eastAsia" w:ascii="宋体" w:hAnsi="宋体" w:eastAsia="宋体" w:cs="宋体"/>
                <w:i w:val="0"/>
                <w:iCs w:val="0"/>
                <w:color w:val="000000"/>
                <w:sz w:val="18"/>
                <w:szCs w:val="18"/>
                <w:u w:val="none"/>
              </w:rPr>
            </w:pPr>
          </w:p>
        </w:tc>
        <w:tc>
          <w:tcPr>
            <w:tcW w:w="307" w:type="dxa"/>
            <w:tcBorders>
              <w:top w:val="nil"/>
              <w:left w:val="nil"/>
              <w:bottom w:val="nil"/>
              <w:right w:val="nil"/>
            </w:tcBorders>
            <w:shd w:val="clear" w:color="auto" w:fill="auto"/>
            <w:vAlign w:val="center"/>
          </w:tcPr>
          <w:p w14:paraId="7A3382CD">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51B0382C">
            <w:pPr>
              <w:rPr>
                <w:rFonts w:hint="eastAsia" w:ascii="宋体" w:hAnsi="宋体" w:eastAsia="宋体" w:cs="宋体"/>
                <w:i w:val="0"/>
                <w:iCs w:val="0"/>
                <w:color w:val="000000"/>
                <w:sz w:val="18"/>
                <w:szCs w:val="18"/>
                <w:u w:val="none"/>
              </w:rPr>
            </w:pPr>
          </w:p>
        </w:tc>
        <w:tc>
          <w:tcPr>
            <w:tcW w:w="310" w:type="dxa"/>
            <w:tcBorders>
              <w:top w:val="nil"/>
              <w:left w:val="nil"/>
              <w:bottom w:val="nil"/>
              <w:right w:val="nil"/>
            </w:tcBorders>
            <w:shd w:val="clear" w:color="auto" w:fill="auto"/>
            <w:vAlign w:val="center"/>
          </w:tcPr>
          <w:p w14:paraId="6EE5AA59">
            <w:pPr>
              <w:rPr>
                <w:rFonts w:hint="eastAsia" w:ascii="宋体" w:hAnsi="宋体" w:eastAsia="宋体" w:cs="宋体"/>
                <w:i w:val="0"/>
                <w:iCs w:val="0"/>
                <w:color w:val="000000"/>
                <w:sz w:val="18"/>
                <w:szCs w:val="18"/>
                <w:u w:val="none"/>
              </w:rPr>
            </w:pPr>
          </w:p>
        </w:tc>
        <w:tc>
          <w:tcPr>
            <w:tcW w:w="643" w:type="dxa"/>
            <w:tcBorders>
              <w:top w:val="nil"/>
              <w:left w:val="nil"/>
              <w:bottom w:val="nil"/>
              <w:right w:val="nil"/>
            </w:tcBorders>
            <w:shd w:val="clear" w:color="auto" w:fill="auto"/>
            <w:vAlign w:val="center"/>
          </w:tcPr>
          <w:p w14:paraId="35DA67F5">
            <w:pPr>
              <w:rPr>
                <w:rFonts w:hint="eastAsia" w:ascii="宋体" w:hAnsi="宋体" w:eastAsia="宋体" w:cs="宋体"/>
                <w:i w:val="0"/>
                <w:iCs w:val="0"/>
                <w:color w:val="000000"/>
                <w:sz w:val="18"/>
                <w:szCs w:val="18"/>
                <w:u w:val="none"/>
              </w:rPr>
            </w:pPr>
          </w:p>
        </w:tc>
        <w:tc>
          <w:tcPr>
            <w:tcW w:w="319" w:type="dxa"/>
            <w:tcBorders>
              <w:top w:val="nil"/>
              <w:left w:val="nil"/>
              <w:bottom w:val="nil"/>
              <w:right w:val="nil"/>
            </w:tcBorders>
            <w:shd w:val="clear" w:color="auto" w:fill="auto"/>
            <w:vAlign w:val="center"/>
          </w:tcPr>
          <w:p w14:paraId="7D0D139D">
            <w:pPr>
              <w:rPr>
                <w:rFonts w:hint="eastAsia" w:ascii="宋体" w:hAnsi="宋体" w:eastAsia="宋体" w:cs="宋体"/>
                <w:i w:val="0"/>
                <w:iCs w:val="0"/>
                <w:color w:val="000000"/>
                <w:sz w:val="18"/>
                <w:szCs w:val="18"/>
                <w:u w:val="none"/>
              </w:rPr>
            </w:pPr>
          </w:p>
        </w:tc>
        <w:tc>
          <w:tcPr>
            <w:tcW w:w="319" w:type="dxa"/>
            <w:tcBorders>
              <w:top w:val="nil"/>
              <w:left w:val="nil"/>
              <w:bottom w:val="nil"/>
              <w:right w:val="nil"/>
            </w:tcBorders>
            <w:shd w:val="clear" w:color="auto" w:fill="auto"/>
            <w:vAlign w:val="center"/>
          </w:tcPr>
          <w:p w14:paraId="1485FEC7">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14:paraId="3DF04ADD">
            <w:pPr>
              <w:rPr>
                <w:rFonts w:hint="eastAsia" w:ascii="宋体" w:hAnsi="宋体" w:eastAsia="宋体" w:cs="宋体"/>
                <w:i w:val="0"/>
                <w:iCs w:val="0"/>
                <w:color w:val="000000"/>
                <w:sz w:val="18"/>
                <w:szCs w:val="18"/>
                <w:u w:val="none"/>
              </w:rPr>
            </w:pPr>
          </w:p>
        </w:tc>
      </w:tr>
      <w:tr w14:paraId="3952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69231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650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5B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5459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51172422T000007158455-农业生产发展资金（采购冻精）</w:t>
            </w:r>
          </w:p>
        </w:tc>
      </w:tr>
      <w:tr w14:paraId="42AB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006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588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大竹县牲畜良种推广站部门</w:t>
            </w:r>
          </w:p>
        </w:tc>
        <w:tc>
          <w:tcPr>
            <w:tcW w:w="643" w:type="dxa"/>
            <w:tcBorders>
              <w:top w:val="nil"/>
              <w:left w:val="nil"/>
              <w:bottom w:val="nil"/>
              <w:right w:val="nil"/>
            </w:tcBorders>
            <w:shd w:val="clear" w:color="auto" w:fill="auto"/>
            <w:vAlign w:val="center"/>
          </w:tcPr>
          <w:p w14:paraId="232973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E4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大竹县牲畜良种推广站</w:t>
            </w:r>
          </w:p>
        </w:tc>
      </w:tr>
      <w:tr w14:paraId="659A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538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21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56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1CA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B5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D91A">
            <w:pP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1ED1">
            <w:pPr>
              <w:rPr>
                <w:rFonts w:hint="eastAsia" w:ascii="宋体" w:hAnsi="宋体" w:eastAsia="宋体" w:cs="宋体"/>
                <w:i w:val="0"/>
                <w:iCs w:val="0"/>
                <w:color w:val="000000"/>
                <w:sz w:val="18"/>
                <w:szCs w:val="18"/>
                <w:u w:val="none"/>
              </w:rPr>
            </w:pP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C8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从2008年以来，我站着力抓好优质肉牛良种补贴项目工作，肉牛人工授精配准率达92%以上，优质肉牛良种补贴项目资金全部用于采购肉牛冻精，致力于全县肉牛品种改良，促进全县畜牧产业稳步发展。</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60FD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我站着力抓好优质肉牛良种补贴项目工作，肉牛人工授精配准率达92%以上，优质肉牛良种补贴项目资金全部用于采购肉牛冻精，致力于全县肉牛品种改良，促进全县畜牧产业稳步发展。</w:t>
            </w:r>
          </w:p>
        </w:tc>
      </w:tr>
      <w:tr w14:paraId="3E3C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B612">
            <w:pP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DE3109">
            <w:pPr>
              <w:rPr>
                <w:rFonts w:hint="eastAsia" w:ascii="宋体" w:hAnsi="宋体" w:eastAsia="宋体" w:cs="宋体"/>
                <w:i w:val="0"/>
                <w:iCs w:val="0"/>
                <w:color w:val="000000"/>
                <w:sz w:val="18"/>
                <w:szCs w:val="18"/>
                <w:u w:val="none"/>
              </w:rPr>
            </w:pPr>
          </w:p>
        </w:tc>
      </w:tr>
      <w:tr w14:paraId="7F29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1F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0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4B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FE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BE553">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7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DB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0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3B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0992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5D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9BB7">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B4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8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1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3B73">
            <w:pPr>
              <w:rPr>
                <w:rFonts w:hint="eastAsia" w:ascii="黑体" w:hAnsi="黑体" w:eastAsia="黑体" w:cs="黑体"/>
                <w:i/>
                <w:iCs/>
                <w:color w:val="000000"/>
                <w:sz w:val="18"/>
                <w:szCs w:val="18"/>
                <w:u w:val="none"/>
              </w:rPr>
            </w:pPr>
          </w:p>
        </w:tc>
      </w:tr>
      <w:tr w14:paraId="689D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4C7F">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1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95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2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0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9DB5">
            <w:pPr>
              <w:rPr>
                <w:rFonts w:hint="eastAsia" w:ascii="黑体" w:hAnsi="黑体" w:eastAsia="黑体" w:cs="黑体"/>
                <w:i/>
                <w:iCs/>
                <w:color w:val="000000"/>
                <w:sz w:val="18"/>
                <w:szCs w:val="18"/>
                <w:u w:val="none"/>
              </w:rPr>
            </w:pPr>
          </w:p>
        </w:tc>
      </w:tr>
      <w:tr w14:paraId="7504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9C55">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1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B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9F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A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0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E38F">
            <w:pPr>
              <w:rPr>
                <w:rFonts w:hint="eastAsia" w:ascii="黑体" w:hAnsi="黑体" w:eastAsia="黑体" w:cs="黑体"/>
                <w:i/>
                <w:iCs/>
                <w:color w:val="000000"/>
                <w:sz w:val="18"/>
                <w:szCs w:val="18"/>
                <w:u w:val="none"/>
              </w:rPr>
            </w:pPr>
          </w:p>
        </w:tc>
      </w:tr>
      <w:tr w14:paraId="0AFF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89DA">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4070">
            <w:pPr>
              <w:jc w:val="center"/>
              <w:rPr>
                <w:rFonts w:hint="eastAsia" w:ascii="微软雅黑" w:hAnsi="微软雅黑" w:eastAsia="微软雅黑" w:cs="微软雅黑"/>
                <w:i/>
                <w:iCs/>
                <w:color w:val="000000"/>
                <w:sz w:val="16"/>
                <w:szCs w:val="16"/>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6522">
            <w:pPr>
              <w:jc w:val="center"/>
              <w:rPr>
                <w:rFonts w:hint="eastAsia" w:ascii="微软雅黑" w:hAnsi="微软雅黑" w:eastAsia="微软雅黑" w:cs="微软雅黑"/>
                <w:i/>
                <w:iCs/>
                <w:color w:val="000000"/>
                <w:sz w:val="16"/>
                <w:szCs w:val="16"/>
                <w:u w:val="none"/>
              </w:rPr>
            </w:pPr>
          </w:p>
        </w:tc>
        <w:tc>
          <w:tcPr>
            <w:tcW w:w="1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0A6D9">
            <w:pPr>
              <w:jc w:val="center"/>
              <w:rPr>
                <w:rFonts w:hint="eastAsia" w:ascii="微软雅黑" w:hAnsi="微软雅黑" w:eastAsia="微软雅黑" w:cs="微软雅黑"/>
                <w:i/>
                <w:iCs/>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9F7">
            <w:pPr>
              <w:jc w:val="center"/>
              <w:rPr>
                <w:rFonts w:hint="eastAsia" w:ascii="微软雅黑" w:hAnsi="微软雅黑" w:eastAsia="微软雅黑" w:cs="微软雅黑"/>
                <w:i/>
                <w:iCs/>
                <w:color w:val="000000"/>
                <w:sz w:val="16"/>
                <w:szCs w:val="16"/>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4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5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2C29">
            <w:pPr>
              <w:rPr>
                <w:rFonts w:hint="eastAsia" w:ascii="黑体" w:hAnsi="黑体" w:eastAsia="黑体" w:cs="黑体"/>
                <w:i/>
                <w:iCs/>
                <w:color w:val="000000"/>
                <w:sz w:val="18"/>
                <w:szCs w:val="18"/>
                <w:u w:val="none"/>
              </w:rPr>
            </w:pPr>
          </w:p>
        </w:tc>
      </w:tr>
      <w:tr w14:paraId="6768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F4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A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7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E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6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BC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6FC0">
            <w:pPr>
              <w:jc w:val="center"/>
              <w:rPr>
                <w:rFonts w:hint="eastAsia" w:ascii="宋体" w:hAnsi="宋体" w:eastAsia="宋体" w:cs="宋体"/>
                <w:i w:val="0"/>
                <w:iCs w:val="0"/>
                <w:color w:val="000000"/>
                <w:sz w:val="18"/>
                <w:szCs w:val="18"/>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91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78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4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购买液氮罐数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4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1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76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1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D06">
            <w:pPr>
              <w:jc w:val="center"/>
              <w:rPr>
                <w:rFonts w:hint="eastAsia" w:ascii="微软雅黑" w:hAnsi="微软雅黑" w:eastAsia="微软雅黑" w:cs="微软雅黑"/>
                <w:i/>
                <w:iCs/>
                <w:color w:val="000000"/>
                <w:sz w:val="16"/>
                <w:szCs w:val="16"/>
                <w:u w:val="none"/>
              </w:rPr>
            </w:pPr>
          </w:p>
        </w:tc>
      </w:tr>
      <w:tr w14:paraId="1455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1407">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4A294">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4F82">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F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购买肉牛冻精4.2万支</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4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4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09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52000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A0C">
            <w:pPr>
              <w:jc w:val="center"/>
              <w:rPr>
                <w:rFonts w:hint="eastAsia" w:ascii="微软雅黑" w:hAnsi="微软雅黑" w:eastAsia="微软雅黑" w:cs="微软雅黑"/>
                <w:i/>
                <w:iCs/>
                <w:color w:val="000000"/>
                <w:sz w:val="16"/>
                <w:szCs w:val="16"/>
                <w:u w:val="none"/>
              </w:rPr>
            </w:pPr>
          </w:p>
        </w:tc>
      </w:tr>
      <w:tr w14:paraId="3604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2160">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C361">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855D">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液氮运输次数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7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0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77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2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018">
            <w:pPr>
              <w:jc w:val="center"/>
              <w:rPr>
                <w:rFonts w:hint="eastAsia" w:ascii="微软雅黑" w:hAnsi="微软雅黑" w:eastAsia="微软雅黑" w:cs="微软雅黑"/>
                <w:i/>
                <w:iCs/>
                <w:color w:val="000000"/>
                <w:sz w:val="16"/>
                <w:szCs w:val="16"/>
                <w:u w:val="none"/>
              </w:rPr>
            </w:pPr>
          </w:p>
        </w:tc>
      </w:tr>
      <w:tr w14:paraId="387C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01BE">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1485">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AE43">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1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购买30立升液氮罐2个</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4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98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5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68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未购买液氮罐，全部用于购买冻精</w:t>
            </w:r>
          </w:p>
        </w:tc>
      </w:tr>
      <w:tr w14:paraId="6530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89D3">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3409">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冻精质量优良</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2ECC">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0E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D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5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DCDA">
            <w:pPr>
              <w:jc w:val="center"/>
              <w:rPr>
                <w:rFonts w:hint="eastAsia" w:ascii="微软雅黑" w:hAnsi="微软雅黑" w:eastAsia="微软雅黑" w:cs="微软雅黑"/>
                <w:i/>
                <w:iCs/>
                <w:color w:val="000000"/>
                <w:sz w:val="16"/>
                <w:szCs w:val="16"/>
                <w:u w:val="none"/>
              </w:rPr>
            </w:pPr>
          </w:p>
        </w:tc>
      </w:tr>
      <w:tr w14:paraId="349D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9E18">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F198">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及时购买和运输液氮</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4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E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AA5">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BFE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4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9F5">
            <w:pPr>
              <w:jc w:val="center"/>
              <w:rPr>
                <w:rFonts w:hint="eastAsia" w:ascii="微软雅黑" w:hAnsi="微软雅黑" w:eastAsia="微软雅黑" w:cs="微软雅黑"/>
                <w:i/>
                <w:iCs/>
                <w:color w:val="000000"/>
                <w:sz w:val="16"/>
                <w:szCs w:val="16"/>
                <w:u w:val="none"/>
              </w:rPr>
            </w:pPr>
          </w:p>
        </w:tc>
      </w:tr>
      <w:tr w14:paraId="2E67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3916">
            <w:pPr>
              <w:jc w:val="center"/>
              <w:rPr>
                <w:rFonts w:hint="eastAsia" w:ascii="宋体" w:hAnsi="宋体" w:eastAsia="宋体" w:cs="宋体"/>
                <w:i w:val="0"/>
                <w:iCs w:val="0"/>
                <w:color w:val="000000"/>
                <w:sz w:val="18"/>
                <w:szCs w:val="18"/>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A6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全县肉牛品种改良</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9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1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8ADA">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0F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AC1A">
            <w:pPr>
              <w:jc w:val="center"/>
              <w:rPr>
                <w:rFonts w:hint="eastAsia" w:ascii="微软雅黑" w:hAnsi="微软雅黑" w:eastAsia="微软雅黑" w:cs="微软雅黑"/>
                <w:i/>
                <w:iCs/>
                <w:color w:val="000000"/>
                <w:sz w:val="16"/>
                <w:szCs w:val="16"/>
                <w:u w:val="none"/>
              </w:rPr>
            </w:pPr>
          </w:p>
        </w:tc>
      </w:tr>
      <w:tr w14:paraId="7FF9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0D0A4">
            <w:pPr>
              <w:jc w:val="center"/>
              <w:rPr>
                <w:rFonts w:hint="eastAsia" w:ascii="宋体" w:hAnsi="宋体" w:eastAsia="宋体" w:cs="宋体"/>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B356">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全县畜牧产业可持续发展</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0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007">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6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EDC1">
            <w:pPr>
              <w:jc w:val="center"/>
              <w:rPr>
                <w:rFonts w:hint="eastAsia" w:ascii="微软雅黑" w:hAnsi="微软雅黑" w:eastAsia="微软雅黑" w:cs="微软雅黑"/>
                <w:i/>
                <w:iCs/>
                <w:color w:val="000000"/>
                <w:sz w:val="16"/>
                <w:szCs w:val="16"/>
                <w:u w:val="none"/>
              </w:rPr>
            </w:pPr>
          </w:p>
        </w:tc>
      </w:tr>
      <w:tr w14:paraId="3145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DFE94">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D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7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服务群众对资金使用情况的满意度不低于90%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B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F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388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D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6E7">
            <w:pPr>
              <w:jc w:val="center"/>
              <w:rPr>
                <w:rFonts w:hint="eastAsia" w:ascii="微软雅黑" w:hAnsi="微软雅黑" w:eastAsia="微软雅黑" w:cs="微软雅黑"/>
                <w:i/>
                <w:iCs/>
                <w:color w:val="000000"/>
                <w:sz w:val="16"/>
                <w:szCs w:val="16"/>
                <w:u w:val="none"/>
              </w:rPr>
            </w:pPr>
          </w:p>
        </w:tc>
      </w:tr>
      <w:tr w14:paraId="6E1C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3FAC">
            <w:pPr>
              <w:jc w:val="center"/>
              <w:rPr>
                <w:rFonts w:hint="eastAsia" w:ascii="宋体" w:hAnsi="宋体" w:eastAsia="宋体" w:cs="宋体"/>
                <w:i w:val="0"/>
                <w:iCs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B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每支肉牛冻精成本不超过5元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8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B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E0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1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A19D">
            <w:pPr>
              <w:jc w:val="center"/>
              <w:rPr>
                <w:rFonts w:hint="eastAsia" w:ascii="微软雅黑" w:hAnsi="微软雅黑" w:eastAsia="微软雅黑" w:cs="微软雅黑"/>
                <w:i/>
                <w:iCs/>
                <w:color w:val="000000"/>
                <w:sz w:val="16"/>
                <w:szCs w:val="16"/>
                <w:u w:val="none"/>
              </w:rPr>
            </w:pPr>
          </w:p>
        </w:tc>
      </w:tr>
      <w:tr w14:paraId="5214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FE7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99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CCA">
            <w:pPr>
              <w:rPr>
                <w:rFonts w:hint="eastAsia" w:ascii="宋体" w:hAnsi="宋体" w:eastAsia="宋体" w:cs="宋体"/>
                <w:i w:val="0"/>
                <w:iCs w:val="0"/>
                <w:color w:val="000000"/>
                <w:sz w:val="18"/>
                <w:szCs w:val="18"/>
                <w:u w:val="none"/>
              </w:rPr>
            </w:pPr>
          </w:p>
        </w:tc>
      </w:tr>
      <w:tr w14:paraId="7859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F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D9D0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该项目考核分为100分，自评得分为90分。项目实施结果与项目目标一致，达到预期目标。</w:t>
            </w:r>
          </w:p>
        </w:tc>
      </w:tr>
      <w:tr w14:paraId="2AEB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2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81EA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（一）项目吸引的竞标企业不多。该项目只有4家供应商来参与竞标，明显覆盖面不够。</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（二）项目的评标体系不够完善。部分企业对于我单位的评标过程和结果存疑。</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（三）项目资金支付进程缓慢。从2020年至今，还有36万项目资金未实现支付。</w:t>
            </w:r>
          </w:p>
        </w:tc>
      </w:tr>
      <w:tr w14:paraId="043B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D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EAFC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（一）除了在信息公开网上发布采购公告，对于一些优质、竞争力强的企业也可以通过电话、邮箱发布邀请函。</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（二）一方面要继续根据上级要求完善我单位评标体系，另一方面要做好解释工作，在公告上对关键要素进行标注。</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（三）财务人员要及时和财政国库对接，争取项目资金早日实现支付。</w:t>
            </w:r>
          </w:p>
        </w:tc>
      </w:tr>
      <w:tr w14:paraId="2274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361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项目负责人：肖云</w:t>
            </w:r>
          </w:p>
        </w:tc>
        <w:tc>
          <w:tcPr>
            <w:tcW w:w="4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3BAE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财务负责人：何纪颜</w:t>
            </w:r>
          </w:p>
        </w:tc>
      </w:tr>
    </w:tbl>
    <w:p w14:paraId="23491010">
      <w:pPr>
        <w:pStyle w:val="2"/>
        <w:spacing w:before="93"/>
        <w:rPr>
          <w:rFonts w:hAnsi="Calibri" w:cs="仿宋"/>
          <w:sz w:val="32"/>
          <w:szCs w:val="32"/>
        </w:rPr>
      </w:pPr>
    </w:p>
    <w:p w14:paraId="7D3F86C9">
      <w:pPr>
        <w:pStyle w:val="2"/>
        <w:spacing w:before="93"/>
        <w:rPr>
          <w:rFonts w:hAnsi="Calibri" w:cs="仿宋"/>
          <w:sz w:val="32"/>
          <w:szCs w:val="32"/>
        </w:rPr>
      </w:pPr>
    </w:p>
    <w:p w14:paraId="61462292">
      <w:pPr>
        <w:pStyle w:val="2"/>
        <w:spacing w:before="93"/>
        <w:rPr>
          <w:rFonts w:hAnsi="Calibri" w:cs="仿宋"/>
          <w:sz w:val="32"/>
          <w:szCs w:val="32"/>
        </w:rPr>
      </w:pPr>
    </w:p>
    <w:p w14:paraId="63618903">
      <w:pPr>
        <w:pStyle w:val="2"/>
        <w:spacing w:before="93"/>
        <w:rPr>
          <w:rFonts w:hAnsi="Calibri" w:cs="仿宋"/>
          <w:sz w:val="32"/>
          <w:szCs w:val="32"/>
        </w:rPr>
      </w:pPr>
    </w:p>
    <w:p w14:paraId="38E5A666">
      <w:pPr>
        <w:pStyle w:val="2"/>
        <w:spacing w:before="93"/>
        <w:rPr>
          <w:rFonts w:hAnsi="Calibri" w:cs="仿宋"/>
          <w:sz w:val="32"/>
          <w:szCs w:val="32"/>
        </w:rPr>
      </w:pPr>
    </w:p>
    <w:p w14:paraId="615EF155">
      <w:pPr>
        <w:pStyle w:val="2"/>
        <w:spacing w:before="93"/>
        <w:rPr>
          <w:rFonts w:hAnsi="Calibri" w:cs="仿宋"/>
          <w:sz w:val="32"/>
          <w:szCs w:val="32"/>
        </w:rPr>
      </w:pPr>
    </w:p>
    <w:p w14:paraId="6AED9A62">
      <w:pPr>
        <w:pStyle w:val="2"/>
        <w:spacing w:before="93"/>
        <w:rPr>
          <w:rFonts w:hAnsi="Calibri" w:cs="仿宋"/>
          <w:sz w:val="32"/>
          <w:szCs w:val="32"/>
        </w:rPr>
      </w:pPr>
    </w:p>
    <w:p w14:paraId="10D395E4">
      <w:pPr>
        <w:pStyle w:val="2"/>
        <w:spacing w:before="93"/>
        <w:rPr>
          <w:rFonts w:hAnsi="Calibri" w:cs="仿宋"/>
          <w:sz w:val="32"/>
          <w:szCs w:val="32"/>
        </w:rPr>
      </w:pPr>
    </w:p>
    <w:p w14:paraId="5FA65F44">
      <w:pPr>
        <w:pStyle w:val="2"/>
        <w:spacing w:before="93"/>
        <w:rPr>
          <w:rFonts w:hAnsi="Calibri" w:cs="仿宋"/>
          <w:sz w:val="32"/>
          <w:szCs w:val="32"/>
        </w:rPr>
      </w:pPr>
    </w:p>
    <w:p w14:paraId="6B1DB9CB">
      <w:pPr>
        <w:pStyle w:val="2"/>
        <w:spacing w:before="93"/>
        <w:rPr>
          <w:rFonts w:hAnsi="Calibri" w:cs="仿宋"/>
          <w:sz w:val="32"/>
          <w:szCs w:val="32"/>
        </w:rPr>
      </w:pPr>
    </w:p>
    <w:p w14:paraId="7660DD1B">
      <w:pPr>
        <w:pStyle w:val="2"/>
        <w:spacing w:before="93"/>
        <w:rPr>
          <w:rFonts w:hAnsi="Calibri" w:cs="仿宋"/>
          <w:sz w:val="32"/>
          <w:szCs w:val="32"/>
        </w:rPr>
      </w:pPr>
    </w:p>
    <w:p w14:paraId="26FA7C0E">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723D1454">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60EE495">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06AC9148">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4F5B3DE0">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31B5DE50">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2CC5A12">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106D4D4">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D2A6E52">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58EE9867">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9A059D2">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72BC9B9">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827B2E3">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C8CD2E9">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1474F8E">
        <w:pPr>
          <w:pStyle w:val="9"/>
          <w:jc w:val="center"/>
        </w:pPr>
        <w:r>
          <w:fldChar w:fldCharType="begin"/>
        </w:r>
        <w:r>
          <w:instrText xml:space="preserve">PAGE   \* MERGEFORMAT</w:instrText>
        </w:r>
        <w:r>
          <w:fldChar w:fldCharType="separate"/>
        </w:r>
        <w:r>
          <w:rPr>
            <w:lang w:val="zh-CN"/>
          </w:rPr>
          <w:t>15</w:t>
        </w:r>
        <w:r>
          <w:fldChar w:fldCharType="end"/>
        </w:r>
      </w:p>
    </w:sdtContent>
  </w:sdt>
  <w:p w14:paraId="5A4C8A3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D23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zZhNGZmMDFhMzA4ZWVhMmM5ZjZiZWY1NzczN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0FD06C7"/>
    <w:rsid w:val="118107EC"/>
    <w:rsid w:val="11DD6519"/>
    <w:rsid w:val="16BB723D"/>
    <w:rsid w:val="17E42975"/>
    <w:rsid w:val="18015F3F"/>
    <w:rsid w:val="1BE8440E"/>
    <w:rsid w:val="1D155CEE"/>
    <w:rsid w:val="1D807EF4"/>
    <w:rsid w:val="1EF27DEE"/>
    <w:rsid w:val="1FDBBF84"/>
    <w:rsid w:val="20F57F95"/>
    <w:rsid w:val="20FA3A7C"/>
    <w:rsid w:val="232D7607"/>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7F3B05"/>
    <w:rsid w:val="48BF60AB"/>
    <w:rsid w:val="493C27E9"/>
    <w:rsid w:val="496F39ED"/>
    <w:rsid w:val="49FF41D3"/>
    <w:rsid w:val="4BE068DB"/>
    <w:rsid w:val="4BF6002B"/>
    <w:rsid w:val="4BFFC6BE"/>
    <w:rsid w:val="4ECE2238"/>
    <w:rsid w:val="50C51101"/>
    <w:rsid w:val="51DB4B86"/>
    <w:rsid w:val="51F64DB0"/>
    <w:rsid w:val="530E18D0"/>
    <w:rsid w:val="55333C3E"/>
    <w:rsid w:val="5F67802D"/>
    <w:rsid w:val="5F7DC4F2"/>
    <w:rsid w:val="5FB36814"/>
    <w:rsid w:val="5FBB8E56"/>
    <w:rsid w:val="5FFB5535"/>
    <w:rsid w:val="64CA39A1"/>
    <w:rsid w:val="67EC296B"/>
    <w:rsid w:val="69630ADE"/>
    <w:rsid w:val="69BD5F13"/>
    <w:rsid w:val="69FB0B4B"/>
    <w:rsid w:val="6BFFE1FB"/>
    <w:rsid w:val="6C094140"/>
    <w:rsid w:val="6C4A05C8"/>
    <w:rsid w:val="6CBA6439"/>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865095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H:\&#36130;&#21153;\&#26368;&#36817;&#35201;&#20570;&#30340;\2023&#24180;&#22823;&#31481;&#21439;&#29298;&#30044;&#33391;&#31181;&#25512;&#24191;&#31449;&#20915;&#31639;&#20844;&#2432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[决算公开图表.xlsx]Sheet1!$A$1:$A$2</c:f>
              <c:strCache>
                <c:ptCount val="2"/>
                <c:pt idx="0">
                  <c:v>2022年</c:v>
                </c:pt>
                <c:pt idx="1">
                  <c:v>2023年</c:v>
                </c:pt>
              </c:strCache>
            </c:strRef>
          </c:cat>
          <c:val>
            <c:numRef>
              <c:f>[决算公开图表.xlsx]Sheet1!$B$1:$B$2</c:f>
              <c:numCache>
                <c:formatCode>General</c:formatCode>
                <c:ptCount val="2"/>
                <c:pt idx="0">
                  <c:v>215.75</c:v>
                </c:pt>
                <c:pt idx="1">
                  <c:v>293.35</c:v>
                </c:pt>
              </c:numCache>
            </c:numRef>
          </c:val>
        </c:ser>
        <c:dLbls>
          <c:showLegendKey val="0"/>
          <c:showVal val="1"/>
          <c:showCatName val="0"/>
          <c:showSerName val="0"/>
          <c:showPercent val="0"/>
          <c:showBubbleSize val="0"/>
        </c:dLbls>
        <c:gapWidth val="219"/>
        <c:overlap val="-27"/>
        <c:axId val="29248220"/>
        <c:axId val="737048928"/>
      </c:barChart>
      <c:catAx>
        <c:axId val="292482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048928"/>
        <c:crosses val="autoZero"/>
        <c:auto val="1"/>
        <c:lblAlgn val="ctr"/>
        <c:lblOffset val="100"/>
        <c:noMultiLvlLbl val="0"/>
      </c:catAx>
      <c:valAx>
        <c:axId val="73704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48220"/>
        <c:crosses val="autoZero"/>
        <c:crossBetween val="between"/>
      </c:valAx>
      <c:spPr>
        <a:noFill/>
        <a:ln>
          <a:noFill/>
        </a:ln>
        <a:effectLst/>
      </c:spPr>
    </c:plotArea>
    <c:plotVisOnly val="1"/>
    <c:dispBlanksAs val="gap"/>
    <c:showDLblsOverMax val="0"/>
    <c:extLst>
      <c:ext uri="{0b15fc19-7d7d-44ad-8c2d-2c3a37ce22c3}">
        <chartProps xmlns="https://web.wps.cn/et/2018/main" chartId="{9f21c833-2a0e-4a41-b9c1-891542ecd4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[决算公开图表.xlsx]Sheet2!$A$1:$A$8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[决算公开图表.xlsx]Sheet2!$B$1:$B$8</c:f>
              <c:numCache>
                <c:formatCode>General</c:formatCode>
                <c:ptCount val="8"/>
                <c:pt idx="0">
                  <c:v>279.56</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079e46-eaf9-42b0-bf67-276116c574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[决算公开图表.xlsx]Sheet3!$A$1:$A$5</c:f>
              <c:strCache>
                <c:ptCount val="5"/>
                <c:pt idx="0" c:formatCode="0%">
                  <c:v>基本支出</c:v>
                </c:pt>
                <c:pt idx="1" c:formatCode="0%">
                  <c:v>项目支出</c:v>
                </c:pt>
                <c:pt idx="2" c:formatCode="0%">
                  <c:v>上缴上级支出</c:v>
                </c:pt>
                <c:pt idx="3" c:formatCode="0%">
                  <c:v>经营支出</c:v>
                </c:pt>
                <c:pt idx="4" c:formatCode="0%">
                  <c:v>对附属单位补助支出</c:v>
                </c:pt>
              </c:strCache>
            </c:strRef>
          </c:cat>
          <c:val>
            <c:numRef>
              <c:f>[决算公开图表.xlsx]Sheet3!$B$1:$B$5</c:f>
              <c:numCache>
                <c:formatCode>General</c:formatCode>
                <c:ptCount val="5"/>
                <c:pt idx="0">
                  <c:v>255.44</c:v>
                </c:pt>
                <c:pt idx="1">
                  <c:v>37.91</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c42145-56d6-4486-96e4-2f528252b69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[决算公开图表.xlsx]Sheet4!$A$1:$A$2</c:f>
              <c:strCache>
                <c:ptCount val="2"/>
                <c:pt idx="0">
                  <c:v>2022年</c:v>
                </c:pt>
                <c:pt idx="1">
                  <c:v>2023年</c:v>
                </c:pt>
              </c:strCache>
            </c:strRef>
          </c:cat>
          <c:val>
            <c:numRef>
              <c:f>[决算公开图表.xlsx]Sheet4!$B$1:$B$2</c:f>
              <c:numCache>
                <c:formatCode>General</c:formatCode>
                <c:ptCount val="2"/>
                <c:pt idx="0">
                  <c:v>215.75</c:v>
                </c:pt>
                <c:pt idx="1">
                  <c:v>293.35</c:v>
                </c:pt>
              </c:numCache>
            </c:numRef>
          </c:val>
        </c:ser>
        <c:dLbls>
          <c:showLegendKey val="0"/>
          <c:showVal val="1"/>
          <c:showCatName val="0"/>
          <c:showSerName val="0"/>
          <c:showPercent val="0"/>
          <c:showBubbleSize val="0"/>
        </c:dLbls>
        <c:gapWidth val="219"/>
        <c:overlap val="-27"/>
        <c:axId val="58207719"/>
        <c:axId val="271908340"/>
      </c:barChart>
      <c:catAx>
        <c:axId val="582077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908340"/>
        <c:crosses val="autoZero"/>
        <c:auto val="1"/>
        <c:lblAlgn val="ctr"/>
        <c:lblOffset val="100"/>
        <c:noMultiLvlLbl val="0"/>
      </c:catAx>
      <c:valAx>
        <c:axId val="2719083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07719"/>
        <c:crosses val="autoZero"/>
        <c:crossBetween val="between"/>
      </c:valAx>
      <c:spPr>
        <a:noFill/>
        <a:ln>
          <a:noFill/>
        </a:ln>
        <a:effectLst/>
      </c:spPr>
    </c:plotArea>
    <c:plotVisOnly val="1"/>
    <c:dispBlanksAs val="gap"/>
    <c:showDLblsOverMax val="0"/>
    <c:extLst>
      <c:ext uri="{0b15fc19-7d7d-44ad-8c2d-2c3a37ce22c3}">
        <chartProps xmlns="https://web.wps.cn/et/2018/main" chartId="{0c84b5ca-301a-474a-9f1c-44796fe1d64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manualLayout>
          <c:xMode val="edge"/>
          <c:yMode val="edge"/>
          <c:x val="0.120111731843575"/>
          <c:y val="0.026041666666666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[决算公开图表.xlsx]Sheet5!$A$1:$A$2</c:f>
              <c:strCache>
                <c:ptCount val="2"/>
                <c:pt idx="0">
                  <c:v>2022年</c:v>
                </c:pt>
                <c:pt idx="1">
                  <c:v>2023年</c:v>
                </c:pt>
              </c:strCache>
            </c:strRef>
          </c:cat>
          <c:val>
            <c:numRef>
              <c:f>[决算公开图表.xlsx]Sheet5!$B$1:$B$2</c:f>
              <c:numCache>
                <c:formatCode>General</c:formatCode>
                <c:ptCount val="2"/>
                <c:pt idx="0">
                  <c:v>215.72</c:v>
                </c:pt>
                <c:pt idx="1">
                  <c:v>293.35</c:v>
                </c:pt>
              </c:numCache>
            </c:numRef>
          </c:val>
        </c:ser>
        <c:dLbls>
          <c:showLegendKey val="0"/>
          <c:showVal val="1"/>
          <c:showCatName val="0"/>
          <c:showSerName val="0"/>
          <c:showPercent val="0"/>
          <c:showBubbleSize val="0"/>
        </c:dLbls>
        <c:gapWidth val="219"/>
        <c:overlap val="-27"/>
        <c:axId val="176469421"/>
        <c:axId val="586500608"/>
      </c:barChart>
      <c:catAx>
        <c:axId val="1764694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86500608"/>
        <c:crosses val="autoZero"/>
        <c:auto val="1"/>
        <c:lblAlgn val="ctr"/>
        <c:lblOffset val="100"/>
        <c:noMultiLvlLbl val="0"/>
      </c:catAx>
      <c:valAx>
        <c:axId val="5865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76469421"/>
        <c:crosses val="autoZero"/>
        <c:crossBetween val="between"/>
      </c:valAx>
      <c:spPr>
        <a:noFill/>
        <a:ln>
          <a:noFill/>
        </a:ln>
        <a:effectLst/>
      </c:spPr>
    </c:plotArea>
    <c:plotVisOnly val="1"/>
    <c:dispBlanksAs val="gap"/>
    <c:showDLblsOverMax val="0"/>
    <c:extLst>
      <c:ext uri="{0b15fc19-7d7d-44ad-8c2d-2c3a37ce22c3}">
        <chartProps xmlns="https://web.wps.cn/et/2018/main" chartId="{e354fe18-16d6-4776-90b9-55286d5067f0}"/>
      </c:ext>
    </c:extLst>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[决算公开图表.xlsx]Sheet6!$A$1:$A$4</c:f>
              <c:strCache>
                <c:ptCount val="4"/>
                <c:pt idx="0" c:formatCode="0.00%">
                  <c:v>社会保障和就业支出</c:v>
                </c:pt>
                <c:pt idx="1" c:formatCode="0.00%">
                  <c:v>卫生健康支出</c:v>
                </c:pt>
                <c:pt idx="2" c:formatCode="0.00%">
                  <c:v>住房保障支出</c:v>
                </c:pt>
                <c:pt idx="3" c:formatCode="0.00%">
                  <c:v>农林水支出</c:v>
                </c:pt>
              </c:strCache>
            </c:strRef>
          </c:cat>
          <c:val>
            <c:numRef>
              <c:f>[决算公开图表.xlsx]Sheet6!$B$1:$B$4</c:f>
              <c:numCache>
                <c:formatCode>#,##0.00</c:formatCode>
                <c:ptCount val="4"/>
                <c:pt idx="0">
                  <c:v>41.32</c:v>
                </c:pt>
                <c:pt idx="1">
                  <c:v>7.75</c:v>
                </c:pt>
                <c:pt idx="2">
                  <c:v>16.55</c:v>
                </c:pt>
                <c:pt idx="3">
                  <c:v>227.72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1cb64c-97dc-4395-b8dc-5cbc1729aa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[决算公开图表.xlsx]Sheet7!$A$3:$A$5</c:f>
              <c:strCache>
                <c:ptCount val="3"/>
                <c:pt idx="0">
                  <c:v>因公出国（境）费支出</c:v>
                </c:pt>
                <c:pt idx="1">
                  <c:v>公务用车购置及运行维护费支出</c:v>
                </c:pt>
                <c:pt idx="2">
                  <c:v>公务接待费支出</c:v>
                </c:pt>
              </c:strCache>
            </c:strRef>
          </c:cat>
          <c:val>
            <c:numRef>
              <c:f>[决算公开图表.xlsx]Sheet7!$B$3:$B$5</c:f>
              <c:numCache>
                <c:formatCode>General</c:formatCode>
                <c:ptCount val="3"/>
                <c:pt idx="0">
                  <c:v>0</c:v>
                </c:pt>
                <c:pt idx="1">
                  <c:v>0</c:v>
                </c:pt>
                <c:pt idx="2">
                  <c:v>1.12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b20f39-5854-4e3a-b05a-f88c6c2d7e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4766</Words>
  <Characters>5377</Characters>
  <Lines>54</Lines>
  <Paragraphs>15</Paragraphs>
  <TotalTime>2</TotalTime>
  <ScaleCrop>false</ScaleCrop>
  <LinksUpToDate>false</LinksUpToDate>
  <CharactersWithSpaces>5429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盖世无双</cp:lastModifiedBy>
  <cp:lastPrinted>2023-08-03T02:35:00Z</cp:lastPrinted>
  <dcterms:modified xsi:type="dcterms:W3CDTF">2024-10-23T06:51:00Z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