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6E02B">
      <w:pPr>
        <w:spacing w:line="600" w:lineRule="exact"/>
        <w:jc w:val="left"/>
        <w:outlineLvl w:val="9"/>
        <w:rPr>
          <w:rFonts w:ascii="方正小标宋简体" w:hAnsi="宋体" w:eastAsia="方正小标宋简体"/>
          <w:szCs w:val="21"/>
        </w:rPr>
      </w:pPr>
      <w:bookmarkStart w:id="0" w:name="_Toc15306267"/>
    </w:p>
    <w:p w14:paraId="512AC228">
      <w:pPr>
        <w:pStyle w:val="6"/>
        <w:spacing w:before="93"/>
      </w:pPr>
    </w:p>
    <w:p w14:paraId="194A965C">
      <w:pPr>
        <w:spacing w:line="600" w:lineRule="exact"/>
        <w:jc w:val="center"/>
        <w:outlineLvl w:val="9"/>
        <w:rPr>
          <w:rFonts w:ascii="方正小标宋简体" w:hAnsi="宋体" w:eastAsia="方正小标宋简体"/>
          <w:sz w:val="72"/>
          <w:szCs w:val="72"/>
        </w:rPr>
      </w:pPr>
    </w:p>
    <w:p w14:paraId="5DA1B65D">
      <w:pPr>
        <w:spacing w:line="600" w:lineRule="exact"/>
        <w:jc w:val="center"/>
        <w:outlineLvl w:val="9"/>
        <w:rPr>
          <w:rFonts w:ascii="方正小标宋简体" w:hAnsi="宋体" w:eastAsia="方正小标宋简体"/>
          <w:sz w:val="72"/>
          <w:szCs w:val="72"/>
        </w:rPr>
      </w:pPr>
    </w:p>
    <w:p w14:paraId="4E21F0A2">
      <w:pPr>
        <w:bidi w:val="0"/>
        <w:jc w:val="center"/>
        <w:rPr>
          <w:rFonts w:hint="eastAsia" w:ascii="方正小标宋简体" w:hAnsi="方正小标宋简体" w:eastAsia="方正小标宋简体" w:cs="方正小标宋简体"/>
          <w:sz w:val="72"/>
          <w:szCs w:val="72"/>
        </w:rPr>
      </w:pPr>
      <w:bookmarkStart w:id="1" w:name="_Toc15377425"/>
      <w:bookmarkStart w:id="2" w:name="_Toc15396597"/>
      <w:bookmarkStart w:id="3" w:name="_Toc15396475"/>
      <w:bookmarkStart w:id="4" w:name="_Toc15378441"/>
      <w:bookmarkStart w:id="5"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0A7E0005">
      <w:pPr>
        <w:bidi w:val="0"/>
        <w:jc w:val="center"/>
        <w:rPr>
          <w:rFonts w:hint="eastAsia" w:ascii="方正小标宋简体" w:hAnsi="方正小标宋简体" w:eastAsia="方正小标宋简体" w:cs="方正小标宋简体"/>
          <w:sz w:val="72"/>
          <w:szCs w:val="72"/>
          <w:lang w:eastAsia="zh-CN"/>
        </w:rPr>
      </w:pPr>
      <w:bookmarkStart w:id="6" w:name="_Toc15396476"/>
      <w:bookmarkStart w:id="7" w:name="_Toc15306268"/>
      <w:bookmarkStart w:id="8" w:name="_Toc15396598"/>
      <w:bookmarkStart w:id="9" w:name="_Toc15377194"/>
      <w:bookmarkStart w:id="10" w:name="_Toc15378442"/>
      <w:bookmarkStart w:id="11" w:name="_Toc15377426"/>
      <w:r>
        <w:rPr>
          <w:rFonts w:hint="eastAsia" w:ascii="方正小标宋简体" w:hAnsi="方正小标宋简体" w:eastAsia="方正小标宋简体" w:cs="方正小标宋简体"/>
          <w:sz w:val="72"/>
          <w:szCs w:val="72"/>
          <w:lang w:eastAsia="zh-CN"/>
        </w:rPr>
        <w:t>大竹县土壤肥料站</w:t>
      </w:r>
    </w:p>
    <w:p w14:paraId="5884D56C">
      <w:pPr>
        <w:bidi w:val="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1CF75858">
      <w:pPr>
        <w:widowControl/>
        <w:jc w:val="center"/>
        <w:rPr>
          <w:rFonts w:hint="eastAsia" w:ascii="黑体" w:hAnsi="黑体" w:eastAsia="黑体"/>
          <w:sz w:val="48"/>
          <w:szCs w:val="48"/>
        </w:rPr>
      </w:pPr>
      <w:r>
        <w:rPr>
          <w:rFonts w:ascii="方正小标宋简体" w:hAnsi="宋体" w:eastAsia="方正小标宋简体"/>
          <w:sz w:val="36"/>
          <w:szCs w:val="36"/>
        </w:rPr>
        <w:br w:type="page"/>
      </w:r>
    </w:p>
    <w:sdt>
      <w:sdtPr>
        <w:rPr>
          <w:rFonts w:hint="eastAsia" w:ascii="黑体" w:hAnsi="黑体" w:eastAsia="黑体" w:cs="黑体"/>
          <w:kern w:val="2"/>
          <w:sz w:val="48"/>
          <w:szCs w:val="48"/>
          <w:lang w:val="en-US" w:eastAsia="zh-CN" w:bidi="ar-SA"/>
        </w:rPr>
        <w:id w:val="147481825"/>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14:paraId="21BE9295">
          <w:pPr>
            <w:spacing w:before="0" w:beforeLines="0" w:after="0" w:afterLines="0" w:line="240" w:lineRule="auto"/>
            <w:ind w:left="0" w:leftChars="0" w:right="0" w:rightChars="0" w:firstLine="0" w:firstLineChars="0"/>
            <w:jc w:val="center"/>
            <w:rPr>
              <w:rFonts w:hint="eastAsia" w:ascii="黑体" w:hAnsi="黑体" w:eastAsia="黑体" w:cs="黑体"/>
              <w:sz w:val="48"/>
              <w:szCs w:val="48"/>
            </w:rPr>
          </w:pPr>
          <w:r>
            <w:rPr>
              <w:rFonts w:hint="eastAsia" w:ascii="黑体" w:hAnsi="黑体" w:eastAsia="黑体" w:cs="黑体"/>
              <w:sz w:val="48"/>
              <w:szCs w:val="48"/>
            </w:rPr>
            <w:t>目录</w:t>
          </w:r>
        </w:p>
        <w:p w14:paraId="12F566E8">
          <w:pPr>
            <w:pStyle w:val="12"/>
            <w:tabs>
              <w:tab w:val="right" w:leader="dot" w:pos="8306"/>
              <w:tab w:val="clear" w:pos="8296"/>
            </w:tabs>
          </w:pPr>
          <w:r>
            <w:fldChar w:fldCharType="begin"/>
          </w:r>
          <w:r>
            <w:instrText xml:space="preserve">TOC \o "1-2" \h \u </w:instrText>
          </w:r>
          <w:r>
            <w:fldChar w:fldCharType="separate"/>
          </w:r>
          <w:r>
            <w:fldChar w:fldCharType="begin"/>
          </w:r>
          <w:r>
            <w:instrText xml:space="preserve"> HYPERLINK \l _Toc13778 </w:instrText>
          </w:r>
          <w:r>
            <w:fldChar w:fldCharType="separate"/>
          </w:r>
          <w:r>
            <w:rPr>
              <w:rFonts w:hint="eastAsia" w:ascii="黑体" w:hAnsi="黑体" w:eastAsia="黑体"/>
            </w:rPr>
            <w:t>第一部分 单位概况</w:t>
          </w:r>
          <w:r>
            <w:tab/>
          </w:r>
          <w:r>
            <w:fldChar w:fldCharType="begin"/>
          </w:r>
          <w:r>
            <w:instrText xml:space="preserve"> PAGEREF _Toc13778 \h </w:instrText>
          </w:r>
          <w:r>
            <w:fldChar w:fldCharType="separate"/>
          </w:r>
          <w:r>
            <w:t>4</w:t>
          </w:r>
          <w:r>
            <w:fldChar w:fldCharType="end"/>
          </w:r>
          <w:r>
            <w:fldChar w:fldCharType="end"/>
          </w:r>
        </w:p>
        <w:p w14:paraId="654A005B">
          <w:pPr>
            <w:pStyle w:val="13"/>
            <w:tabs>
              <w:tab w:val="right" w:leader="dot" w:pos="8306"/>
              <w:tab w:val="clear" w:pos="8296"/>
            </w:tabs>
          </w:pPr>
          <w:r>
            <w:fldChar w:fldCharType="begin"/>
          </w:r>
          <w:r>
            <w:instrText xml:space="preserve"> HYPERLINK \l _Toc3196 </w:instrText>
          </w:r>
          <w:r>
            <w:fldChar w:fldCharType="separate"/>
          </w:r>
          <w:r>
            <w:rPr>
              <w:rFonts w:hint="eastAsia" w:ascii="黑体" w:hAnsi="黑体" w:eastAsia="黑体"/>
              <w:bCs w:val="0"/>
            </w:rPr>
            <w:t xml:space="preserve">一、 </w:t>
          </w:r>
          <w:r>
            <w:rPr>
              <w:rFonts w:hint="eastAsia" w:ascii="黑体" w:hAnsi="黑体" w:eastAsia="黑体"/>
              <w:bCs w:val="0"/>
              <w:highlight w:val="none"/>
            </w:rPr>
            <w:t>主要职责</w:t>
          </w:r>
          <w:r>
            <w:tab/>
          </w:r>
          <w:r>
            <w:fldChar w:fldCharType="begin"/>
          </w:r>
          <w:r>
            <w:instrText xml:space="preserve"> PAGEREF _Toc3196 \h </w:instrText>
          </w:r>
          <w:r>
            <w:fldChar w:fldCharType="separate"/>
          </w:r>
          <w:r>
            <w:t>4</w:t>
          </w:r>
          <w:r>
            <w:fldChar w:fldCharType="end"/>
          </w:r>
          <w:r>
            <w:fldChar w:fldCharType="end"/>
          </w:r>
        </w:p>
        <w:p w14:paraId="74B302CC">
          <w:pPr>
            <w:pStyle w:val="13"/>
            <w:tabs>
              <w:tab w:val="right" w:leader="dot" w:pos="8306"/>
              <w:tab w:val="clear" w:pos="8296"/>
            </w:tabs>
          </w:pPr>
          <w:r>
            <w:fldChar w:fldCharType="begin"/>
          </w:r>
          <w:r>
            <w:instrText xml:space="preserve"> HYPERLINK \l _Toc12857 </w:instrText>
          </w:r>
          <w:r>
            <w:fldChar w:fldCharType="separate"/>
          </w:r>
          <w:r>
            <w:rPr>
              <w:rFonts w:hint="eastAsia" w:ascii="黑体" w:hAnsi="黑体" w:eastAsia="黑体"/>
            </w:rPr>
            <w:t xml:space="preserve">二、 </w:t>
          </w:r>
          <w:r>
            <w:rPr>
              <w:rFonts w:hint="eastAsia" w:ascii="黑体" w:hAnsi="黑体" w:eastAsia="黑体"/>
              <w:highlight w:val="none"/>
            </w:rPr>
            <w:t>机构设置</w:t>
          </w:r>
          <w:r>
            <w:tab/>
          </w:r>
          <w:r>
            <w:fldChar w:fldCharType="begin"/>
          </w:r>
          <w:r>
            <w:instrText xml:space="preserve"> PAGEREF _Toc12857 \h </w:instrText>
          </w:r>
          <w:r>
            <w:fldChar w:fldCharType="separate"/>
          </w:r>
          <w:r>
            <w:t>4</w:t>
          </w:r>
          <w:r>
            <w:fldChar w:fldCharType="end"/>
          </w:r>
          <w:r>
            <w:fldChar w:fldCharType="end"/>
          </w:r>
        </w:p>
        <w:p w14:paraId="41E08817">
          <w:pPr>
            <w:pStyle w:val="12"/>
            <w:tabs>
              <w:tab w:val="right" w:leader="dot" w:pos="8306"/>
              <w:tab w:val="clear" w:pos="8296"/>
            </w:tabs>
          </w:pPr>
          <w:r>
            <w:fldChar w:fldCharType="begin"/>
          </w:r>
          <w:r>
            <w:instrText xml:space="preserve"> HYPERLINK \l _Toc9219 </w:instrText>
          </w:r>
          <w:r>
            <w:fldChar w:fldCharType="separate"/>
          </w:r>
          <w:r>
            <w:rPr>
              <w:rFonts w:hint="eastAsia" w:ascii="黑体" w:hAnsi="黑体" w:eastAsia="黑体"/>
            </w:rPr>
            <w:t>第二部分 2023年度</w:t>
          </w:r>
          <w:r>
            <w:rPr>
              <w:rFonts w:hint="eastAsia" w:ascii="黑体" w:hAnsi="黑体" w:eastAsia="黑体"/>
              <w:bCs/>
            </w:rPr>
            <w:t>单位决算情况说明</w:t>
          </w:r>
          <w:r>
            <w:tab/>
          </w:r>
          <w:r>
            <w:fldChar w:fldCharType="begin"/>
          </w:r>
          <w:r>
            <w:instrText xml:space="preserve"> PAGEREF _Toc9219 \h </w:instrText>
          </w:r>
          <w:r>
            <w:fldChar w:fldCharType="separate"/>
          </w:r>
          <w:r>
            <w:t>5</w:t>
          </w:r>
          <w:r>
            <w:fldChar w:fldCharType="end"/>
          </w:r>
          <w:r>
            <w:fldChar w:fldCharType="end"/>
          </w:r>
        </w:p>
        <w:p w14:paraId="783E2CC3">
          <w:pPr>
            <w:pStyle w:val="13"/>
            <w:tabs>
              <w:tab w:val="right" w:leader="dot" w:pos="8306"/>
              <w:tab w:val="clear" w:pos="8296"/>
            </w:tabs>
          </w:pPr>
          <w:r>
            <w:fldChar w:fldCharType="begin"/>
          </w:r>
          <w:r>
            <w:instrText xml:space="preserve"> HYPERLINK \l _Toc17683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_Toc17683 \h </w:instrText>
          </w:r>
          <w:r>
            <w:fldChar w:fldCharType="separate"/>
          </w:r>
          <w:r>
            <w:t>5</w:t>
          </w:r>
          <w:r>
            <w:fldChar w:fldCharType="end"/>
          </w:r>
          <w:r>
            <w:fldChar w:fldCharType="end"/>
          </w:r>
        </w:p>
        <w:p w14:paraId="1FC4D736">
          <w:pPr>
            <w:pStyle w:val="13"/>
            <w:tabs>
              <w:tab w:val="right" w:leader="dot" w:pos="8306"/>
              <w:tab w:val="clear" w:pos="8296"/>
            </w:tabs>
          </w:pPr>
          <w:r>
            <w:fldChar w:fldCharType="begin"/>
          </w:r>
          <w:r>
            <w:instrText xml:space="preserve"> HYPERLINK \l _Toc24652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_Toc24652 \h </w:instrText>
          </w:r>
          <w:r>
            <w:fldChar w:fldCharType="separate"/>
          </w:r>
          <w:r>
            <w:t>5</w:t>
          </w:r>
          <w:r>
            <w:fldChar w:fldCharType="end"/>
          </w:r>
          <w:r>
            <w:fldChar w:fldCharType="end"/>
          </w:r>
        </w:p>
        <w:p w14:paraId="6789F7F3">
          <w:pPr>
            <w:pStyle w:val="13"/>
            <w:tabs>
              <w:tab w:val="right" w:leader="dot" w:pos="8306"/>
              <w:tab w:val="clear" w:pos="8296"/>
            </w:tabs>
          </w:pPr>
          <w:r>
            <w:fldChar w:fldCharType="begin"/>
          </w:r>
          <w:r>
            <w:instrText xml:space="preserve"> HYPERLINK \l _Toc11858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_Toc11858 \h </w:instrText>
          </w:r>
          <w:r>
            <w:fldChar w:fldCharType="separate"/>
          </w:r>
          <w:r>
            <w:t>6</w:t>
          </w:r>
          <w:r>
            <w:fldChar w:fldCharType="end"/>
          </w:r>
          <w:r>
            <w:fldChar w:fldCharType="end"/>
          </w:r>
        </w:p>
        <w:p w14:paraId="54BA71C3">
          <w:pPr>
            <w:pStyle w:val="13"/>
            <w:tabs>
              <w:tab w:val="right" w:leader="dot" w:pos="8306"/>
              <w:tab w:val="clear" w:pos="8296"/>
            </w:tabs>
          </w:pPr>
          <w:r>
            <w:fldChar w:fldCharType="begin"/>
          </w:r>
          <w:r>
            <w:instrText xml:space="preserve"> HYPERLINK \l _Toc21594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_Toc21594 \h </w:instrText>
          </w:r>
          <w:r>
            <w:fldChar w:fldCharType="separate"/>
          </w:r>
          <w:r>
            <w:t>7</w:t>
          </w:r>
          <w:r>
            <w:fldChar w:fldCharType="end"/>
          </w:r>
          <w:r>
            <w:fldChar w:fldCharType="end"/>
          </w:r>
        </w:p>
        <w:p w14:paraId="08EAA45A">
          <w:pPr>
            <w:pStyle w:val="13"/>
            <w:tabs>
              <w:tab w:val="right" w:leader="dot" w:pos="8306"/>
              <w:tab w:val="clear" w:pos="8296"/>
            </w:tabs>
          </w:pPr>
          <w:r>
            <w:fldChar w:fldCharType="begin"/>
          </w:r>
          <w:r>
            <w:instrText xml:space="preserve"> HYPERLINK \l _Toc9318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_Toc9318 \h </w:instrText>
          </w:r>
          <w:r>
            <w:fldChar w:fldCharType="separate"/>
          </w:r>
          <w:r>
            <w:t>10</w:t>
          </w:r>
          <w:r>
            <w:fldChar w:fldCharType="end"/>
          </w:r>
          <w:r>
            <w:fldChar w:fldCharType="end"/>
          </w:r>
        </w:p>
        <w:p w14:paraId="65FD638C">
          <w:pPr>
            <w:pStyle w:val="13"/>
            <w:tabs>
              <w:tab w:val="right" w:leader="dot" w:pos="8306"/>
              <w:tab w:val="clear" w:pos="8296"/>
            </w:tabs>
          </w:pPr>
          <w:r>
            <w:fldChar w:fldCharType="begin"/>
          </w:r>
          <w:r>
            <w:instrText xml:space="preserve"> HYPERLINK \l _Toc22154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_Toc22154 \h </w:instrText>
          </w:r>
          <w:r>
            <w:fldChar w:fldCharType="separate"/>
          </w:r>
          <w:r>
            <w:t>10</w:t>
          </w:r>
          <w:r>
            <w:fldChar w:fldCharType="end"/>
          </w:r>
          <w:r>
            <w:fldChar w:fldCharType="end"/>
          </w:r>
        </w:p>
        <w:p w14:paraId="4C5B8F98">
          <w:pPr>
            <w:pStyle w:val="13"/>
            <w:tabs>
              <w:tab w:val="right" w:leader="dot" w:pos="8306"/>
              <w:tab w:val="clear" w:pos="8296"/>
            </w:tabs>
          </w:pPr>
          <w:r>
            <w:fldChar w:fldCharType="begin"/>
          </w:r>
          <w:r>
            <w:instrText xml:space="preserve"> HYPERLINK \l _Toc24371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_Toc24371 \h </w:instrText>
          </w:r>
          <w:r>
            <w:fldChar w:fldCharType="separate"/>
          </w:r>
          <w:r>
            <w:t>13</w:t>
          </w:r>
          <w:r>
            <w:fldChar w:fldCharType="end"/>
          </w:r>
          <w:r>
            <w:fldChar w:fldCharType="end"/>
          </w:r>
        </w:p>
        <w:p w14:paraId="30FC15AB">
          <w:pPr>
            <w:pStyle w:val="13"/>
            <w:tabs>
              <w:tab w:val="right" w:leader="dot" w:pos="8306"/>
              <w:tab w:val="clear" w:pos="8296"/>
            </w:tabs>
          </w:pPr>
          <w:r>
            <w:fldChar w:fldCharType="begin"/>
          </w:r>
          <w:r>
            <w:instrText xml:space="preserve"> HYPERLINK \l _Toc5671 </w:instrText>
          </w:r>
          <w:r>
            <w:fldChar w:fldCharType="separate"/>
          </w:r>
          <w:r>
            <w:rPr>
              <w:rFonts w:hint="eastAsia" w:ascii="黑体" w:hAnsi="黑体" w:eastAsia="黑体"/>
            </w:rPr>
            <w:t>九、 国有资本经营预算支出决算情况说明</w:t>
          </w:r>
          <w:r>
            <w:tab/>
          </w:r>
          <w:r>
            <w:fldChar w:fldCharType="begin"/>
          </w:r>
          <w:r>
            <w:instrText xml:space="preserve"> PAGEREF _Toc5671 \h </w:instrText>
          </w:r>
          <w:r>
            <w:fldChar w:fldCharType="separate"/>
          </w:r>
          <w:r>
            <w:t>13</w:t>
          </w:r>
          <w:r>
            <w:fldChar w:fldCharType="end"/>
          </w:r>
          <w:r>
            <w:fldChar w:fldCharType="end"/>
          </w:r>
        </w:p>
        <w:p w14:paraId="34FE9101">
          <w:pPr>
            <w:pStyle w:val="13"/>
            <w:tabs>
              <w:tab w:val="right" w:leader="dot" w:pos="8306"/>
              <w:tab w:val="clear" w:pos="8296"/>
            </w:tabs>
          </w:pPr>
          <w:r>
            <w:fldChar w:fldCharType="begin"/>
          </w:r>
          <w:r>
            <w:instrText xml:space="preserve"> HYPERLINK \l _Toc13295 </w:instrText>
          </w:r>
          <w:r>
            <w:fldChar w:fldCharType="separate"/>
          </w:r>
          <w:r>
            <w:rPr>
              <w:rFonts w:hint="eastAsia" w:ascii="黑体" w:hAnsi="黑体" w:eastAsia="黑体"/>
            </w:rPr>
            <w:t>十、 其他重要事项的情况说明</w:t>
          </w:r>
          <w:bookmarkStart w:id="97" w:name="_GoBack"/>
          <w:bookmarkEnd w:id="97"/>
          <w:r>
            <w:tab/>
          </w:r>
          <w:r>
            <w:fldChar w:fldCharType="begin"/>
          </w:r>
          <w:r>
            <w:instrText xml:space="preserve"> PAGEREF _Toc13295 \h </w:instrText>
          </w:r>
          <w:r>
            <w:fldChar w:fldCharType="separate"/>
          </w:r>
          <w:r>
            <w:t>13</w:t>
          </w:r>
          <w:r>
            <w:fldChar w:fldCharType="end"/>
          </w:r>
          <w:r>
            <w:fldChar w:fldCharType="end"/>
          </w:r>
        </w:p>
        <w:p w14:paraId="3B6DE785">
          <w:pPr>
            <w:pStyle w:val="12"/>
            <w:tabs>
              <w:tab w:val="right" w:leader="dot" w:pos="8306"/>
              <w:tab w:val="clear" w:pos="8296"/>
            </w:tabs>
          </w:pPr>
          <w:r>
            <w:fldChar w:fldCharType="begin"/>
          </w:r>
          <w:r>
            <w:instrText xml:space="preserve"> HYPERLINK \l _Toc12891 </w:instrText>
          </w:r>
          <w:r>
            <w:fldChar w:fldCharType="separate"/>
          </w:r>
          <w:r>
            <w:rPr>
              <w:rFonts w:hint="eastAsia" w:ascii="黑体" w:hAnsi="黑体" w:eastAsia="黑体" w:cs="黑体"/>
              <w:szCs w:val="44"/>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_Toc12891 \h </w:instrText>
          </w:r>
          <w:r>
            <w:fldChar w:fldCharType="separate"/>
          </w:r>
          <w:r>
            <w:t>15</w:t>
          </w:r>
          <w:r>
            <w:fldChar w:fldCharType="end"/>
          </w:r>
          <w:r>
            <w:fldChar w:fldCharType="end"/>
          </w:r>
        </w:p>
        <w:p w14:paraId="253F2EE5">
          <w:pPr>
            <w:pStyle w:val="12"/>
            <w:tabs>
              <w:tab w:val="right" w:leader="dot" w:pos="8306"/>
              <w:tab w:val="clear" w:pos="8296"/>
            </w:tabs>
          </w:pPr>
          <w:r>
            <w:fldChar w:fldCharType="begin"/>
          </w:r>
          <w:r>
            <w:instrText xml:space="preserve"> HYPERLINK \l _Toc4284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_Toc4284 \h </w:instrText>
          </w:r>
          <w:r>
            <w:fldChar w:fldCharType="separate"/>
          </w:r>
          <w:r>
            <w:t>17</w:t>
          </w:r>
          <w:r>
            <w:fldChar w:fldCharType="end"/>
          </w:r>
          <w:r>
            <w:fldChar w:fldCharType="end"/>
          </w:r>
        </w:p>
        <w:p w14:paraId="6B29AE13">
          <w:pPr>
            <w:pStyle w:val="13"/>
            <w:tabs>
              <w:tab w:val="right" w:leader="dot" w:pos="8306"/>
              <w:tab w:val="clear" w:pos="8296"/>
            </w:tabs>
          </w:pPr>
          <w:r>
            <w:fldChar w:fldCharType="begin"/>
          </w:r>
          <w:r>
            <w:instrText xml:space="preserve"> HYPERLINK \l _Toc1497 </w:instrText>
          </w:r>
          <w:r>
            <w:fldChar w:fldCharType="separate"/>
          </w:r>
          <w:r>
            <w:rPr>
              <w:rFonts w:hint="eastAsia"/>
              <w:szCs w:val="32"/>
            </w:rPr>
            <w:t>部门预算项目支出绩效自评表（2023年度）</w:t>
          </w:r>
          <w:r>
            <w:tab/>
          </w:r>
          <w:r>
            <w:fldChar w:fldCharType="begin"/>
          </w:r>
          <w:r>
            <w:instrText xml:space="preserve"> PAGEREF _Toc1497 \h </w:instrText>
          </w:r>
          <w:r>
            <w:fldChar w:fldCharType="separate"/>
          </w:r>
          <w:r>
            <w:t>17</w:t>
          </w:r>
          <w:r>
            <w:fldChar w:fldCharType="end"/>
          </w:r>
          <w:r>
            <w:fldChar w:fldCharType="end"/>
          </w:r>
        </w:p>
        <w:p w14:paraId="7365B699">
          <w:pPr>
            <w:pStyle w:val="12"/>
            <w:tabs>
              <w:tab w:val="right" w:leader="dot" w:pos="8306"/>
              <w:tab w:val="clear" w:pos="8296"/>
            </w:tabs>
          </w:pPr>
          <w:r>
            <w:fldChar w:fldCharType="begin"/>
          </w:r>
          <w:r>
            <w:instrText xml:space="preserve"> HYPERLINK \l _Toc24117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_Toc24117 \h </w:instrText>
          </w:r>
          <w:r>
            <w:fldChar w:fldCharType="separate"/>
          </w:r>
          <w:r>
            <w:t>18</w:t>
          </w:r>
          <w:r>
            <w:fldChar w:fldCharType="end"/>
          </w:r>
          <w:r>
            <w:fldChar w:fldCharType="end"/>
          </w:r>
        </w:p>
        <w:p w14:paraId="44A5E1AD">
          <w:pPr>
            <w:pStyle w:val="13"/>
            <w:tabs>
              <w:tab w:val="right" w:leader="dot" w:pos="8306"/>
              <w:tab w:val="clear" w:pos="8296"/>
            </w:tabs>
          </w:pPr>
          <w:r>
            <w:fldChar w:fldCharType="begin"/>
          </w:r>
          <w:r>
            <w:instrText xml:space="preserve"> HYPERLINK \l _Toc13498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_Toc13498 \h </w:instrText>
          </w:r>
          <w:r>
            <w:fldChar w:fldCharType="separate"/>
          </w:r>
          <w:r>
            <w:t>18</w:t>
          </w:r>
          <w:r>
            <w:fldChar w:fldCharType="end"/>
          </w:r>
          <w:r>
            <w:fldChar w:fldCharType="end"/>
          </w:r>
        </w:p>
        <w:p w14:paraId="452BD7E6">
          <w:pPr>
            <w:pStyle w:val="13"/>
            <w:tabs>
              <w:tab w:val="right" w:leader="dot" w:pos="8306"/>
              <w:tab w:val="clear" w:pos="8296"/>
            </w:tabs>
          </w:pPr>
          <w:r>
            <w:fldChar w:fldCharType="begin"/>
          </w:r>
          <w:r>
            <w:instrText xml:space="preserve"> HYPERLINK \l _Toc15948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_Toc15948 \h </w:instrText>
          </w:r>
          <w:r>
            <w:fldChar w:fldCharType="separate"/>
          </w:r>
          <w:r>
            <w:t>18</w:t>
          </w:r>
          <w:r>
            <w:fldChar w:fldCharType="end"/>
          </w:r>
          <w:r>
            <w:fldChar w:fldCharType="end"/>
          </w:r>
        </w:p>
        <w:p w14:paraId="01ADFCFE">
          <w:pPr>
            <w:pStyle w:val="13"/>
            <w:tabs>
              <w:tab w:val="right" w:leader="dot" w:pos="8306"/>
              <w:tab w:val="clear" w:pos="8296"/>
            </w:tabs>
          </w:pPr>
          <w:r>
            <w:fldChar w:fldCharType="begin"/>
          </w:r>
          <w:r>
            <w:instrText xml:space="preserve"> HYPERLINK \l _Toc13924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_Toc13924 \h </w:instrText>
          </w:r>
          <w:r>
            <w:fldChar w:fldCharType="separate"/>
          </w:r>
          <w:r>
            <w:t>18</w:t>
          </w:r>
          <w:r>
            <w:fldChar w:fldCharType="end"/>
          </w:r>
          <w:r>
            <w:fldChar w:fldCharType="end"/>
          </w:r>
        </w:p>
        <w:p w14:paraId="0346828B">
          <w:pPr>
            <w:pStyle w:val="13"/>
            <w:tabs>
              <w:tab w:val="right" w:leader="dot" w:pos="8306"/>
              <w:tab w:val="clear" w:pos="8296"/>
            </w:tabs>
          </w:pPr>
          <w:r>
            <w:fldChar w:fldCharType="begin"/>
          </w:r>
          <w:r>
            <w:instrText xml:space="preserve"> HYPERLINK \l _Toc6950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_Toc6950 \h </w:instrText>
          </w:r>
          <w:r>
            <w:fldChar w:fldCharType="separate"/>
          </w:r>
          <w:r>
            <w:t>18</w:t>
          </w:r>
          <w:r>
            <w:fldChar w:fldCharType="end"/>
          </w:r>
          <w:r>
            <w:fldChar w:fldCharType="end"/>
          </w:r>
        </w:p>
        <w:p w14:paraId="30E7075B">
          <w:pPr>
            <w:pStyle w:val="13"/>
            <w:tabs>
              <w:tab w:val="right" w:leader="dot" w:pos="8306"/>
              <w:tab w:val="clear" w:pos="8296"/>
            </w:tabs>
          </w:pPr>
          <w:r>
            <w:fldChar w:fldCharType="begin"/>
          </w:r>
          <w:r>
            <w:instrText xml:space="preserve"> HYPERLINK \l _Toc9069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_Toc9069 \h </w:instrText>
          </w:r>
          <w:r>
            <w:fldChar w:fldCharType="separate"/>
          </w:r>
          <w:r>
            <w:t>18</w:t>
          </w:r>
          <w:r>
            <w:fldChar w:fldCharType="end"/>
          </w:r>
          <w:r>
            <w:fldChar w:fldCharType="end"/>
          </w:r>
        </w:p>
        <w:p w14:paraId="21FB619F">
          <w:pPr>
            <w:pStyle w:val="13"/>
            <w:tabs>
              <w:tab w:val="right" w:leader="dot" w:pos="8306"/>
              <w:tab w:val="clear" w:pos="8296"/>
            </w:tabs>
          </w:pPr>
          <w:r>
            <w:fldChar w:fldCharType="begin"/>
          </w:r>
          <w:r>
            <w:instrText xml:space="preserve"> HYPERLINK \l _Toc19937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_Toc19937 \h </w:instrText>
          </w:r>
          <w:r>
            <w:fldChar w:fldCharType="separate"/>
          </w:r>
          <w:r>
            <w:t>18</w:t>
          </w:r>
          <w:r>
            <w:fldChar w:fldCharType="end"/>
          </w:r>
          <w:r>
            <w:fldChar w:fldCharType="end"/>
          </w:r>
        </w:p>
        <w:p w14:paraId="6B8266C2">
          <w:pPr>
            <w:pStyle w:val="13"/>
            <w:tabs>
              <w:tab w:val="right" w:leader="dot" w:pos="8306"/>
              <w:tab w:val="clear" w:pos="8296"/>
            </w:tabs>
          </w:pPr>
          <w:r>
            <w:fldChar w:fldCharType="begin"/>
          </w:r>
          <w:r>
            <w:instrText xml:space="preserve"> HYPERLINK \l _Toc4060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_Toc4060 \h </w:instrText>
          </w:r>
          <w:r>
            <w:fldChar w:fldCharType="separate"/>
          </w:r>
          <w:r>
            <w:t>18</w:t>
          </w:r>
          <w:r>
            <w:fldChar w:fldCharType="end"/>
          </w:r>
          <w:r>
            <w:fldChar w:fldCharType="end"/>
          </w:r>
        </w:p>
        <w:p w14:paraId="07FC9317">
          <w:pPr>
            <w:pStyle w:val="13"/>
            <w:tabs>
              <w:tab w:val="right" w:leader="dot" w:pos="8306"/>
              <w:tab w:val="clear" w:pos="8296"/>
            </w:tabs>
          </w:pPr>
          <w:r>
            <w:fldChar w:fldCharType="begin"/>
          </w:r>
          <w:r>
            <w:instrText xml:space="preserve"> HYPERLINK \l _Toc9308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_Toc9308 \h </w:instrText>
          </w:r>
          <w:r>
            <w:fldChar w:fldCharType="separate"/>
          </w:r>
          <w:r>
            <w:t>18</w:t>
          </w:r>
          <w:r>
            <w:fldChar w:fldCharType="end"/>
          </w:r>
          <w:r>
            <w:fldChar w:fldCharType="end"/>
          </w:r>
        </w:p>
        <w:p w14:paraId="06BCBEF8">
          <w:pPr>
            <w:pStyle w:val="13"/>
            <w:tabs>
              <w:tab w:val="right" w:leader="dot" w:pos="8306"/>
              <w:tab w:val="clear" w:pos="8296"/>
            </w:tabs>
          </w:pPr>
          <w:r>
            <w:fldChar w:fldCharType="begin"/>
          </w:r>
          <w:r>
            <w:instrText xml:space="preserve"> HYPERLINK \l _Toc15416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_Toc15416 \h </w:instrText>
          </w:r>
          <w:r>
            <w:fldChar w:fldCharType="separate"/>
          </w:r>
          <w:r>
            <w:t>18</w:t>
          </w:r>
          <w:r>
            <w:fldChar w:fldCharType="end"/>
          </w:r>
          <w:r>
            <w:fldChar w:fldCharType="end"/>
          </w:r>
        </w:p>
        <w:p w14:paraId="730D81C3">
          <w:pPr>
            <w:pStyle w:val="13"/>
            <w:tabs>
              <w:tab w:val="right" w:leader="dot" w:pos="8306"/>
              <w:tab w:val="clear" w:pos="8296"/>
            </w:tabs>
          </w:pPr>
          <w:r>
            <w:fldChar w:fldCharType="begin"/>
          </w:r>
          <w:r>
            <w:instrText xml:space="preserve"> HYPERLINK \l _Toc1664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_Toc1664 \h </w:instrText>
          </w:r>
          <w:r>
            <w:fldChar w:fldCharType="separate"/>
          </w:r>
          <w:r>
            <w:t>18</w:t>
          </w:r>
          <w:r>
            <w:fldChar w:fldCharType="end"/>
          </w:r>
          <w:r>
            <w:fldChar w:fldCharType="end"/>
          </w:r>
        </w:p>
        <w:p w14:paraId="1F5FCBC8">
          <w:pPr>
            <w:pStyle w:val="13"/>
            <w:tabs>
              <w:tab w:val="right" w:leader="dot" w:pos="8306"/>
              <w:tab w:val="clear" w:pos="8296"/>
            </w:tabs>
          </w:pPr>
          <w:r>
            <w:fldChar w:fldCharType="begin"/>
          </w:r>
          <w:r>
            <w:instrText xml:space="preserve"> HYPERLINK \l _Toc31810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_Toc31810 \h </w:instrText>
          </w:r>
          <w:r>
            <w:fldChar w:fldCharType="separate"/>
          </w:r>
          <w:r>
            <w:t>18</w:t>
          </w:r>
          <w:r>
            <w:fldChar w:fldCharType="end"/>
          </w:r>
          <w:r>
            <w:fldChar w:fldCharType="end"/>
          </w:r>
        </w:p>
        <w:p w14:paraId="34DE6FE4">
          <w:pPr>
            <w:pStyle w:val="13"/>
            <w:tabs>
              <w:tab w:val="right" w:leader="dot" w:pos="8306"/>
              <w:tab w:val="clear" w:pos="8296"/>
            </w:tabs>
          </w:pPr>
          <w:r>
            <w:fldChar w:fldCharType="begin"/>
          </w:r>
          <w:r>
            <w:instrText xml:space="preserve"> HYPERLINK \l _Toc16030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_Toc16030 \h </w:instrText>
          </w:r>
          <w:r>
            <w:fldChar w:fldCharType="separate"/>
          </w:r>
          <w:r>
            <w:t>18</w:t>
          </w:r>
          <w:r>
            <w:fldChar w:fldCharType="end"/>
          </w:r>
          <w:r>
            <w:fldChar w:fldCharType="end"/>
          </w:r>
        </w:p>
        <w:p w14:paraId="57ECF1F1">
          <w:pPr>
            <w:pStyle w:val="13"/>
            <w:tabs>
              <w:tab w:val="right" w:leader="dot" w:pos="8306"/>
              <w:tab w:val="clear" w:pos="8296"/>
            </w:tabs>
          </w:pPr>
          <w:r>
            <w:fldChar w:fldCharType="begin"/>
          </w:r>
          <w:r>
            <w:instrText xml:space="preserve"> HYPERLINK \l _Toc26704 </w:instrText>
          </w:r>
          <w:r>
            <w:fldChar w:fldCharType="separate"/>
          </w:r>
          <w:r>
            <w:rPr>
              <w:rFonts w:hint="eastAsia" w:ascii="仿宋" w:hAnsi="仿宋" w:eastAsia="仿宋"/>
              <w:bCs w:val="0"/>
            </w:rPr>
            <w:t>十三、财政拨款“三公”经费支出决算表</w:t>
          </w:r>
          <w:r>
            <w:tab/>
          </w:r>
          <w:r>
            <w:fldChar w:fldCharType="begin"/>
          </w:r>
          <w:r>
            <w:instrText xml:space="preserve"> PAGEREF _Toc26704 \h </w:instrText>
          </w:r>
          <w:r>
            <w:fldChar w:fldCharType="separate"/>
          </w:r>
          <w:r>
            <w:t>18</w:t>
          </w:r>
          <w:r>
            <w:fldChar w:fldCharType="end"/>
          </w:r>
          <w:r>
            <w:fldChar w:fldCharType="end"/>
          </w:r>
        </w:p>
        <w:p w14:paraId="634EA703">
          <w:pPr>
            <w:rPr>
              <w:rFonts w:ascii="Times New Roman" w:hAnsi="Times New Roman" w:eastAsia="宋体" w:cs="Times New Roman"/>
              <w:b/>
              <w:kern w:val="2"/>
              <w:sz w:val="21"/>
              <w:szCs w:val="24"/>
              <w:lang w:val="en-US" w:eastAsia="zh-CN" w:bidi="ar-SA"/>
            </w:rPr>
          </w:pPr>
          <w:r>
            <w:fldChar w:fldCharType="end"/>
          </w:r>
        </w:p>
      </w:sdtContent>
    </w:sdt>
    <w:p w14:paraId="1F04A5F0">
      <w:pPr>
        <w:pStyle w:val="2"/>
      </w:pPr>
    </w:p>
    <w:p w14:paraId="35B0F8E7">
      <w:pPr>
        <w:pStyle w:val="12"/>
        <w:rPr>
          <w:rFonts w:hint="default" w:eastAsia="仿宋"/>
          <w:highlight w:val="none"/>
          <w:lang w:val="en-US" w:eastAsia="zh-CN"/>
        </w:rPr>
      </w:pPr>
      <w:r>
        <w:rPr>
          <w:rFonts w:hint="eastAsia"/>
          <w:highlight w:val="none"/>
        </w:rPr>
        <w:t>公开时间：202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p>
    <w:p w14:paraId="7E58577A"/>
    <w:p w14:paraId="6E40A40B">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6631E69D">
      <w:pPr>
        <w:pStyle w:val="3"/>
        <w:ind w:right="440"/>
        <w:jc w:val="center"/>
        <w:rPr>
          <w:rFonts w:hint="eastAsia" w:ascii="黑体" w:hAnsi="黑体" w:eastAsia="黑体"/>
          <w:b w:val="0"/>
        </w:rPr>
      </w:pPr>
      <w:bookmarkStart w:id="14" w:name="_Toc13778"/>
      <w:r>
        <w:rPr>
          <w:rFonts w:hint="eastAsia" w:ascii="黑体" w:hAnsi="黑体" w:eastAsia="黑体"/>
          <w:b w:val="0"/>
        </w:rPr>
        <w:t>第一部分 单位概况</w:t>
      </w:r>
      <w:bookmarkEnd w:id="12"/>
      <w:bookmarkEnd w:id="13"/>
      <w:bookmarkEnd w:id="14"/>
    </w:p>
    <w:p w14:paraId="0032B474">
      <w:pPr>
        <w:widowControl/>
        <w:jc w:val="left"/>
        <w:rPr>
          <w:rFonts w:ascii="黑体" w:eastAsia="黑体"/>
          <w:sz w:val="32"/>
          <w:szCs w:val="32"/>
        </w:rPr>
      </w:pPr>
    </w:p>
    <w:p w14:paraId="6415AAA8">
      <w:pPr>
        <w:pStyle w:val="4"/>
        <w:numPr>
          <w:ilvl w:val="0"/>
          <w:numId w:val="1"/>
        </w:numPr>
        <w:rPr>
          <w:rStyle w:val="28"/>
          <w:rFonts w:ascii="黑体" w:hAnsi="黑体" w:eastAsia="黑体"/>
          <w:b w:val="0"/>
          <w:bCs w:val="0"/>
          <w:highlight w:val="none"/>
        </w:rPr>
      </w:pPr>
      <w:bookmarkStart w:id="15" w:name="_Toc3196"/>
      <w:bookmarkStart w:id="16" w:name="_Toc15377197"/>
      <w:bookmarkStart w:id="17" w:name="_Toc15396600"/>
      <w:r>
        <w:rPr>
          <w:rStyle w:val="28"/>
          <w:rFonts w:hint="eastAsia" w:ascii="黑体" w:hAnsi="黑体" w:eastAsia="黑体"/>
          <w:b w:val="0"/>
          <w:bCs w:val="0"/>
          <w:highlight w:val="none"/>
        </w:rPr>
        <w:t>主要职责</w:t>
      </w:r>
      <w:bookmarkEnd w:id="15"/>
    </w:p>
    <w:p w14:paraId="1752E7B9">
      <w:pPr>
        <w:ind w:firstLine="600" w:firstLineChars="200"/>
      </w:pPr>
      <w:r>
        <w:rPr>
          <w:rFonts w:hint="eastAsia" w:ascii="仿宋_GB2312" w:eastAsia="仿宋_GB2312"/>
          <w:color w:val="000000"/>
          <w:sz w:val="30"/>
          <w:szCs w:val="30"/>
        </w:rPr>
        <w:t>大竹县土壤肥料站的基本职能是土肥水新技术的推广与培训、高标准农田</w:t>
      </w:r>
      <w:r>
        <w:rPr>
          <w:rFonts w:hint="eastAsia" w:ascii="仿宋_GB2312" w:eastAsia="仿宋_GB2312"/>
          <w:color w:val="000000"/>
          <w:sz w:val="30"/>
          <w:szCs w:val="30"/>
          <w:lang w:val="en-US" w:eastAsia="zh-CN"/>
        </w:rPr>
        <w:t>的</w:t>
      </w:r>
      <w:r>
        <w:rPr>
          <w:rFonts w:hint="eastAsia" w:ascii="仿宋_GB2312" w:eastAsia="仿宋_GB2312"/>
          <w:color w:val="000000"/>
          <w:sz w:val="30"/>
          <w:szCs w:val="30"/>
        </w:rPr>
        <w:t>建设与管理、农村</w:t>
      </w:r>
      <w:r>
        <w:rPr>
          <w:rFonts w:hint="eastAsia" w:ascii="仿宋_GB2312" w:eastAsia="仿宋_GB2312"/>
          <w:color w:val="000000"/>
          <w:sz w:val="30"/>
          <w:szCs w:val="30"/>
          <w:lang w:val="en-US" w:eastAsia="zh-CN"/>
        </w:rPr>
        <w:t>的</w:t>
      </w:r>
      <w:r>
        <w:rPr>
          <w:rFonts w:hint="eastAsia" w:ascii="仿宋_GB2312" w:eastAsia="仿宋_GB2312"/>
          <w:color w:val="000000"/>
          <w:sz w:val="30"/>
          <w:szCs w:val="30"/>
        </w:rPr>
        <w:t>面源污染防治等。</w:t>
      </w:r>
    </w:p>
    <w:p w14:paraId="1CF44BB3">
      <w:pPr>
        <w:pStyle w:val="4"/>
        <w:numPr>
          <w:ilvl w:val="0"/>
          <w:numId w:val="1"/>
        </w:numPr>
        <w:ind w:left="0" w:leftChars="0" w:firstLine="0" w:firstLineChars="0"/>
        <w:rPr>
          <w:rFonts w:hint="eastAsia" w:ascii="黑体" w:hAnsi="黑体" w:eastAsia="黑体"/>
          <w:b w:val="0"/>
          <w:highlight w:val="none"/>
        </w:rPr>
      </w:pPr>
      <w:bookmarkStart w:id="18" w:name="_Toc12857"/>
      <w:r>
        <w:rPr>
          <w:rFonts w:hint="eastAsia" w:ascii="黑体" w:hAnsi="黑体" w:eastAsia="黑体"/>
          <w:b w:val="0"/>
          <w:highlight w:val="none"/>
        </w:rPr>
        <w:t>机构设置</w:t>
      </w:r>
      <w:bookmarkEnd w:id="18"/>
    </w:p>
    <w:p w14:paraId="658177BA">
      <w:pPr>
        <w:numPr>
          <w:ilvl w:val="0"/>
          <w:numId w:val="0"/>
        </w:numPr>
        <w:ind w:leftChars="0" w:firstLine="600" w:firstLineChars="200"/>
      </w:pPr>
      <w:r>
        <w:rPr>
          <w:rFonts w:hint="eastAsia" w:ascii="仿宋_GB2312" w:eastAsia="仿宋_GB2312"/>
          <w:color w:val="000000"/>
          <w:sz w:val="30"/>
          <w:szCs w:val="30"/>
        </w:rPr>
        <w:t>大竹县土壤肥料站系大竹县农业农村局下属的1个一级预算全额拨款事业单位。</w:t>
      </w:r>
    </w:p>
    <w:bookmarkEnd w:id="16"/>
    <w:bookmarkEnd w:id="17"/>
    <w:p w14:paraId="635E9E57">
      <w:pPr>
        <w:widowControl/>
        <w:jc w:val="left"/>
        <w:rPr>
          <w:rFonts w:ascii="仿宋" w:hAnsi="仿宋" w:eastAsia="仿宋"/>
          <w:kern w:val="0"/>
          <w:sz w:val="32"/>
          <w:szCs w:val="32"/>
          <w:highlight w:val="yellow"/>
        </w:rPr>
      </w:pPr>
      <w:r>
        <w:rPr>
          <w:rFonts w:ascii="仿宋" w:hAnsi="仿宋" w:eastAsia="仿宋"/>
          <w:sz w:val="32"/>
          <w:szCs w:val="32"/>
          <w:highlight w:val="yellow"/>
        </w:rPr>
        <w:br w:type="page"/>
      </w:r>
    </w:p>
    <w:p w14:paraId="0CA0D72F">
      <w:pPr>
        <w:pStyle w:val="3"/>
        <w:ind w:right="440"/>
        <w:jc w:val="center"/>
        <w:rPr>
          <w:rStyle w:val="27"/>
          <w:rFonts w:ascii="黑体" w:hAnsi="黑体" w:eastAsia="黑体"/>
          <w:b w:val="0"/>
          <w:bCs/>
        </w:rPr>
      </w:pPr>
      <w:bookmarkStart w:id="19" w:name="_Toc15396602"/>
      <w:bookmarkStart w:id="20" w:name="_Toc15377204"/>
      <w:bookmarkStart w:id="21" w:name="_Toc9219"/>
      <w:r>
        <w:rPr>
          <w:rFonts w:hint="eastAsia" w:ascii="黑体" w:hAnsi="黑体" w:eastAsia="黑体"/>
          <w:b w:val="0"/>
        </w:rPr>
        <w:t>第二部分 2023年度</w:t>
      </w:r>
      <w:r>
        <w:rPr>
          <w:rStyle w:val="27"/>
          <w:rFonts w:hint="eastAsia" w:ascii="黑体" w:hAnsi="黑体" w:eastAsia="黑体"/>
          <w:b w:val="0"/>
          <w:bCs/>
        </w:rPr>
        <w:t>单位决算情况说明</w:t>
      </w:r>
      <w:bookmarkEnd w:id="19"/>
      <w:bookmarkEnd w:id="20"/>
      <w:bookmarkEnd w:id="21"/>
    </w:p>
    <w:p w14:paraId="5D017410"/>
    <w:p w14:paraId="25CC2928">
      <w:pPr>
        <w:pStyle w:val="26"/>
        <w:numPr>
          <w:ilvl w:val="0"/>
          <w:numId w:val="2"/>
        </w:numPr>
        <w:spacing w:line="600" w:lineRule="exact"/>
        <w:ind w:firstLineChars="0"/>
        <w:outlineLvl w:val="1"/>
        <w:rPr>
          <w:rStyle w:val="28"/>
          <w:rFonts w:ascii="黑体" w:hAnsi="黑体" w:eastAsia="黑体"/>
          <w:b w:val="0"/>
        </w:rPr>
      </w:pPr>
      <w:bookmarkStart w:id="22" w:name="_Toc15396603"/>
      <w:bookmarkStart w:id="23" w:name="_Toc15377205"/>
      <w:bookmarkStart w:id="24" w:name="_Toc17683"/>
      <w:r>
        <w:rPr>
          <w:rFonts w:hint="eastAsia" w:ascii="黑体" w:hAnsi="黑体" w:eastAsia="黑体"/>
          <w:sz w:val="32"/>
          <w:szCs w:val="32"/>
        </w:rPr>
        <w:t>收</w:t>
      </w:r>
      <w:r>
        <w:rPr>
          <w:rStyle w:val="28"/>
          <w:rFonts w:hint="eastAsia" w:ascii="黑体" w:hAnsi="黑体" w:eastAsia="黑体"/>
          <w:b w:val="0"/>
        </w:rPr>
        <w:t>入支出决算总体情况说明</w:t>
      </w:r>
      <w:bookmarkEnd w:id="22"/>
      <w:bookmarkEnd w:id="23"/>
      <w:bookmarkEnd w:id="24"/>
    </w:p>
    <w:p w14:paraId="4973D40B">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rPr>
        <w:t>2023年度收、支总计均为</w:t>
      </w:r>
      <w:r>
        <w:rPr>
          <w:rFonts w:hint="eastAsia" w:ascii="仿宋" w:hAnsi="仿宋" w:eastAsia="仿宋"/>
          <w:sz w:val="32"/>
          <w:szCs w:val="32"/>
          <w:lang w:val="en-US" w:eastAsia="zh-CN"/>
        </w:rPr>
        <w:t>11390.12</w:t>
      </w:r>
      <w:r>
        <w:rPr>
          <w:rFonts w:hint="eastAsia" w:ascii="仿宋" w:hAnsi="仿宋" w:eastAsia="仿宋"/>
          <w:sz w:val="32"/>
          <w:szCs w:val="32"/>
        </w:rPr>
        <w:t>万元。与2022年度相比，收、支</w:t>
      </w:r>
      <w:r>
        <w:rPr>
          <w:rFonts w:hint="eastAsia" w:ascii="仿宋" w:hAnsi="仿宋" w:eastAsia="仿宋"/>
          <w:sz w:val="32"/>
          <w:szCs w:val="32"/>
          <w:lang w:val="en-US" w:eastAsia="zh-CN"/>
        </w:rPr>
        <w:t>均</w:t>
      </w:r>
      <w:r>
        <w:rPr>
          <w:rFonts w:hint="eastAsia" w:ascii="仿宋" w:hAnsi="仿宋" w:eastAsia="仿宋"/>
          <w:sz w:val="32"/>
          <w:szCs w:val="32"/>
        </w:rPr>
        <w:t>减少</w:t>
      </w:r>
      <w:r>
        <w:rPr>
          <w:rFonts w:hint="eastAsia" w:ascii="仿宋" w:hAnsi="仿宋" w:eastAsia="仿宋"/>
          <w:sz w:val="32"/>
          <w:szCs w:val="32"/>
          <w:lang w:val="en-US" w:eastAsia="zh-CN"/>
        </w:rPr>
        <w:t>5146.13</w:t>
      </w:r>
      <w:r>
        <w:rPr>
          <w:rFonts w:hint="eastAsia" w:ascii="仿宋" w:hAnsi="仿宋" w:eastAsia="仿宋"/>
          <w:sz w:val="32"/>
          <w:szCs w:val="32"/>
        </w:rPr>
        <w:t>万元，下降</w:t>
      </w:r>
      <w:r>
        <w:rPr>
          <w:rFonts w:hint="eastAsia" w:ascii="仿宋" w:hAnsi="仿宋" w:eastAsia="仿宋"/>
          <w:sz w:val="32"/>
          <w:szCs w:val="32"/>
          <w:lang w:val="en-US" w:eastAsia="zh-CN"/>
        </w:rPr>
        <w:t>45.18</w:t>
      </w:r>
      <w:r>
        <w:rPr>
          <w:rFonts w:ascii="仿宋" w:hAnsi="仿宋" w:eastAsia="仿宋"/>
          <w:sz w:val="32"/>
          <w:szCs w:val="32"/>
        </w:rPr>
        <w:t>%</w:t>
      </w:r>
      <w:r>
        <w:rPr>
          <w:rFonts w:hint="eastAsia" w:ascii="仿宋" w:hAnsi="仿宋" w:eastAsia="仿宋"/>
          <w:sz w:val="32"/>
          <w:szCs w:val="32"/>
        </w:rPr>
        <w:t>。主要变动</w:t>
      </w:r>
      <w:r>
        <w:rPr>
          <w:rFonts w:hint="eastAsia" w:ascii="仿宋" w:hAnsi="仿宋" w:eastAsia="仿宋"/>
          <w:sz w:val="32"/>
          <w:szCs w:val="32"/>
          <w:lang w:val="en-US" w:eastAsia="zh-CN"/>
        </w:rPr>
        <w:t>为</w:t>
      </w:r>
      <w:r>
        <w:rPr>
          <w:rFonts w:hint="eastAsia" w:ascii="仿宋" w:hAnsi="仿宋" w:eastAsia="仿宋"/>
          <w:color w:val="000000"/>
          <w:sz w:val="32"/>
          <w:szCs w:val="32"/>
          <w:lang w:val="en-US" w:eastAsia="zh-CN"/>
        </w:rPr>
        <w:t>项目支出减少</w:t>
      </w:r>
      <w:r>
        <w:rPr>
          <w:rFonts w:hint="eastAsia" w:ascii="仿宋" w:hAnsi="仿宋" w:eastAsia="仿宋"/>
          <w:sz w:val="32"/>
          <w:szCs w:val="32"/>
          <w:highlight w:val="none"/>
        </w:rPr>
        <w:t>。</w:t>
      </w:r>
    </w:p>
    <w:p w14:paraId="577ADCBA">
      <w:pPr>
        <w:pStyle w:val="2"/>
        <w:jc w:val="center"/>
        <w:outlineLvl w:val="9"/>
      </w:pPr>
      <w:r>
        <w:drawing>
          <wp:inline distT="0" distB="0" distL="114300" distR="114300">
            <wp:extent cx="4091940" cy="2707005"/>
            <wp:effectExtent l="4445" t="5080" r="18415" b="15875"/>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82D247C">
      <w:pPr>
        <w:pStyle w:val="26"/>
        <w:numPr>
          <w:ilvl w:val="0"/>
          <w:numId w:val="2"/>
        </w:numPr>
        <w:spacing w:line="600" w:lineRule="exact"/>
        <w:ind w:firstLineChars="0"/>
        <w:outlineLvl w:val="1"/>
        <w:rPr>
          <w:rStyle w:val="28"/>
          <w:rFonts w:ascii="黑体" w:hAnsi="黑体" w:eastAsia="黑体"/>
          <w:b w:val="0"/>
        </w:rPr>
      </w:pPr>
      <w:bookmarkStart w:id="25" w:name="_Toc15377206"/>
      <w:bookmarkStart w:id="26" w:name="_Toc15396604"/>
      <w:bookmarkStart w:id="27" w:name="_Toc24652"/>
      <w:r>
        <w:rPr>
          <w:rFonts w:hint="eastAsia" w:ascii="黑体" w:hAnsi="黑体" w:eastAsia="黑体"/>
          <w:sz w:val="32"/>
          <w:szCs w:val="32"/>
        </w:rPr>
        <w:t>收</w:t>
      </w:r>
      <w:r>
        <w:rPr>
          <w:rStyle w:val="28"/>
          <w:rFonts w:hint="eastAsia" w:ascii="黑体" w:hAnsi="黑体" w:eastAsia="黑体"/>
          <w:b w:val="0"/>
        </w:rPr>
        <w:t>入决算情况说明</w:t>
      </w:r>
      <w:bookmarkEnd w:id="25"/>
      <w:bookmarkEnd w:id="26"/>
      <w:bookmarkEnd w:id="27"/>
    </w:p>
    <w:p w14:paraId="72B61227">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2023年度本年收入合计</w:t>
      </w:r>
      <w:r>
        <w:rPr>
          <w:rFonts w:hint="eastAsia" w:ascii="仿宋" w:hAnsi="仿宋" w:eastAsia="仿宋"/>
          <w:sz w:val="32"/>
          <w:szCs w:val="32"/>
          <w:lang w:val="en-US" w:eastAsia="zh-CN"/>
        </w:rPr>
        <w:t>11390.12</w:t>
      </w:r>
      <w:r>
        <w:rPr>
          <w:rFonts w:hint="eastAsia" w:ascii="仿宋" w:hAnsi="仿宋" w:eastAsia="仿宋"/>
          <w:sz w:val="32"/>
          <w:szCs w:val="32"/>
        </w:rPr>
        <w:t>万元，其中：一般公共预算财政拨款收入8614.62</w:t>
      </w:r>
      <w:r>
        <w:rPr>
          <w:rFonts w:hint="eastAsia" w:ascii="仿宋" w:hAnsi="仿宋" w:eastAsia="仿宋"/>
          <w:sz w:val="32"/>
          <w:szCs w:val="32"/>
        </w:rPr>
        <w:t>万元，占75.71%</w:t>
      </w:r>
      <w:r>
        <w:rPr>
          <w:rFonts w:hint="eastAsia" w:ascii="仿宋" w:hAnsi="仿宋" w:eastAsia="仿宋"/>
          <w:sz w:val="32"/>
          <w:szCs w:val="32"/>
        </w:rPr>
        <w:t>；政府性基金预算财政拨款收入2743.55</w:t>
      </w:r>
      <w:r>
        <w:rPr>
          <w:rFonts w:hint="eastAsia" w:ascii="仿宋" w:hAnsi="仿宋" w:eastAsia="仿宋"/>
          <w:sz w:val="32"/>
          <w:szCs w:val="32"/>
        </w:rPr>
        <w:t>万元，占24.11%</w:t>
      </w:r>
      <w:r>
        <w:rPr>
          <w:rFonts w:hint="eastAsia" w:ascii="仿宋" w:hAnsi="仿宋" w:eastAsia="仿宋"/>
          <w:sz w:val="32"/>
          <w:szCs w:val="32"/>
        </w:rPr>
        <w:t>；国有资本经营预算财政拨款收入0</w:t>
      </w:r>
      <w:r>
        <w:rPr>
          <w:rFonts w:hint="eastAsia" w:ascii="仿宋" w:hAnsi="仿宋" w:eastAsia="仿宋"/>
          <w:sz w:val="32"/>
          <w:szCs w:val="32"/>
        </w:rPr>
        <w:t>万元，占0%</w:t>
      </w:r>
      <w:r>
        <w:rPr>
          <w:rFonts w:hint="eastAsia" w:ascii="仿宋" w:hAnsi="仿宋" w:eastAsia="仿宋"/>
          <w:sz w:val="32"/>
          <w:szCs w:val="32"/>
        </w:rPr>
        <w:t>；上级补助收入0</w:t>
      </w:r>
      <w:r>
        <w:rPr>
          <w:rFonts w:hint="eastAsia" w:ascii="仿宋" w:hAnsi="仿宋" w:eastAsia="仿宋"/>
          <w:sz w:val="32"/>
          <w:szCs w:val="32"/>
        </w:rPr>
        <w:t>万元，占0%</w:t>
      </w:r>
      <w:r>
        <w:rPr>
          <w:rFonts w:hint="eastAsia" w:ascii="仿宋" w:hAnsi="仿宋" w:eastAsia="仿宋"/>
          <w:sz w:val="32"/>
          <w:szCs w:val="32"/>
        </w:rPr>
        <w:t>；事业收入0</w:t>
      </w:r>
      <w:r>
        <w:rPr>
          <w:rFonts w:hint="eastAsia" w:ascii="仿宋" w:hAnsi="仿宋" w:eastAsia="仿宋"/>
          <w:sz w:val="32"/>
          <w:szCs w:val="32"/>
        </w:rPr>
        <w:t>万元，占0%</w:t>
      </w:r>
      <w:r>
        <w:rPr>
          <w:rFonts w:hint="eastAsia" w:ascii="仿宋" w:hAnsi="仿宋" w:eastAsia="仿宋"/>
          <w:sz w:val="32"/>
          <w:szCs w:val="32"/>
        </w:rPr>
        <w:t>；经营收入0</w:t>
      </w:r>
      <w:r>
        <w:rPr>
          <w:rFonts w:hint="eastAsia" w:ascii="仿宋" w:hAnsi="仿宋" w:eastAsia="仿宋"/>
          <w:sz w:val="32"/>
          <w:szCs w:val="32"/>
        </w:rPr>
        <w:t>万元，占0%</w:t>
      </w:r>
      <w:r>
        <w:rPr>
          <w:rFonts w:hint="eastAsia" w:ascii="仿宋" w:hAnsi="仿宋" w:eastAsia="仿宋"/>
          <w:sz w:val="32"/>
          <w:szCs w:val="32"/>
        </w:rPr>
        <w:t>；附属单位上缴收入0</w:t>
      </w:r>
      <w:r>
        <w:rPr>
          <w:rFonts w:hint="eastAsia" w:ascii="仿宋" w:hAnsi="仿宋" w:eastAsia="仿宋"/>
          <w:sz w:val="32"/>
          <w:szCs w:val="32"/>
        </w:rPr>
        <w:t>万元，占0%</w:t>
      </w:r>
      <w:r>
        <w:rPr>
          <w:rFonts w:hint="eastAsia" w:ascii="仿宋" w:hAnsi="仿宋" w:eastAsia="仿宋"/>
          <w:sz w:val="32"/>
          <w:szCs w:val="32"/>
        </w:rPr>
        <w:t>；其他收入20.01</w:t>
      </w:r>
      <w:r>
        <w:rPr>
          <w:rFonts w:hint="eastAsia" w:ascii="仿宋" w:hAnsi="仿宋" w:eastAsia="仿宋"/>
          <w:sz w:val="32"/>
          <w:szCs w:val="32"/>
        </w:rPr>
        <w:t>万元，占0.17%</w:t>
      </w:r>
    </w:p>
    <w:p w14:paraId="6F61FB0D">
      <w:pPr>
        <w:spacing w:line="600" w:lineRule="exact"/>
        <w:ind w:firstLine="420" w:firstLineChars="200"/>
        <w:jc w:val="center"/>
        <w:rPr>
          <w:rFonts w:ascii="仿宋_GB2312" w:eastAsia="仿宋_GB2312"/>
          <w:sz w:val="32"/>
          <w:szCs w:val="32"/>
          <w:highlight w:val="yellow"/>
        </w:rPr>
      </w:pPr>
      <w:r>
        <w:drawing>
          <wp:anchor distT="0" distB="0" distL="114300" distR="114300" simplePos="0" relativeHeight="251659264" behindDoc="0" locked="0" layoutInCell="1" allowOverlap="1">
            <wp:simplePos x="0" y="0"/>
            <wp:positionH relativeFrom="column">
              <wp:posOffset>-72390</wp:posOffset>
            </wp:positionH>
            <wp:positionV relativeFrom="paragraph">
              <wp:posOffset>149225</wp:posOffset>
            </wp:positionV>
            <wp:extent cx="5511800" cy="2506345"/>
            <wp:effectExtent l="4445" t="5080" r="15875" b="18415"/>
            <wp:wrapTopAndBottom/>
            <wp:docPr id="1" name="图表 1"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4A0A3EFD">
      <w:pPr>
        <w:pStyle w:val="26"/>
        <w:numPr>
          <w:ilvl w:val="0"/>
          <w:numId w:val="2"/>
        </w:numPr>
        <w:spacing w:line="600" w:lineRule="exact"/>
        <w:ind w:firstLineChars="0"/>
        <w:outlineLvl w:val="1"/>
        <w:rPr>
          <w:rStyle w:val="28"/>
          <w:rFonts w:ascii="黑体" w:hAnsi="黑体" w:eastAsia="黑体"/>
          <w:b w:val="0"/>
        </w:rPr>
      </w:pPr>
      <w:bookmarkStart w:id="28" w:name="_Toc15396605"/>
      <w:bookmarkStart w:id="29" w:name="_Toc15377207"/>
      <w:bookmarkStart w:id="30" w:name="_Toc11858"/>
      <w:r>
        <w:rPr>
          <w:rFonts w:hint="eastAsia" w:ascii="黑体" w:hAnsi="黑体" w:eastAsia="黑体"/>
          <w:sz w:val="32"/>
          <w:szCs w:val="32"/>
        </w:rPr>
        <w:t>支</w:t>
      </w:r>
      <w:r>
        <w:rPr>
          <w:rStyle w:val="28"/>
          <w:rFonts w:hint="eastAsia" w:ascii="黑体" w:hAnsi="黑体" w:eastAsia="黑体"/>
          <w:b w:val="0"/>
        </w:rPr>
        <w:t>出决算情况说明</w:t>
      </w:r>
      <w:bookmarkEnd w:id="28"/>
      <w:bookmarkEnd w:id="29"/>
      <w:bookmarkEnd w:id="30"/>
    </w:p>
    <w:p w14:paraId="6486FC4D">
      <w:pPr>
        <w:spacing w:line="600" w:lineRule="exact"/>
        <w:ind w:firstLine="640"/>
        <w:rPr>
          <w:rFonts w:hint="eastAsia" w:ascii="仿宋" w:hAnsi="仿宋" w:eastAsia="仿宋"/>
          <w:sz w:val="32"/>
          <w:szCs w:val="32"/>
        </w:rPr>
      </w:pPr>
      <w:r>
        <w:rPr>
          <w:rFonts w:hint="eastAsia" w:ascii="仿宋" w:hAnsi="仿宋" w:eastAsia="仿宋"/>
          <w:sz w:val="32"/>
          <w:szCs w:val="32"/>
        </w:rPr>
        <w:t>2023年度本年支出合计11382.01</w:t>
      </w:r>
      <w:r>
        <w:rPr>
          <w:rFonts w:hint="eastAsia" w:ascii="仿宋" w:hAnsi="仿宋" w:eastAsia="仿宋"/>
          <w:sz w:val="32"/>
          <w:szCs w:val="32"/>
        </w:rPr>
        <w:t>万元，其中：基本支出374.58</w:t>
      </w:r>
      <w:r>
        <w:rPr>
          <w:rFonts w:hint="eastAsia" w:ascii="仿宋" w:hAnsi="仿宋" w:eastAsia="仿宋"/>
          <w:sz w:val="32"/>
          <w:szCs w:val="32"/>
        </w:rPr>
        <w:t>万元，占3.29%</w:t>
      </w:r>
      <w:r>
        <w:rPr>
          <w:rFonts w:hint="eastAsia" w:ascii="仿宋" w:hAnsi="仿宋" w:eastAsia="仿宋"/>
          <w:sz w:val="32"/>
          <w:szCs w:val="32"/>
        </w:rPr>
        <w:t>；项目支出11007.43</w:t>
      </w:r>
      <w:r>
        <w:rPr>
          <w:rFonts w:hint="eastAsia" w:ascii="仿宋" w:hAnsi="仿宋" w:eastAsia="仿宋"/>
          <w:sz w:val="32"/>
          <w:szCs w:val="32"/>
        </w:rPr>
        <w:t>万元，占96.7%</w:t>
      </w:r>
      <w:r>
        <w:rPr>
          <w:rFonts w:hint="eastAsia" w:ascii="仿宋" w:hAnsi="仿宋" w:eastAsia="仿宋"/>
          <w:sz w:val="32"/>
          <w:szCs w:val="32"/>
        </w:rPr>
        <w:t>；上缴上级支出0</w:t>
      </w:r>
      <w:r>
        <w:rPr>
          <w:rFonts w:hint="eastAsia" w:ascii="仿宋" w:hAnsi="仿宋" w:eastAsia="仿宋"/>
          <w:sz w:val="32"/>
          <w:szCs w:val="32"/>
        </w:rPr>
        <w:t>万元，占0%</w:t>
      </w:r>
      <w:r>
        <w:rPr>
          <w:rFonts w:hint="eastAsia" w:ascii="仿宋" w:hAnsi="仿宋" w:eastAsia="仿宋"/>
          <w:sz w:val="32"/>
          <w:szCs w:val="32"/>
        </w:rPr>
        <w:t>；经营支出0</w:t>
      </w:r>
      <w:r>
        <w:rPr>
          <w:rFonts w:hint="eastAsia" w:ascii="仿宋" w:hAnsi="仿宋" w:eastAsia="仿宋"/>
          <w:sz w:val="32"/>
          <w:szCs w:val="32"/>
        </w:rPr>
        <w:t>万元，占0%</w:t>
      </w:r>
      <w:r>
        <w:rPr>
          <w:rFonts w:hint="eastAsia" w:ascii="仿宋" w:hAnsi="仿宋" w:eastAsia="仿宋"/>
          <w:sz w:val="32"/>
          <w:szCs w:val="32"/>
        </w:rPr>
        <w:t>；对附属单位补助支出0</w:t>
      </w:r>
      <w:r>
        <w:rPr>
          <w:rFonts w:hint="eastAsia" w:ascii="仿宋" w:hAnsi="仿宋" w:eastAsia="仿宋"/>
          <w:sz w:val="32"/>
          <w:szCs w:val="32"/>
        </w:rPr>
        <w:t>万元，占0%</w:t>
      </w:r>
      <w:r>
        <w:rPr>
          <w:rFonts w:hint="eastAsia" w:ascii="仿宋" w:hAnsi="仿宋" w:eastAsia="仿宋"/>
          <w:sz w:val="32"/>
          <w:szCs w:val="32"/>
        </w:rPr>
        <w:t>。</w:t>
      </w:r>
    </w:p>
    <w:p w14:paraId="0589A49D">
      <w:pPr>
        <w:spacing w:line="600" w:lineRule="exact"/>
        <w:ind w:firstLine="420" w:firstLineChars="200"/>
        <w:rPr>
          <w:rStyle w:val="28"/>
          <w:rFonts w:ascii="黑体" w:hAnsi="黑体" w:eastAsia="黑体"/>
          <w:b w:val="0"/>
        </w:rPr>
      </w:pPr>
      <w:r>
        <w:drawing>
          <wp:anchor distT="0" distB="0" distL="114300" distR="114300" simplePos="0" relativeHeight="251660288" behindDoc="0" locked="0" layoutInCell="1" allowOverlap="1">
            <wp:simplePos x="0" y="0"/>
            <wp:positionH relativeFrom="column">
              <wp:posOffset>377190</wp:posOffset>
            </wp:positionH>
            <wp:positionV relativeFrom="paragraph">
              <wp:posOffset>238760</wp:posOffset>
            </wp:positionV>
            <wp:extent cx="4606290" cy="2294255"/>
            <wp:effectExtent l="4445" t="4445" r="6985" b="48260"/>
            <wp:wrapTopAndBottom/>
            <wp:docPr id="3" name="图表 2"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31" w:name="_Toc15396606"/>
      <w:bookmarkStart w:id="32"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1"/>
      <w:bookmarkEnd w:id="32"/>
    </w:p>
    <w:p w14:paraId="1B2EA670">
      <w:pPr>
        <w:spacing w:line="600" w:lineRule="exact"/>
        <w:ind w:firstLine="640"/>
        <w:rPr>
          <w:rFonts w:hint="default" w:ascii="仿宋" w:hAnsi="仿宋" w:eastAsia="仿宋"/>
          <w:sz w:val="32"/>
          <w:szCs w:val="32"/>
          <w:highlight w:val="yellow"/>
          <w:lang w:val="en-US" w:eastAsia="zh-CN"/>
        </w:rPr>
      </w:pPr>
      <w:r>
        <w:rPr>
          <w:rFonts w:hint="eastAsia" w:ascii="仿宋" w:hAnsi="仿宋" w:eastAsia="仿宋"/>
          <w:sz w:val="32"/>
          <w:szCs w:val="32"/>
        </w:rPr>
        <w:t>2023年度财政拨款收、支总计均</w:t>
      </w:r>
      <w:r>
        <w:rPr>
          <w:rFonts w:hint="eastAsia" w:ascii="仿宋" w:hAnsi="仿宋" w:eastAsia="仿宋"/>
          <w:sz w:val="32"/>
          <w:szCs w:val="32"/>
          <w:lang w:val="en-US" w:eastAsia="zh-CN"/>
        </w:rPr>
        <w:t>为11370.11</w:t>
      </w:r>
      <w:r>
        <w:rPr>
          <w:rFonts w:hint="eastAsia" w:ascii="仿宋" w:hAnsi="仿宋" w:eastAsia="仿宋"/>
          <w:sz w:val="32"/>
          <w:szCs w:val="32"/>
        </w:rPr>
        <w:t>万元。与2022年度相比，财政拨款收、支总计各减少</w:t>
      </w:r>
      <w:r>
        <w:rPr>
          <w:rFonts w:hint="eastAsia" w:ascii="仿宋" w:hAnsi="仿宋" w:eastAsia="仿宋"/>
          <w:sz w:val="32"/>
          <w:szCs w:val="32"/>
          <w:lang w:val="en-US" w:eastAsia="zh-CN"/>
        </w:rPr>
        <w:t>5146.13</w:t>
      </w:r>
      <w:r>
        <w:rPr>
          <w:rFonts w:hint="eastAsia" w:ascii="仿宋" w:hAnsi="仿宋" w:eastAsia="仿宋"/>
          <w:sz w:val="32"/>
          <w:szCs w:val="32"/>
        </w:rPr>
        <w:t>万元，</w:t>
      </w:r>
      <w:r>
        <w:drawing>
          <wp:anchor distT="0" distB="0" distL="114300" distR="114300" simplePos="0" relativeHeight="251662336" behindDoc="0" locked="0" layoutInCell="1" allowOverlap="1">
            <wp:simplePos x="0" y="0"/>
            <wp:positionH relativeFrom="column">
              <wp:posOffset>570865</wp:posOffset>
            </wp:positionH>
            <wp:positionV relativeFrom="paragraph">
              <wp:posOffset>698500</wp:posOffset>
            </wp:positionV>
            <wp:extent cx="4091940" cy="2699385"/>
            <wp:effectExtent l="0" t="0" r="7620" b="13335"/>
            <wp:wrapSquare wrapText="bothSides"/>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下降</w:t>
      </w:r>
      <w:r>
        <w:rPr>
          <w:rFonts w:hint="eastAsia" w:ascii="仿宋" w:hAnsi="仿宋" w:eastAsia="仿宋"/>
          <w:sz w:val="32"/>
          <w:szCs w:val="32"/>
          <w:lang w:val="en-US" w:eastAsia="zh-CN"/>
        </w:rPr>
        <w:t>45.18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项目支出减少。</w:t>
      </w:r>
    </w:p>
    <w:p w14:paraId="78B7CC51">
      <w:pPr>
        <w:spacing w:line="600" w:lineRule="exact"/>
        <w:ind w:firstLine="640"/>
        <w:rPr>
          <w:rFonts w:ascii="仿宋" w:hAnsi="仿宋" w:eastAsia="仿宋"/>
          <w:b/>
          <w:sz w:val="32"/>
          <w:szCs w:val="32"/>
        </w:rPr>
      </w:pPr>
    </w:p>
    <w:p w14:paraId="471B80C7">
      <w:pPr>
        <w:spacing w:line="600" w:lineRule="exact"/>
        <w:ind w:firstLine="640" w:firstLineChars="200"/>
        <w:outlineLvl w:val="1"/>
        <w:rPr>
          <w:rStyle w:val="28"/>
          <w:rFonts w:ascii="黑体" w:hAnsi="黑体" w:eastAsia="黑体"/>
          <w:b w:val="0"/>
        </w:rPr>
      </w:pPr>
      <w:bookmarkStart w:id="33" w:name="_Toc15396607"/>
      <w:bookmarkStart w:id="34" w:name="_Toc15377209"/>
      <w:bookmarkStart w:id="35" w:name="_Toc21594"/>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3"/>
      <w:bookmarkEnd w:id="34"/>
      <w:bookmarkEnd w:id="35"/>
    </w:p>
    <w:p w14:paraId="2B89361D">
      <w:pPr>
        <w:spacing w:line="600" w:lineRule="exact"/>
        <w:ind w:firstLine="643" w:firstLineChars="200"/>
        <w:outlineLvl w:val="2"/>
        <w:rPr>
          <w:rFonts w:ascii="仿宋" w:hAnsi="仿宋" w:eastAsia="仿宋"/>
          <w:b/>
          <w:sz w:val="32"/>
          <w:szCs w:val="32"/>
        </w:rPr>
      </w:pPr>
      <w:bookmarkStart w:id="36" w:name="_Toc15377210"/>
      <w:r>
        <w:rPr>
          <w:rFonts w:hint="eastAsia" w:ascii="仿宋" w:hAnsi="仿宋" w:eastAsia="仿宋"/>
          <w:b/>
          <w:sz w:val="32"/>
          <w:szCs w:val="32"/>
        </w:rPr>
        <w:t>（一）一般公共预算财政拨款支出决算总体情况</w:t>
      </w:r>
      <w:bookmarkEnd w:id="36"/>
    </w:p>
    <w:p w14:paraId="3640EF9C">
      <w:pPr>
        <w:spacing w:line="600" w:lineRule="exact"/>
        <w:ind w:firstLine="640" w:firstLineChars="200"/>
        <w:rPr>
          <w:rFonts w:hint="default" w:ascii="仿宋" w:hAnsi="仿宋" w:eastAsia="仿宋"/>
          <w:sz w:val="32"/>
          <w:szCs w:val="32"/>
          <w:highlight w:val="yellow"/>
          <w:lang w:val="en-US" w:eastAsia="zh-CN"/>
        </w:rPr>
      </w:pPr>
      <w:r>
        <w:rPr>
          <w:rFonts w:hint="eastAsia" w:ascii="仿宋" w:hAnsi="仿宋" w:eastAsia="仿宋"/>
          <w:sz w:val="32"/>
          <w:szCs w:val="32"/>
        </w:rPr>
        <w:t>2023年度一般公共预算财政拨款支出</w:t>
      </w:r>
      <w:r>
        <w:rPr>
          <w:rFonts w:ascii="仿宋" w:hAnsi="仿宋" w:eastAsia="仿宋"/>
          <w:b/>
          <w:sz w:val="32"/>
          <w:szCs w:val="32"/>
        </w:rPr>
        <w:t>8623.65</w:t>
      </w:r>
      <w:r>
        <w:rPr>
          <w:rFonts w:hint="eastAsia" w:ascii="仿宋" w:hAnsi="仿宋" w:eastAsia="仿宋"/>
          <w:sz w:val="32"/>
          <w:szCs w:val="32"/>
        </w:rPr>
        <w:t>万元，占本年支出合计的</w:t>
      </w:r>
      <w:r>
        <w:rPr>
          <w:rFonts w:ascii="仿宋" w:hAnsi="仿宋" w:eastAsia="仿宋"/>
          <w:b/>
          <w:sz w:val="32"/>
          <w:szCs w:val="32"/>
        </w:rPr>
        <w:t>75.76</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267.31</w:t>
      </w:r>
      <w:r>
        <w:rPr>
          <w:rFonts w:hint="eastAsia" w:ascii="仿宋" w:hAnsi="仿宋" w:eastAsia="仿宋"/>
          <w:sz w:val="32"/>
          <w:szCs w:val="32"/>
        </w:rPr>
        <w:t>万</w:t>
      </w:r>
      <w:r>
        <w:rPr>
          <w:rFonts w:hint="eastAsia" w:ascii="仿宋" w:hAnsi="仿宋" w:eastAsia="仿宋"/>
          <w:sz w:val="32"/>
          <w:szCs w:val="32"/>
          <w:highlight w:val="none"/>
        </w:rPr>
        <w:t>元，增长</w:t>
      </w:r>
      <w:r>
        <w:rPr>
          <w:rFonts w:hint="eastAsia" w:ascii="仿宋" w:hAnsi="仿宋" w:eastAsia="仿宋"/>
          <w:sz w:val="32"/>
          <w:szCs w:val="32"/>
          <w:highlight w:val="none"/>
          <w:lang w:val="en-US" w:eastAsia="zh-CN"/>
        </w:rPr>
        <w:t>3.2</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农林水支出增加。</w:t>
      </w:r>
    </w:p>
    <w:p w14:paraId="0CB67EDC">
      <w:pPr>
        <w:tabs>
          <w:tab w:val="center" w:pos="4423"/>
          <w:tab w:val="right" w:pos="7886"/>
        </w:tabs>
        <w:spacing w:line="600" w:lineRule="exact"/>
        <w:ind w:firstLine="420" w:firstLineChars="200"/>
        <w:jc w:val="center"/>
        <w:rPr>
          <w:rFonts w:ascii="仿宋" w:hAnsi="仿宋" w:eastAsia="仿宋"/>
          <w:sz w:val="32"/>
          <w:szCs w:val="32"/>
          <w:highlight w:val="yellow"/>
        </w:rPr>
      </w:pPr>
      <w:r>
        <w:drawing>
          <wp:anchor distT="0" distB="0" distL="114300" distR="114300" simplePos="0" relativeHeight="251663360" behindDoc="0" locked="0" layoutInCell="1" allowOverlap="1">
            <wp:simplePos x="0" y="0"/>
            <wp:positionH relativeFrom="column">
              <wp:posOffset>-10795</wp:posOffset>
            </wp:positionH>
            <wp:positionV relativeFrom="paragraph">
              <wp:posOffset>135255</wp:posOffset>
            </wp:positionV>
            <wp:extent cx="5269230" cy="2421255"/>
            <wp:effectExtent l="0" t="0" r="3810" b="1905"/>
            <wp:wrapTopAndBottom/>
            <wp:docPr id="1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BBCCB23">
      <w:pPr>
        <w:spacing w:line="600" w:lineRule="exact"/>
        <w:ind w:firstLine="643" w:firstLineChars="200"/>
        <w:outlineLvl w:val="2"/>
        <w:rPr>
          <w:rFonts w:ascii="仿宋" w:hAnsi="仿宋" w:eastAsia="仿宋"/>
          <w:b/>
          <w:sz w:val="32"/>
          <w:szCs w:val="32"/>
        </w:rPr>
      </w:pPr>
      <w:bookmarkStart w:id="37" w:name="_Toc15377211"/>
      <w:r>
        <w:rPr>
          <w:rFonts w:hint="eastAsia" w:ascii="仿宋" w:hAnsi="仿宋" w:eastAsia="仿宋"/>
          <w:b/>
          <w:sz w:val="32"/>
          <w:szCs w:val="32"/>
        </w:rPr>
        <w:t>（二）一般公共预算财政拨款支出决算结构情况</w:t>
      </w:r>
      <w:bookmarkEnd w:id="37"/>
    </w:p>
    <w:p w14:paraId="74D29C97">
      <w:pPr>
        <w:spacing w:line="600" w:lineRule="exact"/>
        <w:ind w:firstLine="640"/>
        <w:rPr>
          <w:rFonts w:ascii="仿宋" w:hAnsi="仿宋" w:eastAsia="仿宋"/>
          <w:b/>
          <w:sz w:val="32"/>
          <w:szCs w:val="32"/>
          <w:highlight w:val="yellow"/>
        </w:rPr>
      </w:pPr>
      <w:r>
        <w:rPr>
          <w:rFonts w:hint="eastAsia" w:ascii="仿宋" w:hAnsi="仿宋" w:eastAsia="仿宋"/>
          <w:sz w:val="32"/>
          <w:szCs w:val="32"/>
        </w:rPr>
        <w:t>2023年度一般公共预算财政拨款支出</w:t>
      </w:r>
      <w:r>
        <w:rPr>
          <w:rFonts w:ascii="仿宋" w:hAnsi="仿宋" w:eastAsia="仿宋"/>
          <w:b/>
          <w:sz w:val="32"/>
          <w:szCs w:val="32"/>
        </w:rPr>
        <w:t>8623.65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color w:val="000000" w:themeColor="text1"/>
          <w:sz w:val="32"/>
          <w:szCs w:val="32"/>
          <w14:textFill>
            <w14:solidFill>
              <w14:schemeClr w14:val="tx1"/>
            </w14:solidFill>
          </w14:textFill>
        </w:rPr>
        <w:t>（208类）</w:t>
      </w:r>
      <w:r>
        <w:rPr>
          <w:rFonts w:hint="eastAsia" w:ascii="仿宋" w:hAnsi="仿宋" w:eastAsia="仿宋"/>
          <w:sz w:val="32"/>
          <w:szCs w:val="32"/>
        </w:rPr>
        <w:t>45.48万元，占</w:t>
      </w:r>
      <w:r>
        <w:rPr>
          <w:rFonts w:hint="eastAsia" w:ascii="仿宋" w:hAnsi="仿宋" w:eastAsia="仿宋"/>
          <w:sz w:val="32"/>
          <w:szCs w:val="32"/>
          <w:lang w:val="en-US" w:eastAsia="zh-CN"/>
        </w:rPr>
        <w:t>0.53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10.33万元，占</w:t>
      </w:r>
      <w:r>
        <w:rPr>
          <w:rFonts w:hint="eastAsia" w:ascii="仿宋" w:hAnsi="仿宋" w:eastAsia="仿宋"/>
          <w:sz w:val="32"/>
          <w:szCs w:val="32"/>
          <w:lang w:val="en-US" w:eastAsia="zh-CN"/>
        </w:rPr>
        <w:t>0.12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25.25万元，占</w:t>
      </w:r>
      <w:r>
        <w:rPr>
          <w:rFonts w:hint="eastAsia" w:ascii="仿宋" w:hAnsi="仿宋" w:eastAsia="仿宋"/>
          <w:sz w:val="32"/>
          <w:szCs w:val="32"/>
          <w:lang w:val="en-US" w:eastAsia="zh-CN"/>
        </w:rPr>
        <w:t>0.29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color w:val="000000" w:themeColor="text1"/>
          <w:sz w:val="32"/>
          <w:szCs w:val="32"/>
          <w14:textFill>
            <w14:solidFill>
              <w14:schemeClr w14:val="tx1"/>
            </w14:solidFill>
          </w14:textFill>
        </w:rPr>
        <w:t>农林水支出（213类）</w:t>
      </w:r>
      <w:r>
        <w:rPr>
          <w:rFonts w:hint="eastAsia" w:ascii="仿宋" w:hAnsi="仿宋" w:eastAsia="仿宋"/>
          <w:color w:val="000000" w:themeColor="text1"/>
          <w:sz w:val="32"/>
          <w:szCs w:val="32"/>
          <w14:textFill>
            <w14:solidFill>
              <w14:schemeClr w14:val="tx1"/>
            </w14:solidFill>
          </w14:textFill>
        </w:rPr>
        <w:t>8542.59万元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占</w:t>
      </w:r>
      <w:r>
        <w:rPr>
          <w:rFonts w:ascii="仿宋" w:hAnsi="仿宋" w:eastAsia="仿宋"/>
          <w:color w:val="000000" w:themeColor="text1"/>
          <w:sz w:val="32"/>
          <w:szCs w:val="32"/>
          <w14:textFill>
            <w14:solidFill>
              <w14:schemeClr w14:val="tx1"/>
            </w14:solidFill>
          </w14:textFill>
        </w:rPr>
        <w:t>99.</w:t>
      </w:r>
      <w:r>
        <w:rPr>
          <w:rFonts w:hint="eastAsia" w:ascii="仿宋" w:hAnsi="仿宋" w:eastAsia="仿宋"/>
          <w:color w:val="000000" w:themeColor="text1"/>
          <w:sz w:val="32"/>
          <w:szCs w:val="32"/>
          <w:lang w:val="en-US" w:eastAsia="zh-CN"/>
          <w14:textFill>
            <w14:solidFill>
              <w14:schemeClr w14:val="tx1"/>
            </w14:solidFill>
          </w14:textFill>
        </w:rPr>
        <w:t>06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14:paraId="6EB53092">
      <w:pPr>
        <w:spacing w:line="600" w:lineRule="exact"/>
        <w:ind w:firstLine="640"/>
        <w:rPr>
          <w:rFonts w:ascii="仿宋" w:hAnsi="仿宋" w:eastAsia="仿宋"/>
          <w:b/>
          <w:sz w:val="32"/>
          <w:szCs w:val="32"/>
        </w:rPr>
      </w:pPr>
      <w:r>
        <w:drawing>
          <wp:anchor distT="0" distB="0" distL="114300" distR="114300" simplePos="0" relativeHeight="251661312" behindDoc="0" locked="0" layoutInCell="1" allowOverlap="1">
            <wp:simplePos x="0" y="0"/>
            <wp:positionH relativeFrom="column">
              <wp:posOffset>106045</wp:posOffset>
            </wp:positionH>
            <wp:positionV relativeFrom="paragraph">
              <wp:posOffset>240665</wp:posOffset>
            </wp:positionV>
            <wp:extent cx="4826000" cy="2743200"/>
            <wp:effectExtent l="0" t="0" r="5080" b="45720"/>
            <wp:wrapTopAndBottom/>
            <wp:docPr id="7" name="图表 6"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38" w:name="_Toc15377212"/>
      <w:r>
        <w:rPr>
          <w:rFonts w:hint="eastAsia" w:ascii="仿宋" w:hAnsi="仿宋" w:eastAsia="仿宋"/>
          <w:b/>
          <w:sz w:val="32"/>
          <w:szCs w:val="32"/>
        </w:rPr>
        <w:t>（三）一般公共预算财政拨款支出决算具体情况</w:t>
      </w:r>
      <w:bookmarkEnd w:id="38"/>
    </w:p>
    <w:p w14:paraId="12F5FBF0">
      <w:pPr>
        <w:spacing w:line="600" w:lineRule="exact"/>
        <w:ind w:firstLine="643" w:firstLineChars="200"/>
        <w:outlineLvl w:val="2"/>
        <w:rPr>
          <w:rFonts w:ascii="仿宋" w:hAnsi="仿宋" w:eastAsia="仿宋"/>
          <w:sz w:val="32"/>
          <w:szCs w:val="32"/>
        </w:rPr>
      </w:pPr>
      <w:bookmarkStart w:id="39" w:name="_Toc15377213"/>
      <w:bookmarkStart w:id="40" w:name="_Toc15377444"/>
      <w:bookmarkStart w:id="41" w:name="_Toc15378460"/>
      <w:r>
        <w:rPr>
          <w:rFonts w:hint="eastAsia" w:ascii="仿宋" w:hAnsi="仿宋" w:eastAsia="仿宋"/>
          <w:b/>
          <w:sz w:val="32"/>
          <w:szCs w:val="32"/>
        </w:rPr>
        <w:t>2023年度一般公共预算支出决算数为</w:t>
      </w:r>
      <w:r>
        <w:rPr>
          <w:rFonts w:ascii="仿宋" w:hAnsi="仿宋" w:eastAsia="仿宋"/>
          <w:b/>
          <w:sz w:val="32"/>
          <w:szCs w:val="32"/>
        </w:rPr>
        <w:t>8623.65</w:t>
      </w:r>
      <w:r>
        <w:rPr>
          <w:rFonts w:hint="eastAsia" w:ascii="仿宋" w:hAnsi="仿宋" w:eastAsia="仿宋"/>
          <w:b/>
          <w:sz w:val="32"/>
          <w:szCs w:val="32"/>
          <w:lang w:val="en-US" w:eastAsia="zh-CN"/>
        </w:rPr>
        <w:t>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100.10</w:t>
      </w:r>
      <w:r>
        <w:rPr>
          <w:rStyle w:val="17"/>
          <w:rFonts w:ascii="仿宋" w:hAnsi="仿宋" w:eastAsia="仿宋"/>
          <w:bCs/>
          <w:sz w:val="32"/>
          <w:szCs w:val="32"/>
        </w:rPr>
        <w:t>%</w:t>
      </w:r>
      <w:r>
        <w:rPr>
          <w:rStyle w:val="17"/>
          <w:rFonts w:hint="eastAsia" w:ascii="仿宋" w:hAnsi="仿宋" w:eastAsia="仿宋"/>
          <w:bCs/>
          <w:sz w:val="32"/>
          <w:szCs w:val="32"/>
        </w:rPr>
        <w:t>。其中：</w:t>
      </w:r>
      <w:bookmarkEnd w:id="39"/>
      <w:bookmarkEnd w:id="40"/>
      <w:bookmarkEnd w:id="41"/>
    </w:p>
    <w:p w14:paraId="083EDC4F">
      <w:pPr>
        <w:numPr>
          <w:ilvl w:val="0"/>
          <w:numId w:val="0"/>
        </w:num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sz w:val="32"/>
          <w:szCs w:val="32"/>
          <w:lang w:val="en-US" w:eastAsia="zh-CN"/>
        </w:rPr>
        <w:t>1.</w:t>
      </w:r>
      <w:r>
        <w:rPr>
          <w:rStyle w:val="17"/>
          <w:rFonts w:hint="eastAsia" w:ascii="仿宋" w:hAnsi="仿宋" w:eastAsia="仿宋"/>
          <w:bCs/>
          <w:sz w:val="32"/>
          <w:szCs w:val="32"/>
        </w:rPr>
        <w:t>社会保障和就业支出（208）行政事业单位养老支出（05）事业单位离退休（0</w:t>
      </w:r>
      <w:r>
        <w:rPr>
          <w:rStyle w:val="17"/>
          <w:rFonts w:hint="eastAsia" w:ascii="仿宋" w:hAnsi="仿宋" w:eastAsia="仿宋"/>
          <w:bCs/>
          <w:sz w:val="32"/>
          <w:szCs w:val="32"/>
          <w:lang w:val="en-US" w:eastAsia="zh-CN"/>
        </w:rPr>
        <w:t>2</w:t>
      </w:r>
      <w:r>
        <w:rPr>
          <w:rStyle w:val="17"/>
          <w:rFonts w:hint="eastAsia" w:ascii="仿宋" w:hAnsi="仿宋" w:eastAsia="仿宋"/>
          <w:bCs/>
          <w:sz w:val="32"/>
          <w:szCs w:val="32"/>
        </w:rPr>
        <w:t>）</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2.91</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决算数大于预算数。</w:t>
      </w:r>
    </w:p>
    <w:p w14:paraId="154EFBE1">
      <w:pPr>
        <w:numPr>
          <w:ilvl w:val="0"/>
          <w:numId w:val="0"/>
        </w:numPr>
        <w:spacing w:line="600" w:lineRule="exact"/>
        <w:ind w:firstLine="643" w:firstLineChars="200"/>
        <w:rPr>
          <w:rStyle w:val="17"/>
          <w:rFonts w:hint="eastAsia" w:ascii="仿宋" w:hAnsi="仿宋" w:eastAsia="仿宋"/>
          <w:b w:val="0"/>
          <w:bCs/>
          <w:color w:val="000000"/>
          <w:sz w:val="32"/>
          <w:szCs w:val="32"/>
          <w:lang w:val="en-US" w:eastAsia="zh-CN"/>
        </w:rPr>
      </w:pPr>
      <w:r>
        <w:rPr>
          <w:rStyle w:val="17"/>
          <w:rFonts w:hint="eastAsia" w:ascii="仿宋" w:hAnsi="仿宋" w:eastAsia="仿宋"/>
          <w:bCs/>
          <w:sz w:val="32"/>
          <w:szCs w:val="32"/>
          <w:lang w:val="en-US" w:eastAsia="zh-CN"/>
        </w:rPr>
        <w:t>2.</w:t>
      </w:r>
      <w:r>
        <w:rPr>
          <w:rStyle w:val="17"/>
          <w:rFonts w:hint="eastAsia" w:ascii="仿宋" w:hAnsi="仿宋" w:eastAsia="仿宋"/>
          <w:bCs/>
          <w:sz w:val="32"/>
          <w:szCs w:val="32"/>
        </w:rPr>
        <w:t>社会保障和就业支出（208）行政事业单位养老支出（05）机关事业单位基本养老保险缴费支出（05）</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12.08</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决算数等于预算数。</w:t>
      </w:r>
    </w:p>
    <w:p w14:paraId="4FAAD5DC">
      <w:pPr>
        <w:numPr>
          <w:ilvl w:val="0"/>
          <w:numId w:val="0"/>
        </w:numPr>
        <w:spacing w:line="600" w:lineRule="exact"/>
        <w:ind w:firstLine="640" w:firstLineChars="200"/>
        <w:rPr>
          <w:rStyle w:val="17"/>
          <w:rFonts w:hint="eastAsia" w:ascii="仿宋" w:hAnsi="仿宋" w:eastAsia="仿宋"/>
          <w:b w:val="0"/>
          <w:bCs/>
          <w:color w:val="000000"/>
          <w:sz w:val="32"/>
          <w:szCs w:val="32"/>
          <w:lang w:val="en-US" w:eastAsia="zh-CN"/>
        </w:rPr>
      </w:pPr>
      <w:r>
        <w:rPr>
          <w:rStyle w:val="17"/>
          <w:rFonts w:hint="eastAsia" w:ascii="仿宋" w:hAnsi="仿宋" w:eastAsia="仿宋"/>
          <w:b w:val="0"/>
          <w:bCs/>
          <w:color w:val="000000"/>
          <w:sz w:val="32"/>
          <w:szCs w:val="32"/>
          <w:lang w:val="en-US" w:eastAsia="zh-CN"/>
        </w:rPr>
        <w:t>3.</w:t>
      </w:r>
      <w:r>
        <w:rPr>
          <w:rStyle w:val="17"/>
          <w:rFonts w:hint="eastAsia" w:ascii="仿宋" w:hAnsi="仿宋" w:eastAsia="仿宋"/>
          <w:bCs/>
          <w:sz w:val="32"/>
          <w:szCs w:val="32"/>
        </w:rPr>
        <w:t>社会保障和就业支出（208）行政事业单位养老支出（05）机关事业单位职业年金缴费支出（0</w:t>
      </w:r>
      <w:r>
        <w:rPr>
          <w:rStyle w:val="17"/>
          <w:rFonts w:hint="eastAsia" w:ascii="仿宋" w:hAnsi="仿宋" w:eastAsia="仿宋"/>
          <w:bCs/>
          <w:sz w:val="32"/>
          <w:szCs w:val="32"/>
          <w:lang w:val="en-US" w:eastAsia="zh-CN"/>
        </w:rPr>
        <w:t>6</w:t>
      </w:r>
      <w:r>
        <w:rPr>
          <w:rStyle w:val="17"/>
          <w:rFonts w:hint="eastAsia" w:ascii="仿宋" w:hAnsi="仿宋" w:eastAsia="仿宋"/>
          <w:bCs/>
          <w:sz w:val="32"/>
          <w:szCs w:val="32"/>
        </w:rPr>
        <w:t>）</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11.68</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决算数等于预算数。</w:t>
      </w:r>
    </w:p>
    <w:p w14:paraId="3BD18CF9">
      <w:pPr>
        <w:numPr>
          <w:ilvl w:val="0"/>
          <w:numId w:val="0"/>
        </w:numPr>
        <w:spacing w:line="600" w:lineRule="exact"/>
        <w:ind w:firstLine="640" w:firstLineChars="200"/>
        <w:rPr>
          <w:rStyle w:val="17"/>
          <w:rFonts w:hint="eastAsia" w:ascii="仿宋" w:hAnsi="仿宋" w:eastAsia="仿宋"/>
          <w:b w:val="0"/>
          <w:bCs/>
          <w:color w:val="000000"/>
          <w:sz w:val="32"/>
          <w:szCs w:val="32"/>
          <w:lang w:val="en-US" w:eastAsia="zh-CN"/>
        </w:rPr>
      </w:pPr>
      <w:r>
        <w:rPr>
          <w:rStyle w:val="17"/>
          <w:rFonts w:hint="eastAsia" w:ascii="仿宋" w:hAnsi="仿宋" w:eastAsia="仿宋"/>
          <w:b w:val="0"/>
          <w:bCs/>
          <w:color w:val="000000"/>
          <w:sz w:val="32"/>
          <w:szCs w:val="32"/>
          <w:lang w:val="en-US" w:eastAsia="zh-CN"/>
        </w:rPr>
        <w:t>4.</w:t>
      </w:r>
      <w:r>
        <w:rPr>
          <w:rStyle w:val="17"/>
          <w:rFonts w:hint="eastAsia" w:ascii="仿宋" w:hAnsi="仿宋" w:eastAsia="仿宋"/>
          <w:bCs/>
          <w:sz w:val="32"/>
          <w:szCs w:val="32"/>
        </w:rPr>
        <w:t>社会保障和就业支出（208）行政事业单位养老支出（05）机关事业单位职业年金缴费支出（</w:t>
      </w:r>
      <w:r>
        <w:rPr>
          <w:rStyle w:val="17"/>
          <w:rFonts w:hint="eastAsia" w:ascii="仿宋" w:hAnsi="仿宋" w:eastAsia="仿宋"/>
          <w:bCs/>
          <w:sz w:val="32"/>
          <w:szCs w:val="32"/>
          <w:lang w:val="en-US" w:eastAsia="zh-CN"/>
        </w:rPr>
        <w:t>99</w:t>
      </w:r>
      <w:r>
        <w:rPr>
          <w:rStyle w:val="17"/>
          <w:rFonts w:hint="eastAsia" w:ascii="仿宋" w:hAnsi="仿宋" w:eastAsia="仿宋"/>
          <w:bCs/>
          <w:sz w:val="32"/>
          <w:szCs w:val="32"/>
        </w:rPr>
        <w:t>）</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17.65</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1</w:t>
      </w:r>
      <w:r>
        <w:rPr>
          <w:rStyle w:val="17"/>
          <w:rFonts w:hint="eastAsia" w:ascii="仿宋" w:hAnsi="仿宋" w:eastAsia="仿宋"/>
          <w:b w:val="0"/>
          <w:bCs/>
          <w:color w:val="000000"/>
          <w:sz w:val="32"/>
          <w:szCs w:val="32"/>
          <w:lang w:val="en-US" w:eastAsia="zh-CN"/>
        </w:rPr>
        <w:t>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决算数等于预算数。</w:t>
      </w:r>
    </w:p>
    <w:p w14:paraId="5DE74B4B">
      <w:pPr>
        <w:numPr>
          <w:ilvl w:val="0"/>
          <w:numId w:val="0"/>
        </w:numPr>
        <w:spacing w:line="600" w:lineRule="exact"/>
        <w:ind w:firstLine="640" w:firstLineChars="200"/>
        <w:rPr>
          <w:rStyle w:val="17"/>
          <w:rFonts w:hint="eastAsia" w:ascii="仿宋" w:hAnsi="仿宋" w:eastAsia="仿宋"/>
          <w:b w:val="0"/>
          <w:bCs/>
          <w:color w:val="000000"/>
          <w:sz w:val="32"/>
          <w:szCs w:val="32"/>
          <w:lang w:val="en-US" w:eastAsia="zh-CN"/>
        </w:rPr>
      </w:pPr>
      <w:r>
        <w:rPr>
          <w:rStyle w:val="17"/>
          <w:rFonts w:hint="eastAsia" w:ascii="仿宋" w:hAnsi="仿宋" w:eastAsia="仿宋"/>
          <w:b w:val="0"/>
          <w:bCs/>
          <w:color w:val="000000"/>
          <w:sz w:val="32"/>
          <w:szCs w:val="32"/>
          <w:lang w:val="en-US" w:eastAsia="zh-CN"/>
        </w:rPr>
        <w:t>5.</w:t>
      </w:r>
      <w:r>
        <w:rPr>
          <w:rStyle w:val="17"/>
          <w:rFonts w:hint="eastAsia" w:ascii="仿宋" w:hAnsi="仿宋" w:eastAsia="仿宋"/>
          <w:bCs/>
          <w:sz w:val="32"/>
          <w:szCs w:val="32"/>
        </w:rPr>
        <w:t>社会保障和就业支出（208）其他社会保障和就业支出（</w:t>
      </w:r>
      <w:r>
        <w:rPr>
          <w:rStyle w:val="17"/>
          <w:rFonts w:hint="eastAsia" w:ascii="仿宋" w:hAnsi="仿宋" w:eastAsia="仿宋"/>
          <w:bCs/>
          <w:sz w:val="32"/>
          <w:szCs w:val="32"/>
          <w:lang w:val="en-US" w:eastAsia="zh-CN"/>
        </w:rPr>
        <w:t>99</w:t>
      </w:r>
      <w:r>
        <w:rPr>
          <w:rStyle w:val="17"/>
          <w:rFonts w:hint="eastAsia" w:ascii="仿宋" w:hAnsi="仿宋" w:eastAsia="仿宋"/>
          <w:bCs/>
          <w:sz w:val="32"/>
          <w:szCs w:val="32"/>
        </w:rPr>
        <w:t>）其他社会保障和就业支出（</w:t>
      </w:r>
      <w:r>
        <w:rPr>
          <w:rStyle w:val="17"/>
          <w:rFonts w:hint="eastAsia" w:ascii="仿宋" w:hAnsi="仿宋" w:eastAsia="仿宋"/>
          <w:bCs/>
          <w:sz w:val="32"/>
          <w:szCs w:val="32"/>
          <w:lang w:val="en-US" w:eastAsia="zh-CN"/>
        </w:rPr>
        <w:t>99</w:t>
      </w:r>
      <w:r>
        <w:rPr>
          <w:rStyle w:val="17"/>
          <w:rFonts w:hint="eastAsia" w:ascii="仿宋" w:hAnsi="仿宋" w:eastAsia="仿宋"/>
          <w:bCs/>
          <w:sz w:val="32"/>
          <w:szCs w:val="32"/>
        </w:rPr>
        <w:t>）</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1.17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决算数等于预算数。</w:t>
      </w:r>
    </w:p>
    <w:p w14:paraId="6B0DAF5F">
      <w:pPr>
        <w:numPr>
          <w:ilvl w:val="0"/>
          <w:numId w:val="0"/>
        </w:numPr>
        <w:spacing w:line="600" w:lineRule="exact"/>
        <w:ind w:firstLine="640" w:firstLineChars="200"/>
        <w:rPr>
          <w:rStyle w:val="17"/>
          <w:rFonts w:hint="eastAsia" w:ascii="仿宋" w:hAnsi="仿宋" w:eastAsia="仿宋"/>
          <w:b w:val="0"/>
          <w:bCs/>
          <w:color w:val="000000"/>
          <w:sz w:val="32"/>
          <w:szCs w:val="32"/>
          <w:lang w:val="en-US" w:eastAsia="zh-CN"/>
        </w:rPr>
      </w:pPr>
      <w:r>
        <w:rPr>
          <w:rStyle w:val="17"/>
          <w:rFonts w:hint="eastAsia" w:ascii="仿宋" w:hAnsi="仿宋" w:eastAsia="仿宋"/>
          <w:b w:val="0"/>
          <w:bCs/>
          <w:color w:val="000000"/>
          <w:sz w:val="32"/>
          <w:szCs w:val="32"/>
          <w:lang w:val="en-US" w:eastAsia="zh-CN"/>
        </w:rPr>
        <w:t>6.</w:t>
      </w:r>
      <w:r>
        <w:rPr>
          <w:rStyle w:val="17"/>
          <w:rFonts w:hint="eastAsia" w:ascii="仿宋" w:hAnsi="仿宋" w:eastAsia="仿宋"/>
          <w:bCs/>
          <w:sz w:val="32"/>
          <w:szCs w:val="32"/>
          <w:lang w:val="en-US" w:eastAsia="zh-CN"/>
        </w:rPr>
        <w:t>卫生健康支出</w:t>
      </w:r>
      <w:r>
        <w:rPr>
          <w:rStyle w:val="17"/>
          <w:rFonts w:hint="eastAsia" w:ascii="仿宋" w:hAnsi="仿宋" w:eastAsia="仿宋"/>
          <w:bCs/>
          <w:sz w:val="32"/>
          <w:szCs w:val="32"/>
        </w:rPr>
        <w:t>（2</w:t>
      </w:r>
      <w:r>
        <w:rPr>
          <w:rStyle w:val="17"/>
          <w:rFonts w:hint="eastAsia" w:ascii="仿宋" w:hAnsi="仿宋" w:eastAsia="仿宋"/>
          <w:bCs/>
          <w:sz w:val="32"/>
          <w:szCs w:val="32"/>
          <w:lang w:val="en-US" w:eastAsia="zh-CN"/>
        </w:rPr>
        <w:t>10</w:t>
      </w:r>
      <w:r>
        <w:rPr>
          <w:rStyle w:val="17"/>
          <w:rFonts w:hint="eastAsia" w:ascii="仿宋" w:hAnsi="仿宋" w:eastAsia="仿宋"/>
          <w:bCs/>
          <w:sz w:val="32"/>
          <w:szCs w:val="32"/>
        </w:rPr>
        <w:t>）行政事业单位医疗（</w:t>
      </w:r>
      <w:r>
        <w:rPr>
          <w:rStyle w:val="17"/>
          <w:rFonts w:hint="eastAsia" w:ascii="仿宋" w:hAnsi="仿宋" w:eastAsia="仿宋"/>
          <w:bCs/>
          <w:sz w:val="32"/>
          <w:szCs w:val="32"/>
          <w:lang w:val="en-US" w:eastAsia="zh-CN"/>
        </w:rPr>
        <w:t>11</w:t>
      </w:r>
      <w:r>
        <w:rPr>
          <w:rStyle w:val="17"/>
          <w:rFonts w:hint="eastAsia" w:ascii="仿宋" w:hAnsi="仿宋" w:eastAsia="仿宋"/>
          <w:bCs/>
          <w:sz w:val="32"/>
          <w:szCs w:val="32"/>
        </w:rPr>
        <w:t>）事业单位医疗（</w:t>
      </w:r>
      <w:r>
        <w:rPr>
          <w:rStyle w:val="17"/>
          <w:rFonts w:hint="eastAsia" w:ascii="仿宋" w:hAnsi="仿宋" w:eastAsia="仿宋"/>
          <w:bCs/>
          <w:sz w:val="32"/>
          <w:szCs w:val="32"/>
          <w:lang w:val="en-US" w:eastAsia="zh-CN"/>
        </w:rPr>
        <w:t>02</w:t>
      </w:r>
      <w:r>
        <w:rPr>
          <w:rStyle w:val="17"/>
          <w:rFonts w:hint="eastAsia" w:ascii="仿宋" w:hAnsi="仿宋" w:eastAsia="仿宋"/>
          <w:bCs/>
          <w:sz w:val="32"/>
          <w:szCs w:val="32"/>
        </w:rPr>
        <w:t>）</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10.33</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决算数等于预算数。</w:t>
      </w:r>
    </w:p>
    <w:p w14:paraId="6F518B4A">
      <w:pPr>
        <w:numPr>
          <w:ilvl w:val="0"/>
          <w:numId w:val="0"/>
        </w:numPr>
        <w:spacing w:line="600" w:lineRule="exact"/>
        <w:ind w:firstLine="640" w:firstLineChars="200"/>
        <w:rPr>
          <w:rStyle w:val="17"/>
          <w:rFonts w:hint="eastAsia" w:ascii="仿宋" w:hAnsi="仿宋" w:eastAsia="仿宋"/>
          <w:b w:val="0"/>
          <w:bCs/>
          <w:color w:val="000000"/>
          <w:sz w:val="32"/>
          <w:szCs w:val="32"/>
          <w:lang w:val="en-US" w:eastAsia="zh-CN"/>
        </w:rPr>
      </w:pPr>
      <w:r>
        <w:rPr>
          <w:rStyle w:val="17"/>
          <w:rFonts w:hint="eastAsia" w:ascii="仿宋" w:hAnsi="仿宋" w:eastAsia="仿宋"/>
          <w:b w:val="0"/>
          <w:bCs/>
          <w:color w:val="000000"/>
          <w:sz w:val="32"/>
          <w:szCs w:val="32"/>
          <w:lang w:val="en-US" w:eastAsia="zh-CN"/>
        </w:rPr>
        <w:t>7.</w:t>
      </w:r>
      <w:r>
        <w:rPr>
          <w:rStyle w:val="17"/>
          <w:rFonts w:hint="eastAsia" w:ascii="仿宋" w:hAnsi="仿宋" w:eastAsia="仿宋"/>
          <w:bCs/>
          <w:sz w:val="32"/>
          <w:szCs w:val="32"/>
          <w:lang w:val="en-US" w:eastAsia="zh-CN"/>
        </w:rPr>
        <w:t>农林水支出</w:t>
      </w:r>
      <w:r>
        <w:rPr>
          <w:rStyle w:val="17"/>
          <w:rFonts w:hint="eastAsia" w:ascii="仿宋" w:hAnsi="仿宋" w:eastAsia="仿宋"/>
          <w:bCs/>
          <w:sz w:val="32"/>
          <w:szCs w:val="32"/>
        </w:rPr>
        <w:t>（2</w:t>
      </w:r>
      <w:r>
        <w:rPr>
          <w:rStyle w:val="17"/>
          <w:rFonts w:hint="eastAsia" w:ascii="仿宋" w:hAnsi="仿宋" w:eastAsia="仿宋"/>
          <w:bCs/>
          <w:sz w:val="32"/>
          <w:szCs w:val="32"/>
          <w:lang w:val="en-US" w:eastAsia="zh-CN"/>
        </w:rPr>
        <w:t>13</w:t>
      </w:r>
      <w:r>
        <w:rPr>
          <w:rStyle w:val="17"/>
          <w:rFonts w:hint="eastAsia" w:ascii="仿宋" w:hAnsi="仿宋" w:eastAsia="仿宋"/>
          <w:bCs/>
          <w:sz w:val="32"/>
          <w:szCs w:val="32"/>
        </w:rPr>
        <w:t>）农业农村（</w:t>
      </w:r>
      <w:r>
        <w:rPr>
          <w:rStyle w:val="17"/>
          <w:rFonts w:hint="eastAsia" w:ascii="仿宋" w:hAnsi="仿宋" w:eastAsia="仿宋"/>
          <w:bCs/>
          <w:sz w:val="32"/>
          <w:szCs w:val="32"/>
          <w:lang w:val="en-US" w:eastAsia="zh-CN"/>
        </w:rPr>
        <w:t>01</w:t>
      </w:r>
      <w:r>
        <w:rPr>
          <w:rStyle w:val="17"/>
          <w:rFonts w:hint="eastAsia" w:ascii="仿宋" w:hAnsi="仿宋" w:eastAsia="仿宋"/>
          <w:bCs/>
          <w:sz w:val="32"/>
          <w:szCs w:val="32"/>
        </w:rPr>
        <w:t>）事业运行</w:t>
      </w:r>
      <w:r>
        <w:rPr>
          <w:rStyle w:val="17"/>
          <w:rFonts w:hint="eastAsia" w:ascii="仿宋" w:hAnsi="仿宋" w:eastAsia="仿宋"/>
          <w:bCs/>
          <w:sz w:val="32"/>
          <w:szCs w:val="32"/>
          <w:lang w:eastAsia="zh-CN"/>
        </w:rPr>
        <w:t>（</w:t>
      </w:r>
      <w:r>
        <w:rPr>
          <w:rStyle w:val="17"/>
          <w:rFonts w:hint="eastAsia" w:ascii="仿宋" w:hAnsi="仿宋" w:eastAsia="仿宋"/>
          <w:bCs/>
          <w:sz w:val="32"/>
          <w:szCs w:val="32"/>
          <w:lang w:val="en-US" w:eastAsia="zh-CN"/>
        </w:rPr>
        <w:t>04</w:t>
      </w:r>
      <w:r>
        <w:rPr>
          <w:rStyle w:val="17"/>
          <w:rFonts w:hint="eastAsia" w:ascii="仿宋" w:hAnsi="仿宋" w:eastAsia="仿宋"/>
          <w:bCs/>
          <w:sz w:val="32"/>
          <w:szCs w:val="32"/>
          <w:lang w:eastAsia="zh-CN"/>
        </w:rPr>
        <w:t>）</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269.68</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93.09</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决算数小于预算数。</w:t>
      </w:r>
    </w:p>
    <w:p w14:paraId="6A184AC7">
      <w:pPr>
        <w:numPr>
          <w:ilvl w:val="0"/>
          <w:numId w:val="0"/>
        </w:numPr>
        <w:spacing w:line="600" w:lineRule="exact"/>
        <w:ind w:firstLine="640" w:firstLineChars="200"/>
        <w:rPr>
          <w:rStyle w:val="17"/>
          <w:rFonts w:hint="eastAsia" w:ascii="仿宋" w:hAnsi="仿宋" w:eastAsia="仿宋"/>
          <w:b w:val="0"/>
          <w:bCs/>
          <w:color w:val="000000"/>
          <w:sz w:val="32"/>
          <w:szCs w:val="32"/>
          <w:lang w:val="en-US" w:eastAsia="zh-CN"/>
        </w:rPr>
      </w:pPr>
      <w:r>
        <w:rPr>
          <w:rStyle w:val="17"/>
          <w:rFonts w:hint="eastAsia" w:ascii="仿宋" w:hAnsi="仿宋" w:eastAsia="仿宋"/>
          <w:b w:val="0"/>
          <w:bCs/>
          <w:color w:val="000000"/>
          <w:sz w:val="32"/>
          <w:szCs w:val="32"/>
          <w:lang w:val="en-US" w:eastAsia="zh-CN"/>
        </w:rPr>
        <w:t>8.</w:t>
      </w:r>
      <w:r>
        <w:rPr>
          <w:rStyle w:val="17"/>
          <w:rFonts w:hint="eastAsia" w:ascii="仿宋" w:hAnsi="仿宋" w:eastAsia="仿宋"/>
          <w:bCs/>
          <w:sz w:val="32"/>
          <w:szCs w:val="32"/>
          <w:lang w:val="en-US" w:eastAsia="zh-CN"/>
        </w:rPr>
        <w:t>农林水支出</w:t>
      </w:r>
      <w:r>
        <w:rPr>
          <w:rStyle w:val="17"/>
          <w:rFonts w:hint="eastAsia" w:ascii="仿宋" w:hAnsi="仿宋" w:eastAsia="仿宋"/>
          <w:bCs/>
          <w:sz w:val="32"/>
          <w:szCs w:val="32"/>
        </w:rPr>
        <w:t>（2</w:t>
      </w:r>
      <w:r>
        <w:rPr>
          <w:rStyle w:val="17"/>
          <w:rFonts w:hint="eastAsia" w:ascii="仿宋" w:hAnsi="仿宋" w:eastAsia="仿宋"/>
          <w:bCs/>
          <w:sz w:val="32"/>
          <w:szCs w:val="32"/>
          <w:lang w:val="en-US" w:eastAsia="zh-CN"/>
        </w:rPr>
        <w:t>13</w:t>
      </w:r>
      <w:r>
        <w:rPr>
          <w:rStyle w:val="17"/>
          <w:rFonts w:hint="eastAsia" w:ascii="仿宋" w:hAnsi="仿宋" w:eastAsia="仿宋"/>
          <w:bCs/>
          <w:sz w:val="32"/>
          <w:szCs w:val="32"/>
        </w:rPr>
        <w:t>）农业农村（</w:t>
      </w:r>
      <w:r>
        <w:rPr>
          <w:rStyle w:val="17"/>
          <w:rFonts w:hint="eastAsia" w:ascii="仿宋" w:hAnsi="仿宋" w:eastAsia="仿宋"/>
          <w:bCs/>
          <w:sz w:val="32"/>
          <w:szCs w:val="32"/>
          <w:lang w:val="en-US" w:eastAsia="zh-CN"/>
        </w:rPr>
        <w:t>01</w:t>
      </w:r>
      <w:r>
        <w:rPr>
          <w:rStyle w:val="17"/>
          <w:rFonts w:hint="eastAsia" w:ascii="仿宋" w:hAnsi="仿宋" w:eastAsia="仿宋"/>
          <w:bCs/>
          <w:sz w:val="32"/>
          <w:szCs w:val="32"/>
        </w:rPr>
        <w:t>）</w:t>
      </w:r>
      <w:r>
        <w:rPr>
          <w:rStyle w:val="17"/>
          <w:rFonts w:hint="eastAsia" w:ascii="仿宋" w:hAnsi="仿宋" w:eastAsia="仿宋"/>
          <w:bCs/>
          <w:sz w:val="32"/>
          <w:szCs w:val="32"/>
          <w:lang w:eastAsia="zh-CN"/>
        </w:rPr>
        <w:t>农田的建设（</w:t>
      </w:r>
      <w:r>
        <w:rPr>
          <w:rStyle w:val="17"/>
          <w:rFonts w:hint="eastAsia" w:ascii="仿宋" w:hAnsi="仿宋" w:eastAsia="仿宋"/>
          <w:bCs/>
          <w:sz w:val="32"/>
          <w:szCs w:val="32"/>
          <w:lang w:val="en-US" w:eastAsia="zh-CN"/>
        </w:rPr>
        <w:t>53</w:t>
      </w:r>
      <w:r>
        <w:rPr>
          <w:rStyle w:val="17"/>
          <w:rFonts w:hint="eastAsia" w:ascii="仿宋" w:hAnsi="仿宋" w:eastAsia="仿宋"/>
          <w:bCs/>
          <w:sz w:val="32"/>
          <w:szCs w:val="32"/>
          <w:lang w:eastAsia="zh-CN"/>
        </w:rPr>
        <w:t>）</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5706.87</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决算数等于预算数。</w:t>
      </w:r>
    </w:p>
    <w:p w14:paraId="0F22D180">
      <w:pPr>
        <w:numPr>
          <w:ilvl w:val="0"/>
          <w:numId w:val="0"/>
        </w:numPr>
        <w:spacing w:line="600" w:lineRule="exact"/>
        <w:ind w:firstLine="640" w:firstLineChars="200"/>
        <w:rPr>
          <w:rStyle w:val="17"/>
          <w:rFonts w:hint="eastAsia" w:ascii="仿宋" w:hAnsi="仿宋" w:eastAsia="仿宋"/>
          <w:b w:val="0"/>
          <w:bCs/>
          <w:color w:val="000000"/>
          <w:sz w:val="32"/>
          <w:szCs w:val="32"/>
          <w:lang w:val="en-US" w:eastAsia="zh-CN"/>
        </w:rPr>
      </w:pPr>
      <w:r>
        <w:rPr>
          <w:rStyle w:val="17"/>
          <w:rFonts w:hint="eastAsia" w:ascii="仿宋" w:hAnsi="仿宋" w:eastAsia="仿宋"/>
          <w:b w:val="0"/>
          <w:bCs/>
          <w:color w:val="000000"/>
          <w:sz w:val="32"/>
          <w:szCs w:val="32"/>
          <w:lang w:val="en-US" w:eastAsia="zh-CN"/>
        </w:rPr>
        <w:t>9.</w:t>
      </w:r>
      <w:r>
        <w:rPr>
          <w:rStyle w:val="17"/>
          <w:rFonts w:hint="eastAsia" w:ascii="仿宋" w:hAnsi="仿宋" w:eastAsia="仿宋"/>
          <w:bCs/>
          <w:sz w:val="32"/>
          <w:szCs w:val="32"/>
          <w:lang w:val="en-US" w:eastAsia="zh-CN"/>
        </w:rPr>
        <w:t>农林水支出</w:t>
      </w:r>
      <w:r>
        <w:rPr>
          <w:rStyle w:val="17"/>
          <w:rFonts w:hint="eastAsia" w:ascii="仿宋" w:hAnsi="仿宋" w:eastAsia="仿宋"/>
          <w:bCs/>
          <w:sz w:val="32"/>
          <w:szCs w:val="32"/>
        </w:rPr>
        <w:t>（2</w:t>
      </w:r>
      <w:r>
        <w:rPr>
          <w:rStyle w:val="17"/>
          <w:rFonts w:hint="eastAsia" w:ascii="仿宋" w:hAnsi="仿宋" w:eastAsia="仿宋"/>
          <w:bCs/>
          <w:sz w:val="32"/>
          <w:szCs w:val="32"/>
          <w:lang w:val="en-US" w:eastAsia="zh-CN"/>
        </w:rPr>
        <w:t>13</w:t>
      </w:r>
      <w:r>
        <w:rPr>
          <w:rStyle w:val="17"/>
          <w:rFonts w:hint="eastAsia" w:ascii="仿宋" w:hAnsi="仿宋" w:eastAsia="仿宋"/>
          <w:bCs/>
          <w:sz w:val="32"/>
          <w:szCs w:val="32"/>
        </w:rPr>
        <w:t>）农业农村（</w:t>
      </w:r>
      <w:r>
        <w:rPr>
          <w:rStyle w:val="17"/>
          <w:rFonts w:hint="eastAsia" w:ascii="仿宋" w:hAnsi="仿宋" w:eastAsia="仿宋"/>
          <w:bCs/>
          <w:sz w:val="32"/>
          <w:szCs w:val="32"/>
          <w:lang w:val="en-US" w:eastAsia="zh-CN"/>
        </w:rPr>
        <w:t>01</w:t>
      </w:r>
      <w:r>
        <w:rPr>
          <w:rStyle w:val="17"/>
          <w:rFonts w:hint="eastAsia" w:ascii="仿宋" w:hAnsi="仿宋" w:eastAsia="仿宋"/>
          <w:bCs/>
          <w:sz w:val="32"/>
          <w:szCs w:val="32"/>
        </w:rPr>
        <w:t>）其他农业农村支出</w:t>
      </w:r>
      <w:r>
        <w:rPr>
          <w:rStyle w:val="17"/>
          <w:rFonts w:hint="eastAsia" w:ascii="仿宋" w:hAnsi="仿宋" w:eastAsia="仿宋"/>
          <w:bCs/>
          <w:sz w:val="32"/>
          <w:szCs w:val="32"/>
          <w:lang w:eastAsia="zh-CN"/>
        </w:rPr>
        <w:t>（</w:t>
      </w:r>
      <w:r>
        <w:rPr>
          <w:rStyle w:val="17"/>
          <w:rFonts w:hint="eastAsia" w:ascii="仿宋" w:hAnsi="仿宋" w:eastAsia="仿宋"/>
          <w:bCs/>
          <w:sz w:val="32"/>
          <w:szCs w:val="32"/>
          <w:lang w:val="en-US" w:eastAsia="zh-CN"/>
        </w:rPr>
        <w:t>99</w:t>
      </w:r>
      <w:r>
        <w:rPr>
          <w:rStyle w:val="17"/>
          <w:rFonts w:hint="eastAsia" w:ascii="仿宋" w:hAnsi="仿宋" w:eastAsia="仿宋"/>
          <w:bCs/>
          <w:sz w:val="32"/>
          <w:szCs w:val="32"/>
          <w:lang w:eastAsia="zh-CN"/>
        </w:rPr>
        <w:t>）</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2557.01</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决算数等于预算数。</w:t>
      </w:r>
    </w:p>
    <w:p w14:paraId="65C8A06D">
      <w:pPr>
        <w:numPr>
          <w:ilvl w:val="0"/>
          <w:numId w:val="0"/>
        </w:numPr>
        <w:spacing w:line="600" w:lineRule="exact"/>
        <w:ind w:firstLine="640" w:firstLineChars="200"/>
        <w:rPr>
          <w:rStyle w:val="17"/>
          <w:rFonts w:hint="eastAsia" w:ascii="仿宋" w:hAnsi="仿宋" w:eastAsia="仿宋"/>
          <w:b w:val="0"/>
          <w:bCs/>
          <w:color w:val="000000"/>
          <w:sz w:val="32"/>
          <w:szCs w:val="32"/>
          <w:lang w:val="en-US" w:eastAsia="zh-CN"/>
        </w:rPr>
      </w:pPr>
      <w:r>
        <w:rPr>
          <w:rStyle w:val="17"/>
          <w:rFonts w:hint="eastAsia" w:ascii="仿宋" w:hAnsi="仿宋" w:eastAsia="仿宋"/>
          <w:b w:val="0"/>
          <w:bCs/>
          <w:color w:val="000000"/>
          <w:sz w:val="32"/>
          <w:szCs w:val="32"/>
          <w:lang w:val="en-US" w:eastAsia="zh-CN"/>
        </w:rPr>
        <w:t>10.</w:t>
      </w:r>
      <w:r>
        <w:rPr>
          <w:rStyle w:val="17"/>
          <w:rFonts w:hint="eastAsia" w:ascii="仿宋" w:hAnsi="仿宋" w:eastAsia="仿宋"/>
          <w:bCs/>
          <w:sz w:val="32"/>
          <w:szCs w:val="32"/>
          <w:lang w:val="en-US" w:eastAsia="zh-CN"/>
        </w:rPr>
        <w:t>农林水支出</w:t>
      </w:r>
      <w:r>
        <w:rPr>
          <w:rStyle w:val="17"/>
          <w:rFonts w:hint="eastAsia" w:ascii="仿宋" w:hAnsi="仿宋" w:eastAsia="仿宋"/>
          <w:bCs/>
          <w:sz w:val="32"/>
          <w:szCs w:val="32"/>
        </w:rPr>
        <w:t>（2</w:t>
      </w:r>
      <w:r>
        <w:rPr>
          <w:rStyle w:val="17"/>
          <w:rFonts w:hint="eastAsia" w:ascii="仿宋" w:hAnsi="仿宋" w:eastAsia="仿宋"/>
          <w:bCs/>
          <w:sz w:val="32"/>
          <w:szCs w:val="32"/>
          <w:lang w:val="en-US" w:eastAsia="zh-CN"/>
        </w:rPr>
        <w:t>13</w:t>
      </w:r>
      <w:r>
        <w:rPr>
          <w:rStyle w:val="17"/>
          <w:rFonts w:hint="eastAsia" w:ascii="仿宋" w:hAnsi="仿宋" w:eastAsia="仿宋"/>
          <w:bCs/>
          <w:sz w:val="32"/>
          <w:szCs w:val="32"/>
        </w:rPr>
        <w:t>）其他农林水支出（</w:t>
      </w:r>
      <w:r>
        <w:rPr>
          <w:rStyle w:val="17"/>
          <w:rFonts w:hint="eastAsia" w:ascii="仿宋" w:hAnsi="仿宋" w:eastAsia="仿宋"/>
          <w:bCs/>
          <w:sz w:val="32"/>
          <w:szCs w:val="32"/>
          <w:lang w:val="en-US" w:eastAsia="zh-CN"/>
        </w:rPr>
        <w:t>99</w:t>
      </w:r>
      <w:r>
        <w:rPr>
          <w:rStyle w:val="17"/>
          <w:rFonts w:hint="eastAsia" w:ascii="仿宋" w:hAnsi="仿宋" w:eastAsia="仿宋"/>
          <w:bCs/>
          <w:sz w:val="32"/>
          <w:szCs w:val="32"/>
        </w:rPr>
        <w:t>）其他农业农村支出</w:t>
      </w:r>
      <w:r>
        <w:rPr>
          <w:rStyle w:val="17"/>
          <w:rFonts w:hint="eastAsia" w:ascii="仿宋" w:hAnsi="仿宋" w:eastAsia="仿宋"/>
          <w:bCs/>
          <w:sz w:val="32"/>
          <w:szCs w:val="32"/>
          <w:lang w:eastAsia="zh-CN"/>
        </w:rPr>
        <w:t>（</w:t>
      </w:r>
      <w:r>
        <w:rPr>
          <w:rStyle w:val="17"/>
          <w:rFonts w:hint="eastAsia" w:ascii="仿宋" w:hAnsi="仿宋" w:eastAsia="仿宋"/>
          <w:bCs/>
          <w:sz w:val="32"/>
          <w:szCs w:val="32"/>
          <w:lang w:val="en-US" w:eastAsia="zh-CN"/>
        </w:rPr>
        <w:t>99</w:t>
      </w:r>
      <w:r>
        <w:rPr>
          <w:rStyle w:val="17"/>
          <w:rFonts w:hint="eastAsia" w:ascii="仿宋" w:hAnsi="仿宋" w:eastAsia="仿宋"/>
          <w:bCs/>
          <w:sz w:val="32"/>
          <w:szCs w:val="32"/>
          <w:lang w:eastAsia="zh-CN"/>
        </w:rPr>
        <w:t>）</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9.03</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决算数大于预算数。</w:t>
      </w:r>
    </w:p>
    <w:p w14:paraId="50CFBD41">
      <w:pPr>
        <w:numPr>
          <w:ilvl w:val="0"/>
          <w:numId w:val="0"/>
        </w:numPr>
        <w:spacing w:line="600" w:lineRule="exact"/>
        <w:ind w:firstLine="640" w:firstLineChars="200"/>
        <w:rPr>
          <w:rStyle w:val="17"/>
          <w:rFonts w:hint="eastAsia" w:ascii="仿宋" w:hAnsi="仿宋" w:eastAsia="仿宋"/>
          <w:b w:val="0"/>
          <w:bCs/>
          <w:color w:val="000000"/>
          <w:sz w:val="32"/>
          <w:szCs w:val="32"/>
          <w:lang w:val="en-US" w:eastAsia="zh-CN"/>
        </w:rPr>
      </w:pPr>
      <w:r>
        <w:rPr>
          <w:rStyle w:val="17"/>
          <w:rFonts w:hint="eastAsia" w:ascii="仿宋" w:hAnsi="仿宋" w:eastAsia="仿宋"/>
          <w:b w:val="0"/>
          <w:bCs/>
          <w:color w:val="000000"/>
          <w:sz w:val="32"/>
          <w:szCs w:val="32"/>
          <w:lang w:val="en-US" w:eastAsia="zh-CN"/>
        </w:rPr>
        <w:t>11.</w:t>
      </w:r>
      <w:r>
        <w:rPr>
          <w:rStyle w:val="17"/>
          <w:rFonts w:hint="eastAsia" w:ascii="仿宋" w:hAnsi="仿宋" w:eastAsia="仿宋"/>
          <w:bCs/>
          <w:sz w:val="32"/>
          <w:szCs w:val="32"/>
          <w:lang w:val="en-US" w:eastAsia="zh-CN"/>
        </w:rPr>
        <w:t>住房保障支出</w:t>
      </w:r>
      <w:r>
        <w:rPr>
          <w:rStyle w:val="17"/>
          <w:rFonts w:hint="eastAsia" w:ascii="仿宋" w:hAnsi="仿宋" w:eastAsia="仿宋"/>
          <w:bCs/>
          <w:sz w:val="32"/>
          <w:szCs w:val="32"/>
        </w:rPr>
        <w:t>（</w:t>
      </w:r>
      <w:r>
        <w:rPr>
          <w:rStyle w:val="17"/>
          <w:rFonts w:hint="eastAsia" w:ascii="仿宋" w:hAnsi="仿宋" w:eastAsia="仿宋"/>
          <w:bCs/>
          <w:sz w:val="32"/>
          <w:szCs w:val="32"/>
          <w:lang w:val="en-US" w:eastAsia="zh-CN"/>
        </w:rPr>
        <w:t>221</w:t>
      </w:r>
      <w:r>
        <w:rPr>
          <w:rStyle w:val="17"/>
          <w:rFonts w:hint="eastAsia" w:ascii="仿宋" w:hAnsi="仿宋" w:eastAsia="仿宋"/>
          <w:bCs/>
          <w:sz w:val="32"/>
          <w:szCs w:val="32"/>
        </w:rPr>
        <w:t>）住房改革支出（</w:t>
      </w:r>
      <w:r>
        <w:rPr>
          <w:rStyle w:val="17"/>
          <w:rFonts w:hint="eastAsia" w:ascii="仿宋" w:hAnsi="仿宋" w:eastAsia="仿宋"/>
          <w:bCs/>
          <w:sz w:val="32"/>
          <w:szCs w:val="32"/>
          <w:lang w:val="en-US" w:eastAsia="zh-CN"/>
        </w:rPr>
        <w:t>02</w:t>
      </w:r>
      <w:r>
        <w:rPr>
          <w:rStyle w:val="17"/>
          <w:rFonts w:hint="eastAsia" w:ascii="仿宋" w:hAnsi="仿宋" w:eastAsia="仿宋"/>
          <w:bCs/>
          <w:sz w:val="32"/>
          <w:szCs w:val="32"/>
        </w:rPr>
        <w:t>）住房公积金</w:t>
      </w:r>
      <w:r>
        <w:rPr>
          <w:rStyle w:val="17"/>
          <w:rFonts w:hint="eastAsia" w:ascii="仿宋" w:hAnsi="仿宋" w:eastAsia="仿宋"/>
          <w:bCs/>
          <w:sz w:val="32"/>
          <w:szCs w:val="32"/>
          <w:lang w:eastAsia="zh-CN"/>
        </w:rPr>
        <w:t>（</w:t>
      </w:r>
      <w:r>
        <w:rPr>
          <w:rStyle w:val="17"/>
          <w:rFonts w:hint="eastAsia" w:ascii="仿宋" w:hAnsi="仿宋" w:eastAsia="仿宋"/>
          <w:bCs/>
          <w:sz w:val="32"/>
          <w:szCs w:val="32"/>
          <w:lang w:val="en-US" w:eastAsia="zh-CN"/>
        </w:rPr>
        <w:t>01</w:t>
      </w:r>
      <w:r>
        <w:rPr>
          <w:rStyle w:val="17"/>
          <w:rFonts w:hint="eastAsia" w:ascii="仿宋" w:hAnsi="仿宋" w:eastAsia="仿宋"/>
          <w:bCs/>
          <w:sz w:val="32"/>
          <w:szCs w:val="32"/>
          <w:lang w:eastAsia="zh-CN"/>
        </w:rPr>
        <w:t>）</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25.25</w:t>
      </w:r>
      <w:r>
        <w:rPr>
          <w:rStyle w:val="17"/>
          <w:rFonts w:hint="eastAsia" w:ascii="仿宋" w:hAnsi="仿宋" w:eastAsia="仿宋"/>
          <w:b w:val="0"/>
          <w:bCs/>
          <w:color w:val="000000"/>
          <w:sz w:val="32"/>
          <w:szCs w:val="32"/>
        </w:rPr>
        <w:t>万</w:t>
      </w:r>
      <w:r>
        <w:rPr>
          <w:rStyle w:val="17"/>
          <w:rFonts w:hint="eastAsia" w:ascii="仿宋" w:hAnsi="仿宋" w:eastAsia="仿宋"/>
          <w:b w:val="0"/>
          <w:bCs/>
          <w:color w:val="000000"/>
          <w:sz w:val="32"/>
          <w:szCs w:val="32"/>
          <w:lang w:val="en-US" w:eastAsia="zh-CN"/>
        </w:rPr>
        <w:t>··</w:t>
      </w:r>
      <w:r>
        <w:rPr>
          <w:rStyle w:val="17"/>
          <w:rFonts w:hint="eastAsia" w:ascii="仿宋" w:hAnsi="仿宋" w:eastAsia="仿宋"/>
          <w:b w:val="0"/>
          <w:bCs/>
          <w:color w:val="000000"/>
          <w:sz w:val="32"/>
          <w:szCs w:val="32"/>
        </w:rPr>
        <w:t>元，完成预算</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决算数等于预算数。</w:t>
      </w:r>
    </w:p>
    <w:p w14:paraId="0C0D0F34">
      <w:pPr>
        <w:tabs>
          <w:tab w:val="right" w:pos="8306"/>
        </w:tabs>
        <w:spacing w:line="600" w:lineRule="exact"/>
        <w:ind w:firstLine="640"/>
        <w:outlineLvl w:val="1"/>
        <w:rPr>
          <w:rStyle w:val="28"/>
        </w:rPr>
      </w:pPr>
      <w:bookmarkStart w:id="42" w:name="_Toc15396608"/>
      <w:bookmarkStart w:id="43" w:name="_Toc15377214"/>
      <w:bookmarkStart w:id="44" w:name="_Toc931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2"/>
      <w:bookmarkEnd w:id="43"/>
      <w:bookmarkEnd w:id="44"/>
      <w:r>
        <w:rPr>
          <w:rStyle w:val="28"/>
          <w:rFonts w:ascii="黑体" w:hAnsi="黑体" w:eastAsia="黑体"/>
          <w:b w:val="0"/>
        </w:rPr>
        <w:tab/>
      </w:r>
    </w:p>
    <w:p w14:paraId="6033E35D">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lang w:val="en-US" w:eastAsia="zh-CN"/>
        </w:rPr>
        <w:t>359.77</w:t>
      </w:r>
      <w:r>
        <w:rPr>
          <w:rFonts w:hint="eastAsia" w:ascii="仿宋" w:hAnsi="仿宋" w:eastAsia="仿宋"/>
          <w:sz w:val="32"/>
          <w:szCs w:val="32"/>
        </w:rPr>
        <w:t>万元，其中：</w:t>
      </w:r>
    </w:p>
    <w:p w14:paraId="0157D650">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b/>
          <w:sz w:val="32"/>
          <w:szCs w:val="32"/>
          <w:lang w:val="en-US" w:eastAsia="zh-CN"/>
        </w:rPr>
        <w:t>344.04</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lang w:val="en-US" w:eastAsia="zh-CN"/>
        </w:rPr>
        <w:t xml:space="preserve">   </w:t>
      </w:r>
      <w:r>
        <w:rPr>
          <w:rFonts w:hint="eastAsia" w:ascii="仿宋" w:hAnsi="仿宋" w:eastAsia="仿宋"/>
          <w:sz w:val="32"/>
          <w:szCs w:val="32"/>
        </w:rPr>
        <w:t>公用经费</w:t>
      </w:r>
      <w:r>
        <w:rPr>
          <w:rFonts w:hint="eastAsia" w:ascii="仿宋" w:hAnsi="仿宋" w:eastAsia="仿宋"/>
          <w:sz w:val="32"/>
          <w:szCs w:val="32"/>
          <w:lang w:val="en-US" w:eastAsia="zh-CN"/>
        </w:rPr>
        <w:t>15.73</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D3A9965">
      <w:pPr>
        <w:spacing w:line="600" w:lineRule="exact"/>
        <w:ind w:firstLine="640"/>
        <w:outlineLvl w:val="1"/>
        <w:rPr>
          <w:rStyle w:val="28"/>
          <w:rFonts w:ascii="黑体" w:hAnsi="黑体" w:eastAsia="黑体"/>
          <w:b w:val="0"/>
        </w:rPr>
      </w:pPr>
      <w:bookmarkStart w:id="45" w:name="_Toc15377215"/>
      <w:bookmarkStart w:id="46" w:name="_Toc15396609"/>
      <w:bookmarkStart w:id="47" w:name="_Toc22154"/>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45"/>
      <w:bookmarkEnd w:id="46"/>
      <w:bookmarkEnd w:id="47"/>
    </w:p>
    <w:p w14:paraId="251FEF3C">
      <w:pPr>
        <w:spacing w:line="600" w:lineRule="exact"/>
        <w:ind w:firstLine="640"/>
        <w:outlineLvl w:val="2"/>
        <w:rPr>
          <w:rFonts w:ascii="仿宋" w:hAnsi="仿宋" w:eastAsia="仿宋"/>
          <w:b/>
          <w:sz w:val="32"/>
          <w:szCs w:val="32"/>
        </w:rPr>
      </w:pPr>
      <w:bookmarkStart w:id="48" w:name="_Toc15377216"/>
      <w:r>
        <w:rPr>
          <w:rFonts w:hint="eastAsia" w:ascii="仿宋" w:hAnsi="仿宋" w:eastAsia="仿宋"/>
          <w:b/>
          <w:sz w:val="32"/>
          <w:szCs w:val="32"/>
        </w:rPr>
        <w:t>（一）“三公”经费财政拨款支出决算总体情况说明</w:t>
      </w:r>
      <w:bookmarkEnd w:id="48"/>
    </w:p>
    <w:p w14:paraId="57DEE170">
      <w:pPr>
        <w:spacing w:line="600" w:lineRule="exact"/>
        <w:ind w:firstLine="640"/>
        <w:rPr>
          <w:rFonts w:ascii="仿宋" w:hAnsi="仿宋" w:eastAsia="仿宋"/>
          <w:sz w:val="32"/>
          <w:szCs w:val="32"/>
          <w:highlight w:val="yellow"/>
        </w:rPr>
      </w:pPr>
      <w:r>
        <w:rPr>
          <w:rFonts w:hint="eastAsia" w:ascii="仿宋" w:hAnsi="仿宋" w:eastAsia="仿宋"/>
          <w:sz w:val="32"/>
          <w:szCs w:val="32"/>
        </w:rPr>
        <w:t>2023年度“三公”经费财政拨款支出决算为</w:t>
      </w:r>
      <w:r>
        <w:rPr>
          <w:rFonts w:ascii="仿宋" w:hAnsi="仿宋" w:eastAsia="仿宋"/>
          <w:b/>
          <w:sz w:val="32"/>
          <w:szCs w:val="32"/>
        </w:rPr>
        <w:t>1.36</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1.06</w:t>
      </w:r>
      <w:r>
        <w:rPr>
          <w:rFonts w:hint="eastAsia" w:ascii="仿宋" w:hAnsi="仿宋" w:eastAsia="仿宋"/>
          <w:sz w:val="32"/>
          <w:szCs w:val="32"/>
        </w:rPr>
        <w:t>万元，增长</w:t>
      </w:r>
      <w:r>
        <w:rPr>
          <w:rFonts w:hint="eastAsia" w:ascii="仿宋" w:hAnsi="仿宋" w:eastAsia="仿宋"/>
          <w:sz w:val="32"/>
          <w:szCs w:val="32"/>
          <w:lang w:val="en-US" w:eastAsia="zh-CN"/>
        </w:rPr>
        <w:t>353.33</w:t>
      </w:r>
      <w:r>
        <w:rPr>
          <w:rFonts w:hint="eastAsia" w:ascii="仿宋" w:hAnsi="仿宋" w:eastAsia="仿宋"/>
          <w:sz w:val="32"/>
          <w:szCs w:val="32"/>
        </w:rPr>
        <w:t>%。决算数</w:t>
      </w:r>
      <w:r>
        <w:rPr>
          <w:rFonts w:hint="eastAsia" w:ascii="仿宋" w:hAnsi="仿宋" w:eastAsia="仿宋"/>
          <w:sz w:val="32"/>
          <w:szCs w:val="32"/>
          <w:lang w:val="en-US" w:eastAsia="zh-CN"/>
        </w:rPr>
        <w:t>较</w:t>
      </w:r>
      <w:r>
        <w:rPr>
          <w:rFonts w:hint="eastAsia" w:ascii="仿宋" w:hAnsi="仿宋" w:eastAsia="仿宋"/>
          <w:sz w:val="32"/>
          <w:szCs w:val="32"/>
        </w:rPr>
        <w:t>预算数</w:t>
      </w:r>
      <w:r>
        <w:rPr>
          <w:rFonts w:hint="eastAsia" w:ascii="仿宋" w:hAnsi="仿宋" w:eastAsia="仿宋"/>
          <w:sz w:val="32"/>
          <w:szCs w:val="32"/>
          <w:lang w:val="en-US" w:eastAsia="zh-CN"/>
        </w:rPr>
        <w:t>增加0.08万元</w:t>
      </w:r>
      <w:r>
        <w:rPr>
          <w:rFonts w:hint="eastAsia" w:ascii="仿宋" w:hAnsi="仿宋" w:eastAsia="仿宋"/>
          <w:sz w:val="32"/>
          <w:szCs w:val="32"/>
          <w:lang w:eastAsia="zh-CN"/>
        </w:rPr>
        <w:t>，</w:t>
      </w:r>
      <w:r>
        <w:rPr>
          <w:rFonts w:hint="eastAsia" w:ascii="仿宋" w:hAnsi="仿宋" w:eastAsia="仿宋"/>
          <w:sz w:val="32"/>
          <w:szCs w:val="32"/>
          <w:lang w:val="en-US" w:eastAsia="zh-CN"/>
        </w:rPr>
        <w:t>原因是接待人次的增加</w:t>
      </w:r>
      <w:r>
        <w:rPr>
          <w:rFonts w:hint="eastAsia" w:ascii="仿宋" w:hAnsi="仿宋" w:eastAsia="仿宋"/>
          <w:sz w:val="32"/>
          <w:szCs w:val="32"/>
        </w:rPr>
        <w:t>。</w:t>
      </w:r>
    </w:p>
    <w:p w14:paraId="0489BCEC">
      <w:pPr>
        <w:spacing w:line="600" w:lineRule="exact"/>
        <w:ind w:firstLine="640"/>
        <w:outlineLvl w:val="2"/>
        <w:rPr>
          <w:rFonts w:ascii="仿宋" w:hAnsi="仿宋" w:eastAsia="仿宋"/>
          <w:b/>
          <w:sz w:val="32"/>
          <w:szCs w:val="32"/>
        </w:rPr>
      </w:pPr>
      <w:bookmarkStart w:id="49" w:name="_Toc15377217"/>
      <w:r>
        <w:rPr>
          <w:rFonts w:hint="eastAsia" w:ascii="仿宋" w:hAnsi="仿宋" w:eastAsia="仿宋"/>
          <w:b/>
          <w:sz w:val="32"/>
          <w:szCs w:val="32"/>
        </w:rPr>
        <w:t>（二）“三公”经费财政拨款支出决算具体情况说明</w:t>
      </w:r>
      <w:bookmarkEnd w:id="49"/>
    </w:p>
    <w:p w14:paraId="7847B466">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1.36</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49FBA91E">
      <w:pPr>
        <w:pStyle w:val="2"/>
        <w:jc w:val="center"/>
        <w:outlineLvl w:val="9"/>
        <w:rPr>
          <w:rFonts w:hint="eastAsia"/>
        </w:rPr>
      </w:pPr>
      <w:r>
        <w:drawing>
          <wp:inline distT="0" distB="0" distL="114300" distR="114300">
            <wp:extent cx="4237990" cy="2663190"/>
            <wp:effectExtent l="4445" t="4445" r="952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6F7129">
      <w:pPr>
        <w:spacing w:line="600" w:lineRule="exact"/>
        <w:ind w:firstLine="640"/>
        <w:rPr>
          <w:rFonts w:ascii="仿宋_GB2312" w:eastAsia="仿宋_GB2312"/>
          <w:sz w:val="32"/>
          <w:szCs w:val="32"/>
          <w:highlight w:val="none"/>
        </w:rPr>
      </w:pPr>
      <w:bookmarkStart w:id="50" w:name="_Toc15396610"/>
      <w:bookmarkStart w:id="51" w:name="_Toc15377218"/>
      <w:r>
        <w:rPr>
          <w:rFonts w:ascii="仿宋_GB2312" w:eastAsia="仿宋_GB2312"/>
          <w:b/>
          <w:sz w:val="32"/>
          <w:szCs w:val="32"/>
          <w:highlight w:val="none"/>
        </w:rPr>
        <w:t>1.</w:t>
      </w:r>
      <w:r>
        <w:rPr>
          <w:rFonts w:hint="eastAsia" w:ascii="仿宋_GB2312" w:eastAsia="仿宋_GB2312"/>
          <w:b/>
          <w:sz w:val="32"/>
          <w:szCs w:val="32"/>
          <w:highlight w:val="none"/>
        </w:rPr>
        <w:t>因公出国（境）经费支出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7"/>
          <w:rFonts w:hint="eastAsia" w:ascii="仿宋" w:hAnsi="仿宋" w:eastAsia="仿宋"/>
          <w:b w:val="0"/>
          <w:bCs/>
          <w:sz w:val="32"/>
          <w:szCs w:val="32"/>
          <w:highlight w:val="none"/>
        </w:rPr>
        <w:t>完成预算</w:t>
      </w:r>
      <w:r>
        <w:rPr>
          <w:rStyle w:val="17"/>
          <w:rFonts w:ascii="仿宋" w:hAnsi="仿宋" w:eastAsia="仿宋"/>
          <w:bCs/>
          <w:sz w:val="32"/>
          <w:szCs w:val="32"/>
          <w:highlight w:val="none"/>
        </w:rPr>
        <w:t>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r>
        <w:rPr>
          <w:rFonts w:hint="eastAsia" w:ascii="仿宋_GB2312" w:eastAsia="仿宋_GB2312"/>
          <w:sz w:val="32"/>
          <w:szCs w:val="32"/>
          <w:highlight w:val="none"/>
        </w:rPr>
        <w:t>全年安排因公出国（境）团组</w:t>
      </w:r>
      <w:r>
        <w:rPr>
          <w:rFonts w:ascii="仿宋_GB2312" w:eastAsia="仿宋_GB2312"/>
          <w:b/>
          <w:sz w:val="32"/>
          <w:szCs w:val="32"/>
          <w:highlight w:val="none"/>
        </w:rPr>
        <w:t>0</w:t>
      </w:r>
      <w:r>
        <w:rPr>
          <w:rFonts w:hint="eastAsia" w:ascii="仿宋_GB2312" w:eastAsia="仿宋_GB2312"/>
          <w:sz w:val="32"/>
          <w:szCs w:val="32"/>
          <w:highlight w:val="none"/>
        </w:rPr>
        <w:t>次，出国（境）</w:t>
      </w:r>
      <w:r>
        <w:rPr>
          <w:rFonts w:ascii="仿宋_GB2312" w:eastAsia="仿宋_GB2312"/>
          <w:b/>
          <w:sz w:val="32"/>
          <w:szCs w:val="32"/>
          <w:highlight w:val="none"/>
        </w:rPr>
        <w:t>0</w:t>
      </w:r>
      <w:r>
        <w:rPr>
          <w:rFonts w:hint="eastAsia" w:ascii="仿宋_GB2312" w:eastAsia="仿宋_GB2312"/>
          <w:sz w:val="32"/>
          <w:szCs w:val="32"/>
          <w:highlight w:val="none"/>
        </w:rPr>
        <w:t>人。因公出国（境）支出决算比2022年增加</w:t>
      </w:r>
      <w:r>
        <w:rPr>
          <w:rFonts w:ascii="仿宋_GB2312" w:eastAsia="仿宋_GB2312"/>
          <w:sz w:val="32"/>
          <w:szCs w:val="32"/>
          <w:highlight w:val="none"/>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ascii="仿宋_GB2312" w:eastAsia="仿宋_GB2312"/>
          <w:sz w:val="32"/>
          <w:szCs w:val="32"/>
          <w:highlight w:val="none"/>
        </w:rPr>
        <w:t>/</w:t>
      </w:r>
      <w:r>
        <w:rPr>
          <w:rFonts w:hint="eastAsia" w:ascii="仿宋_GB2312" w:eastAsia="仿宋_GB2312"/>
          <w:sz w:val="32"/>
          <w:szCs w:val="32"/>
          <w:highlight w:val="none"/>
        </w:rPr>
        <w:t>下降</w:t>
      </w:r>
      <w:r>
        <w:rPr>
          <w:rFonts w:hint="eastAsia" w:ascii="仿宋_GB2312" w:eastAsia="仿宋_GB2312"/>
          <w:sz w:val="32"/>
          <w:szCs w:val="32"/>
          <w:highlight w:val="none"/>
          <w:lang w:val="en-US" w:eastAsia="zh-CN"/>
        </w:rPr>
        <w:t>0</w:t>
      </w:r>
      <w:r>
        <w:rPr>
          <w:rFonts w:ascii="仿宋_GB2312" w:eastAsia="仿宋_GB2312"/>
          <w:sz w:val="32"/>
          <w:szCs w:val="32"/>
          <w:highlight w:val="none"/>
        </w:rPr>
        <w:t>%</w:t>
      </w:r>
      <w:r>
        <w:rPr>
          <w:rFonts w:hint="eastAsia" w:ascii="仿宋_GB2312" w:eastAsia="仿宋_GB2312"/>
          <w:sz w:val="32"/>
          <w:szCs w:val="32"/>
          <w:highlight w:val="none"/>
        </w:rPr>
        <w:t>。</w:t>
      </w:r>
    </w:p>
    <w:p w14:paraId="7AA85E6B">
      <w:pPr>
        <w:spacing w:line="600" w:lineRule="exact"/>
        <w:ind w:firstLine="640"/>
        <w:rPr>
          <w:rFonts w:ascii="仿宋_GB2312" w:eastAsia="仿宋_GB2312"/>
          <w:b/>
          <w:sz w:val="32"/>
          <w:szCs w:val="32"/>
          <w:highlight w:val="none"/>
        </w:rPr>
      </w:pPr>
      <w:r>
        <w:rPr>
          <w:rFonts w:ascii="仿宋_GB2312" w:eastAsia="仿宋_GB2312"/>
          <w:b/>
          <w:sz w:val="32"/>
          <w:szCs w:val="32"/>
          <w:highlight w:val="none"/>
        </w:rPr>
        <w:t>2.</w:t>
      </w:r>
      <w:r>
        <w:rPr>
          <w:rFonts w:hint="eastAsia" w:ascii="仿宋_GB2312" w:eastAsia="仿宋_GB2312"/>
          <w:b/>
          <w:sz w:val="32"/>
          <w:szCs w:val="32"/>
          <w:highlight w:val="none"/>
        </w:rPr>
        <w:t>公务用车购置及运行维护费支出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7"/>
          <w:rFonts w:hint="eastAsia" w:ascii="仿宋" w:hAnsi="仿宋" w:eastAsia="仿宋"/>
          <w:b w:val="0"/>
          <w:bCs/>
          <w:sz w:val="32"/>
          <w:szCs w:val="32"/>
          <w:highlight w:val="none"/>
        </w:rPr>
        <w:t>完成预算</w:t>
      </w:r>
      <w:r>
        <w:rPr>
          <w:rStyle w:val="17"/>
          <w:rFonts w:ascii="仿宋" w:hAnsi="仿宋" w:eastAsia="仿宋"/>
          <w:bCs/>
          <w:sz w:val="32"/>
          <w:szCs w:val="32"/>
          <w:highlight w:val="none"/>
        </w:rPr>
        <w:t>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r>
        <w:rPr>
          <w:rFonts w:hint="eastAsia" w:ascii="仿宋_GB2312" w:eastAsia="仿宋_GB2312"/>
          <w:sz w:val="32"/>
          <w:szCs w:val="32"/>
          <w:highlight w:val="none"/>
        </w:rPr>
        <w:t>公务用车购置及运行维护费支出决算比2022年度增加</w:t>
      </w:r>
      <w:r>
        <w:rPr>
          <w:rFonts w:ascii="仿宋_GB2312" w:eastAsia="仿宋_GB2312"/>
          <w:sz w:val="32"/>
          <w:szCs w:val="32"/>
          <w:highlight w:val="none"/>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ascii="仿宋_GB2312" w:eastAsia="仿宋_GB2312"/>
          <w:sz w:val="32"/>
          <w:szCs w:val="32"/>
          <w:highlight w:val="none"/>
        </w:rPr>
        <w:t>/</w:t>
      </w:r>
      <w:r>
        <w:rPr>
          <w:rFonts w:hint="eastAsia" w:ascii="仿宋_GB2312" w:eastAsia="仿宋_GB2312"/>
          <w:sz w:val="32"/>
          <w:szCs w:val="32"/>
          <w:highlight w:val="none"/>
        </w:rPr>
        <w:t>下降</w:t>
      </w:r>
      <w:r>
        <w:rPr>
          <w:rFonts w:hint="eastAsia" w:ascii="仿宋_GB2312" w:eastAsia="仿宋_GB2312"/>
          <w:sz w:val="32"/>
          <w:szCs w:val="32"/>
          <w:highlight w:val="none"/>
          <w:lang w:val="en-US" w:eastAsia="zh-CN"/>
        </w:rPr>
        <w:t>0</w:t>
      </w:r>
      <w:r>
        <w:rPr>
          <w:rFonts w:ascii="仿宋_GB2312" w:eastAsia="仿宋_GB2312"/>
          <w:sz w:val="32"/>
          <w:szCs w:val="32"/>
          <w:highlight w:val="none"/>
        </w:rPr>
        <w:t>%</w:t>
      </w:r>
      <w:r>
        <w:rPr>
          <w:rFonts w:hint="eastAsia" w:ascii="仿宋_GB2312" w:eastAsia="仿宋_GB2312"/>
          <w:sz w:val="32"/>
          <w:szCs w:val="32"/>
          <w:highlight w:val="none"/>
        </w:rPr>
        <w:t>。</w:t>
      </w:r>
    </w:p>
    <w:p w14:paraId="7701073B">
      <w:pPr>
        <w:spacing w:line="60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其中：</w:t>
      </w:r>
      <w:r>
        <w:rPr>
          <w:rFonts w:hint="eastAsia" w:ascii="仿宋_GB2312" w:eastAsia="仿宋_GB2312"/>
          <w:b/>
          <w:sz w:val="32"/>
          <w:szCs w:val="32"/>
          <w:highlight w:val="none"/>
        </w:rPr>
        <w:t>公务用车购置支出</w:t>
      </w:r>
      <w:r>
        <w:rPr>
          <w:rFonts w:ascii="仿宋" w:hAnsi="仿宋" w:eastAsia="仿宋"/>
          <w:b/>
          <w:sz w:val="32"/>
          <w:szCs w:val="32"/>
          <w:highlight w:val="none"/>
        </w:rPr>
        <w:t>0</w:t>
      </w:r>
      <w:r>
        <w:rPr>
          <w:rFonts w:hint="eastAsia" w:ascii="仿宋_GB2312" w:eastAsia="仿宋_GB2312"/>
          <w:sz w:val="32"/>
          <w:szCs w:val="32"/>
          <w:highlight w:val="none"/>
        </w:rPr>
        <w:t>万元。全年</w:t>
      </w:r>
      <w:r>
        <w:rPr>
          <w:rFonts w:hint="eastAsia" w:ascii="仿宋_GB2312" w:eastAsia="仿宋_GB2312"/>
          <w:sz w:val="32"/>
          <w:szCs w:val="32"/>
          <w:highlight w:val="none"/>
          <w:lang w:val="en-US" w:eastAsia="zh-CN"/>
        </w:rPr>
        <w:t>按照</w:t>
      </w:r>
      <w:r>
        <w:rPr>
          <w:rFonts w:hint="eastAsia" w:ascii="仿宋_GB2312" w:eastAsia="仿宋_GB2312"/>
          <w:sz w:val="32"/>
          <w:szCs w:val="32"/>
          <w:highlight w:val="none"/>
        </w:rPr>
        <w:t>规定更新购置公务用车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截至2023年</w:t>
      </w:r>
      <w:r>
        <w:rPr>
          <w:rFonts w:ascii="仿宋_GB2312" w:eastAsia="仿宋_GB2312"/>
          <w:sz w:val="32"/>
          <w:szCs w:val="32"/>
          <w:highlight w:val="none"/>
        </w:rPr>
        <w:t>12</w:t>
      </w:r>
      <w:r>
        <w:rPr>
          <w:rFonts w:hint="eastAsia" w:ascii="仿宋_GB2312" w:eastAsia="仿宋_GB2312"/>
          <w:sz w:val="32"/>
          <w:szCs w:val="32"/>
          <w:highlight w:val="none"/>
        </w:rPr>
        <w:t>月31日，单位共有公务用车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14:paraId="6E0DF729">
      <w:pPr>
        <w:spacing w:line="600" w:lineRule="exact"/>
        <w:ind w:firstLine="640"/>
        <w:rPr>
          <w:rFonts w:ascii="仿宋_GB2312" w:eastAsia="仿宋_GB2312"/>
          <w:sz w:val="32"/>
          <w:szCs w:val="32"/>
          <w:highlight w:val="none"/>
        </w:rPr>
      </w:pPr>
      <w:r>
        <w:rPr>
          <w:rFonts w:hint="eastAsia" w:ascii="仿宋_GB2312" w:eastAsia="仿宋_GB2312"/>
          <w:b/>
          <w:sz w:val="32"/>
          <w:szCs w:val="32"/>
          <w:highlight w:val="none"/>
        </w:rPr>
        <w:t>公务用车运行维护费支出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3345E379">
      <w:pPr>
        <w:spacing w:line="600" w:lineRule="exact"/>
        <w:ind w:firstLine="640"/>
        <w:rPr>
          <w:rFonts w:ascii="仿宋_GB2312" w:eastAsia="仿宋_GB2312"/>
          <w:sz w:val="32"/>
          <w:szCs w:val="32"/>
          <w:highlight w:val="none"/>
        </w:rPr>
      </w:pPr>
      <w:r>
        <w:rPr>
          <w:rFonts w:ascii="仿宋_GB2312" w:eastAsia="仿宋_GB2312"/>
          <w:b/>
          <w:sz w:val="32"/>
          <w:szCs w:val="32"/>
          <w:highlight w:val="none"/>
        </w:rPr>
        <w:t>3.</w:t>
      </w:r>
      <w:r>
        <w:rPr>
          <w:rFonts w:hint="eastAsia" w:ascii="仿宋_GB2312" w:eastAsia="仿宋_GB2312"/>
          <w:b/>
          <w:sz w:val="32"/>
          <w:szCs w:val="32"/>
          <w:highlight w:val="none"/>
        </w:rPr>
        <w:t>公务接待费支出</w:t>
      </w:r>
      <w:r>
        <w:rPr>
          <w:rFonts w:hint="eastAsia" w:ascii="仿宋" w:hAnsi="仿宋" w:eastAsia="仿宋"/>
          <w:b/>
          <w:sz w:val="32"/>
          <w:szCs w:val="32"/>
          <w:highlight w:val="none"/>
          <w:lang w:val="en-US" w:eastAsia="zh-CN"/>
        </w:rPr>
        <w:t>1.36</w:t>
      </w:r>
      <w:r>
        <w:rPr>
          <w:rFonts w:hint="eastAsia" w:ascii="仿宋_GB2312" w:eastAsia="仿宋_GB2312"/>
          <w:sz w:val="32"/>
          <w:szCs w:val="32"/>
          <w:highlight w:val="none"/>
        </w:rPr>
        <w:t>万元，</w:t>
      </w:r>
      <w:r>
        <w:rPr>
          <w:rStyle w:val="17"/>
          <w:rFonts w:hint="eastAsia" w:ascii="仿宋" w:hAnsi="仿宋" w:eastAsia="仿宋"/>
          <w:b w:val="0"/>
          <w:bCs/>
          <w:sz w:val="32"/>
          <w:szCs w:val="32"/>
          <w:highlight w:val="none"/>
        </w:rPr>
        <w:t>完成预算</w:t>
      </w:r>
      <w:r>
        <w:rPr>
          <w:rStyle w:val="17"/>
          <w:rFonts w:ascii="仿宋" w:hAnsi="仿宋" w:eastAsia="仿宋"/>
          <w:b w:val="0"/>
          <w:bCs/>
          <w:sz w:val="32"/>
          <w:szCs w:val="32"/>
          <w:highlight w:val="none"/>
        </w:rPr>
        <w:t>100%</w:t>
      </w:r>
      <w:r>
        <w:rPr>
          <w:rStyle w:val="17"/>
          <w:rFonts w:hint="eastAsia" w:ascii="仿宋" w:hAnsi="仿宋" w:eastAsia="仿宋"/>
          <w:b w:val="0"/>
          <w:bCs/>
          <w:sz w:val="32"/>
          <w:szCs w:val="32"/>
          <w:highlight w:val="none"/>
        </w:rPr>
        <w:t>。</w:t>
      </w:r>
      <w:r>
        <w:rPr>
          <w:rFonts w:hint="eastAsia" w:ascii="仿宋_GB2312" w:eastAsia="仿宋_GB2312"/>
          <w:sz w:val="32"/>
          <w:szCs w:val="32"/>
          <w:highlight w:val="none"/>
        </w:rPr>
        <w:t>公务接待费支出决算比202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年度增加</w:t>
      </w:r>
      <w:r>
        <w:rPr>
          <w:rFonts w:hint="eastAsia" w:ascii="仿宋_GB2312" w:eastAsia="仿宋_GB2312"/>
          <w:sz w:val="32"/>
          <w:szCs w:val="32"/>
          <w:highlight w:val="none"/>
          <w:lang w:val="en-US" w:eastAsia="zh-CN"/>
        </w:rPr>
        <w:t>0.08</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6.25</w:t>
      </w:r>
      <w:r>
        <w:rPr>
          <w:rFonts w:ascii="仿宋_GB2312" w:eastAsia="仿宋_GB2312"/>
          <w:sz w:val="32"/>
          <w:szCs w:val="32"/>
          <w:highlight w:val="none"/>
        </w:rPr>
        <w:t>%</w:t>
      </w:r>
      <w:r>
        <w:rPr>
          <w:rFonts w:hint="eastAsia" w:ascii="仿宋_GB2312" w:eastAsia="仿宋_GB2312"/>
          <w:sz w:val="32"/>
          <w:szCs w:val="32"/>
          <w:highlight w:val="none"/>
        </w:rPr>
        <w:t>。主要原因是</w:t>
      </w:r>
      <w:r>
        <w:rPr>
          <w:rFonts w:hint="eastAsia" w:ascii="仿宋_GB2312" w:eastAsia="仿宋_GB2312"/>
          <w:sz w:val="32"/>
          <w:szCs w:val="32"/>
          <w:highlight w:val="none"/>
          <w:lang w:val="en-US" w:eastAsia="zh-CN"/>
        </w:rPr>
        <w:t>接待人次的增加</w:t>
      </w:r>
      <w:r>
        <w:rPr>
          <w:rFonts w:hint="eastAsia" w:ascii="仿宋_GB2312" w:eastAsia="仿宋_GB2312"/>
          <w:sz w:val="32"/>
          <w:szCs w:val="32"/>
          <w:highlight w:val="none"/>
        </w:rPr>
        <w:t>。其中：</w:t>
      </w:r>
    </w:p>
    <w:p w14:paraId="33DEBBCA">
      <w:pPr>
        <w:spacing w:line="600" w:lineRule="exact"/>
        <w:ind w:firstLine="640"/>
        <w:rPr>
          <w:rFonts w:hint="default" w:ascii="仿宋_GB2312" w:eastAsia="仿宋_GB2312"/>
          <w:sz w:val="32"/>
          <w:szCs w:val="32"/>
          <w:highlight w:val="none"/>
          <w:lang w:val="en-US"/>
        </w:rPr>
      </w:pPr>
      <w:r>
        <w:rPr>
          <w:rFonts w:hint="eastAsia" w:ascii="仿宋" w:hAnsi="仿宋" w:eastAsia="仿宋"/>
          <w:b/>
          <w:sz w:val="32"/>
          <w:szCs w:val="32"/>
          <w:highlight w:val="none"/>
        </w:rPr>
        <w:t>国内公务接待支出</w:t>
      </w:r>
      <w:r>
        <w:rPr>
          <w:rFonts w:hint="eastAsia" w:ascii="仿宋" w:hAnsi="仿宋" w:eastAsia="仿宋"/>
          <w:b/>
          <w:sz w:val="32"/>
          <w:szCs w:val="32"/>
          <w:highlight w:val="none"/>
          <w:lang w:val="en-US" w:eastAsia="zh-CN"/>
        </w:rPr>
        <w:t>1.36</w:t>
      </w:r>
      <w:r>
        <w:rPr>
          <w:rFonts w:hint="eastAsia" w:ascii="仿宋_GB2312" w:eastAsia="仿宋_GB2312"/>
          <w:sz w:val="32"/>
          <w:szCs w:val="32"/>
          <w:highlight w:val="none"/>
        </w:rPr>
        <w:t>万元，主要用于</w:t>
      </w:r>
      <w:r>
        <w:rPr>
          <w:rFonts w:hint="eastAsia" w:ascii="仿宋_GB2312" w:eastAsia="仿宋_GB2312"/>
          <w:sz w:val="32"/>
          <w:szCs w:val="32"/>
          <w:highlight w:val="none"/>
          <w:lang w:val="en-US" w:eastAsia="zh-CN"/>
        </w:rPr>
        <w:t>高标准农田的建设和耕地质量建设的接待用餐等</w:t>
      </w:r>
      <w:r>
        <w:rPr>
          <w:rFonts w:hint="eastAsia" w:ascii="仿宋_GB2312" w:eastAsia="仿宋_GB2312"/>
          <w:sz w:val="32"/>
          <w:szCs w:val="32"/>
          <w:highlight w:val="none"/>
        </w:rPr>
        <w:t>。国内公务接待</w:t>
      </w:r>
      <w:r>
        <w:rPr>
          <w:rFonts w:hint="eastAsia" w:ascii="仿宋_GB2312" w:eastAsia="仿宋_GB2312"/>
          <w:sz w:val="32"/>
          <w:szCs w:val="32"/>
          <w:highlight w:val="none"/>
          <w:lang w:val="en-US" w:eastAsia="zh-CN"/>
        </w:rPr>
        <w:t>40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198</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1.36</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val="en-US" w:eastAsia="zh-CN"/>
        </w:rPr>
        <w:t>市土肥站领导查看大竹县2021年高标准农田的建设项目共11人次（含陪餐人员3人）共480元，市农业农村局查看达州市高标准农田的建设专项审计发现问题整改工作省上检查准备情况共11人次（含陪餐人员3人）共550元、市农业农村局检查高标准农田工作招待费9人（含陪餐人员3人）450元，达州市高标准农田的建设专项审计发现问题整改工作讨论会接待费28人次1300元，市人大副主席调研大竹县秸秆综合利用接待费用27人次1310元，省农业规划建设服务中心一行调研机电提灌站项目和农业项目推进情况接待26人次1300元，市级验收2019-2021年耕地质量监测点20人次（含陪餐人员4人）800元，2022年高标准农田专项审计招待费9人（含陪餐人员4人）450元，全市2023年高标准农田的建设质量检查4次共156人次（含陪餐人员9人）7800元，市土肥站指导高标准农田的建设项目共10人次（含陪餐人员3人）500元。</w:t>
      </w:r>
    </w:p>
    <w:p w14:paraId="0759AEA6">
      <w:pPr>
        <w:spacing w:line="600" w:lineRule="exact"/>
        <w:ind w:firstLine="643" w:firstLineChars="200"/>
        <w:rPr>
          <w:rFonts w:ascii="仿宋_GB2312" w:eastAsia="仿宋_GB2312"/>
          <w:sz w:val="32"/>
          <w:szCs w:val="32"/>
          <w:highlight w:val="none"/>
        </w:rPr>
      </w:pPr>
      <w:r>
        <w:rPr>
          <w:rFonts w:hint="eastAsia" w:ascii="仿宋" w:hAnsi="仿宋" w:eastAsia="仿宋"/>
          <w:b/>
          <w:sz w:val="32"/>
          <w:szCs w:val="32"/>
          <w:highlight w:val="none"/>
        </w:rPr>
        <w:t>外事接待支出</w:t>
      </w:r>
      <w:r>
        <w:rPr>
          <w:rFonts w:ascii="仿宋" w:hAnsi="仿宋" w:eastAsia="仿宋"/>
          <w:b/>
          <w:sz w:val="32"/>
          <w:szCs w:val="32"/>
          <w:highlight w:val="none"/>
        </w:rPr>
        <w:t>0</w:t>
      </w:r>
      <w:r>
        <w:rPr>
          <w:rFonts w:hint="eastAsia" w:ascii="仿宋_GB2312" w:eastAsia="仿宋_GB2312"/>
          <w:sz w:val="32"/>
          <w:szCs w:val="32"/>
          <w:highlight w:val="none"/>
        </w:rPr>
        <w:t>万元。外事接待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人次，共计支出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14:paraId="19D66951">
      <w:pPr>
        <w:spacing w:line="600" w:lineRule="exact"/>
        <w:ind w:firstLine="640"/>
        <w:outlineLvl w:val="1"/>
        <w:rPr>
          <w:rStyle w:val="28"/>
          <w:rFonts w:ascii="黑体" w:hAnsi="黑体" w:eastAsia="黑体"/>
        </w:rPr>
      </w:pPr>
      <w:bookmarkStart w:id="52" w:name="_Toc24371"/>
      <w:r>
        <w:rPr>
          <w:rFonts w:hint="eastAsia" w:ascii="黑体" w:eastAsia="黑体"/>
          <w:sz w:val="32"/>
          <w:szCs w:val="32"/>
        </w:rPr>
        <w:t>八、</w:t>
      </w:r>
      <w:r>
        <w:rPr>
          <w:rStyle w:val="28"/>
          <w:rFonts w:hint="eastAsia" w:ascii="黑体" w:hAnsi="黑体" w:eastAsia="黑体"/>
          <w:b w:val="0"/>
        </w:rPr>
        <w:t>政府性基金预算支出决算情况说明</w:t>
      </w:r>
      <w:bookmarkEnd w:id="50"/>
      <w:bookmarkEnd w:id="51"/>
      <w:bookmarkEnd w:id="52"/>
    </w:p>
    <w:p w14:paraId="2A649B67">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09CE1BD2">
      <w:pPr>
        <w:spacing w:line="600" w:lineRule="exact"/>
        <w:ind w:firstLine="640"/>
        <w:rPr>
          <w:rFonts w:ascii="仿宋_GB2312" w:eastAsia="仿宋_GB2312"/>
          <w:sz w:val="32"/>
          <w:szCs w:val="32"/>
        </w:rPr>
      </w:pPr>
    </w:p>
    <w:p w14:paraId="2863A700">
      <w:pPr>
        <w:numPr>
          <w:ilvl w:val="0"/>
          <w:numId w:val="3"/>
        </w:numPr>
        <w:spacing w:line="600" w:lineRule="exact"/>
        <w:ind w:firstLine="640"/>
        <w:outlineLvl w:val="1"/>
        <w:rPr>
          <w:rStyle w:val="28"/>
          <w:rFonts w:ascii="黑体" w:hAnsi="黑体" w:eastAsia="黑体"/>
          <w:b w:val="0"/>
        </w:rPr>
      </w:pPr>
      <w:bookmarkStart w:id="53" w:name="_Toc15377219"/>
      <w:bookmarkStart w:id="54" w:name="_Toc15396611"/>
      <w:bookmarkStart w:id="55" w:name="_Toc5671"/>
      <w:r>
        <w:rPr>
          <w:rStyle w:val="28"/>
          <w:rFonts w:hint="eastAsia" w:ascii="黑体" w:hAnsi="黑体" w:eastAsia="黑体"/>
          <w:b w:val="0"/>
        </w:rPr>
        <w:t>国有资本经营预算支出决算情况说明</w:t>
      </w:r>
      <w:bookmarkEnd w:id="53"/>
      <w:bookmarkEnd w:id="54"/>
      <w:bookmarkEnd w:id="55"/>
    </w:p>
    <w:p w14:paraId="7E4853B4">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50260FE0">
      <w:pPr>
        <w:spacing w:line="580" w:lineRule="exact"/>
        <w:jc w:val="center"/>
        <w:rPr>
          <w:rFonts w:ascii="方正小标宋简体" w:hAnsi="方正小标宋简体" w:eastAsia="方正小标宋简体" w:cs="方正小标宋简体"/>
          <w:sz w:val="44"/>
          <w:szCs w:val="44"/>
        </w:rPr>
      </w:pPr>
    </w:p>
    <w:p w14:paraId="446AE910">
      <w:pPr>
        <w:numPr>
          <w:ilvl w:val="0"/>
          <w:numId w:val="3"/>
        </w:numPr>
        <w:spacing w:line="600" w:lineRule="exact"/>
        <w:ind w:firstLine="640"/>
        <w:outlineLvl w:val="1"/>
        <w:rPr>
          <w:rStyle w:val="28"/>
          <w:rFonts w:ascii="黑体" w:hAnsi="黑体" w:eastAsia="黑体"/>
          <w:b w:val="0"/>
        </w:rPr>
      </w:pPr>
      <w:bookmarkStart w:id="56" w:name="_Toc15396612"/>
      <w:bookmarkStart w:id="57" w:name="_Toc15377221"/>
      <w:bookmarkStart w:id="58" w:name="_Toc13295"/>
      <w:r>
        <w:rPr>
          <w:rStyle w:val="28"/>
          <w:rFonts w:hint="eastAsia" w:ascii="黑体" w:hAnsi="黑体" w:eastAsia="黑体"/>
          <w:b w:val="0"/>
        </w:rPr>
        <w:t>其他重要事项的情况说明</w:t>
      </w:r>
      <w:bookmarkEnd w:id="56"/>
      <w:bookmarkEnd w:id="57"/>
      <w:bookmarkEnd w:id="58"/>
    </w:p>
    <w:p w14:paraId="4E831781">
      <w:pPr>
        <w:spacing w:line="600" w:lineRule="exact"/>
        <w:ind w:firstLine="643" w:firstLineChars="200"/>
        <w:outlineLvl w:val="2"/>
        <w:rPr>
          <w:rFonts w:ascii="仿宋" w:hAnsi="仿宋" w:eastAsia="仿宋"/>
          <w:sz w:val="32"/>
          <w:szCs w:val="32"/>
        </w:rPr>
      </w:pPr>
      <w:bookmarkStart w:id="59" w:name="_Toc15377222"/>
      <w:r>
        <w:rPr>
          <w:rFonts w:hint="eastAsia" w:ascii="仿宋" w:hAnsi="仿宋" w:eastAsia="仿宋"/>
          <w:b/>
          <w:sz w:val="32"/>
          <w:szCs w:val="32"/>
        </w:rPr>
        <w:t>（一）机关运行经费支出情况</w:t>
      </w:r>
      <w:bookmarkEnd w:id="59"/>
    </w:p>
    <w:p w14:paraId="284EBBD8">
      <w:pPr>
        <w:spacing w:line="600" w:lineRule="exact"/>
        <w:ind w:firstLine="640" w:firstLineChars="200"/>
        <w:rPr>
          <w:rFonts w:ascii="仿宋_GB2312" w:eastAsia="仿宋_GB2312"/>
          <w:color w:val="000000" w:themeColor="text1"/>
          <w:sz w:val="32"/>
          <w:szCs w:val="32"/>
          <w14:textFill>
            <w14:solidFill>
              <w14:schemeClr w14:val="tx1"/>
            </w14:solidFill>
          </w14:textFill>
        </w:rPr>
      </w:pPr>
      <w:bookmarkStart w:id="60" w:name="_Toc15377223"/>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年，大竹县土壤肥料站运行经费支出</w:t>
      </w:r>
      <w:r>
        <w:rPr>
          <w:rFonts w:ascii="仿宋_GB2312" w:eastAsia="仿宋_GB2312"/>
          <w:color w:val="000000"/>
          <w:sz w:val="32"/>
          <w:szCs w:val="32"/>
        </w:rPr>
        <w:t>0</w:t>
      </w:r>
      <w:r>
        <w:rPr>
          <w:rFonts w:hint="eastAsia" w:ascii="仿宋_GB2312" w:eastAsia="仿宋_GB2312"/>
          <w:color w:val="000000"/>
          <w:sz w:val="32"/>
          <w:szCs w:val="32"/>
        </w:rPr>
        <w:t>万元，比</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年增加</w:t>
      </w:r>
      <w:r>
        <w:rPr>
          <w:rFonts w:ascii="仿宋" w:hAnsi="仿宋" w:eastAsia="仿宋"/>
          <w:color w:val="000000"/>
          <w:sz w:val="32"/>
          <w:szCs w:val="32"/>
        </w:rPr>
        <w:t>0</w:t>
      </w:r>
      <w:r>
        <w:rPr>
          <w:rFonts w:hint="eastAsia" w:ascii="仿宋" w:hAnsi="仿宋" w:eastAsia="仿宋"/>
          <w:color w:val="000000"/>
          <w:sz w:val="32"/>
          <w:szCs w:val="32"/>
        </w:rPr>
        <w:t>万元，增长</w:t>
      </w:r>
      <w:r>
        <w:rPr>
          <w:rFonts w:ascii="仿宋" w:hAnsi="仿宋" w:eastAsia="仿宋"/>
          <w:color w:val="000000"/>
          <w:sz w:val="32"/>
          <w:szCs w:val="32"/>
        </w:rPr>
        <w:t>0</w:t>
      </w:r>
      <w:r>
        <w:rPr>
          <w:rFonts w:hint="eastAsia" w:ascii="仿宋" w:hAnsi="仿宋" w:eastAsia="仿宋"/>
          <w:color w:val="000000"/>
          <w:sz w:val="32"/>
          <w:szCs w:val="32"/>
        </w:rPr>
        <w:t>%。</w:t>
      </w:r>
    </w:p>
    <w:p w14:paraId="514D7CD9">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bookmarkEnd w:id="60"/>
    </w:p>
    <w:p w14:paraId="7B5137E5">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年，大竹县土壤肥料站采购支出总额0万元，其中：政府采购货物支出0万元、政府采购工程支出0万元、政府采购服务支出0万元。授予中小企业合同金额0万元，占政府采购支出总额的0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14:paraId="7C6E94F0">
      <w:pPr>
        <w:autoSpaceDE w:val="0"/>
        <w:autoSpaceDN w:val="0"/>
        <w:adjustRightInd w:val="0"/>
        <w:spacing w:line="600" w:lineRule="exact"/>
        <w:ind w:firstLine="643" w:firstLineChars="200"/>
        <w:jc w:val="left"/>
        <w:outlineLvl w:val="2"/>
        <w:rPr>
          <w:rFonts w:ascii="仿宋" w:hAnsi="仿宋" w:eastAsia="仿宋"/>
          <w:b/>
          <w:sz w:val="32"/>
          <w:szCs w:val="32"/>
        </w:rPr>
      </w:pPr>
      <w:bookmarkStart w:id="61" w:name="_Toc15377224"/>
      <w:r>
        <w:rPr>
          <w:rFonts w:hint="eastAsia" w:ascii="仿宋" w:hAnsi="仿宋" w:eastAsia="仿宋"/>
          <w:b/>
          <w:sz w:val="32"/>
          <w:szCs w:val="32"/>
        </w:rPr>
        <w:t>（三）国有资产占有使用情况</w:t>
      </w:r>
      <w:bookmarkEnd w:id="61"/>
    </w:p>
    <w:p w14:paraId="5141A0FE">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日，大竹县土壤肥料站共有车辆0辆，其中：主要领导干部用车0辆、机要通信用车0辆、应急保障用车0辆、其他用车0辆，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p>
    <w:p w14:paraId="5C27A29B">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CD7DC94">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2023年高标准农田的建设</w:t>
      </w:r>
      <w:r>
        <w:rPr>
          <w:rFonts w:hint="eastAsia" w:ascii="仿宋_GB2312" w:eastAsia="仿宋_GB2312"/>
          <w:sz w:val="32"/>
          <w:szCs w:val="32"/>
        </w:rPr>
        <w:t>项目等</w:t>
      </w:r>
      <w:r>
        <w:rPr>
          <w:rFonts w:hint="eastAsia" w:ascii="仿宋_GB2312" w:eastAsia="仿宋_GB2312"/>
          <w:sz w:val="32"/>
          <w:szCs w:val="32"/>
          <w:lang w:val="en-US" w:eastAsia="zh-CN"/>
        </w:rPr>
        <w:t>2</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15</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15</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15</w:t>
      </w:r>
      <w:r>
        <w:rPr>
          <w:rFonts w:hint="eastAsia" w:ascii="仿宋_GB2312" w:eastAsia="仿宋_GB2312"/>
          <w:sz w:val="32"/>
          <w:szCs w:val="32"/>
        </w:rPr>
        <w:t>个项目开展绩效自评，绩效自评表详见第四部分附件。</w:t>
      </w:r>
    </w:p>
    <w:p w14:paraId="5048CCDE">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3530F311">
      <w:pPr>
        <w:numPr>
          <w:ilvl w:val="0"/>
          <w:numId w:val="4"/>
        </w:numPr>
        <w:spacing w:line="600" w:lineRule="exact"/>
        <w:ind w:firstLine="660" w:firstLineChars="150"/>
        <w:jc w:val="center"/>
        <w:outlineLvl w:val="0"/>
        <w:rPr>
          <w:rStyle w:val="27"/>
          <w:rFonts w:ascii="黑体" w:hAnsi="黑体" w:eastAsia="黑体"/>
          <w:b w:val="0"/>
        </w:rPr>
      </w:pPr>
      <w:bookmarkStart w:id="62" w:name="_Toc15396613"/>
      <w:bookmarkStart w:id="63" w:name="_Toc15377225"/>
      <w:bookmarkStart w:id="64" w:name="_Toc12891"/>
      <w:r>
        <w:rPr>
          <w:rFonts w:hint="eastAsia" w:ascii="黑体" w:hAnsi="黑体" w:eastAsia="黑体"/>
          <w:sz w:val="44"/>
          <w:szCs w:val="44"/>
        </w:rPr>
        <w:t>名</w:t>
      </w:r>
      <w:r>
        <w:rPr>
          <w:rStyle w:val="27"/>
          <w:rFonts w:hint="eastAsia" w:ascii="黑体" w:hAnsi="黑体" w:eastAsia="黑体"/>
          <w:b w:val="0"/>
        </w:rPr>
        <w:t>词解释</w:t>
      </w:r>
      <w:bookmarkEnd w:id="62"/>
      <w:bookmarkEnd w:id="63"/>
      <w:bookmarkEnd w:id="64"/>
    </w:p>
    <w:p w14:paraId="78BF0B4F">
      <w:pPr>
        <w:spacing w:line="600" w:lineRule="exact"/>
        <w:jc w:val="left"/>
        <w:rPr>
          <w:rFonts w:ascii="宋体"/>
          <w:b/>
          <w:sz w:val="44"/>
          <w:szCs w:val="44"/>
        </w:rPr>
      </w:pPr>
    </w:p>
    <w:p w14:paraId="16C828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bookmarkStart w:id="65" w:name="_Toc15377226"/>
      <w:r>
        <w:rPr>
          <w:rFonts w:hint="eastAsia" w:ascii="仿宋_GB2312" w:hAnsi="仿宋_GB2312" w:eastAsia="仿宋_GB2312" w:cs="仿宋_GB2312"/>
          <w:sz w:val="32"/>
          <w:szCs w:val="40"/>
        </w:rPr>
        <w:t>1.财政拨款收入：指单位从同级财政部门取得的财政预算资金。</w:t>
      </w:r>
    </w:p>
    <w:p w14:paraId="17D60F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2.事业收入：指事业单位开展专业业务活动及辅助活动取得的收入。</w:t>
      </w:r>
    </w:p>
    <w:p w14:paraId="0A0BEC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3.经营收入：指事业单位在专业业务活动及其辅助活动之外开展非独立核算经营活动取得的收入。</w:t>
      </w:r>
    </w:p>
    <w:p w14:paraId="0686F7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4.其他收入：指单位取得的除上述收入以外的各项收入。</w:t>
      </w:r>
    </w:p>
    <w:p w14:paraId="015CC9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.年初结转和结余：指以前年度尚未完成、结转到本年按有关规定继续使用的资金。</w:t>
      </w:r>
    </w:p>
    <w:p w14:paraId="5FA584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.结余分配：指事业单位按照事业单位会计制度的规定从非财政补助结余中分配的</w:t>
      </w:r>
      <w:r>
        <w:rPr>
          <w:rFonts w:hint="eastAsia" w:ascii="仿宋_GB2312" w:hAnsi="仿宋_GB2312" w:eastAsia="仿宋_GB2312" w:cs="仿宋_GB2312"/>
          <w:sz w:val="32"/>
          <w:szCs w:val="40"/>
          <w:lang w:eastAsia="zh-CN"/>
        </w:rPr>
        <w:t>事业的基金</w:t>
      </w:r>
      <w:r>
        <w:rPr>
          <w:rFonts w:hint="eastAsia" w:ascii="仿宋_GB2312" w:hAnsi="仿宋_GB2312" w:eastAsia="仿宋_GB2312" w:cs="仿宋_GB2312"/>
          <w:sz w:val="32"/>
          <w:szCs w:val="40"/>
        </w:rPr>
        <w:t>和职工福利基金等。</w:t>
      </w:r>
    </w:p>
    <w:p w14:paraId="6BD9D8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rPr>
        <w:t>、年末结转和结余：指单位按有关规定结转到下年或以后年度继续使用的资金。</w:t>
      </w:r>
    </w:p>
    <w:p w14:paraId="1F5B11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 社会保障和就业（208）行政事业单位养老保险支出（05）机关事业单位基本养老保险缴费支出（05）：指反映机关事业单位实施养老保险制度由单位缴纳基本养老保险费支出。</w:t>
      </w:r>
    </w:p>
    <w:p w14:paraId="03B9AB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9</w:t>
      </w:r>
      <w:r>
        <w:rPr>
          <w:rFonts w:hint="eastAsia" w:ascii="仿宋_GB2312" w:hAnsi="仿宋_GB2312" w:eastAsia="仿宋_GB2312" w:cs="仿宋_GB2312"/>
          <w:sz w:val="32"/>
          <w:szCs w:val="40"/>
        </w:rPr>
        <w:t>. 农林水（213）农业农村（01）事业运行（04）：指反映用于农业</w:t>
      </w:r>
      <w:r>
        <w:rPr>
          <w:rFonts w:hint="eastAsia" w:ascii="仿宋_GB2312" w:hAnsi="仿宋_GB2312" w:eastAsia="仿宋_GB2312" w:cs="仿宋_GB2312"/>
          <w:sz w:val="32"/>
          <w:szCs w:val="40"/>
          <w:lang w:val="en-US" w:eastAsia="zh-CN"/>
        </w:rPr>
        <w:t>的</w:t>
      </w:r>
      <w:r>
        <w:rPr>
          <w:rFonts w:hint="eastAsia" w:ascii="仿宋_GB2312" w:hAnsi="仿宋_GB2312" w:eastAsia="仿宋_GB2312" w:cs="仿宋_GB2312"/>
          <w:sz w:val="32"/>
          <w:szCs w:val="40"/>
        </w:rPr>
        <w:t>事业单位基本支出，事业单位设施，系统运行与资产维护等方面支出。</w:t>
      </w:r>
    </w:p>
    <w:p w14:paraId="050143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val="en-US" w:eastAsia="zh-CN"/>
        </w:rPr>
        <w:t>0</w:t>
      </w:r>
      <w:r>
        <w:rPr>
          <w:rFonts w:hint="eastAsia" w:ascii="仿宋_GB2312" w:hAnsi="仿宋_GB2312" w:eastAsia="仿宋_GB2312" w:cs="仿宋_GB2312"/>
          <w:sz w:val="32"/>
          <w:szCs w:val="40"/>
        </w:rPr>
        <w:t>. 卫生健康支出（210）行政事业单位医疗（11）事业单位医疗（02）：指反映财政部门安排的事业单位基本医疗保险缴费经费，未参加医疗保险的事业单位的公费医疗经费，按国家规定享受离退休人员待遇的医疗经费。</w:t>
      </w:r>
    </w:p>
    <w:p w14:paraId="1C873F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 农林水支出（213）农业（01）其他农业支出（99）: 指用于其他农业方面的支出。</w:t>
      </w:r>
    </w:p>
    <w:p w14:paraId="0B98D5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 住房保障支出（221）住房改革支出（02）住房公积金（01）: 指反映行政事业单位按人力资源和社会保障部、财政部</w:t>
      </w:r>
      <w:r>
        <w:rPr>
          <w:rFonts w:hint="eastAsia" w:ascii="仿宋_GB2312" w:hAnsi="仿宋_GB2312" w:eastAsia="仿宋_GB2312" w:cs="仿宋_GB2312"/>
          <w:sz w:val="32"/>
          <w:szCs w:val="40"/>
          <w:lang w:val="en-US" w:eastAsia="zh-CN"/>
        </w:rPr>
        <w:t>的</w:t>
      </w:r>
      <w:r>
        <w:rPr>
          <w:rFonts w:hint="eastAsia" w:ascii="仿宋_GB2312" w:hAnsi="仿宋_GB2312" w:eastAsia="仿宋_GB2312" w:cs="仿宋_GB2312"/>
          <w:sz w:val="32"/>
          <w:szCs w:val="40"/>
        </w:rPr>
        <w:t>规定的基本工资和津贴补贴以及规定比例为职工缴纳的住房公积金。</w:t>
      </w:r>
    </w:p>
    <w:p w14:paraId="18EEC2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.基本支出：指为保障机构正常运转、完成日常工作任务而发生的人员支出和公用支出。</w:t>
      </w:r>
    </w:p>
    <w:p w14:paraId="1AA9D1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.项目支出：指在基本支出之外为完成特定行政任务和事业发展目标所发生的支出。</w:t>
      </w:r>
    </w:p>
    <w:p w14:paraId="7FE512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w:t>
      </w:r>
      <w:r>
        <w:rPr>
          <w:rFonts w:hint="eastAsia" w:ascii="仿宋_GB2312" w:hAnsi="仿宋_GB2312" w:eastAsia="仿宋_GB2312" w:cs="仿宋_GB2312"/>
          <w:sz w:val="32"/>
          <w:szCs w:val="40"/>
          <w:lang w:val="en-US" w:eastAsia="zh-CN"/>
        </w:rPr>
        <w:t>按照</w:t>
      </w:r>
      <w:r>
        <w:rPr>
          <w:rFonts w:hint="eastAsia" w:ascii="仿宋_GB2312" w:hAnsi="仿宋_GB2312" w:eastAsia="仿宋_GB2312" w:cs="仿宋_GB2312"/>
          <w:sz w:val="32"/>
          <w:szCs w:val="40"/>
        </w:rPr>
        <w:t>规定开支的各类公务接待（含外宾接待）支出。</w:t>
      </w:r>
    </w:p>
    <w:p w14:paraId="0DB6EB48">
      <w:pPr>
        <w:spacing w:line="600" w:lineRule="exact"/>
        <w:jc w:val="center"/>
        <w:outlineLvl w:val="0"/>
        <w:rPr>
          <w:rStyle w:val="27"/>
          <w:rFonts w:ascii="黑体" w:hAnsi="黑体" w:eastAsia="黑体"/>
          <w:b w:val="0"/>
        </w:rPr>
      </w:pPr>
      <w:r>
        <w:rPr>
          <w:rFonts w:ascii="宋体"/>
          <w:b/>
          <w:sz w:val="44"/>
          <w:szCs w:val="44"/>
        </w:rPr>
        <w:br w:type="page"/>
      </w:r>
      <w:bookmarkStart w:id="66" w:name="_Toc15396614"/>
      <w:bookmarkStart w:id="67" w:name="_Toc4284"/>
      <w:r>
        <w:rPr>
          <w:rFonts w:hint="eastAsia" w:ascii="黑体" w:hAnsi="黑体" w:eastAsia="黑体"/>
          <w:sz w:val="44"/>
          <w:szCs w:val="44"/>
        </w:rPr>
        <w:t>第</w:t>
      </w:r>
      <w:r>
        <w:rPr>
          <w:rStyle w:val="27"/>
          <w:rFonts w:hint="eastAsia" w:ascii="黑体" w:hAnsi="黑体" w:eastAsia="黑体"/>
          <w:b w:val="0"/>
        </w:rPr>
        <w:t>四部分 附件</w:t>
      </w:r>
      <w:bookmarkEnd w:id="66"/>
      <w:bookmarkEnd w:id="67"/>
    </w:p>
    <w:p w14:paraId="5CB2CBA0">
      <w:pPr>
        <w:spacing w:line="572" w:lineRule="exact"/>
        <w:jc w:val="left"/>
        <w:outlineLvl w:val="9"/>
        <w:rPr>
          <w:rFonts w:ascii="仿宋_GB2312" w:hAnsi="仿宋_GB2312" w:eastAsia="仿宋_GB2312" w:cs="仿宋_GB2312"/>
          <w:sz w:val="32"/>
          <w:szCs w:val="32"/>
        </w:rPr>
      </w:pPr>
    </w:p>
    <w:p w14:paraId="4F0E48F3">
      <w:pPr>
        <w:spacing w:line="600" w:lineRule="exact"/>
        <w:jc w:val="center"/>
        <w:outlineLvl w:val="1"/>
        <w:rPr>
          <w:rFonts w:ascii="黑体" w:hAnsi="黑体" w:eastAsia="黑体"/>
          <w:color w:val="FF0000"/>
          <w:sz w:val="44"/>
          <w:szCs w:val="44"/>
        </w:rPr>
      </w:pPr>
      <w:bookmarkStart w:id="68" w:name="_Toc1497"/>
      <w:bookmarkStart w:id="69" w:name="_Toc15396618"/>
      <w:r>
        <w:rPr>
          <w:rFonts w:hint="eastAsia"/>
          <w:sz w:val="32"/>
          <w:szCs w:val="32"/>
        </w:rPr>
        <w:t>部门预算项目支出绩效自评表（2023年度）</w:t>
      </w:r>
      <w:bookmarkEnd w:id="68"/>
    </w:p>
    <w:p w14:paraId="162A45CB">
      <w:pPr>
        <w:pStyle w:val="14"/>
        <w:spacing w:line="560" w:lineRule="exact"/>
        <w:ind w:left="0" w:leftChars="0" w:firstLine="640"/>
        <w:rPr>
          <w:sz w:val="32"/>
        </w:rPr>
      </w:pPr>
    </w:p>
    <w:p w14:paraId="5E729227">
      <w:pPr>
        <w:pStyle w:val="14"/>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14:paraId="2CD9DE03">
      <w:pPr>
        <w:pStyle w:val="6"/>
        <w:spacing w:before="93"/>
        <w:rPr>
          <w:rFonts w:hAnsi="Calibri" w:cs="仿宋"/>
          <w:sz w:val="32"/>
          <w:szCs w:val="32"/>
        </w:rPr>
      </w:pPr>
    </w:p>
    <w:p w14:paraId="015FE03A">
      <w:pPr>
        <w:pStyle w:val="6"/>
        <w:spacing w:before="93"/>
        <w:rPr>
          <w:rFonts w:hAnsi="Calibri" w:cs="仿宋"/>
          <w:sz w:val="32"/>
          <w:szCs w:val="32"/>
        </w:rPr>
      </w:pPr>
    </w:p>
    <w:p w14:paraId="1880213A">
      <w:pPr>
        <w:pStyle w:val="6"/>
        <w:spacing w:before="93"/>
        <w:rPr>
          <w:rFonts w:hAnsi="Calibri" w:cs="仿宋"/>
          <w:sz w:val="32"/>
          <w:szCs w:val="32"/>
        </w:rPr>
      </w:pPr>
    </w:p>
    <w:p w14:paraId="03D9DCC6">
      <w:pPr>
        <w:pStyle w:val="6"/>
        <w:spacing w:before="93"/>
        <w:rPr>
          <w:rFonts w:hAnsi="Calibri" w:cs="仿宋"/>
          <w:sz w:val="32"/>
          <w:szCs w:val="32"/>
        </w:rPr>
      </w:pPr>
    </w:p>
    <w:p w14:paraId="264A22BC">
      <w:pPr>
        <w:pStyle w:val="6"/>
        <w:spacing w:before="93"/>
        <w:rPr>
          <w:rFonts w:hAnsi="Calibri" w:cs="仿宋"/>
          <w:sz w:val="32"/>
          <w:szCs w:val="32"/>
        </w:rPr>
      </w:pPr>
    </w:p>
    <w:p w14:paraId="1734C0F9">
      <w:pPr>
        <w:pStyle w:val="6"/>
        <w:spacing w:before="93"/>
        <w:rPr>
          <w:rFonts w:hAnsi="Calibri" w:cs="仿宋"/>
          <w:sz w:val="32"/>
          <w:szCs w:val="32"/>
        </w:rPr>
      </w:pPr>
    </w:p>
    <w:p w14:paraId="3AE0405E">
      <w:pPr>
        <w:pStyle w:val="6"/>
        <w:spacing w:before="93"/>
        <w:rPr>
          <w:rFonts w:hAnsi="Calibri" w:cs="仿宋"/>
          <w:sz w:val="32"/>
          <w:szCs w:val="32"/>
        </w:rPr>
      </w:pPr>
    </w:p>
    <w:p w14:paraId="26A4F51B">
      <w:pPr>
        <w:pStyle w:val="6"/>
        <w:spacing w:before="93"/>
        <w:rPr>
          <w:rFonts w:hAnsi="Calibri" w:cs="仿宋"/>
          <w:sz w:val="32"/>
          <w:szCs w:val="32"/>
        </w:rPr>
      </w:pPr>
    </w:p>
    <w:p w14:paraId="4E4BD83B">
      <w:pPr>
        <w:pStyle w:val="6"/>
        <w:spacing w:before="93"/>
        <w:rPr>
          <w:rFonts w:hAnsi="Calibri" w:cs="仿宋"/>
          <w:sz w:val="32"/>
          <w:szCs w:val="32"/>
        </w:rPr>
      </w:pPr>
    </w:p>
    <w:p w14:paraId="0D2E861E">
      <w:pPr>
        <w:pStyle w:val="6"/>
        <w:spacing w:before="93"/>
        <w:rPr>
          <w:rFonts w:hAnsi="Calibri" w:cs="仿宋"/>
          <w:sz w:val="32"/>
          <w:szCs w:val="32"/>
        </w:rPr>
      </w:pPr>
    </w:p>
    <w:p w14:paraId="075C022B">
      <w:pPr>
        <w:pStyle w:val="6"/>
        <w:spacing w:before="93"/>
        <w:rPr>
          <w:rFonts w:hAnsi="Calibri" w:cs="仿宋"/>
          <w:sz w:val="32"/>
          <w:szCs w:val="32"/>
        </w:rPr>
      </w:pPr>
    </w:p>
    <w:p w14:paraId="304E557C">
      <w:pPr>
        <w:pStyle w:val="6"/>
        <w:spacing w:before="93"/>
        <w:rPr>
          <w:rFonts w:hAnsi="Calibri" w:cs="仿宋"/>
          <w:sz w:val="32"/>
          <w:szCs w:val="32"/>
        </w:rPr>
      </w:pPr>
    </w:p>
    <w:p w14:paraId="07B5F052">
      <w:pPr>
        <w:pStyle w:val="6"/>
        <w:spacing w:before="93"/>
        <w:rPr>
          <w:rFonts w:hAnsi="Calibri" w:cs="仿宋"/>
          <w:sz w:val="32"/>
          <w:szCs w:val="32"/>
        </w:rPr>
      </w:pPr>
    </w:p>
    <w:p w14:paraId="43D1116C">
      <w:pPr>
        <w:spacing w:line="600" w:lineRule="exact"/>
        <w:jc w:val="center"/>
        <w:outlineLvl w:val="0"/>
        <w:rPr>
          <w:rFonts w:ascii="仿宋" w:hAnsi="仿宋" w:eastAsia="仿宋"/>
        </w:rPr>
      </w:pPr>
      <w:bookmarkStart w:id="70" w:name="_Toc24117"/>
      <w:r>
        <w:rPr>
          <w:rFonts w:hint="eastAsia" w:ascii="黑体" w:hAnsi="黑体" w:eastAsia="黑体"/>
          <w:sz w:val="44"/>
          <w:szCs w:val="44"/>
        </w:rPr>
        <w:t>第</w:t>
      </w:r>
      <w:r>
        <w:rPr>
          <w:rStyle w:val="27"/>
          <w:rFonts w:hint="eastAsia" w:ascii="黑体" w:hAnsi="黑体" w:eastAsia="黑体"/>
          <w:b w:val="0"/>
        </w:rPr>
        <w:t>五部分 附表</w:t>
      </w:r>
      <w:bookmarkEnd w:id="65"/>
      <w:bookmarkEnd w:id="69"/>
      <w:bookmarkEnd w:id="70"/>
      <w:bookmarkStart w:id="71" w:name="_Toc15396619"/>
    </w:p>
    <w:p w14:paraId="011D639F">
      <w:pPr>
        <w:pStyle w:val="4"/>
        <w:rPr>
          <w:rFonts w:ascii="仿宋" w:hAnsi="仿宋" w:eastAsia="仿宋"/>
        </w:rPr>
      </w:pPr>
      <w:bookmarkStart w:id="72" w:name="_Toc13498"/>
      <w:r>
        <w:rPr>
          <w:rFonts w:hint="eastAsia" w:ascii="仿宋" w:hAnsi="仿宋" w:eastAsia="仿宋"/>
          <w:b w:val="0"/>
        </w:rPr>
        <w:t>一、收</w:t>
      </w:r>
      <w:r>
        <w:rPr>
          <w:rStyle w:val="28"/>
          <w:rFonts w:hint="eastAsia" w:ascii="仿宋" w:hAnsi="仿宋" w:eastAsia="仿宋"/>
          <w:b w:val="0"/>
          <w:bCs w:val="0"/>
        </w:rPr>
        <w:t>入支出决算总表</w:t>
      </w:r>
      <w:bookmarkEnd w:id="71"/>
      <w:bookmarkEnd w:id="72"/>
    </w:p>
    <w:p w14:paraId="087C0F2A">
      <w:pPr>
        <w:pStyle w:val="4"/>
        <w:rPr>
          <w:rFonts w:ascii="仿宋" w:hAnsi="仿宋" w:eastAsia="仿宋"/>
        </w:rPr>
      </w:pPr>
      <w:bookmarkStart w:id="73" w:name="_Toc15396620"/>
      <w:bookmarkStart w:id="74" w:name="_Toc15948"/>
      <w:r>
        <w:rPr>
          <w:rFonts w:hint="eastAsia" w:ascii="仿宋" w:hAnsi="仿宋" w:eastAsia="仿宋"/>
          <w:b w:val="0"/>
        </w:rPr>
        <w:t>二、收</w:t>
      </w:r>
      <w:r>
        <w:rPr>
          <w:rStyle w:val="28"/>
          <w:rFonts w:hint="eastAsia" w:ascii="仿宋" w:hAnsi="仿宋" w:eastAsia="仿宋"/>
          <w:b w:val="0"/>
          <w:bCs w:val="0"/>
        </w:rPr>
        <w:t>入决算表</w:t>
      </w:r>
      <w:bookmarkEnd w:id="73"/>
      <w:bookmarkEnd w:id="74"/>
    </w:p>
    <w:p w14:paraId="5B1D24D2">
      <w:pPr>
        <w:pStyle w:val="4"/>
        <w:rPr>
          <w:rFonts w:ascii="仿宋" w:hAnsi="仿宋" w:eastAsia="仿宋"/>
        </w:rPr>
      </w:pPr>
      <w:bookmarkStart w:id="75" w:name="_Toc15396621"/>
      <w:bookmarkStart w:id="76" w:name="_Toc13924"/>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75"/>
      <w:bookmarkEnd w:id="76"/>
    </w:p>
    <w:p w14:paraId="364DD902">
      <w:pPr>
        <w:pStyle w:val="4"/>
        <w:rPr>
          <w:rFonts w:ascii="仿宋" w:hAnsi="仿宋" w:eastAsia="仿宋"/>
          <w:b w:val="0"/>
        </w:rPr>
      </w:pPr>
      <w:bookmarkStart w:id="77" w:name="_Toc15396622"/>
      <w:bookmarkStart w:id="78" w:name="_Toc6950"/>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77"/>
      <w:bookmarkEnd w:id="78"/>
    </w:p>
    <w:p w14:paraId="348D6706">
      <w:pPr>
        <w:pStyle w:val="4"/>
        <w:rPr>
          <w:rStyle w:val="28"/>
          <w:rFonts w:ascii="仿宋" w:hAnsi="仿宋" w:eastAsia="仿宋"/>
          <w:b w:val="0"/>
          <w:bCs w:val="0"/>
        </w:rPr>
      </w:pPr>
      <w:bookmarkStart w:id="79" w:name="_Toc15396623"/>
      <w:bookmarkStart w:id="80" w:name="_Toc9069"/>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79"/>
      <w:bookmarkEnd w:id="80"/>
      <w:bookmarkStart w:id="81" w:name="_Toc15396624"/>
    </w:p>
    <w:p w14:paraId="76421FE4">
      <w:pPr>
        <w:pStyle w:val="4"/>
        <w:rPr>
          <w:rFonts w:ascii="仿宋" w:hAnsi="仿宋" w:eastAsia="仿宋"/>
        </w:rPr>
      </w:pPr>
      <w:bookmarkStart w:id="82" w:name="_Toc19937"/>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81"/>
      <w:bookmarkEnd w:id="82"/>
    </w:p>
    <w:p w14:paraId="0C7A4AA3">
      <w:pPr>
        <w:pStyle w:val="4"/>
        <w:rPr>
          <w:rFonts w:ascii="仿宋" w:hAnsi="仿宋" w:eastAsia="仿宋"/>
        </w:rPr>
      </w:pPr>
      <w:bookmarkStart w:id="83" w:name="_Toc15396625"/>
      <w:bookmarkStart w:id="84" w:name="_Toc4060"/>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83"/>
      <w:bookmarkEnd w:id="84"/>
    </w:p>
    <w:p w14:paraId="31972A98">
      <w:pPr>
        <w:pStyle w:val="4"/>
        <w:rPr>
          <w:rFonts w:ascii="仿宋" w:hAnsi="仿宋" w:eastAsia="仿宋"/>
        </w:rPr>
      </w:pPr>
      <w:bookmarkStart w:id="85" w:name="_Toc15396626"/>
      <w:bookmarkStart w:id="86" w:name="_Toc9308"/>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85"/>
      <w:bookmarkEnd w:id="86"/>
    </w:p>
    <w:p w14:paraId="3A810B84">
      <w:pPr>
        <w:pStyle w:val="4"/>
        <w:rPr>
          <w:rFonts w:ascii="仿宋" w:hAnsi="仿宋" w:eastAsia="仿宋"/>
        </w:rPr>
      </w:pPr>
      <w:bookmarkStart w:id="87" w:name="_Toc15396627"/>
      <w:bookmarkStart w:id="88" w:name="_Toc15416"/>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87"/>
      <w:bookmarkEnd w:id="88"/>
    </w:p>
    <w:p w14:paraId="4DB4F442">
      <w:pPr>
        <w:pStyle w:val="4"/>
        <w:rPr>
          <w:rFonts w:ascii="仿宋" w:hAnsi="仿宋" w:eastAsia="仿宋"/>
        </w:rPr>
      </w:pPr>
      <w:bookmarkStart w:id="89" w:name="_Toc15396628"/>
      <w:bookmarkStart w:id="90" w:name="_Toc1664"/>
      <w:r>
        <w:rPr>
          <w:rStyle w:val="28"/>
          <w:rFonts w:hint="eastAsia" w:ascii="仿宋" w:hAnsi="仿宋" w:eastAsia="仿宋"/>
          <w:b w:val="0"/>
          <w:bCs w:val="0"/>
        </w:rPr>
        <w:t>十、</w:t>
      </w:r>
      <w:bookmarkEnd w:id="89"/>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0"/>
    </w:p>
    <w:p w14:paraId="0C0CC08E">
      <w:pPr>
        <w:pStyle w:val="4"/>
        <w:rPr>
          <w:rFonts w:ascii="仿宋" w:hAnsi="仿宋" w:eastAsia="仿宋"/>
        </w:rPr>
      </w:pPr>
      <w:bookmarkStart w:id="91" w:name="_Toc15396629"/>
      <w:bookmarkStart w:id="92" w:name="_Toc31810"/>
      <w:r>
        <w:rPr>
          <w:rStyle w:val="28"/>
          <w:rFonts w:hint="eastAsia" w:ascii="仿宋" w:hAnsi="仿宋" w:eastAsia="仿宋"/>
          <w:b w:val="0"/>
          <w:bCs w:val="0"/>
        </w:rPr>
        <w:t>十一、</w:t>
      </w:r>
      <w:bookmarkEnd w:id="91"/>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92"/>
    </w:p>
    <w:p w14:paraId="6A72C622">
      <w:pPr>
        <w:pStyle w:val="4"/>
        <w:rPr>
          <w:rFonts w:ascii="仿宋" w:hAnsi="仿宋" w:eastAsia="仿宋"/>
        </w:rPr>
      </w:pPr>
      <w:bookmarkStart w:id="93" w:name="_Toc15396630"/>
      <w:bookmarkStart w:id="94" w:name="_Toc16030"/>
      <w:r>
        <w:rPr>
          <w:rStyle w:val="28"/>
          <w:rFonts w:hint="eastAsia" w:ascii="仿宋" w:hAnsi="仿宋" w:eastAsia="仿宋"/>
          <w:b w:val="0"/>
          <w:bCs w:val="0"/>
        </w:rPr>
        <w:t>十二、</w:t>
      </w:r>
      <w:bookmarkEnd w:id="93"/>
      <w:r>
        <w:rPr>
          <w:rStyle w:val="28"/>
          <w:rFonts w:hint="eastAsia" w:ascii="仿宋" w:hAnsi="仿宋" w:eastAsia="仿宋"/>
          <w:b w:val="0"/>
          <w:bCs w:val="0"/>
        </w:rPr>
        <w:t>国有资本经营预算财政拨款支出决算表</w:t>
      </w:r>
      <w:bookmarkEnd w:id="94"/>
    </w:p>
    <w:p w14:paraId="5E89C441">
      <w:pPr>
        <w:pStyle w:val="4"/>
        <w:rPr>
          <w:rFonts w:eastAsia="仿宋"/>
        </w:rPr>
      </w:pPr>
      <w:bookmarkStart w:id="95" w:name="_Toc15396631"/>
      <w:bookmarkStart w:id="96" w:name="_Toc26704"/>
      <w:r>
        <w:rPr>
          <w:rStyle w:val="28"/>
          <w:rFonts w:hint="eastAsia" w:ascii="仿宋" w:hAnsi="仿宋" w:eastAsia="仿宋"/>
          <w:b w:val="0"/>
          <w:bCs w:val="0"/>
        </w:rPr>
        <w:t>十三、</w:t>
      </w:r>
      <w:bookmarkEnd w:id="95"/>
      <w:r>
        <w:rPr>
          <w:rStyle w:val="28"/>
          <w:rFonts w:hint="eastAsia" w:ascii="仿宋" w:hAnsi="仿宋" w:eastAsia="仿宋"/>
          <w:b w:val="0"/>
          <w:bCs w:val="0"/>
        </w:rPr>
        <w:t>财政拨款“三公”经费支出决算表</w:t>
      </w:r>
      <w:bookmarkEnd w:id="9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粗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8F16919">
        <w:pPr>
          <w:pStyle w:val="10"/>
          <w:jc w:val="center"/>
        </w:pPr>
        <w:r>
          <w:fldChar w:fldCharType="begin"/>
        </w:r>
        <w:r>
          <w:instrText xml:space="preserve">PAGE   \* MERGEFORMAT</w:instrText>
        </w:r>
        <w:r>
          <w:fldChar w:fldCharType="separate"/>
        </w:r>
        <w:r>
          <w:rPr>
            <w:lang w:val="zh-CN"/>
          </w:rPr>
          <w:t>15</w:t>
        </w:r>
        <w:r>
          <w:fldChar w:fldCharType="end"/>
        </w:r>
      </w:p>
    </w:sdtContent>
  </w:sdt>
  <w:p w14:paraId="6EB946B3">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4F9A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OWFjY2Q5OWJhNWIwN2Q2NzkxYTg4MDEzNjFmNz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3DC2831"/>
    <w:rsid w:val="066A1827"/>
    <w:rsid w:val="07A20E23"/>
    <w:rsid w:val="081B5E94"/>
    <w:rsid w:val="08BA3A44"/>
    <w:rsid w:val="0A2032A3"/>
    <w:rsid w:val="0B0A701E"/>
    <w:rsid w:val="0B362BF0"/>
    <w:rsid w:val="0B8A37D8"/>
    <w:rsid w:val="0F5FFB2F"/>
    <w:rsid w:val="0FFFCF60"/>
    <w:rsid w:val="10C055FF"/>
    <w:rsid w:val="118107EC"/>
    <w:rsid w:val="11DD6519"/>
    <w:rsid w:val="13755C3F"/>
    <w:rsid w:val="15F630D7"/>
    <w:rsid w:val="16BB723D"/>
    <w:rsid w:val="17AF79E2"/>
    <w:rsid w:val="17E42975"/>
    <w:rsid w:val="18015F3F"/>
    <w:rsid w:val="1A0F4768"/>
    <w:rsid w:val="1BE8440E"/>
    <w:rsid w:val="1D155CEE"/>
    <w:rsid w:val="1DC15D79"/>
    <w:rsid w:val="1E431485"/>
    <w:rsid w:val="1FDBBF84"/>
    <w:rsid w:val="20F57F95"/>
    <w:rsid w:val="22D0534D"/>
    <w:rsid w:val="240371BF"/>
    <w:rsid w:val="25711CC6"/>
    <w:rsid w:val="25C741E6"/>
    <w:rsid w:val="267E24F1"/>
    <w:rsid w:val="276F80C0"/>
    <w:rsid w:val="27842671"/>
    <w:rsid w:val="29AC5B2F"/>
    <w:rsid w:val="29FD04D3"/>
    <w:rsid w:val="2ABE7A3E"/>
    <w:rsid w:val="2AFF09B6"/>
    <w:rsid w:val="2CA234A8"/>
    <w:rsid w:val="2EFA178C"/>
    <w:rsid w:val="2EFDF86C"/>
    <w:rsid w:val="2F9D17E1"/>
    <w:rsid w:val="2FA554FB"/>
    <w:rsid w:val="300674EA"/>
    <w:rsid w:val="30B46D73"/>
    <w:rsid w:val="319F7F4E"/>
    <w:rsid w:val="32456B21"/>
    <w:rsid w:val="33187363"/>
    <w:rsid w:val="33835B53"/>
    <w:rsid w:val="342804A8"/>
    <w:rsid w:val="356A28F1"/>
    <w:rsid w:val="357C035A"/>
    <w:rsid w:val="368E000D"/>
    <w:rsid w:val="383D272C"/>
    <w:rsid w:val="39924D42"/>
    <w:rsid w:val="39AE70AB"/>
    <w:rsid w:val="3A4DCE41"/>
    <w:rsid w:val="3A704957"/>
    <w:rsid w:val="3BCB56FA"/>
    <w:rsid w:val="3C0C0783"/>
    <w:rsid w:val="3D8A5D30"/>
    <w:rsid w:val="3EE7C2F4"/>
    <w:rsid w:val="3F371B56"/>
    <w:rsid w:val="3F792ED8"/>
    <w:rsid w:val="3F9F3A96"/>
    <w:rsid w:val="3FECA4B2"/>
    <w:rsid w:val="3FF58C48"/>
    <w:rsid w:val="42FF6694"/>
    <w:rsid w:val="437D25BE"/>
    <w:rsid w:val="445175A7"/>
    <w:rsid w:val="445B17BE"/>
    <w:rsid w:val="45252F0E"/>
    <w:rsid w:val="48A71E8C"/>
    <w:rsid w:val="48BF60AB"/>
    <w:rsid w:val="493C27E9"/>
    <w:rsid w:val="496F39ED"/>
    <w:rsid w:val="49FF41D3"/>
    <w:rsid w:val="4A28124C"/>
    <w:rsid w:val="4BE068DB"/>
    <w:rsid w:val="4BF6002B"/>
    <w:rsid w:val="4BFFC6BE"/>
    <w:rsid w:val="4D8713A7"/>
    <w:rsid w:val="4DE0407F"/>
    <w:rsid w:val="4ECE2238"/>
    <w:rsid w:val="4F242958"/>
    <w:rsid w:val="513403C7"/>
    <w:rsid w:val="5167665C"/>
    <w:rsid w:val="51DB4B86"/>
    <w:rsid w:val="51F64DB0"/>
    <w:rsid w:val="55333C3E"/>
    <w:rsid w:val="56687F9B"/>
    <w:rsid w:val="58C13A19"/>
    <w:rsid w:val="593112C4"/>
    <w:rsid w:val="598E5CDE"/>
    <w:rsid w:val="59975605"/>
    <w:rsid w:val="59997C81"/>
    <w:rsid w:val="5B8C73EB"/>
    <w:rsid w:val="5BF40507"/>
    <w:rsid w:val="5C133668"/>
    <w:rsid w:val="5D701C98"/>
    <w:rsid w:val="5DA223E4"/>
    <w:rsid w:val="5F67802D"/>
    <w:rsid w:val="5F7DC4F2"/>
    <w:rsid w:val="5FB36814"/>
    <w:rsid w:val="5FBB8E56"/>
    <w:rsid w:val="5FFB5535"/>
    <w:rsid w:val="606257F5"/>
    <w:rsid w:val="60EC4488"/>
    <w:rsid w:val="620511F9"/>
    <w:rsid w:val="62C977B2"/>
    <w:rsid w:val="6361115D"/>
    <w:rsid w:val="64CA39A1"/>
    <w:rsid w:val="69630ADE"/>
    <w:rsid w:val="69BD5F13"/>
    <w:rsid w:val="69FB0B4B"/>
    <w:rsid w:val="6B05470D"/>
    <w:rsid w:val="6B0F149F"/>
    <w:rsid w:val="6BFFE1FB"/>
    <w:rsid w:val="6C4A05C8"/>
    <w:rsid w:val="6C8E3B8B"/>
    <w:rsid w:val="6D3B1A89"/>
    <w:rsid w:val="6DB7D8A3"/>
    <w:rsid w:val="6EC78701"/>
    <w:rsid w:val="6EE83DFA"/>
    <w:rsid w:val="6F23376B"/>
    <w:rsid w:val="6F7A5481"/>
    <w:rsid w:val="6FFE07A9"/>
    <w:rsid w:val="71BF4EC2"/>
    <w:rsid w:val="72734D90"/>
    <w:rsid w:val="73E75B71"/>
    <w:rsid w:val="7412278C"/>
    <w:rsid w:val="74ED6EDB"/>
    <w:rsid w:val="75DDCDA9"/>
    <w:rsid w:val="75FF44B1"/>
    <w:rsid w:val="76257DC8"/>
    <w:rsid w:val="77670518"/>
    <w:rsid w:val="777FA627"/>
    <w:rsid w:val="77DF1B5F"/>
    <w:rsid w:val="77EF2D9D"/>
    <w:rsid w:val="795B1D53"/>
    <w:rsid w:val="79E7B28D"/>
    <w:rsid w:val="7ACFF0C2"/>
    <w:rsid w:val="7AFB9108"/>
    <w:rsid w:val="7B2D1EDF"/>
    <w:rsid w:val="7B2E2278"/>
    <w:rsid w:val="7BD5340C"/>
    <w:rsid w:val="7BFB19D2"/>
    <w:rsid w:val="7BFD1750"/>
    <w:rsid w:val="7BFDAA1B"/>
    <w:rsid w:val="7C897E2D"/>
    <w:rsid w:val="7CDF9A82"/>
    <w:rsid w:val="7CFFA1BD"/>
    <w:rsid w:val="7D2E3F7A"/>
    <w:rsid w:val="7DED9490"/>
    <w:rsid w:val="7DFF4872"/>
    <w:rsid w:val="7E5F4093"/>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autoRedefine/>
    <w:unhideWhenUsed/>
    <w:qFormat/>
    <w:uiPriority w:val="39"/>
    <w:pPr>
      <w:tabs>
        <w:tab w:val="right" w:leader="dot" w:pos="8296"/>
      </w:tabs>
      <w:ind w:left="840" w:leftChars="400"/>
    </w:pPr>
  </w:style>
  <w:style w:type="paragraph" w:styleId="9">
    <w:name w:val="Balloon Text"/>
    <w:basedOn w:val="1"/>
    <w:link w:val="30"/>
    <w:autoRedefine/>
    <w:semiHidden/>
    <w:unhideWhenUsed/>
    <w:qFormat/>
    <w:uiPriority w:val="99"/>
    <w:rPr>
      <w:sz w:val="18"/>
      <w:szCs w:val="18"/>
    </w:rPr>
  </w:style>
  <w:style w:type="paragraph" w:styleId="10">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autoRedefine/>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p7"/>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p6"/>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WPSOffice手动目录 1"/>
    <w:uiPriority w:val="0"/>
    <w:pPr>
      <w:ind w:leftChars="0"/>
    </w:pPr>
    <w:rPr>
      <w:sz w:val="20"/>
      <w:szCs w:val="20"/>
    </w:rPr>
  </w:style>
  <w:style w:type="paragraph" w:customStyle="1" w:styleId="36">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23&#24180;&#20915;&#31639;&#32534;&#21046;&#35745;&#31639;&#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23&#24180;&#20915;&#31639;&#32534;&#21046;&#35745;&#31639;&#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23&#24180;&#20915;&#31639;&#32534;&#21046;&#35745;&#31639;&#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2"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user\Desktop\23&#24180;&#20915;&#31639;&#32534;&#21046;&#35745;&#31639;&#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baseline="0">
                <a:effectLst/>
              </a:rPr>
              <a:t>图</a:t>
            </a:r>
            <a:r>
              <a:rPr lang="en-US" altLang="zh-CN" sz="1400" b="0" i="0" u="none" strike="noStrike" baseline="0">
                <a:effectLst/>
              </a:rPr>
              <a:t>1</a:t>
            </a:r>
            <a:r>
              <a:rPr lang="zh-CN" altLang="en-US" sz="1400" b="0" i="0" u="none" strike="noStrike" baseline="0">
                <a:effectLst/>
              </a:rPr>
              <a:t>：</a:t>
            </a:r>
            <a:r>
              <a:rPr lang="zh-CN" altLang="zh-CN" sz="1400" b="0" i="0" u="none" strike="noStrike" baseline="0">
                <a:effectLst/>
              </a:rPr>
              <a:t>收、支决算总计变动情况图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[23年决算编制计算表.xlsx]Sheet1!$N$4:$N$5</c:f>
              <c:strCache>
                <c:ptCount val="2"/>
                <c:pt idx="0">
                  <c:v>2022年</c:v>
                </c:pt>
                <c:pt idx="1">
                  <c:v>2023年</c:v>
                </c:pt>
              </c:strCache>
            </c:strRef>
          </c:cat>
          <c:val>
            <c:numRef>
              <c:f>[23年决算编制计算表.xlsx]Sheet1!$O$4:$O$5</c:f>
              <c:numCache>
                <c:formatCode>General</c:formatCode>
                <c:ptCount val="2"/>
                <c:pt idx="0">
                  <c:v>16536.25</c:v>
                </c:pt>
                <c:pt idx="1">
                  <c:v>11390.12</c:v>
                </c:pt>
              </c:numCache>
            </c:numRef>
          </c:val>
        </c:ser>
        <c:dLbls>
          <c:showLegendKey val="0"/>
          <c:showVal val="0"/>
          <c:showCatName val="0"/>
          <c:showSerName val="0"/>
          <c:showPercent val="0"/>
          <c:showBubbleSize val="0"/>
        </c:dLbls>
        <c:gapWidth val="219"/>
        <c:overlap val="-27"/>
        <c:axId val="86327296"/>
        <c:axId val="86328832"/>
      </c:barChart>
      <c:catAx>
        <c:axId val="8632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328832"/>
        <c:crosses val="autoZero"/>
        <c:auto val="1"/>
        <c:lblAlgn val="ctr"/>
        <c:lblOffset val="100"/>
        <c:noMultiLvlLbl val="0"/>
      </c:catAx>
      <c:valAx>
        <c:axId val="86328832"/>
        <c:scaling>
          <c:orientation val="minMax"/>
          <c:min val="2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327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0" i="0" u="none" strike="noStrike" kern="1200" baseline="0">
                <a:ln>
                  <a:noFill/>
                </a:l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a:ln>
                  <a:noFill/>
                </a:ln>
              </a:rPr>
              <a:t>图2：收入决算结构图</a:t>
            </a:r>
            <a:endParaRPr>
              <a:ln>
                <a:noFill/>
              </a:ln>
            </a:endParaRPr>
          </a:p>
        </c:rich>
      </c:tx>
      <c:layout/>
      <c:overlay val="0"/>
      <c:spPr>
        <a:noFill/>
        <a:ln>
          <a:noFill/>
        </a:ln>
        <a:effectLst/>
      </c:spPr>
    </c:title>
    <c:autoTitleDeleted val="0"/>
    <c:plotArea>
      <c:layout/>
      <c:pieChart>
        <c:varyColors val="1"/>
        <c:ser>
          <c:idx val="1"/>
          <c:order val="0"/>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Pt>
            <c:idx val="2"/>
            <c:bubble3D val="0"/>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dPt>
          <c:dPt>
            <c:idx val="3"/>
            <c:bubble3D val="0"/>
            <c:spPr>
              <a:gradFill>
                <a:gsLst>
                  <a:gs pos="0">
                    <a:schemeClr val="accent4">
                      <a:lumMod val="40000"/>
                      <a:lumOff val="60000"/>
                    </a:schemeClr>
                  </a:gs>
                  <a:gs pos="90000">
                    <a:schemeClr val="accent4"/>
                  </a:gs>
                </a:gsLst>
                <a:lin ang="5400000" scaled="0"/>
              </a:gradFill>
              <a:ln>
                <a:gradFill>
                  <a:gsLst>
                    <a:gs pos="0">
                      <a:schemeClr val="accent4"/>
                    </a:gs>
                    <a:gs pos="100000">
                      <a:schemeClr val="accent4">
                        <a:lumMod val="75000"/>
                      </a:schemeClr>
                    </a:gs>
                  </a:gsLst>
                  <a:lin ang="5400000" scaled="1"/>
                </a:gradFill>
              </a:ln>
              <a:effectLst>
                <a:outerShdw blurRad="76200" dist="25400" dir="2700000" algn="tl" rotWithShape="0">
                  <a:schemeClr val="accent4">
                    <a:lumMod val="50000"/>
                    <a:alpha val="30000"/>
                  </a:schemeClr>
                </a:outerShdw>
              </a:effectLst>
            </c:spPr>
          </c:dPt>
          <c:dPt>
            <c:idx val="4"/>
            <c:bubble3D val="0"/>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5">
                    <a:lumMod val="50000"/>
                    <a:alpha val="30000"/>
                  </a:schemeClr>
                </a:outerShdw>
              </a:effectLst>
            </c:spPr>
          </c:dPt>
          <c:dPt>
            <c:idx val="5"/>
            <c:bubble3D val="0"/>
            <c:spPr>
              <a:gradFill>
                <a:gsLst>
                  <a:gs pos="0">
                    <a:schemeClr val="accent6">
                      <a:lumMod val="40000"/>
                      <a:lumOff val="60000"/>
                    </a:schemeClr>
                  </a:gs>
                  <a:gs pos="90000">
                    <a:schemeClr val="accent6"/>
                  </a:gs>
                </a:gsLst>
                <a:lin ang="5400000" scaled="0"/>
              </a:gradFill>
              <a:ln>
                <a:gradFill>
                  <a:gsLst>
                    <a:gs pos="0">
                      <a:schemeClr val="accent6"/>
                    </a:gs>
                    <a:gs pos="100000">
                      <a:schemeClr val="accent6">
                        <a:lumMod val="75000"/>
                      </a:schemeClr>
                    </a:gs>
                  </a:gsLst>
                  <a:lin ang="5400000" scaled="1"/>
                </a:gradFill>
              </a:ln>
              <a:effectLst>
                <a:outerShdw blurRad="76200" dist="25400" dir="2700000" algn="tl" rotWithShape="0">
                  <a:schemeClr val="accent6">
                    <a:lumMod val="50000"/>
                    <a:alpha val="30000"/>
                  </a:schemeClr>
                </a:outerShdw>
              </a:effectLst>
            </c:spPr>
          </c:dPt>
          <c:dPt>
            <c:idx val="6"/>
            <c:bubble3D val="0"/>
            <c:spPr>
              <a:gradFill>
                <a:gsLst>
                  <a:gs pos="0">
                    <a:schemeClr val="accent1">
                      <a:lumMod val="60000"/>
                      <a:lumMod val="40000"/>
                      <a:lumOff val="60000"/>
                    </a:schemeClr>
                  </a:gs>
                  <a:gs pos="90000">
                    <a:schemeClr val="accent1">
                      <a:lumMod val="60000"/>
                    </a:schemeClr>
                  </a:gs>
                </a:gsLst>
                <a:lin ang="5400000" scaled="0"/>
              </a:gradFill>
              <a:ln>
                <a:gradFill>
                  <a:gsLst>
                    <a:gs pos="0">
                      <a:schemeClr val="accent1">
                        <a:lumMod val="60000"/>
                      </a:schemeClr>
                    </a:gs>
                    <a:gs pos="100000">
                      <a:schemeClr val="accent1">
                        <a:lumMod val="60000"/>
                        <a:lumMod val="75000"/>
                      </a:schemeClr>
                    </a:gs>
                  </a:gsLst>
                  <a:lin ang="5400000" scaled="1"/>
                </a:gradFill>
              </a:ln>
              <a:effectLst>
                <a:outerShdw blurRad="76200" dist="25400" dir="2700000" algn="tl" rotWithShape="0">
                  <a:schemeClr val="accent1">
                    <a:lumMod val="60000"/>
                    <a:lumMod val="50000"/>
                    <a:alpha val="30000"/>
                  </a:schemeClr>
                </a:outerShdw>
              </a:effectLst>
            </c:spPr>
          </c:dPt>
          <c:dPt>
            <c:idx val="7"/>
            <c:bubble3D val="0"/>
            <c:spPr>
              <a:gradFill>
                <a:gsLst>
                  <a:gs pos="0">
                    <a:schemeClr val="accent2">
                      <a:lumMod val="60000"/>
                      <a:lumMod val="40000"/>
                      <a:lumOff val="60000"/>
                    </a:schemeClr>
                  </a:gs>
                  <a:gs pos="90000">
                    <a:schemeClr val="accent2">
                      <a:lumMod val="60000"/>
                    </a:schemeClr>
                  </a:gs>
                </a:gsLst>
                <a:lin ang="5400000" scaled="0"/>
              </a:gradFill>
              <a:ln>
                <a:gradFill>
                  <a:gsLst>
                    <a:gs pos="0">
                      <a:schemeClr val="accent2">
                        <a:lumMod val="60000"/>
                      </a:schemeClr>
                    </a:gs>
                    <a:gs pos="100000">
                      <a:schemeClr val="accent2">
                        <a:lumMod val="60000"/>
                        <a:lumMod val="75000"/>
                      </a:schemeClr>
                    </a:gs>
                  </a:gsLst>
                  <a:lin ang="5400000" scaled="1"/>
                </a:gradFill>
              </a:ln>
              <a:effectLst>
                <a:outerShdw blurRad="76200" dist="25400" dir="2700000" algn="tl" rotWithShape="0">
                  <a:schemeClr val="accent2">
                    <a:lumMod val="60000"/>
                    <a:lumMod val="50000"/>
                    <a:alpha val="30000"/>
                  </a:schemeClr>
                </a:outerShdw>
              </a:effectLst>
            </c:spPr>
          </c:dPt>
          <c:dLbls>
            <c:dLbl>
              <c:idx val="0"/>
              <c:layout>
                <c:manualLayout>
                  <c:x val="0.0236842105263158"/>
                  <c:y val="0.041666666666666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947368421052632"/>
                  <c:y val="-0.005555555555555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31052631578947"/>
                  <c:y val="-0.03055555555555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821052631578948"/>
                  <c:y val="-0.11944444444444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221052631578947"/>
                  <c:y val="-0.15833333333333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236842105263158"/>
                  <c:y val="-0.1805555555555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0.0915789473684211"/>
                  <c:y val="-0.16111111111111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7"/>
              <c:layout>
                <c:manualLayout>
                  <c:x val="-0.108947368421053"/>
                  <c:y val="-0.11388888888888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ln>
                      <a:noFill/>
                    </a:l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[工作簿1]Sheet1!$C$6:$C$13</c:f>
              <c:strCache>
                <c:ptCount val="8"/>
                <c:pt idx="0">
                  <c:v>一般公共预算财政拨款收入</c:v>
                </c:pt>
                <c:pt idx="1">
                  <c:v>政府性基金预算财政拨款收入</c:v>
                </c:pt>
                <c:pt idx="2">
                  <c:v>其他收入</c:v>
                </c:pt>
                <c:pt idx="3">
                  <c:v>国有资本经营预算财政拨款收入</c:v>
                </c:pt>
                <c:pt idx="4">
                  <c:v>事业收入</c:v>
                </c:pt>
                <c:pt idx="5">
                  <c:v>经营收入</c:v>
                </c:pt>
                <c:pt idx="6">
                  <c:v>附属单位上缴收入</c:v>
                </c:pt>
                <c:pt idx="7">
                  <c:v>上级补助收入</c:v>
                </c:pt>
              </c:strCache>
            </c:strRef>
          </c:cat>
          <c:val>
            <c:numRef>
              <c:f>[工作簿1]Sheet1!$D$6:$D$13</c:f>
              <c:numCache>
                <c:formatCode>General</c:formatCode>
                <c:ptCount val="8"/>
                <c:pt idx="0">
                  <c:v>8614.62</c:v>
                </c:pt>
                <c:pt idx="1">
                  <c:v>2743.55</c:v>
                </c:pt>
                <c:pt idx="2">
                  <c:v>20.01</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ln>
                  <a:noFill/>
                </a:l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Entry>
      <c:legendEntry>
        <c:idx val="1"/>
        <c:txPr>
          <a:bodyPr rot="0" spcFirstLastPara="0" vertOverflow="ellipsis" vert="horz" wrap="square" anchor="ctr" anchorCtr="1"/>
          <a:lstStyle/>
          <a:p>
            <a:pPr>
              <a:defRPr lang="zh-CN" sz="900" b="0" i="0" u="none" strike="noStrike" kern="1200" baseline="0">
                <a:ln>
                  <a:noFill/>
                </a:l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Entry>
      <c:legendEntry>
        <c:idx val="2"/>
        <c:txPr>
          <a:bodyPr rot="0" spcFirstLastPara="0" vertOverflow="ellipsis" vert="horz" wrap="square" anchor="ctr" anchorCtr="1"/>
          <a:lstStyle/>
          <a:p>
            <a:pPr>
              <a:defRPr lang="zh-CN" sz="900" b="0" i="0" u="none" strike="noStrike" kern="1200" baseline="0">
                <a:ln>
                  <a:noFill/>
                </a:l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Entry>
      <c:legendEntry>
        <c:idx val="3"/>
        <c:txPr>
          <a:bodyPr rot="0" spcFirstLastPara="0" vertOverflow="ellipsis" vert="horz" wrap="square" anchor="ctr" anchorCtr="1"/>
          <a:lstStyle/>
          <a:p>
            <a:pPr>
              <a:defRPr lang="zh-CN" sz="900" b="0" i="0" u="none" strike="noStrike" kern="1200" baseline="0">
                <a:ln>
                  <a:noFill/>
                </a:l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Entry>
      <c:legendEntry>
        <c:idx val="4"/>
        <c:txPr>
          <a:bodyPr rot="0" spcFirstLastPara="0" vertOverflow="ellipsis" vert="horz" wrap="square" anchor="ctr" anchorCtr="1"/>
          <a:lstStyle/>
          <a:p>
            <a:pPr>
              <a:defRPr lang="zh-CN" sz="900" b="0" i="0" u="none" strike="noStrike" kern="1200" baseline="0">
                <a:ln>
                  <a:noFill/>
                </a:l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Entry>
      <c:legendEntry>
        <c:idx val="5"/>
        <c:txPr>
          <a:bodyPr rot="0" spcFirstLastPara="0" vertOverflow="ellipsis" vert="horz" wrap="square" anchor="ctr" anchorCtr="1"/>
          <a:lstStyle/>
          <a:p>
            <a:pPr>
              <a:defRPr lang="zh-CN" sz="900" b="0" i="0" u="none" strike="noStrike" kern="1200" baseline="0">
                <a:ln>
                  <a:noFill/>
                </a:l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Entry>
      <c:legendEntry>
        <c:idx val="6"/>
        <c:txPr>
          <a:bodyPr rot="0" spcFirstLastPara="0" vertOverflow="ellipsis" vert="horz" wrap="square" anchor="ctr" anchorCtr="1"/>
          <a:lstStyle/>
          <a:p>
            <a:pPr>
              <a:defRPr lang="zh-CN" sz="900" b="0" i="0" u="none" strike="noStrike" kern="1200" baseline="0">
                <a:ln>
                  <a:noFill/>
                </a:l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Entry>
      <c:legendEntry>
        <c:idx val="7"/>
        <c:txPr>
          <a:bodyPr rot="0" spcFirstLastPara="0" vertOverflow="ellipsis" vert="horz" wrap="square" anchor="ctr" anchorCtr="1"/>
          <a:lstStyle/>
          <a:p>
            <a:pPr>
              <a:defRPr lang="zh-CN" sz="900" b="0" i="0" u="none" strike="noStrike" kern="1200" baseline="0">
                <a:ln>
                  <a:noFill/>
                </a:l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Entry>
      <c:layout>
        <c:manualLayout>
          <c:xMode val="edge"/>
          <c:yMode val="edge"/>
          <c:x val="0.720526315789474"/>
          <c:y val="0.126388888888889"/>
          <c:w val="0.254210526315789"/>
          <c:h val="0.866666666666667"/>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ln>
                <a:noFill/>
              </a:l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noFill/>
      <a:round/>
    </a:ln>
    <a:effectLst/>
  </c:spPr>
  <c:txPr>
    <a:bodyPr/>
    <a:lstStyle/>
    <a:p>
      <a:pPr>
        <a:defRPr lang="zh-CN">
          <a:ln>
            <a:noFill/>
          </a:ln>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0" i="0" u="none" strike="noStrike" kern="1200" spc="0" baseline="0">
                <a:ln>
                  <a:noFill/>
                </a:ln>
                <a:solidFill>
                  <a:schemeClr val="tx1"/>
                </a:solidFill>
                <a:latin typeface="+mn-lt"/>
                <a:ea typeface="+mn-ea"/>
                <a:cs typeface="+mn-cs"/>
              </a:defRPr>
            </a:pPr>
            <a:r>
              <a:rPr>
                <a:ln>
                  <a:noFill/>
                </a:ln>
              </a:rPr>
              <a:t>图3：支出决算结构图</a:t>
            </a:r>
            <a:endParaRPr>
              <a:ln>
                <a:noFill/>
              </a:ln>
            </a:endParaRPr>
          </a:p>
        </c:rich>
      </c:tx>
      <c:layout>
        <c:manualLayout>
          <c:xMode val="edge"/>
          <c:yMode val="edge"/>
          <c:x val="0.300523848910946"/>
          <c:y val="0.0232493772488237"/>
        </c:manualLayout>
      </c:layout>
      <c:overlay val="0"/>
      <c:spPr>
        <a:noFill/>
        <a:ln>
          <a:noFill/>
        </a:ln>
        <a:effectLst/>
      </c:spPr>
    </c:title>
    <c:autoTitleDeleted val="0"/>
    <c:plotArea>
      <c:layout/>
      <c:pieChart>
        <c:varyColors val="1"/>
        <c:ser>
          <c:idx val="0"/>
          <c:order val="0"/>
          <c:spPr>
            <a:ln w="15875">
              <a:solidFill>
                <a:schemeClr val="bg1"/>
              </a:solidFill>
            </a:ln>
            <a:effectLst>
              <a:outerShdw blurRad="50800" dist="38100" dir="2700000" algn="tl" rotWithShape="0">
                <a:prstClr val="black">
                  <a:alpha val="40000"/>
                </a:prstClr>
              </a:outerShdw>
            </a:effectLst>
            <a:sp3d contourW="15875"/>
          </c:spPr>
          <c:explosion val="0"/>
          <c:dPt>
            <c:idx val="0"/>
            <c:bubble3D val="0"/>
            <c:spPr>
              <a:gradFill>
                <a:gsLst>
                  <a:gs pos="0">
                    <a:schemeClr val="accent6">
                      <a:lumMod val="60000"/>
                      <a:lumOff val="40000"/>
                    </a:schemeClr>
                  </a:gs>
                  <a:gs pos="83000">
                    <a:schemeClr val="accent6"/>
                  </a:gs>
                </a:gsLst>
                <a:lin ang="2700000"/>
              </a:gradFill>
              <a:ln w="15875">
                <a:solidFill>
                  <a:schemeClr val="bg1"/>
                </a:solidFill>
              </a:ln>
              <a:effectLst>
                <a:outerShdw blurRad="50800" dist="38100" dir="2700000" algn="tl" rotWithShape="0">
                  <a:schemeClr val="accent6">
                    <a:lumMod val="50000"/>
                    <a:alpha val="40000"/>
                  </a:schemeClr>
                </a:outerShdw>
              </a:effectLst>
              <a:sp3d contourW="15875"/>
            </c:spPr>
          </c:dPt>
          <c:dPt>
            <c:idx val="1"/>
            <c:bubble3D val="0"/>
            <c:spPr>
              <a:gradFill>
                <a:gsLst>
                  <a:gs pos="0">
                    <a:schemeClr val="accent3">
                      <a:lumMod val="60000"/>
                      <a:lumOff val="40000"/>
                    </a:schemeClr>
                  </a:gs>
                  <a:gs pos="83000">
                    <a:schemeClr val="accent3"/>
                  </a:gs>
                </a:gsLst>
                <a:lin ang="2700000"/>
              </a:gradFill>
              <a:ln w="15875">
                <a:solidFill>
                  <a:schemeClr val="bg1"/>
                </a:solidFill>
              </a:ln>
              <a:effectLst>
                <a:outerShdw blurRad="50800" dist="38100" dir="2700000" algn="tl" rotWithShape="0">
                  <a:schemeClr val="accent2">
                    <a:lumMod val="50000"/>
                    <a:alpha val="40000"/>
                  </a:schemeClr>
                </a:outerShdw>
              </a:effectLst>
              <a:sp3d contourW="15875"/>
            </c:spPr>
          </c:dPt>
          <c:dPt>
            <c:idx val="2"/>
            <c:bubble3D val="0"/>
            <c:spPr>
              <a:gradFill>
                <a:gsLst>
                  <a:gs pos="0">
                    <a:schemeClr val="accent5">
                      <a:lumMod val="60000"/>
                      <a:lumOff val="40000"/>
                    </a:schemeClr>
                  </a:gs>
                  <a:gs pos="83000">
                    <a:schemeClr val="accent5"/>
                  </a:gs>
                </a:gsLst>
                <a:lin ang="2700000"/>
              </a:gradFill>
              <a:ln w="19050">
                <a:solidFill>
                  <a:schemeClr val="bg1"/>
                </a:solidFill>
              </a:ln>
              <a:effectLst>
                <a:outerShdw blurRad="50800" dist="38100" dir="2700000" algn="tl" rotWithShape="0">
                  <a:schemeClr val="accent5">
                    <a:lumMod val="50000"/>
                    <a:alpha val="40000"/>
                  </a:schemeClr>
                </a:outerShdw>
              </a:effectLst>
              <a:sp3d contourW="19050"/>
            </c:spPr>
          </c:dPt>
          <c:dPt>
            <c:idx val="3"/>
            <c:bubble3D val="0"/>
            <c:spPr>
              <a:solidFill>
                <a:schemeClr val="accent4"/>
              </a:solidFill>
              <a:ln w="15875">
                <a:solidFill>
                  <a:schemeClr val="bg1"/>
                </a:solidFill>
              </a:ln>
              <a:effectLst>
                <a:outerShdw blurRad="50800" dist="38100" dir="2700000" algn="tl" rotWithShape="0">
                  <a:prstClr val="black">
                    <a:alpha val="40000"/>
                  </a:prstClr>
                </a:outerShdw>
              </a:effectLst>
              <a:sp3d contourW="15875"/>
            </c:spPr>
          </c:dPt>
          <c:dPt>
            <c:idx val="4"/>
            <c:bubble3D val="0"/>
            <c:spPr>
              <a:solidFill>
                <a:schemeClr val="accent5"/>
              </a:solidFill>
              <a:ln w="15875">
                <a:solidFill>
                  <a:schemeClr val="bg1"/>
                </a:solidFill>
              </a:ln>
              <a:effectLst>
                <a:outerShdw blurRad="50800" dist="38100" dir="2700000" algn="tl" rotWithShape="0">
                  <a:prstClr val="black">
                    <a:alpha val="40000"/>
                  </a:prstClr>
                </a:outerShdw>
              </a:effectLst>
              <a:sp3d contourW="15875"/>
            </c:spPr>
          </c:dPt>
          <c:dLbls>
            <c:dLbl>
              <c:idx val="0"/>
              <c:layout>
                <c:manualLayout>
                  <c:x val="0.125115982254105"/>
                  <c:y val="0.161035550925385"/>
                </c:manualLayout>
              </c:layout>
              <c:tx>
                <c:rich>
                  <a:bodyPr rot="0" spcFirstLastPara="0" vertOverflow="ellipsis" vert="horz" wrap="square" lIns="38100" tIns="19050" rIns="38100" bIns="19050" anchor="ctr" anchorCtr="1" forceAA="0"/>
                  <a:lstStyle/>
                  <a:p>
                    <a:pPr defTabSz="914400">
                      <a:defRPr lang="zh-CN" sz="900" b="0" i="0" u="none" strike="noStrike" kern="1200" baseline="0">
                        <a:ln>
                          <a:noFill/>
                        </a:ln>
                        <a:solidFill>
                          <a:schemeClr val="bg1"/>
                        </a:solidFill>
                        <a:effectLst/>
                        <a:latin typeface="+mn-lt"/>
                        <a:ea typeface="+mn-ea"/>
                        <a:cs typeface="+mn-cs"/>
                      </a:defRPr>
                    </a:pPr>
                    <a:r>
                      <a:rPr>
                        <a:ln>
                          <a:noFill/>
                        </a:ln>
                        <a:solidFill>
                          <a:sysClr val="windowText" lastClr="000000"/>
                        </a:solidFill>
                      </a:rPr>
                      <a:t>3%</a:t>
                    </a:r>
                    <a:endParaRPr>
                      <a:ln>
                        <a:noFill/>
                      </a:ln>
                      <a:solidFill>
                        <a:sysClr val="windowText" lastClr="000000"/>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884948052221836"/>
                  <c:y val="-0.055479984939965"/>
                </c:manualLayout>
              </c:layout>
              <c:tx>
                <c:rich>
                  <a:bodyPr rot="0" spcFirstLastPara="0" vertOverflow="ellipsis" vert="horz" wrap="square" lIns="38100" tIns="19050" rIns="38100" bIns="19050" anchor="ctr" anchorCtr="1" forceAA="0"/>
                  <a:lstStyle/>
                  <a:p>
                    <a:pPr defTabSz="914400">
                      <a:defRPr lang="zh-CN" sz="900" b="0" i="0" u="none" strike="noStrike" kern="1200" baseline="0">
                        <a:ln>
                          <a:noFill/>
                        </a:ln>
                        <a:solidFill>
                          <a:schemeClr val="bg1"/>
                        </a:solidFill>
                        <a:effectLst/>
                        <a:latin typeface="+mn-lt"/>
                        <a:ea typeface="+mn-ea"/>
                        <a:cs typeface="+mn-cs"/>
                      </a:defRPr>
                    </a:pPr>
                    <a:r>
                      <a:rPr>
                        <a:ln>
                          <a:noFill/>
                        </a:ln>
                        <a:solidFill>
                          <a:sysClr val="windowText" lastClr="000000"/>
                        </a:solidFill>
                      </a:rPr>
                      <a:t>97%</a:t>
                    </a:r>
                    <a:endParaRPr>
                      <a:ln>
                        <a:noFill/>
                      </a:ln>
                      <a:solidFill>
                        <a:sysClr val="windowText" lastClr="000000"/>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44597839911779"/>
                  <c:y val="0.0925791065477263"/>
                </c:manualLayout>
              </c:layout>
              <c:tx>
                <c:rich>
                  <a:bodyPr rot="0" spcFirstLastPara="0" vertOverflow="ellipsis" vert="horz" wrap="square" lIns="38100" tIns="19050" rIns="38100" bIns="19050" anchor="ctr" anchorCtr="1" forceAA="0"/>
                  <a:lstStyle/>
                  <a:p>
                    <a:pPr defTabSz="914400">
                      <a:defRPr lang="zh-CN" sz="900" b="0" i="0" u="none" strike="noStrike" kern="1200" baseline="0">
                        <a:ln>
                          <a:noFill/>
                        </a:ln>
                        <a:solidFill>
                          <a:schemeClr val="bg1"/>
                        </a:solidFill>
                        <a:effectLst/>
                        <a:latin typeface="+mn-lt"/>
                        <a:ea typeface="+mn-ea"/>
                        <a:cs typeface="+mn-cs"/>
                      </a:defRPr>
                    </a:pPr>
                    <a:r>
                      <a:rPr>
                        <a:ln>
                          <a:noFill/>
                        </a:ln>
                        <a:solidFill>
                          <a:sysClr val="windowText" lastClr="000000"/>
                        </a:solidFill>
                      </a:rPr>
                      <a:t>0%</a:t>
                    </a:r>
                    <a:endParaRPr>
                      <a:ln>
                        <a:noFill/>
                      </a:ln>
                      <a:solidFill>
                        <a:sysClr val="windowText" lastClr="000000"/>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988083662275689"/>
                  <c:y val="0.034245773214393"/>
                </c:manualLayout>
              </c:layout>
              <c:tx>
                <c:rich>
                  <a:bodyPr rot="0" spcFirstLastPara="0" vertOverflow="ellipsis" vert="horz" wrap="square" lIns="38100" tIns="19050" rIns="38100" bIns="19050" anchor="ctr" anchorCtr="1" forceAA="0"/>
                  <a:lstStyle/>
                  <a:p>
                    <a:pPr defTabSz="914400">
                      <a:defRPr lang="zh-CN" sz="900" b="0" i="0" u="none" strike="noStrike" kern="1200" baseline="0">
                        <a:ln>
                          <a:noFill/>
                        </a:ln>
                        <a:solidFill>
                          <a:schemeClr val="bg1"/>
                        </a:solidFill>
                        <a:effectLst/>
                        <a:latin typeface="+mn-lt"/>
                        <a:ea typeface="+mn-ea"/>
                        <a:cs typeface="+mn-cs"/>
                      </a:defRPr>
                    </a:pPr>
                    <a:r>
                      <a:rPr>
                        <a:ln>
                          <a:noFill/>
                        </a:ln>
                        <a:solidFill>
                          <a:sysClr val="windowText" lastClr="000000"/>
                        </a:solidFill>
                      </a:rPr>
                      <a:t>0%</a:t>
                    </a:r>
                    <a:endParaRPr>
                      <a:ln>
                        <a:noFill/>
                      </a:ln>
                      <a:solidFill>
                        <a:sysClr val="windowText" lastClr="000000"/>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561767872802004"/>
                  <c:y val="-0.015754226785607"/>
                </c:manualLayout>
              </c:layout>
              <c:tx>
                <c:rich>
                  <a:bodyPr rot="0" spcFirstLastPara="0" vertOverflow="ellipsis" vert="horz" wrap="square" lIns="38100" tIns="19050" rIns="38100" bIns="19050" anchor="ctr" anchorCtr="1" forceAA="0"/>
                  <a:lstStyle/>
                  <a:p>
                    <a:pPr defTabSz="914400">
                      <a:defRPr lang="zh-CN" sz="900" b="0" i="0" u="none" strike="noStrike" kern="1200" baseline="0">
                        <a:ln>
                          <a:noFill/>
                        </a:ln>
                        <a:solidFill>
                          <a:schemeClr val="bg1"/>
                        </a:solidFill>
                        <a:effectLst/>
                        <a:latin typeface="+mn-lt"/>
                        <a:ea typeface="+mn-ea"/>
                        <a:cs typeface="+mn-cs"/>
                      </a:defRPr>
                    </a:pPr>
                    <a:r>
                      <a:rPr>
                        <a:ln>
                          <a:noFill/>
                        </a:ln>
                        <a:solidFill>
                          <a:sysClr val="windowText" lastClr="000000"/>
                        </a:solidFill>
                      </a:rPr>
                      <a:t>0%</a:t>
                    </a:r>
                    <a:endParaRPr>
                      <a:ln>
                        <a:noFill/>
                      </a:ln>
                      <a:solidFill>
                        <a:sysClr val="windowText" lastClr="000000"/>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ln>
                      <a:noFill/>
                    </a:ln>
                    <a:solidFill>
                      <a:schemeClr val="bg1"/>
                    </a:solidFill>
                    <a:effectLst/>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[工作簿1]Sheet1!$F$7:$F$11</c:f>
              <c:strCache>
                <c:ptCount val="5"/>
                <c:pt idx="0">
                  <c:v>基本支出</c:v>
                </c:pt>
                <c:pt idx="1">
                  <c:v>项目支出</c:v>
                </c:pt>
                <c:pt idx="2">
                  <c:v>上缴上级支出</c:v>
                </c:pt>
                <c:pt idx="3">
                  <c:v>经营支出</c:v>
                </c:pt>
                <c:pt idx="4">
                  <c:v>对附属单位补助支出</c:v>
                </c:pt>
              </c:strCache>
            </c:strRef>
          </c:cat>
          <c:val>
            <c:numRef>
              <c:f>[工作簿1]Sheet1!$G$7:$G$11</c:f>
              <c:numCache>
                <c:formatCode>General</c:formatCode>
                <c:ptCount val="5"/>
                <c:pt idx="0">
                  <c:v>374.58</c:v>
                </c:pt>
                <c:pt idx="1">
                  <c:v>11007.43</c:v>
                </c:pt>
                <c:pt idx="2">
                  <c:v>0</c:v>
                </c:pt>
                <c:pt idx="3">
                  <c:v>0</c:v>
                </c:pt>
                <c:pt idx="4">
                  <c:v>0</c:v>
                </c:pt>
              </c:numCache>
            </c:numRef>
          </c:val>
        </c:ser>
        <c:dLbls>
          <c:showLegendKey val="0"/>
          <c:showVal val="1"/>
          <c:showCatName val="0"/>
          <c:showSerName val="0"/>
          <c:showPercent val="0"/>
          <c:showBubbleSize val="0"/>
          <c:showLeaderLines val="1"/>
        </c:dLbls>
        <c:firstSliceAng val="36"/>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ln>
                  <a:noFill/>
                </a:ln>
                <a:solidFill>
                  <a:schemeClr val="tx1">
                    <a:lumMod val="50000"/>
                    <a:lumOff val="50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ln>
                  <a:noFill/>
                </a:ln>
                <a:solidFill>
                  <a:schemeClr val="tx1">
                    <a:lumMod val="50000"/>
                    <a:lumOff val="50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ln>
                  <a:noFill/>
                </a:ln>
                <a:solidFill>
                  <a:schemeClr val="tx1">
                    <a:lumMod val="50000"/>
                    <a:lumOff val="50000"/>
                  </a:schemeClr>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ln>
                  <a:noFill/>
                </a:ln>
                <a:solidFill>
                  <a:schemeClr val="tx1">
                    <a:lumMod val="50000"/>
                    <a:lumOff val="50000"/>
                  </a:schemeClr>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ln>
                  <a:noFill/>
                </a:ln>
                <a:solidFill>
                  <a:schemeClr val="tx1">
                    <a:lumMod val="50000"/>
                    <a:lumOff val="50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ln>
                <a:noFill/>
              </a:ln>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a:outerShdw blurRad="63500" dist="37357" dir="2700000" sx="0" sy="0" rotWithShape="0">
        <a:scrgbClr r="0" g="0" b="0"/>
      </a:outerShdw>
    </a:effectLst>
  </c:spPr>
  <c:txPr>
    <a:bodyPr/>
    <a:lstStyle/>
    <a:p>
      <a:pPr>
        <a:defRPr lang="zh-CN">
          <a:ln>
            <a:noFill/>
          </a:ln>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ln>
                  <a:noFill/>
                </a:ln>
                <a:solidFill>
                  <a:schemeClr val="tx1">
                    <a:lumMod val="65000"/>
                    <a:lumOff val="35000"/>
                  </a:schemeClr>
                </a:solidFill>
                <a:latin typeface="+mn-lt"/>
                <a:ea typeface="+mn-ea"/>
                <a:cs typeface="+mn-cs"/>
              </a:defRPr>
            </a:pPr>
            <a:r>
              <a:rPr lang="zh-CN" altLang="zh-CN" sz="1400" b="0" i="0" u="none" strike="noStrike" baseline="0">
                <a:ln>
                  <a:noFill/>
                </a:ln>
                <a:effectLst/>
              </a:rPr>
              <a:t>图</a:t>
            </a:r>
            <a:r>
              <a:rPr lang="en-US" altLang="zh-CN" sz="1400" b="0" i="0" u="none" strike="noStrike" baseline="0">
                <a:ln>
                  <a:noFill/>
                </a:ln>
                <a:effectLst/>
              </a:rPr>
              <a:t>4</a:t>
            </a:r>
            <a:r>
              <a:rPr lang="zh-CN" altLang="zh-CN" sz="1400" b="0" i="0" u="none" strike="noStrike" baseline="0">
                <a:ln>
                  <a:noFill/>
                </a:ln>
                <a:effectLst/>
              </a:rPr>
              <a:t>：财政拨款收、支决算总计变动情况</a:t>
            </a:r>
            <a:endParaRPr lang="zh-CN" altLang="en-US">
              <a:ln>
                <a:noFill/>
              </a:ln>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[23年决算编制计算表.xlsx]Sheet1!$L$7:$L$8</c:f>
              <c:strCache>
                <c:ptCount val="2"/>
                <c:pt idx="0">
                  <c:v>2022年</c:v>
                </c:pt>
                <c:pt idx="1">
                  <c:v>2023年</c:v>
                </c:pt>
              </c:strCache>
            </c:strRef>
          </c:cat>
          <c:val>
            <c:numRef>
              <c:f>[23年决算编制计算表.xlsx]Sheet1!$M$7:$M$8</c:f>
              <c:numCache>
                <c:formatCode>General</c:formatCode>
                <c:ptCount val="2"/>
                <c:pt idx="0">
                  <c:v>16536.25</c:v>
                </c:pt>
                <c:pt idx="1">
                  <c:v>11358.17</c:v>
                </c:pt>
              </c:numCache>
            </c:numRef>
          </c:val>
        </c:ser>
        <c:dLbls>
          <c:showLegendKey val="0"/>
          <c:showVal val="0"/>
          <c:showCatName val="0"/>
          <c:showSerName val="0"/>
          <c:showPercent val="0"/>
          <c:showBubbleSize val="0"/>
        </c:dLbls>
        <c:gapWidth val="219"/>
        <c:overlap val="-27"/>
        <c:axId val="80379264"/>
        <c:axId val="80385152"/>
      </c:barChart>
      <c:catAx>
        <c:axId val="8037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ln>
                  <a:noFill/>
                </a:ln>
                <a:solidFill>
                  <a:schemeClr val="tx1">
                    <a:lumMod val="65000"/>
                    <a:lumOff val="35000"/>
                  </a:schemeClr>
                </a:solidFill>
                <a:latin typeface="+mn-lt"/>
                <a:ea typeface="+mn-ea"/>
                <a:cs typeface="+mn-cs"/>
              </a:defRPr>
            </a:pPr>
          </a:p>
        </c:txPr>
        <c:crossAx val="80385152"/>
        <c:crosses val="autoZero"/>
        <c:auto val="1"/>
        <c:lblAlgn val="ctr"/>
        <c:lblOffset val="100"/>
        <c:noMultiLvlLbl val="0"/>
      </c:catAx>
      <c:valAx>
        <c:axId val="803851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ln>
                  <a:noFill/>
                </a:ln>
                <a:solidFill>
                  <a:schemeClr val="tx1">
                    <a:lumMod val="65000"/>
                    <a:lumOff val="35000"/>
                  </a:schemeClr>
                </a:solidFill>
                <a:latin typeface="+mn-lt"/>
                <a:ea typeface="+mn-ea"/>
                <a:cs typeface="+mn-cs"/>
              </a:defRPr>
            </a:pPr>
          </a:p>
        </c:txPr>
        <c:crossAx val="80379264"/>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ln>
            <a:noFill/>
          </a:ln>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图</a:t>
            </a:r>
            <a:r>
              <a:rPr lang="en-US" altLang="zh-CN" sz="1400" b="0" i="0" u="none" strike="noStrike" baseline="0">
                <a:effectLst/>
              </a:rPr>
              <a:t>5</a:t>
            </a:r>
            <a:r>
              <a:rPr lang="zh-CN" altLang="zh-CN" sz="1400" b="0" i="0" u="none" strike="noStrike" baseline="0">
                <a:effectLst/>
              </a:rPr>
              <a:t>：一般公共预算财政拨款支出决算变动情况</a:t>
            </a:r>
            <a:endParaRPr lang="zh-CN" altLang="en-US"/>
          </a:p>
        </c:rich>
      </c:tx>
      <c:layout>
        <c:manualLayout>
          <c:xMode val="edge"/>
          <c:yMode val="edge"/>
          <c:x val="0.120701224846894"/>
          <c:y val="0.0185185185185185"/>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[23年决算编制计算表.xlsx]Sheet1!$E$3:$E$4</c:f>
              <c:strCache>
                <c:ptCount val="2"/>
                <c:pt idx="0">
                  <c:v>2022年</c:v>
                </c:pt>
                <c:pt idx="1">
                  <c:v>2023年</c:v>
                </c:pt>
              </c:strCache>
            </c:strRef>
          </c:cat>
          <c:val>
            <c:numRef>
              <c:f>[23年决算编制计算表.xlsx]Sheet1!$F$3:$F$4</c:f>
              <c:numCache>
                <c:formatCode>General</c:formatCode>
                <c:ptCount val="2"/>
                <c:pt idx="0">
                  <c:v>8356.34</c:v>
                </c:pt>
                <c:pt idx="1">
                  <c:v>8623.65</c:v>
                </c:pt>
              </c:numCache>
            </c:numRef>
          </c:val>
        </c:ser>
        <c:dLbls>
          <c:showLegendKey val="0"/>
          <c:showVal val="0"/>
          <c:showCatName val="0"/>
          <c:showSerName val="0"/>
          <c:showPercent val="0"/>
          <c:showBubbleSize val="0"/>
        </c:dLbls>
        <c:gapWidth val="219"/>
        <c:overlap val="-27"/>
        <c:axId val="87647360"/>
        <c:axId val="87648896"/>
      </c:barChart>
      <c:catAx>
        <c:axId val="8764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648896"/>
        <c:crosses val="autoZero"/>
        <c:auto val="1"/>
        <c:lblAlgn val="ctr"/>
        <c:lblOffset val="100"/>
        <c:noMultiLvlLbl val="0"/>
      </c:catAx>
      <c:valAx>
        <c:axId val="87648896"/>
        <c:scaling>
          <c:orientation val="minMax"/>
          <c:min val="2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647360"/>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图6：一般公共预算财政拨款支出决算结构</a:t>
            </a:r>
          </a:p>
        </c:rich>
      </c:tx>
      <c:layout/>
      <c:overlay val="0"/>
      <c:spPr>
        <a:noFill/>
        <a:ln>
          <a:noFill/>
        </a:ln>
        <a:effectLst/>
      </c:spPr>
    </c:title>
    <c:autoTitleDeleted val="0"/>
    <c:plotArea>
      <c:layout/>
      <c:pieChart>
        <c:varyColors val="1"/>
        <c:ser>
          <c:idx val="0"/>
          <c:order val="0"/>
          <c:spPr>
            <a:ln w="15875">
              <a:solidFill>
                <a:schemeClr val="bg1"/>
              </a:solidFill>
            </a:ln>
            <a:effectLst>
              <a:outerShdw blurRad="50800" dist="38100" dir="2700000" algn="tl" rotWithShape="0">
                <a:prstClr val="black">
                  <a:alpha val="40000"/>
                </a:prstClr>
              </a:outerShdw>
            </a:effectLst>
            <a:sp3d contourW="15875"/>
          </c:spPr>
          <c:explosion val="0"/>
          <c:dPt>
            <c:idx val="0"/>
            <c:bubble3D val="0"/>
            <c:spPr>
              <a:gradFill>
                <a:gsLst>
                  <a:gs pos="0">
                    <a:schemeClr val="accent6">
                      <a:lumMod val="60000"/>
                      <a:lumOff val="40000"/>
                    </a:schemeClr>
                  </a:gs>
                  <a:gs pos="83000">
                    <a:schemeClr val="accent6"/>
                  </a:gs>
                </a:gsLst>
                <a:lin ang="2700000"/>
              </a:gradFill>
              <a:ln w="15875">
                <a:solidFill>
                  <a:schemeClr val="bg1"/>
                </a:solidFill>
              </a:ln>
              <a:effectLst>
                <a:outerShdw blurRad="50800" dist="38100" dir="2700000" algn="tl" rotWithShape="0">
                  <a:schemeClr val="accent6">
                    <a:lumMod val="50000"/>
                    <a:alpha val="40000"/>
                  </a:schemeClr>
                </a:outerShdw>
              </a:effectLst>
              <a:sp3d contourW="15875"/>
            </c:spPr>
          </c:dPt>
          <c:dPt>
            <c:idx val="1"/>
            <c:bubble3D val="0"/>
            <c:spPr>
              <a:gradFill>
                <a:gsLst>
                  <a:gs pos="0">
                    <a:schemeClr val="accent3">
                      <a:lumMod val="60000"/>
                      <a:lumOff val="40000"/>
                    </a:schemeClr>
                  </a:gs>
                  <a:gs pos="83000">
                    <a:schemeClr val="accent3"/>
                  </a:gs>
                </a:gsLst>
                <a:lin ang="2700000"/>
              </a:gradFill>
              <a:ln w="15875">
                <a:solidFill>
                  <a:schemeClr val="bg1"/>
                </a:solidFill>
              </a:ln>
              <a:effectLst>
                <a:outerShdw blurRad="50800" dist="38100" dir="2700000" algn="tl" rotWithShape="0">
                  <a:schemeClr val="accent2">
                    <a:lumMod val="50000"/>
                    <a:alpha val="40000"/>
                  </a:schemeClr>
                </a:outerShdw>
              </a:effectLst>
              <a:sp3d contourW="15875"/>
            </c:spPr>
          </c:dPt>
          <c:dPt>
            <c:idx val="2"/>
            <c:bubble3D val="0"/>
            <c:spPr>
              <a:gradFill>
                <a:gsLst>
                  <a:gs pos="0">
                    <a:schemeClr val="accent5">
                      <a:lumMod val="60000"/>
                      <a:lumOff val="40000"/>
                    </a:schemeClr>
                  </a:gs>
                  <a:gs pos="83000">
                    <a:schemeClr val="accent5"/>
                  </a:gs>
                </a:gsLst>
                <a:lin ang="2700000"/>
              </a:gradFill>
              <a:ln w="19050">
                <a:solidFill>
                  <a:schemeClr val="bg1"/>
                </a:solidFill>
              </a:ln>
              <a:effectLst>
                <a:outerShdw blurRad="50800" dist="38100" dir="2700000" algn="tl" rotWithShape="0">
                  <a:schemeClr val="accent5">
                    <a:lumMod val="50000"/>
                    <a:alpha val="40000"/>
                  </a:schemeClr>
                </a:outerShdw>
              </a:effectLst>
              <a:sp3d contourW="19050"/>
            </c:spPr>
          </c:dPt>
          <c:dPt>
            <c:idx val="3"/>
            <c:bubble3D val="0"/>
            <c:spPr>
              <a:solidFill>
                <a:schemeClr val="accent4"/>
              </a:solidFill>
              <a:ln w="15875">
                <a:solidFill>
                  <a:schemeClr val="bg1"/>
                </a:solidFill>
              </a:ln>
              <a:effectLst>
                <a:outerShdw blurRad="50800" dist="38100" dir="2700000" algn="tl" rotWithShape="0">
                  <a:prstClr val="black">
                    <a:alpha val="40000"/>
                  </a:prstClr>
                </a:outerShdw>
              </a:effectLst>
              <a:sp3d contourW="15875"/>
            </c:spPr>
          </c:dPt>
          <c:dLbls>
            <c:dLbl>
              <c:idx val="0"/>
              <c:layout>
                <c:manualLayout>
                  <c:x val="0.108990738079054"/>
                  <c:y val="0.130588970546513"/>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bg1"/>
                        </a:solidFill>
                        <a:effectLst/>
                        <a:latin typeface="+mn-lt"/>
                        <a:ea typeface="+mn-ea"/>
                        <a:cs typeface="+mn-cs"/>
                      </a:defRPr>
                    </a:pPr>
                    <a:r>
                      <a:rPr>
                        <a:solidFill>
                          <a:sysClr val="windowText" lastClr="000000"/>
                        </a:solidFill>
                      </a:rPr>
                      <a:t>1%</a:t>
                    </a:r>
                    <a:endParaRPr>
                      <a:solidFill>
                        <a:sysClr val="windowText" lastClr="000000"/>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495120819499995"/>
                  <c:y val="-0.0347000872535799"/>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bg1"/>
                        </a:solidFill>
                        <a:effectLst/>
                        <a:latin typeface="+mn-lt"/>
                        <a:ea typeface="+mn-ea"/>
                        <a:cs typeface="+mn-cs"/>
                      </a:defRPr>
                    </a:pPr>
                    <a:r>
                      <a:rPr>
                        <a:solidFill>
                          <a:sysClr val="windowText" lastClr="000000"/>
                        </a:solidFill>
                      </a:rPr>
                      <a:t>0%</a:t>
                    </a:r>
                    <a:endParaRPr>
                      <a:solidFill>
                        <a:sysClr val="windowText" lastClr="000000"/>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34109704841528"/>
                  <c:y val="0.050677885180958"/>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bg1"/>
                        </a:solidFill>
                        <a:effectLst/>
                        <a:latin typeface="+mn-lt"/>
                        <a:ea typeface="+mn-ea"/>
                        <a:cs typeface="+mn-cs"/>
                      </a:defRPr>
                    </a:pPr>
                    <a:r>
                      <a:rPr>
                        <a:solidFill>
                          <a:sysClr val="windowText" lastClr="000000"/>
                        </a:solidFill>
                      </a:rPr>
                      <a:t>0%</a:t>
                    </a:r>
                    <a:endParaRPr>
                      <a:solidFill>
                        <a:sysClr val="windowText" lastClr="000000"/>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effectLst/>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[工作簿2]Sheet1!$C$9:$C$12</c:f>
              <c:strCache>
                <c:ptCount val="4"/>
                <c:pt idx="0">
                  <c:v>社会保障和就业支出（208类）</c:v>
                </c:pt>
                <c:pt idx="1">
                  <c:v>卫生健康支出</c:v>
                </c:pt>
                <c:pt idx="2">
                  <c:v>住房保障支出</c:v>
                </c:pt>
                <c:pt idx="3">
                  <c:v>农林水支出（213类）</c:v>
                </c:pt>
              </c:strCache>
            </c:strRef>
          </c:cat>
          <c:val>
            <c:numRef>
              <c:f>[工作簿2]Sheet1!$D$9:$D$12</c:f>
              <c:numCache>
                <c:formatCode>General</c:formatCode>
                <c:ptCount val="4"/>
                <c:pt idx="0">
                  <c:v>45.48</c:v>
                </c:pt>
                <c:pt idx="1">
                  <c:v>10.33</c:v>
                </c:pt>
                <c:pt idx="2">
                  <c:v>25.25</c:v>
                </c:pt>
                <c:pt idx="3">
                  <c:v>8542.59</c:v>
                </c:pt>
              </c:numCache>
            </c:numRef>
          </c:val>
        </c:ser>
        <c:dLbls>
          <c:showLegendKey val="0"/>
          <c:showVal val="1"/>
          <c:showCatName val="0"/>
          <c:showSerName val="0"/>
          <c:showPercent val="0"/>
          <c:showBubbleSize val="0"/>
          <c:showLeaderLines val="1"/>
        </c:dLbls>
        <c:firstSliceAng val="36"/>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图</a:t>
            </a:r>
            <a:r>
              <a:rPr lang="en-US" altLang="zh-CN" sz="1400" b="0" i="0" u="none" strike="noStrike" baseline="0">
                <a:effectLst/>
              </a:rPr>
              <a:t>7</a:t>
            </a:r>
            <a:r>
              <a:rPr lang="zh-CN" altLang="zh-CN" sz="1400" b="0" i="0" u="none" strike="noStrike" baseline="0">
                <a:effectLst/>
              </a:rPr>
              <a:t>：“三公”经费财政拨款支出结构</a:t>
            </a:r>
            <a:endParaRPr lang="zh-CN"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dLblPos val="outEnd"/>
              <c:showLegendKey val="0"/>
              <c:showVal val="0"/>
              <c:showCatName val="0"/>
              <c:showSerName val="0"/>
              <c:showPercent val="1"/>
              <c:showBubbleSize val="0"/>
              <c:extLst>
                <c:ext xmlns:c15="http://schemas.microsoft.com/office/drawing/2012/chart" uri="{CE6537A1-D6FC-4f65-9D91-7224C49458BB}"/>
              </c:extLst>
            </c:dLbl>
            <c:dLbl>
              <c:idx val="2"/>
              <c:layout/>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[23年决算编制计算表.xlsx]Sheet1!$O$55:$O$57</c:f>
              <c:strCache>
                <c:ptCount val="3"/>
                <c:pt idx="0">
                  <c:v>因公出国（境）费支出决算</c:v>
                </c:pt>
                <c:pt idx="1">
                  <c:v>公务用车购置及运行维护费支出决算</c:v>
                </c:pt>
                <c:pt idx="2">
                  <c:v>公务接待费支出决算</c:v>
                </c:pt>
              </c:strCache>
            </c:strRef>
          </c:cat>
          <c:val>
            <c:numRef>
              <c:f>[23年决算编制计算表.xlsx]Sheet1!$P$55:$P$57</c:f>
              <c:numCache>
                <c:formatCode>General</c:formatCode>
                <c:ptCount val="3"/>
                <c:pt idx="0">
                  <c:v>0</c:v>
                </c:pt>
                <c:pt idx="1">
                  <c:v>0</c:v>
                </c:pt>
                <c:pt idx="2">
                  <c:v>0.99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81978218708041"/>
          <c:y val="0.364461428230236"/>
          <c:w val="0.40011934954498"/>
          <c:h val="0.365655600668737"/>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rgbClr val="000000">
          <a:alpha val="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5017</Words>
  <Characters>5608</Characters>
  <Lines>54</Lines>
  <Paragraphs>15</Paragraphs>
  <TotalTime>14</TotalTime>
  <ScaleCrop>false</ScaleCrop>
  <LinksUpToDate>false</LinksUpToDate>
  <CharactersWithSpaces>5628</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豆豆黄</cp:lastModifiedBy>
  <cp:lastPrinted>2023-08-03T02:35:00Z</cp:lastPrinted>
  <dcterms:modified xsi:type="dcterms:W3CDTF">2024-10-22T07:51:02Z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3AAE9705C75D403C8F9D45F5A752C358_13</vt:lpwstr>
  </property>
</Properties>
</file>