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33C7E">
      <w:pPr>
        <w:spacing w:line="578" w:lineRule="exact"/>
        <w:ind w:firstLine="632" w:firstLineChars="200"/>
        <w:outlineLvl w:val="0"/>
        <w:rPr>
          <w:rFonts w:cs="仿宋"/>
          <w:szCs w:val="32"/>
        </w:rPr>
      </w:pPr>
      <w:bookmarkStart w:id="0" w:name="_Toc15306267"/>
      <w:bookmarkStart w:id="54" w:name="_GoBack"/>
      <w:bookmarkEnd w:id="54"/>
    </w:p>
    <w:p w14:paraId="7EB73E6F">
      <w:pPr>
        <w:spacing w:line="578" w:lineRule="exact"/>
        <w:ind w:firstLine="632" w:firstLineChars="200"/>
        <w:outlineLvl w:val="0"/>
        <w:rPr>
          <w:rFonts w:cs="仿宋"/>
          <w:szCs w:val="32"/>
        </w:rPr>
      </w:pPr>
    </w:p>
    <w:p w14:paraId="1A2EBCCA">
      <w:pPr>
        <w:spacing w:line="578" w:lineRule="exact"/>
        <w:ind w:firstLine="632" w:firstLineChars="200"/>
        <w:outlineLvl w:val="0"/>
        <w:rPr>
          <w:rFonts w:cs="仿宋"/>
          <w:szCs w:val="32"/>
        </w:rPr>
      </w:pPr>
    </w:p>
    <w:p w14:paraId="66143F56">
      <w:pPr>
        <w:spacing w:line="578" w:lineRule="exact"/>
        <w:ind w:firstLine="632" w:firstLineChars="200"/>
        <w:outlineLvl w:val="0"/>
        <w:rPr>
          <w:rFonts w:cs="仿宋"/>
          <w:szCs w:val="32"/>
        </w:rPr>
      </w:pPr>
    </w:p>
    <w:p w14:paraId="2097A353">
      <w:pPr>
        <w:tabs>
          <w:tab w:val="left" w:pos="1408"/>
        </w:tabs>
        <w:adjustRightInd w:val="0"/>
        <w:snapToGrid w:val="0"/>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5396475"/>
      <w:bookmarkStart w:id="4" w:name="_Toc15378441"/>
      <w:bookmarkStart w:id="5" w:name="_Toc15377193"/>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14:paraId="32DE75D1">
      <w:pPr>
        <w:adjustRightInd w:val="0"/>
        <w:snapToGrid w:val="0"/>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77426"/>
      <w:bookmarkStart w:id="9" w:name="_Toc15396598"/>
      <w:bookmarkStart w:id="10" w:name="_Toc15377194"/>
      <w:r>
        <w:rPr>
          <w:rFonts w:hint="eastAsia" w:ascii="方正小标宋简体" w:hAnsi="方正小标宋简体" w:eastAsia="方正小标宋简体" w:cs="方正小标宋简体"/>
          <w:sz w:val="72"/>
          <w:szCs w:val="72"/>
        </w:rPr>
        <w:t>大竹县植保植检站</w:t>
      </w:r>
      <w:bookmarkEnd w:id="0"/>
      <w:bookmarkStart w:id="11" w:name="_Toc15306268"/>
    </w:p>
    <w:p w14:paraId="5DFEC213">
      <w:pPr>
        <w:adjustRightInd w:val="0"/>
        <w:snapToGrid w:val="0"/>
        <w:jc w:val="center"/>
        <w:outlineLvl w:val="0"/>
        <w:rPr>
          <w:rFonts w:cs="仿宋"/>
          <w:szCs w:val="3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32D2AF6C">
      <w:pPr>
        <w:adjustRightInd w:val="0"/>
        <w:snapToGrid w:val="0"/>
        <w:spacing w:line="578" w:lineRule="exact"/>
        <w:ind w:firstLine="632" w:firstLineChars="200"/>
        <w:outlineLvl w:val="0"/>
        <w:rPr>
          <w:rFonts w:cs="仿宋"/>
          <w:szCs w:val="32"/>
        </w:rPr>
      </w:pPr>
    </w:p>
    <w:p w14:paraId="2C3C6A4E">
      <w:pPr>
        <w:widowControl/>
        <w:spacing w:line="578" w:lineRule="exact"/>
        <w:jc w:val="center"/>
        <w:rPr>
          <w:rFonts w:ascii="黑体" w:hAnsi="黑体" w:eastAsia="黑体" w:cs="黑体"/>
          <w:sz w:val="48"/>
          <w:szCs w:val="48"/>
        </w:rPr>
        <w:sectPr>
          <w:headerReference r:id="rId4" w:type="first"/>
          <w:footerReference r:id="rId5" w:type="first"/>
          <w:headerReference r:id="rId3" w:type="default"/>
          <w:pgSz w:w="11906" w:h="16838"/>
          <w:pgMar w:top="2098" w:right="1474" w:bottom="1984" w:left="1587" w:header="851" w:footer="992" w:gutter="0"/>
          <w:pgNumType w:start="1"/>
          <w:cols w:space="0" w:num="1"/>
          <w:titlePg/>
          <w:docGrid w:type="linesAndChars" w:linePitch="579" w:charSpace="-842"/>
        </w:sectPr>
      </w:pPr>
    </w:p>
    <w:p w14:paraId="04CF7633">
      <w:pPr>
        <w:widowControl/>
        <w:spacing w:line="578" w:lineRule="exact"/>
        <w:jc w:val="center"/>
        <w:rPr>
          <w:rFonts w:cs="仿宋"/>
          <w:szCs w:val="32"/>
        </w:rPr>
      </w:pPr>
      <w:r>
        <w:rPr>
          <w:rFonts w:hint="eastAsia" w:ascii="黑体" w:hAnsi="黑体" w:eastAsia="黑体" w:cs="黑体"/>
          <w:sz w:val="48"/>
          <w:szCs w:val="48"/>
        </w:rPr>
        <w:t>目录</w:t>
      </w:r>
    </w:p>
    <w:p w14:paraId="49407356">
      <w:pPr>
        <w:widowControl/>
        <w:spacing w:line="578" w:lineRule="exact"/>
        <w:ind w:firstLine="632" w:firstLineChars="200"/>
        <w:jc w:val="center"/>
        <w:rPr>
          <w:rFonts w:cs="仿宋"/>
          <w:szCs w:val="32"/>
        </w:rPr>
      </w:pPr>
    </w:p>
    <w:p w14:paraId="35298FE3">
      <w:pPr>
        <w:pStyle w:val="12"/>
        <w:spacing w:before="0" w:line="578" w:lineRule="exact"/>
        <w:rPr>
          <w:rFonts w:cs="仿宋"/>
          <w:sz w:val="32"/>
          <w:szCs w:val="32"/>
        </w:rPr>
      </w:pPr>
      <w:r>
        <w:rPr>
          <w:rFonts w:hint="eastAsia" w:cs="仿宋"/>
          <w:sz w:val="32"/>
          <w:szCs w:val="32"/>
        </w:rPr>
        <w:t>公开时间：2024年10月1</w:t>
      </w:r>
      <w:r>
        <w:rPr>
          <w:rFonts w:cs="仿宋"/>
          <w:sz w:val="32"/>
          <w:szCs w:val="32"/>
        </w:rPr>
        <w:t>8</w:t>
      </w:r>
      <w:r>
        <w:rPr>
          <w:rFonts w:hint="eastAsia" w:cs="仿宋"/>
          <w:sz w:val="32"/>
          <w:szCs w:val="32"/>
        </w:rPr>
        <w:t>日</w:t>
      </w:r>
    </w:p>
    <w:p w14:paraId="38D53DC5">
      <w:pPr>
        <w:spacing w:line="578" w:lineRule="exact"/>
        <w:ind w:firstLine="632" w:firstLineChars="200"/>
        <w:rPr>
          <w:rFonts w:cs="仿宋"/>
          <w:szCs w:val="32"/>
        </w:rPr>
      </w:pPr>
    </w:p>
    <w:p w14:paraId="02B02F42">
      <w:pPr>
        <w:pStyle w:val="12"/>
        <w:tabs>
          <w:tab w:val="left" w:leader="middleDot" w:pos="8400"/>
          <w:tab w:val="clear" w:pos="8296"/>
        </w:tabs>
        <w:adjustRightInd w:val="0"/>
        <w:snapToGrid w:val="0"/>
        <w:spacing w:before="0" w:line="578" w:lineRule="exact"/>
        <w:jc w:val="both"/>
        <w:rPr>
          <w:rFonts w:cs="仿宋"/>
          <w:sz w:val="32"/>
          <w:szCs w:val="32"/>
        </w:rPr>
      </w:pPr>
      <w:r>
        <w:rPr>
          <w:rFonts w:hint="eastAsia" w:cs="仿宋"/>
          <w:sz w:val="32"/>
          <w:szCs w:val="32"/>
        </w:rPr>
        <w:t>第一部分 单位概况</w:t>
      </w:r>
      <w:r>
        <w:rPr>
          <w:rFonts w:hint="eastAsia" w:cs="仿宋"/>
          <w:sz w:val="32"/>
          <w:szCs w:val="32"/>
        </w:rPr>
        <w:tab/>
      </w:r>
      <w:r>
        <w:rPr>
          <w:rFonts w:hint="eastAsia" w:cs="仿宋"/>
          <w:sz w:val="32"/>
          <w:szCs w:val="32"/>
        </w:rPr>
        <w:t>1</w:t>
      </w:r>
    </w:p>
    <w:p w14:paraId="790E723D">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一、主要职责</w:t>
      </w:r>
      <w:r>
        <w:rPr>
          <w:rFonts w:hint="eastAsia" w:cs="仿宋"/>
          <w:szCs w:val="32"/>
        </w:rPr>
        <w:tab/>
      </w:r>
      <w:r>
        <w:rPr>
          <w:rFonts w:hint="eastAsia" w:cs="仿宋"/>
          <w:szCs w:val="32"/>
        </w:rPr>
        <w:t>1</w:t>
      </w:r>
    </w:p>
    <w:p w14:paraId="22D74CDE">
      <w:pPr>
        <w:pStyle w:val="13"/>
        <w:tabs>
          <w:tab w:val="left" w:leader="middleDot" w:pos="8400"/>
          <w:tab w:val="clear" w:pos="8296"/>
        </w:tabs>
        <w:adjustRightInd w:val="0"/>
        <w:snapToGrid w:val="0"/>
        <w:spacing w:line="578" w:lineRule="exact"/>
        <w:ind w:left="0" w:leftChars="0" w:firstLine="632" w:firstLineChars="200"/>
      </w:pPr>
      <w:r>
        <w:rPr>
          <w:rFonts w:hint="eastAsia" w:cs="仿宋"/>
          <w:szCs w:val="32"/>
        </w:rPr>
        <w:t>二、机构设置</w:t>
      </w:r>
      <w:r>
        <w:rPr>
          <w:rFonts w:hint="eastAsia" w:cs="仿宋"/>
          <w:szCs w:val="32"/>
        </w:rPr>
        <w:tab/>
      </w:r>
      <w:r>
        <w:rPr>
          <w:rFonts w:hint="eastAsia" w:cs="仿宋"/>
          <w:szCs w:val="32"/>
        </w:rPr>
        <w:t>1</w:t>
      </w:r>
    </w:p>
    <w:p w14:paraId="08D3DDA7">
      <w:pPr>
        <w:pStyle w:val="12"/>
        <w:tabs>
          <w:tab w:val="left" w:leader="middleDot" w:pos="8400"/>
          <w:tab w:val="clear" w:pos="8296"/>
        </w:tabs>
        <w:adjustRightInd w:val="0"/>
        <w:snapToGrid w:val="0"/>
        <w:spacing w:before="0" w:line="578" w:lineRule="exact"/>
        <w:jc w:val="both"/>
        <w:rPr>
          <w:rFonts w:cs="仿宋"/>
          <w:sz w:val="32"/>
          <w:szCs w:val="32"/>
        </w:rPr>
      </w:pPr>
      <w:r>
        <w:rPr>
          <w:rFonts w:hint="eastAsia" w:cs="仿宋"/>
          <w:sz w:val="32"/>
          <w:szCs w:val="32"/>
        </w:rPr>
        <w:t>第二部分 2023年度单位决算情况说明</w:t>
      </w:r>
      <w:r>
        <w:rPr>
          <w:rFonts w:hint="eastAsia" w:cs="仿宋"/>
          <w:sz w:val="32"/>
          <w:szCs w:val="32"/>
        </w:rPr>
        <w:tab/>
      </w:r>
      <w:r>
        <w:rPr>
          <w:rFonts w:hint="eastAsia" w:cs="仿宋"/>
          <w:sz w:val="32"/>
          <w:szCs w:val="32"/>
        </w:rPr>
        <w:t>2</w:t>
      </w:r>
    </w:p>
    <w:p w14:paraId="3BF09960">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一、收入支出决算总体情况说明</w:t>
      </w:r>
      <w:r>
        <w:rPr>
          <w:rFonts w:hint="eastAsia" w:cs="仿宋"/>
          <w:szCs w:val="32"/>
        </w:rPr>
        <w:tab/>
      </w:r>
      <w:r>
        <w:rPr>
          <w:rFonts w:hint="eastAsia" w:cs="仿宋"/>
          <w:szCs w:val="32"/>
        </w:rPr>
        <w:t>2</w:t>
      </w:r>
    </w:p>
    <w:p w14:paraId="6A850EC9">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二、收入决算情况说明</w:t>
      </w:r>
      <w:r>
        <w:rPr>
          <w:rFonts w:hint="eastAsia" w:cs="仿宋"/>
          <w:szCs w:val="32"/>
        </w:rPr>
        <w:tab/>
      </w:r>
      <w:r>
        <w:rPr>
          <w:rFonts w:hint="eastAsia" w:cs="仿宋"/>
          <w:szCs w:val="32"/>
        </w:rPr>
        <w:t>2</w:t>
      </w:r>
    </w:p>
    <w:p w14:paraId="418C87EE">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三、支出决算情况说明</w:t>
      </w:r>
      <w:r>
        <w:rPr>
          <w:rFonts w:hint="eastAsia" w:cs="仿宋"/>
          <w:szCs w:val="32"/>
        </w:rPr>
        <w:tab/>
      </w:r>
      <w:r>
        <w:rPr>
          <w:rFonts w:hint="eastAsia" w:cs="仿宋"/>
          <w:szCs w:val="32"/>
        </w:rPr>
        <w:t>3</w:t>
      </w:r>
    </w:p>
    <w:p w14:paraId="13B67A2D">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四、财政拨款收入支出决算总体情况说明</w:t>
      </w:r>
      <w:r>
        <w:rPr>
          <w:rFonts w:hint="eastAsia" w:cs="仿宋"/>
          <w:szCs w:val="32"/>
        </w:rPr>
        <w:tab/>
      </w:r>
      <w:r>
        <w:rPr>
          <w:rFonts w:hint="eastAsia" w:cs="仿宋"/>
          <w:szCs w:val="32"/>
        </w:rPr>
        <w:t>4</w:t>
      </w:r>
    </w:p>
    <w:p w14:paraId="3DF563F5">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五、一般公共预算财政拨款支出决算情况说明</w:t>
      </w:r>
      <w:r>
        <w:rPr>
          <w:rFonts w:hint="eastAsia" w:cs="仿宋"/>
          <w:szCs w:val="32"/>
        </w:rPr>
        <w:tab/>
      </w:r>
      <w:r>
        <w:rPr>
          <w:rFonts w:hint="eastAsia" w:cs="仿宋"/>
          <w:szCs w:val="32"/>
        </w:rPr>
        <w:t>4</w:t>
      </w:r>
    </w:p>
    <w:p w14:paraId="63B3BBC0">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六、一般公共预算财政拨款基本支出决算情况说明</w:t>
      </w:r>
      <w:r>
        <w:rPr>
          <w:rFonts w:hint="eastAsia" w:cs="仿宋"/>
          <w:szCs w:val="32"/>
        </w:rPr>
        <w:tab/>
      </w:r>
      <w:r>
        <w:rPr>
          <w:rFonts w:hint="eastAsia" w:cs="仿宋"/>
          <w:szCs w:val="32"/>
        </w:rPr>
        <w:t>7</w:t>
      </w:r>
    </w:p>
    <w:p w14:paraId="5BF0E7AC">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七、财政拨款“三公”经费支出决算情况说明</w:t>
      </w:r>
      <w:r>
        <w:rPr>
          <w:rFonts w:hint="eastAsia" w:cs="仿宋"/>
          <w:szCs w:val="32"/>
        </w:rPr>
        <w:tab/>
      </w:r>
      <w:r>
        <w:rPr>
          <w:rFonts w:hint="eastAsia" w:cs="仿宋"/>
          <w:szCs w:val="32"/>
        </w:rPr>
        <w:t>8</w:t>
      </w:r>
    </w:p>
    <w:p w14:paraId="2E3A71F0">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八、政府性基金预算支出决算情况说明</w:t>
      </w:r>
      <w:r>
        <w:rPr>
          <w:rFonts w:hint="eastAsia" w:cs="仿宋"/>
          <w:szCs w:val="32"/>
        </w:rPr>
        <w:tab/>
      </w:r>
      <w:r>
        <w:rPr>
          <w:rFonts w:hint="eastAsia" w:cs="仿宋"/>
          <w:szCs w:val="32"/>
        </w:rPr>
        <w:t>10</w:t>
      </w:r>
    </w:p>
    <w:p w14:paraId="0FEF01F3">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九、国有资本经营预算支出决算情况说明</w:t>
      </w:r>
      <w:r>
        <w:rPr>
          <w:rFonts w:hint="eastAsia" w:cs="仿宋"/>
          <w:szCs w:val="32"/>
        </w:rPr>
        <w:tab/>
      </w:r>
      <w:r>
        <w:rPr>
          <w:rFonts w:hint="eastAsia" w:cs="仿宋"/>
          <w:szCs w:val="32"/>
        </w:rPr>
        <w:t>10</w:t>
      </w:r>
    </w:p>
    <w:p w14:paraId="755CC302">
      <w:pPr>
        <w:pStyle w:val="13"/>
        <w:tabs>
          <w:tab w:val="left" w:leader="middleDot" w:pos="8400"/>
          <w:tab w:val="clear" w:pos="8296"/>
        </w:tabs>
        <w:adjustRightInd w:val="0"/>
        <w:snapToGrid w:val="0"/>
        <w:spacing w:line="578" w:lineRule="exact"/>
        <w:ind w:left="0" w:leftChars="0" w:firstLine="632" w:firstLineChars="200"/>
        <w:rPr>
          <w:rFonts w:cs="仿宋"/>
          <w:szCs w:val="32"/>
        </w:rPr>
      </w:pPr>
      <w:r>
        <w:rPr>
          <w:rFonts w:hint="eastAsia" w:cs="仿宋"/>
          <w:szCs w:val="32"/>
        </w:rPr>
        <w:t>十、其他重要事项的情况说明</w:t>
      </w:r>
      <w:r>
        <w:rPr>
          <w:rFonts w:hint="eastAsia" w:cs="仿宋"/>
          <w:szCs w:val="32"/>
        </w:rPr>
        <w:tab/>
      </w:r>
      <w:r>
        <w:rPr>
          <w:rFonts w:hint="eastAsia" w:cs="仿宋"/>
          <w:szCs w:val="32"/>
        </w:rPr>
        <w:t>10</w:t>
      </w:r>
    </w:p>
    <w:p w14:paraId="11ABC2E0">
      <w:pPr>
        <w:pStyle w:val="12"/>
        <w:tabs>
          <w:tab w:val="left" w:leader="middleDot" w:pos="8190"/>
          <w:tab w:val="clear" w:pos="8296"/>
        </w:tabs>
        <w:adjustRightInd w:val="0"/>
        <w:snapToGrid w:val="0"/>
        <w:spacing w:before="0" w:line="578" w:lineRule="exact"/>
        <w:jc w:val="both"/>
        <w:rPr>
          <w:rFonts w:cs="仿宋"/>
          <w:sz w:val="32"/>
          <w:szCs w:val="32"/>
        </w:rPr>
      </w:pPr>
      <w:r>
        <w:rPr>
          <w:rFonts w:hint="eastAsia" w:cs="仿宋"/>
          <w:sz w:val="32"/>
          <w:szCs w:val="32"/>
        </w:rPr>
        <w:t>第三部分 名词解释</w:t>
      </w:r>
      <w:r>
        <w:rPr>
          <w:rFonts w:hint="eastAsia" w:cs="仿宋"/>
          <w:sz w:val="32"/>
          <w:szCs w:val="32"/>
        </w:rPr>
        <w:tab/>
      </w:r>
      <w:r>
        <w:rPr>
          <w:rFonts w:hint="eastAsia" w:cs="仿宋"/>
          <w:sz w:val="32"/>
          <w:szCs w:val="32"/>
        </w:rPr>
        <w:t>12</w:t>
      </w:r>
    </w:p>
    <w:p w14:paraId="4AF641CD">
      <w:pPr>
        <w:pStyle w:val="12"/>
        <w:tabs>
          <w:tab w:val="left" w:leader="middleDot" w:pos="8190"/>
          <w:tab w:val="clear" w:pos="8296"/>
        </w:tabs>
        <w:adjustRightInd w:val="0"/>
        <w:snapToGrid w:val="0"/>
        <w:spacing w:before="0" w:line="578" w:lineRule="exact"/>
        <w:jc w:val="both"/>
        <w:rPr>
          <w:rFonts w:cs="仿宋"/>
          <w:sz w:val="32"/>
          <w:szCs w:val="32"/>
        </w:rPr>
      </w:pPr>
      <w:r>
        <w:rPr>
          <w:rFonts w:hint="eastAsia" w:cs="仿宋"/>
          <w:sz w:val="32"/>
          <w:szCs w:val="32"/>
        </w:rPr>
        <w:t>第四部分 附件</w:t>
      </w:r>
      <w:r>
        <w:rPr>
          <w:rFonts w:hint="eastAsia" w:cs="仿宋"/>
          <w:sz w:val="32"/>
          <w:szCs w:val="32"/>
        </w:rPr>
        <w:tab/>
      </w:r>
      <w:r>
        <w:rPr>
          <w:rFonts w:hint="eastAsia" w:cs="仿宋"/>
          <w:sz w:val="32"/>
          <w:szCs w:val="32"/>
        </w:rPr>
        <w:t>15</w:t>
      </w:r>
    </w:p>
    <w:p w14:paraId="3679F080">
      <w:pPr>
        <w:pStyle w:val="12"/>
        <w:tabs>
          <w:tab w:val="left" w:leader="middleDot" w:pos="8190"/>
          <w:tab w:val="clear" w:pos="8296"/>
        </w:tabs>
        <w:adjustRightInd w:val="0"/>
        <w:snapToGrid w:val="0"/>
        <w:spacing w:before="0" w:line="578" w:lineRule="exact"/>
        <w:jc w:val="both"/>
        <w:rPr>
          <w:rFonts w:cs="仿宋"/>
          <w:sz w:val="32"/>
          <w:szCs w:val="32"/>
        </w:rPr>
      </w:pPr>
      <w:r>
        <w:rPr>
          <w:rFonts w:hint="eastAsia" w:cs="仿宋"/>
          <w:sz w:val="32"/>
          <w:szCs w:val="32"/>
        </w:rPr>
        <w:t>第五部分 附表</w:t>
      </w:r>
      <w:r>
        <w:rPr>
          <w:rFonts w:hint="eastAsia" w:cs="仿宋"/>
          <w:sz w:val="32"/>
          <w:szCs w:val="32"/>
        </w:rPr>
        <w:tab/>
      </w:r>
      <w:r>
        <w:rPr>
          <w:rFonts w:hint="eastAsia" w:cs="仿宋"/>
          <w:sz w:val="32"/>
          <w:szCs w:val="32"/>
        </w:rPr>
        <w:t>26</w:t>
      </w:r>
    </w:p>
    <w:p w14:paraId="72E8DFC9">
      <w:pPr>
        <w:pStyle w:val="13"/>
        <w:adjustRightInd w:val="0"/>
        <w:snapToGrid w:val="0"/>
        <w:spacing w:line="578" w:lineRule="exact"/>
        <w:ind w:left="0" w:leftChars="0" w:firstLine="632" w:firstLineChars="200"/>
        <w:rPr>
          <w:rFonts w:cs="仿宋"/>
          <w:szCs w:val="32"/>
        </w:rPr>
      </w:pPr>
      <w:r>
        <w:rPr>
          <w:rFonts w:hint="eastAsia" w:cs="仿宋"/>
          <w:szCs w:val="32"/>
        </w:rPr>
        <w:t>一、收入支出决算总表</w:t>
      </w:r>
    </w:p>
    <w:p w14:paraId="073E6E59">
      <w:pPr>
        <w:pStyle w:val="13"/>
        <w:adjustRightInd w:val="0"/>
        <w:snapToGrid w:val="0"/>
        <w:spacing w:line="578" w:lineRule="exact"/>
        <w:ind w:left="0" w:leftChars="0" w:firstLine="632" w:firstLineChars="200"/>
        <w:rPr>
          <w:rFonts w:cs="仿宋"/>
          <w:szCs w:val="32"/>
        </w:rPr>
      </w:pPr>
      <w:r>
        <w:rPr>
          <w:rFonts w:hint="eastAsia" w:cs="仿宋"/>
          <w:szCs w:val="32"/>
        </w:rPr>
        <w:t>二、收入决算表</w:t>
      </w:r>
    </w:p>
    <w:p w14:paraId="210290E0">
      <w:pPr>
        <w:pStyle w:val="13"/>
        <w:adjustRightInd w:val="0"/>
        <w:snapToGrid w:val="0"/>
        <w:spacing w:line="578" w:lineRule="exact"/>
        <w:ind w:left="0" w:leftChars="0" w:firstLine="632" w:firstLineChars="200"/>
        <w:rPr>
          <w:rFonts w:cs="仿宋"/>
          <w:szCs w:val="32"/>
        </w:rPr>
      </w:pPr>
      <w:r>
        <w:rPr>
          <w:rFonts w:hint="eastAsia" w:cs="仿宋"/>
          <w:szCs w:val="32"/>
        </w:rPr>
        <w:t>三、支出决算表</w:t>
      </w:r>
    </w:p>
    <w:p w14:paraId="70862691">
      <w:pPr>
        <w:pStyle w:val="13"/>
        <w:adjustRightInd w:val="0"/>
        <w:snapToGrid w:val="0"/>
        <w:spacing w:line="578" w:lineRule="exact"/>
        <w:ind w:left="0" w:leftChars="0" w:firstLine="632" w:firstLineChars="200"/>
        <w:rPr>
          <w:rFonts w:cs="仿宋"/>
          <w:szCs w:val="32"/>
        </w:rPr>
      </w:pPr>
      <w:r>
        <w:rPr>
          <w:rFonts w:hint="eastAsia" w:cs="仿宋"/>
          <w:szCs w:val="32"/>
        </w:rPr>
        <w:t>四、财政拨款收入支出决算总表</w:t>
      </w:r>
    </w:p>
    <w:p w14:paraId="73187094">
      <w:pPr>
        <w:pStyle w:val="13"/>
        <w:adjustRightInd w:val="0"/>
        <w:snapToGrid w:val="0"/>
        <w:spacing w:line="578" w:lineRule="exact"/>
        <w:ind w:left="0" w:leftChars="0" w:firstLine="632" w:firstLineChars="200"/>
        <w:rPr>
          <w:rFonts w:cs="仿宋"/>
          <w:szCs w:val="32"/>
        </w:rPr>
      </w:pPr>
      <w:r>
        <w:rPr>
          <w:rFonts w:hint="eastAsia" w:cs="仿宋"/>
          <w:szCs w:val="32"/>
        </w:rPr>
        <w:t>五、财政拨款支出决算明细表</w:t>
      </w:r>
    </w:p>
    <w:p w14:paraId="24B40363">
      <w:pPr>
        <w:pStyle w:val="13"/>
        <w:adjustRightInd w:val="0"/>
        <w:snapToGrid w:val="0"/>
        <w:spacing w:line="578" w:lineRule="exact"/>
        <w:ind w:left="0" w:leftChars="0" w:firstLine="632" w:firstLineChars="200"/>
        <w:rPr>
          <w:rFonts w:cs="仿宋"/>
          <w:szCs w:val="32"/>
        </w:rPr>
      </w:pPr>
      <w:bookmarkStart w:id="12" w:name="_Toc15377196"/>
      <w:bookmarkStart w:id="13" w:name="_Toc15396599"/>
      <w:r>
        <w:rPr>
          <w:rFonts w:hint="eastAsia" w:cs="仿宋"/>
          <w:szCs w:val="32"/>
        </w:rPr>
        <w:t>六、一般公共预算财政拨款支出决算表</w:t>
      </w:r>
    </w:p>
    <w:p w14:paraId="6CD504E4">
      <w:pPr>
        <w:pStyle w:val="13"/>
        <w:adjustRightInd w:val="0"/>
        <w:snapToGrid w:val="0"/>
        <w:spacing w:line="578" w:lineRule="exact"/>
        <w:ind w:left="0" w:leftChars="0" w:firstLine="632" w:firstLineChars="200"/>
        <w:rPr>
          <w:rFonts w:cs="仿宋"/>
          <w:szCs w:val="32"/>
        </w:rPr>
      </w:pPr>
      <w:r>
        <w:rPr>
          <w:rFonts w:hint="eastAsia" w:cs="仿宋"/>
          <w:szCs w:val="32"/>
        </w:rPr>
        <w:t>七、一般公共预算财政拨款支出决算明细表</w:t>
      </w:r>
    </w:p>
    <w:p w14:paraId="289FB9A4">
      <w:pPr>
        <w:pStyle w:val="13"/>
        <w:adjustRightInd w:val="0"/>
        <w:snapToGrid w:val="0"/>
        <w:spacing w:line="578" w:lineRule="exact"/>
        <w:ind w:left="0" w:leftChars="0" w:firstLine="632" w:firstLineChars="200"/>
        <w:rPr>
          <w:rFonts w:cs="仿宋"/>
          <w:szCs w:val="32"/>
        </w:rPr>
      </w:pPr>
      <w:r>
        <w:rPr>
          <w:rFonts w:hint="eastAsia" w:cs="仿宋"/>
          <w:szCs w:val="32"/>
        </w:rPr>
        <w:t>八、一般公共预算财政拨款基本支出决算明细表</w:t>
      </w:r>
    </w:p>
    <w:p w14:paraId="5F464609">
      <w:pPr>
        <w:pStyle w:val="13"/>
        <w:adjustRightInd w:val="0"/>
        <w:snapToGrid w:val="0"/>
        <w:spacing w:line="578" w:lineRule="exact"/>
        <w:ind w:left="0" w:leftChars="0" w:firstLine="632" w:firstLineChars="200"/>
        <w:rPr>
          <w:rFonts w:cs="仿宋"/>
          <w:szCs w:val="32"/>
        </w:rPr>
      </w:pPr>
      <w:r>
        <w:rPr>
          <w:rFonts w:hint="eastAsia" w:cs="仿宋"/>
          <w:szCs w:val="32"/>
        </w:rPr>
        <w:t>九、一般公共预算财政拨款项目支出决算表</w:t>
      </w:r>
    </w:p>
    <w:p w14:paraId="4BD61188">
      <w:pPr>
        <w:pStyle w:val="13"/>
        <w:adjustRightInd w:val="0"/>
        <w:snapToGrid w:val="0"/>
        <w:spacing w:line="578" w:lineRule="exact"/>
        <w:ind w:left="0" w:leftChars="0" w:firstLine="632" w:firstLineChars="200"/>
        <w:rPr>
          <w:rFonts w:cs="仿宋"/>
          <w:szCs w:val="32"/>
        </w:rPr>
      </w:pPr>
      <w:r>
        <w:rPr>
          <w:rFonts w:hint="eastAsia" w:cs="仿宋"/>
          <w:szCs w:val="32"/>
        </w:rPr>
        <w:t>十、政府性基金预算财政拨款收入支出决算表</w:t>
      </w:r>
    </w:p>
    <w:p w14:paraId="3E42F70E">
      <w:pPr>
        <w:pStyle w:val="13"/>
        <w:adjustRightInd w:val="0"/>
        <w:snapToGrid w:val="0"/>
        <w:spacing w:line="578" w:lineRule="exact"/>
        <w:ind w:left="0" w:leftChars="0" w:firstLine="632" w:firstLineChars="200"/>
        <w:rPr>
          <w:rFonts w:cs="仿宋"/>
          <w:szCs w:val="32"/>
        </w:rPr>
      </w:pPr>
      <w:r>
        <w:rPr>
          <w:rFonts w:hint="eastAsia" w:cs="仿宋"/>
          <w:szCs w:val="32"/>
        </w:rPr>
        <w:t>十一、国有资本经营预算财政拨款收入支出决算表</w:t>
      </w:r>
    </w:p>
    <w:p w14:paraId="1DFDC31B">
      <w:pPr>
        <w:pStyle w:val="13"/>
        <w:adjustRightInd w:val="0"/>
        <w:snapToGrid w:val="0"/>
        <w:spacing w:line="578" w:lineRule="exact"/>
        <w:ind w:left="0" w:leftChars="0" w:firstLine="632" w:firstLineChars="200"/>
        <w:rPr>
          <w:rFonts w:cs="仿宋"/>
          <w:szCs w:val="32"/>
        </w:rPr>
      </w:pPr>
      <w:r>
        <w:rPr>
          <w:rFonts w:hint="eastAsia" w:cs="仿宋"/>
          <w:szCs w:val="32"/>
        </w:rPr>
        <w:t>十二、国有资本经营预算财政拨款支出决算表</w:t>
      </w:r>
    </w:p>
    <w:p w14:paraId="30179D9E">
      <w:pPr>
        <w:pStyle w:val="13"/>
        <w:adjustRightInd w:val="0"/>
        <w:snapToGrid w:val="0"/>
        <w:spacing w:line="578" w:lineRule="exact"/>
        <w:ind w:left="0" w:leftChars="0" w:firstLine="632" w:firstLineChars="200"/>
        <w:rPr>
          <w:rFonts w:cs="仿宋"/>
          <w:szCs w:val="32"/>
        </w:rPr>
        <w:sectPr>
          <w:footerReference r:id="rId7" w:type="first"/>
          <w:footerReference r:id="rId6" w:type="default"/>
          <w:pgSz w:w="11906" w:h="16838"/>
          <w:pgMar w:top="2098" w:right="1474" w:bottom="1984" w:left="1587" w:header="851" w:footer="992" w:gutter="0"/>
          <w:pgNumType w:start="1"/>
          <w:cols w:space="0" w:num="1"/>
          <w:docGrid w:type="linesAndChars" w:linePitch="579" w:charSpace="-842"/>
        </w:sectPr>
      </w:pPr>
      <w:r>
        <w:rPr>
          <w:rFonts w:hint="eastAsia" w:cs="仿宋"/>
          <w:szCs w:val="32"/>
        </w:rPr>
        <w:t>十三、财政拨款“三公”经费支出决算表</w:t>
      </w:r>
    </w:p>
    <w:p w14:paraId="692DDA36">
      <w:pPr>
        <w:pStyle w:val="4"/>
        <w:spacing w:before="0" w:after="0" w:line="578" w:lineRule="exact"/>
        <w:jc w:val="center"/>
        <w:rPr>
          <w:rStyle w:val="26"/>
          <w:rFonts w:ascii="黑体" w:hAnsi="黑体" w:eastAsia="黑体" w:cs="黑体"/>
          <w:b/>
          <w:bCs w:val="0"/>
        </w:rPr>
      </w:pPr>
      <w:r>
        <w:rPr>
          <w:rFonts w:hint="eastAsia" w:ascii="黑体" w:hAnsi="黑体" w:eastAsia="黑体" w:cs="黑体"/>
          <w:b w:val="0"/>
        </w:rPr>
        <w:t>第一部分单位</w:t>
      </w:r>
      <w:r>
        <w:rPr>
          <w:rStyle w:val="26"/>
          <w:rFonts w:hint="eastAsia" w:ascii="黑体" w:hAnsi="黑体" w:eastAsia="黑体" w:cs="黑体"/>
          <w:b w:val="0"/>
          <w:bCs w:val="0"/>
        </w:rPr>
        <w:t>概况</w:t>
      </w:r>
      <w:bookmarkEnd w:id="12"/>
      <w:bookmarkEnd w:id="13"/>
    </w:p>
    <w:p w14:paraId="774978BA">
      <w:pPr>
        <w:widowControl/>
        <w:spacing w:line="578" w:lineRule="exact"/>
        <w:ind w:firstLine="632" w:firstLineChars="200"/>
        <w:rPr>
          <w:rFonts w:cs="仿宋"/>
          <w:szCs w:val="32"/>
        </w:rPr>
      </w:pPr>
    </w:p>
    <w:p w14:paraId="43848EA1">
      <w:pPr>
        <w:pStyle w:val="5"/>
        <w:numPr>
          <w:ilvl w:val="0"/>
          <w:numId w:val="1"/>
        </w:numPr>
        <w:spacing w:before="0" w:after="0" w:line="578" w:lineRule="exact"/>
        <w:ind w:firstLine="632" w:firstLineChars="200"/>
        <w:rPr>
          <w:rStyle w:val="27"/>
          <w:rFonts w:ascii="黑体" w:hAnsi="黑体" w:eastAsia="黑体" w:cs="黑体"/>
          <w:b w:val="0"/>
          <w:bCs w:val="0"/>
        </w:rPr>
      </w:pPr>
      <w:bookmarkStart w:id="14" w:name="_Toc15377197"/>
      <w:bookmarkStart w:id="15" w:name="_Toc15396600"/>
      <w:r>
        <w:rPr>
          <w:rStyle w:val="27"/>
          <w:rFonts w:hint="eastAsia" w:ascii="黑体" w:hAnsi="黑体" w:eastAsia="黑体" w:cs="黑体"/>
          <w:b w:val="0"/>
          <w:bCs w:val="0"/>
        </w:rPr>
        <w:t>主要职责</w:t>
      </w:r>
    </w:p>
    <w:p w14:paraId="44D20387">
      <w:pPr>
        <w:spacing w:line="578" w:lineRule="exact"/>
        <w:ind w:firstLine="632" w:firstLineChars="200"/>
        <w:rPr>
          <w:rFonts w:cs="仿宋"/>
          <w:szCs w:val="32"/>
        </w:rPr>
      </w:pPr>
      <w:r>
        <w:rPr>
          <w:rFonts w:hint="eastAsia" w:cs="仿宋"/>
          <w:szCs w:val="32"/>
        </w:rPr>
        <w:t>大竹县植保植检站在全县开展农作物病虫害预测预报、统防统治、农药监督管理和植物检疫工作。</w:t>
      </w:r>
    </w:p>
    <w:p w14:paraId="4F528D1B">
      <w:pPr>
        <w:pStyle w:val="5"/>
        <w:spacing w:before="0" w:after="0" w:line="578" w:lineRule="exact"/>
        <w:ind w:firstLine="632" w:firstLineChars="200"/>
        <w:rPr>
          <w:rFonts w:ascii="黑体" w:hAnsi="黑体" w:eastAsia="黑体" w:cs="黑体"/>
          <w:b w:val="0"/>
        </w:rPr>
      </w:pPr>
      <w:r>
        <w:rPr>
          <w:rFonts w:hint="eastAsia" w:ascii="黑体" w:hAnsi="黑体" w:eastAsia="黑体" w:cs="黑体"/>
          <w:b w:val="0"/>
        </w:rPr>
        <w:t>二、</w:t>
      </w:r>
      <w:bookmarkEnd w:id="14"/>
      <w:bookmarkEnd w:id="15"/>
      <w:r>
        <w:rPr>
          <w:rFonts w:hint="eastAsia" w:ascii="黑体" w:hAnsi="黑体" w:eastAsia="黑体" w:cs="黑体"/>
          <w:b w:val="0"/>
        </w:rPr>
        <w:t>机构设置</w:t>
      </w:r>
    </w:p>
    <w:p w14:paraId="420FB710">
      <w:pPr>
        <w:widowControl/>
        <w:spacing w:line="578" w:lineRule="exact"/>
        <w:ind w:firstLine="632" w:firstLineChars="200"/>
        <w:rPr>
          <w:rFonts w:cs="仿宋"/>
          <w:kern w:val="0"/>
          <w:szCs w:val="32"/>
        </w:rPr>
      </w:pPr>
      <w:r>
        <w:rPr>
          <w:rFonts w:hint="eastAsia" w:cs="仿宋"/>
          <w:szCs w:val="32"/>
        </w:rPr>
        <w:t>大竹县植保植检站属于大竹县农业农村局下属的一级预算单位，属独立编制机构1个，其中行政机构0个，参照公务员法管理的事业机构0个，其他事业机构1个。</w:t>
      </w:r>
      <w:r>
        <w:rPr>
          <w:rFonts w:hint="eastAsia" w:cs="仿宋"/>
          <w:szCs w:val="32"/>
        </w:rPr>
        <w:br w:type="page"/>
      </w:r>
    </w:p>
    <w:p w14:paraId="35BF9470">
      <w:pPr>
        <w:pStyle w:val="4"/>
        <w:spacing w:before="0" w:after="0" w:line="578" w:lineRule="exact"/>
        <w:jc w:val="center"/>
        <w:rPr>
          <w:rStyle w:val="26"/>
          <w:rFonts w:ascii="黑体" w:hAnsi="黑体" w:eastAsia="黑体" w:cs="黑体"/>
          <w:b w:val="0"/>
          <w:bCs/>
        </w:rPr>
      </w:pPr>
      <w:bookmarkStart w:id="16" w:name="_Toc15396602"/>
      <w:bookmarkStart w:id="17" w:name="_Toc15377204"/>
      <w:r>
        <w:rPr>
          <w:rFonts w:hint="eastAsia" w:ascii="黑体" w:hAnsi="黑体" w:eastAsia="黑体" w:cs="黑体"/>
          <w:b w:val="0"/>
        </w:rPr>
        <w:t>第二部分2023年度</w:t>
      </w:r>
      <w:r>
        <w:rPr>
          <w:rStyle w:val="26"/>
          <w:rFonts w:hint="eastAsia" w:ascii="黑体" w:hAnsi="黑体" w:eastAsia="黑体" w:cs="黑体"/>
          <w:b w:val="0"/>
          <w:bCs/>
        </w:rPr>
        <w:t>单位决算情况说明</w:t>
      </w:r>
      <w:bookmarkEnd w:id="16"/>
      <w:bookmarkEnd w:id="17"/>
    </w:p>
    <w:p w14:paraId="6B9A76F7">
      <w:pPr>
        <w:spacing w:line="578" w:lineRule="exact"/>
        <w:ind w:firstLine="632" w:firstLineChars="200"/>
        <w:rPr>
          <w:rFonts w:cs="仿宋"/>
          <w:szCs w:val="32"/>
        </w:rPr>
      </w:pPr>
    </w:p>
    <w:p w14:paraId="5189806B">
      <w:pPr>
        <w:pStyle w:val="25"/>
        <w:numPr>
          <w:ilvl w:val="0"/>
          <w:numId w:val="2"/>
        </w:numPr>
        <w:spacing w:line="578" w:lineRule="exact"/>
        <w:ind w:left="0" w:firstLine="632"/>
        <w:outlineLvl w:val="1"/>
        <w:rPr>
          <w:rStyle w:val="27"/>
          <w:rFonts w:ascii="黑体" w:hAnsi="黑体" w:eastAsia="黑体" w:cs="黑体"/>
          <w:b w:val="0"/>
        </w:rPr>
      </w:pPr>
      <w:bookmarkStart w:id="18" w:name="_Toc15396603"/>
      <w:bookmarkStart w:id="19" w:name="_Toc15377205"/>
      <w:r>
        <w:rPr>
          <w:rFonts w:hint="eastAsia" w:ascii="黑体" w:hAnsi="黑体" w:eastAsia="黑体" w:cs="黑体"/>
          <w:szCs w:val="32"/>
        </w:rPr>
        <w:t>收</w:t>
      </w:r>
      <w:r>
        <w:rPr>
          <w:rStyle w:val="27"/>
          <w:rFonts w:hint="eastAsia" w:ascii="黑体" w:hAnsi="黑体" w:eastAsia="黑体" w:cs="黑体"/>
          <w:b w:val="0"/>
        </w:rPr>
        <w:t>入支出决算总体情况说明</w:t>
      </w:r>
      <w:bookmarkEnd w:id="18"/>
      <w:bookmarkEnd w:id="19"/>
    </w:p>
    <w:p w14:paraId="1FF5E0D5">
      <w:pPr>
        <w:spacing w:line="578" w:lineRule="exact"/>
        <w:ind w:firstLine="632" w:firstLineChars="200"/>
        <w:rPr>
          <w:rFonts w:cs="仿宋"/>
          <w:szCs w:val="32"/>
        </w:rPr>
      </w:pPr>
      <w:r>
        <w:rPr>
          <w:rFonts w:hint="eastAsia" w:cs="仿宋"/>
          <w:szCs w:val="32"/>
        </w:rPr>
        <w:t>2023年度收、支总计753.95万元。与2022年相比，收、支总计各增加400.70万元，增长113.43%。主要变动原因是专项资金支出增加。</w:t>
      </w:r>
    </w:p>
    <w:p w14:paraId="109D0FBB">
      <w:pPr>
        <w:spacing w:line="578" w:lineRule="exact"/>
        <w:jc w:val="center"/>
        <w:rPr>
          <w:rFonts w:cs="仿宋"/>
          <w:szCs w:val="32"/>
        </w:rPr>
      </w:pPr>
      <w:r>
        <w:rPr>
          <w:rFonts w:hint="eastAsia" w:cs="仿宋"/>
          <w:szCs w:val="32"/>
        </w:rPr>
        <w:t>（图1：收、支决算总计变动情况图）</w:t>
      </w:r>
    </w:p>
    <w:p w14:paraId="68BA9BAB">
      <w:pPr>
        <w:spacing w:line="578" w:lineRule="exact"/>
        <w:rPr>
          <w:rFonts w:cs="仿宋"/>
          <w:szCs w:val="32"/>
        </w:rPr>
      </w:pPr>
      <w:r>
        <w:rPr>
          <w:rFonts w:hint="eastAsia"/>
          <w:szCs w:val="32"/>
        </w:rPr>
        <w:drawing>
          <wp:anchor distT="0" distB="0" distL="114300" distR="114300" simplePos="0" relativeHeight="251659264" behindDoc="0" locked="0" layoutInCell="1" allowOverlap="1">
            <wp:simplePos x="0" y="0"/>
            <wp:positionH relativeFrom="column">
              <wp:posOffset>-19685</wp:posOffset>
            </wp:positionH>
            <wp:positionV relativeFrom="paragraph">
              <wp:posOffset>109855</wp:posOffset>
            </wp:positionV>
            <wp:extent cx="5636895" cy="3502660"/>
            <wp:effectExtent l="4445" t="4445" r="16510" b="17145"/>
            <wp:wrapNone/>
            <wp:docPr id="4"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D014F15">
      <w:pPr>
        <w:spacing w:line="578" w:lineRule="exact"/>
        <w:rPr>
          <w:rFonts w:cs="仿宋"/>
          <w:szCs w:val="32"/>
        </w:rPr>
      </w:pPr>
    </w:p>
    <w:p w14:paraId="577CBCB0">
      <w:pPr>
        <w:spacing w:line="578" w:lineRule="exact"/>
      </w:pPr>
    </w:p>
    <w:p w14:paraId="486C86A2">
      <w:pPr>
        <w:pStyle w:val="7"/>
        <w:spacing w:beforeLines="0" w:line="578" w:lineRule="exact"/>
        <w:rPr>
          <w:rFonts w:ascii="仿宋" w:eastAsia="仿宋" w:cs="仿宋"/>
          <w:sz w:val="32"/>
          <w:szCs w:val="32"/>
        </w:rPr>
      </w:pPr>
    </w:p>
    <w:p w14:paraId="3A92DC49">
      <w:pPr>
        <w:pStyle w:val="7"/>
        <w:spacing w:beforeLines="0" w:line="578" w:lineRule="exact"/>
        <w:rPr>
          <w:rFonts w:ascii="仿宋" w:eastAsia="仿宋" w:cs="仿宋"/>
          <w:sz w:val="32"/>
          <w:szCs w:val="32"/>
        </w:rPr>
      </w:pPr>
    </w:p>
    <w:p w14:paraId="053C3160">
      <w:pPr>
        <w:pStyle w:val="7"/>
        <w:spacing w:beforeLines="0" w:line="578" w:lineRule="exact"/>
        <w:rPr>
          <w:rFonts w:ascii="仿宋" w:eastAsia="仿宋" w:cs="仿宋"/>
          <w:sz w:val="32"/>
          <w:szCs w:val="32"/>
        </w:rPr>
      </w:pPr>
    </w:p>
    <w:p w14:paraId="32CA9789">
      <w:pPr>
        <w:pStyle w:val="7"/>
        <w:spacing w:beforeLines="0" w:line="578" w:lineRule="exact"/>
        <w:rPr>
          <w:rFonts w:ascii="仿宋" w:eastAsia="仿宋" w:cs="仿宋"/>
          <w:sz w:val="32"/>
          <w:szCs w:val="32"/>
        </w:rPr>
      </w:pPr>
    </w:p>
    <w:p w14:paraId="612F22C3">
      <w:pPr>
        <w:pStyle w:val="7"/>
        <w:spacing w:beforeLines="0" w:line="578" w:lineRule="exact"/>
        <w:rPr>
          <w:rFonts w:ascii="仿宋" w:eastAsia="仿宋" w:cs="仿宋"/>
          <w:sz w:val="32"/>
          <w:szCs w:val="32"/>
        </w:rPr>
      </w:pPr>
    </w:p>
    <w:p w14:paraId="154AD2F6">
      <w:pPr>
        <w:pStyle w:val="7"/>
        <w:spacing w:beforeLines="0" w:line="578" w:lineRule="exact"/>
      </w:pPr>
    </w:p>
    <w:p w14:paraId="44791196">
      <w:pPr>
        <w:pStyle w:val="7"/>
        <w:spacing w:beforeLines="0" w:line="578" w:lineRule="exact"/>
      </w:pPr>
    </w:p>
    <w:p w14:paraId="779F8C04">
      <w:pPr>
        <w:pStyle w:val="25"/>
        <w:numPr>
          <w:ilvl w:val="0"/>
          <w:numId w:val="2"/>
        </w:numPr>
        <w:spacing w:line="578" w:lineRule="exact"/>
        <w:ind w:left="0" w:firstLine="632"/>
        <w:outlineLvl w:val="1"/>
        <w:rPr>
          <w:rStyle w:val="27"/>
          <w:rFonts w:ascii="黑体" w:hAnsi="黑体" w:eastAsia="黑体" w:cs="黑体"/>
          <w:b w:val="0"/>
        </w:rPr>
      </w:pPr>
      <w:bookmarkStart w:id="20" w:name="_Toc15396604"/>
      <w:bookmarkStart w:id="21" w:name="_Toc15377206"/>
      <w:r>
        <w:rPr>
          <w:rFonts w:hint="eastAsia" w:ascii="黑体" w:hAnsi="黑体" w:eastAsia="黑体" w:cs="黑体"/>
          <w:szCs w:val="32"/>
        </w:rPr>
        <w:t>收</w:t>
      </w:r>
      <w:r>
        <w:rPr>
          <w:rStyle w:val="27"/>
          <w:rFonts w:hint="eastAsia" w:ascii="黑体" w:hAnsi="黑体" w:eastAsia="黑体" w:cs="黑体"/>
          <w:b w:val="0"/>
        </w:rPr>
        <w:t>入决算情况说明</w:t>
      </w:r>
      <w:bookmarkEnd w:id="20"/>
      <w:bookmarkEnd w:id="21"/>
    </w:p>
    <w:p w14:paraId="5E4CC5F5">
      <w:pPr>
        <w:spacing w:line="578" w:lineRule="exact"/>
        <w:ind w:firstLine="632" w:firstLineChars="200"/>
        <w:outlineLvl w:val="1"/>
        <w:rPr>
          <w:rFonts w:cs="仿宋"/>
          <w:szCs w:val="32"/>
        </w:rPr>
      </w:pPr>
      <w:r>
        <w:rPr>
          <w:rFonts w:hint="eastAsia" w:cs="仿宋"/>
          <w:szCs w:val="32"/>
        </w:rPr>
        <w:t>2023年本年收入合计736.56万元，其中：一般公共预算财政拨款收入716.56万元，占97.28%；政府性基金预算财政拨款收入20万元，占2.72%。</w:t>
      </w:r>
    </w:p>
    <w:p w14:paraId="1108D499">
      <w:pPr>
        <w:spacing w:line="578" w:lineRule="exact"/>
        <w:jc w:val="center"/>
        <w:rPr>
          <w:rFonts w:cs="仿宋"/>
          <w:szCs w:val="32"/>
        </w:rPr>
      </w:pPr>
      <w:r>
        <w:rPr>
          <w:rFonts w:hint="eastAsia" w:cs="仿宋"/>
          <w:szCs w:val="32"/>
        </w:rPr>
        <w:t>（图2：收入决算结构图）</w:t>
      </w:r>
    </w:p>
    <w:p w14:paraId="131515C9">
      <w:pPr>
        <w:pStyle w:val="7"/>
        <w:spacing w:before="173"/>
        <w:rPr>
          <w:rFonts w:ascii="仿宋" w:eastAsia="仿宋" w:cs="仿宋"/>
          <w:sz w:val="32"/>
          <w:szCs w:val="32"/>
        </w:rPr>
      </w:pPr>
      <w:r>
        <w:rPr>
          <w:rFonts w:hint="eastAsia" w:ascii="仿宋" w:eastAsia="仿宋"/>
          <w:sz w:val="32"/>
          <w:szCs w:val="32"/>
        </w:rPr>
        <w:drawing>
          <wp:anchor distT="0" distB="0" distL="114300" distR="114300" simplePos="0" relativeHeight="251660288" behindDoc="0" locked="0" layoutInCell="1" allowOverlap="1">
            <wp:simplePos x="0" y="0"/>
            <wp:positionH relativeFrom="column">
              <wp:posOffset>19050</wp:posOffset>
            </wp:positionH>
            <wp:positionV relativeFrom="paragraph">
              <wp:posOffset>92710</wp:posOffset>
            </wp:positionV>
            <wp:extent cx="5605145" cy="2985770"/>
            <wp:effectExtent l="4445" t="4445" r="10160" b="19685"/>
            <wp:wrapNone/>
            <wp:docPr id="11"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622E7AB">
      <w:pPr>
        <w:pStyle w:val="7"/>
        <w:spacing w:before="173"/>
        <w:rPr>
          <w:rFonts w:ascii="仿宋" w:eastAsia="仿宋" w:cs="仿宋"/>
          <w:sz w:val="32"/>
          <w:szCs w:val="32"/>
        </w:rPr>
      </w:pPr>
    </w:p>
    <w:p w14:paraId="25C81728">
      <w:pPr>
        <w:pStyle w:val="7"/>
        <w:spacing w:before="173"/>
        <w:rPr>
          <w:rFonts w:ascii="仿宋" w:eastAsia="仿宋" w:cs="仿宋"/>
          <w:sz w:val="32"/>
          <w:szCs w:val="32"/>
        </w:rPr>
      </w:pPr>
    </w:p>
    <w:p w14:paraId="1ECB43AB">
      <w:pPr>
        <w:pStyle w:val="7"/>
        <w:spacing w:beforeLines="0" w:line="578" w:lineRule="exact"/>
        <w:rPr>
          <w:rFonts w:ascii="仿宋" w:eastAsia="仿宋" w:cs="仿宋"/>
          <w:sz w:val="32"/>
          <w:szCs w:val="32"/>
        </w:rPr>
      </w:pPr>
    </w:p>
    <w:p w14:paraId="35AE028D">
      <w:pPr>
        <w:pStyle w:val="7"/>
        <w:spacing w:beforeLines="0" w:line="578" w:lineRule="exact"/>
        <w:rPr>
          <w:rFonts w:ascii="仿宋" w:eastAsia="仿宋" w:cs="仿宋"/>
          <w:sz w:val="32"/>
          <w:szCs w:val="32"/>
        </w:rPr>
      </w:pPr>
    </w:p>
    <w:p w14:paraId="69FCE2CC">
      <w:pPr>
        <w:pStyle w:val="7"/>
        <w:spacing w:beforeLines="0" w:line="578" w:lineRule="exact"/>
        <w:rPr>
          <w:rFonts w:ascii="仿宋" w:eastAsia="仿宋" w:cs="仿宋"/>
          <w:sz w:val="32"/>
          <w:szCs w:val="32"/>
        </w:rPr>
      </w:pPr>
    </w:p>
    <w:p w14:paraId="35E36525">
      <w:pPr>
        <w:pStyle w:val="7"/>
        <w:spacing w:beforeLines="0" w:line="578" w:lineRule="exact"/>
        <w:rPr>
          <w:rFonts w:ascii="仿宋" w:eastAsia="仿宋" w:cs="仿宋"/>
          <w:sz w:val="32"/>
          <w:szCs w:val="32"/>
        </w:rPr>
      </w:pPr>
    </w:p>
    <w:p w14:paraId="7F36985B">
      <w:pPr>
        <w:pStyle w:val="7"/>
        <w:spacing w:beforeLines="0" w:line="578" w:lineRule="exact"/>
        <w:rPr>
          <w:rFonts w:ascii="仿宋" w:eastAsia="仿宋" w:cs="仿宋"/>
          <w:sz w:val="32"/>
          <w:szCs w:val="32"/>
        </w:rPr>
      </w:pPr>
    </w:p>
    <w:p w14:paraId="6348CEA8">
      <w:pPr>
        <w:pStyle w:val="25"/>
        <w:numPr>
          <w:ilvl w:val="0"/>
          <w:numId w:val="2"/>
        </w:numPr>
        <w:spacing w:line="578" w:lineRule="exact"/>
        <w:ind w:left="0" w:firstLine="632"/>
        <w:outlineLvl w:val="1"/>
        <w:rPr>
          <w:rStyle w:val="27"/>
          <w:rFonts w:ascii="黑体" w:hAnsi="黑体" w:eastAsia="黑体" w:cs="黑体"/>
          <w:b w:val="0"/>
        </w:rPr>
      </w:pPr>
      <w:bookmarkStart w:id="22" w:name="_Toc15396605"/>
      <w:bookmarkStart w:id="23" w:name="_Toc15377207"/>
      <w:r>
        <w:rPr>
          <w:rFonts w:hint="eastAsia" w:ascii="黑体" w:hAnsi="黑体" w:eastAsia="黑体" w:cs="黑体"/>
          <w:szCs w:val="32"/>
        </w:rPr>
        <w:t>支</w:t>
      </w:r>
      <w:r>
        <w:rPr>
          <w:rStyle w:val="27"/>
          <w:rFonts w:hint="eastAsia" w:ascii="黑体" w:hAnsi="黑体" w:eastAsia="黑体" w:cs="黑体"/>
          <w:b w:val="0"/>
        </w:rPr>
        <w:t>出决算情况说明</w:t>
      </w:r>
      <w:bookmarkEnd w:id="22"/>
      <w:bookmarkEnd w:id="23"/>
    </w:p>
    <w:p w14:paraId="0DF471D6">
      <w:pPr>
        <w:spacing w:line="578" w:lineRule="exact"/>
        <w:ind w:firstLine="632" w:firstLineChars="200"/>
        <w:outlineLvl w:val="1"/>
        <w:rPr>
          <w:rFonts w:cs="仿宋"/>
          <w:szCs w:val="32"/>
        </w:rPr>
      </w:pPr>
      <w:r>
        <w:rPr>
          <w:rFonts w:hint="eastAsia" w:cs="仿宋"/>
          <w:szCs w:val="32"/>
        </w:rPr>
        <w:t>2023年本年支出合计752.17万元，其中：基本支出384.62万元，占51.13%；项目支出367.55万元，占48.86%；。</w:t>
      </w:r>
    </w:p>
    <w:p w14:paraId="6DEE7F64">
      <w:pPr>
        <w:spacing w:line="578" w:lineRule="exact"/>
        <w:jc w:val="center"/>
        <w:rPr>
          <w:rFonts w:cs="仿宋"/>
          <w:szCs w:val="32"/>
        </w:rPr>
      </w:pPr>
      <w:r>
        <w:rPr>
          <w:rFonts w:hint="eastAsia" w:cs="仿宋"/>
          <w:szCs w:val="32"/>
        </w:rPr>
        <w:t>（图3：支出决算结构图）</w:t>
      </w:r>
    </w:p>
    <w:p w14:paraId="40AB2408">
      <w:pPr>
        <w:pStyle w:val="7"/>
        <w:spacing w:before="173"/>
        <w:rPr>
          <w:rFonts w:ascii="仿宋" w:eastAsia="仿宋" w:cs="仿宋"/>
          <w:sz w:val="32"/>
          <w:szCs w:val="32"/>
        </w:rPr>
      </w:pPr>
      <w:r>
        <w:rPr>
          <w:rFonts w:hint="eastAsia" w:ascii="仿宋" w:eastAsia="仿宋"/>
          <w:sz w:val="32"/>
          <w:szCs w:val="32"/>
        </w:rPr>
        <w:drawing>
          <wp:anchor distT="0" distB="0" distL="114300" distR="114300" simplePos="0" relativeHeight="251661312" behindDoc="0" locked="0" layoutInCell="1" allowOverlap="1">
            <wp:simplePos x="0" y="0"/>
            <wp:positionH relativeFrom="column">
              <wp:posOffset>-9525</wp:posOffset>
            </wp:positionH>
            <wp:positionV relativeFrom="paragraph">
              <wp:posOffset>121920</wp:posOffset>
            </wp:positionV>
            <wp:extent cx="5616575" cy="3324860"/>
            <wp:effectExtent l="4445" t="4445" r="17780" b="23495"/>
            <wp:wrapNone/>
            <wp:docPr id="12"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3EC5AB2">
      <w:pPr>
        <w:pStyle w:val="7"/>
        <w:spacing w:before="173"/>
        <w:rPr>
          <w:rFonts w:ascii="仿宋" w:eastAsia="仿宋" w:cs="仿宋"/>
          <w:sz w:val="32"/>
          <w:szCs w:val="32"/>
        </w:rPr>
      </w:pPr>
    </w:p>
    <w:p w14:paraId="205FAF6D">
      <w:pPr>
        <w:pStyle w:val="7"/>
        <w:spacing w:before="173"/>
      </w:pPr>
    </w:p>
    <w:p w14:paraId="56DCDA56">
      <w:pPr>
        <w:pStyle w:val="7"/>
        <w:spacing w:before="173"/>
        <w:rPr>
          <w:rFonts w:ascii="仿宋" w:eastAsia="仿宋" w:cs="仿宋"/>
          <w:sz w:val="32"/>
          <w:szCs w:val="32"/>
        </w:rPr>
      </w:pPr>
    </w:p>
    <w:p w14:paraId="7FDEFFCB">
      <w:pPr>
        <w:spacing w:line="578" w:lineRule="exact"/>
        <w:rPr>
          <w:rFonts w:cs="仿宋"/>
          <w:szCs w:val="32"/>
        </w:rPr>
      </w:pPr>
    </w:p>
    <w:p w14:paraId="56C5E578">
      <w:pPr>
        <w:pStyle w:val="7"/>
        <w:spacing w:beforeLines="0" w:line="578" w:lineRule="exact"/>
        <w:rPr>
          <w:rFonts w:ascii="仿宋" w:eastAsia="仿宋" w:cs="仿宋"/>
          <w:sz w:val="32"/>
          <w:szCs w:val="32"/>
        </w:rPr>
      </w:pPr>
    </w:p>
    <w:p w14:paraId="5F5FF56D">
      <w:pPr>
        <w:pStyle w:val="7"/>
        <w:spacing w:beforeLines="0" w:line="578" w:lineRule="exact"/>
        <w:rPr>
          <w:rFonts w:ascii="仿宋" w:eastAsia="仿宋" w:cs="仿宋"/>
          <w:sz w:val="32"/>
          <w:szCs w:val="32"/>
        </w:rPr>
      </w:pPr>
    </w:p>
    <w:p w14:paraId="78781D36">
      <w:pPr>
        <w:pStyle w:val="7"/>
        <w:spacing w:beforeLines="0" w:line="578" w:lineRule="exact"/>
        <w:rPr>
          <w:rFonts w:ascii="仿宋" w:eastAsia="仿宋" w:cs="仿宋"/>
          <w:sz w:val="32"/>
          <w:szCs w:val="32"/>
        </w:rPr>
      </w:pPr>
    </w:p>
    <w:p w14:paraId="2727BFA8">
      <w:pPr>
        <w:spacing w:line="578" w:lineRule="exact"/>
        <w:ind w:firstLine="632" w:firstLineChars="200"/>
        <w:outlineLvl w:val="1"/>
        <w:rPr>
          <w:rStyle w:val="27"/>
          <w:rFonts w:ascii="黑体" w:hAnsi="黑体" w:eastAsia="黑体" w:cs="黑体"/>
          <w:b w:val="0"/>
        </w:rPr>
      </w:pPr>
      <w:bookmarkStart w:id="24" w:name="_Toc15396606"/>
      <w:bookmarkStart w:id="25" w:name="_Toc15377208"/>
      <w:r>
        <w:rPr>
          <w:rFonts w:hint="eastAsia" w:ascii="黑体" w:hAnsi="黑体" w:eastAsia="黑体" w:cs="黑体"/>
          <w:szCs w:val="32"/>
        </w:rPr>
        <w:t>四、财</w:t>
      </w:r>
      <w:r>
        <w:rPr>
          <w:rStyle w:val="27"/>
          <w:rFonts w:hint="eastAsia" w:ascii="黑体" w:hAnsi="黑体" w:eastAsia="黑体" w:cs="黑体"/>
          <w:b w:val="0"/>
        </w:rPr>
        <w:t>政拨款收入支出决算总体情况说明</w:t>
      </w:r>
      <w:bookmarkEnd w:id="24"/>
      <w:bookmarkEnd w:id="25"/>
    </w:p>
    <w:p w14:paraId="315EBFA5">
      <w:pPr>
        <w:spacing w:line="578" w:lineRule="exact"/>
        <w:ind w:firstLine="632" w:firstLineChars="200"/>
        <w:rPr>
          <w:rFonts w:cs="仿宋"/>
          <w:szCs w:val="32"/>
        </w:rPr>
      </w:pPr>
      <w:r>
        <w:rPr>
          <w:rFonts w:hint="eastAsia" w:cs="仿宋"/>
          <w:szCs w:val="32"/>
        </w:rPr>
        <w:t>2023年财政拨款收、支总计743.56万元。与2022年相比，财政拨款收、支总计各增加448.55万元，增长152.05%。主要变动原因是专项资金增加。</w:t>
      </w:r>
    </w:p>
    <w:p w14:paraId="21772B9A">
      <w:pPr>
        <w:spacing w:line="578" w:lineRule="exact"/>
        <w:jc w:val="center"/>
        <w:rPr>
          <w:rFonts w:cs="仿宋"/>
          <w:szCs w:val="32"/>
        </w:rPr>
      </w:pPr>
      <w:r>
        <w:rPr>
          <w:rFonts w:hint="eastAsia" w:cs="仿宋"/>
          <w:szCs w:val="32"/>
        </w:rPr>
        <w:t>（图4：财政拨款收、支决算总计变动情况）</w:t>
      </w:r>
    </w:p>
    <w:p w14:paraId="5293E02B">
      <w:pPr>
        <w:pStyle w:val="7"/>
        <w:spacing w:before="173"/>
        <w:rPr>
          <w:rFonts w:ascii="仿宋" w:eastAsia="仿宋" w:cs="仿宋"/>
          <w:sz w:val="32"/>
          <w:szCs w:val="32"/>
        </w:rPr>
      </w:pPr>
      <w:r>
        <w:rPr>
          <w:rFonts w:hint="eastAsia" w:ascii="仿宋" w:eastAsia="仿宋"/>
          <w:sz w:val="32"/>
          <w:szCs w:val="32"/>
        </w:rPr>
        <w:drawing>
          <wp:anchor distT="0" distB="0" distL="114300" distR="114300" simplePos="0" relativeHeight="251662336" behindDoc="0" locked="0" layoutInCell="1" allowOverlap="1">
            <wp:simplePos x="0" y="0"/>
            <wp:positionH relativeFrom="column">
              <wp:posOffset>-9525</wp:posOffset>
            </wp:positionH>
            <wp:positionV relativeFrom="paragraph">
              <wp:posOffset>118110</wp:posOffset>
            </wp:positionV>
            <wp:extent cx="5599430" cy="3689985"/>
            <wp:effectExtent l="4445" t="4445" r="15875" b="20320"/>
            <wp:wrapNone/>
            <wp:docPr id="13"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3EC31A4">
      <w:pPr>
        <w:pStyle w:val="7"/>
        <w:spacing w:before="173"/>
        <w:rPr>
          <w:rFonts w:ascii="仿宋" w:eastAsia="仿宋" w:cs="仿宋"/>
          <w:sz w:val="32"/>
          <w:szCs w:val="32"/>
        </w:rPr>
      </w:pPr>
    </w:p>
    <w:p w14:paraId="5DCF4548">
      <w:pPr>
        <w:spacing w:line="578" w:lineRule="exact"/>
        <w:rPr>
          <w:rFonts w:cs="仿宋"/>
          <w:b/>
          <w:szCs w:val="32"/>
        </w:rPr>
      </w:pPr>
    </w:p>
    <w:p w14:paraId="32152746">
      <w:pPr>
        <w:pStyle w:val="7"/>
        <w:spacing w:beforeLines="0" w:line="578" w:lineRule="exact"/>
        <w:rPr>
          <w:rFonts w:ascii="仿宋" w:eastAsia="仿宋" w:cs="仿宋"/>
          <w:b/>
          <w:sz w:val="32"/>
          <w:szCs w:val="32"/>
        </w:rPr>
      </w:pPr>
    </w:p>
    <w:p w14:paraId="31226E19">
      <w:pPr>
        <w:pStyle w:val="7"/>
        <w:spacing w:beforeLines="0" w:line="578" w:lineRule="exact"/>
        <w:rPr>
          <w:rFonts w:ascii="仿宋" w:eastAsia="仿宋" w:cs="仿宋"/>
          <w:b/>
          <w:sz w:val="32"/>
          <w:szCs w:val="32"/>
        </w:rPr>
      </w:pPr>
    </w:p>
    <w:p w14:paraId="650A9649">
      <w:pPr>
        <w:pStyle w:val="7"/>
        <w:spacing w:beforeLines="0" w:line="578" w:lineRule="exact"/>
        <w:rPr>
          <w:rFonts w:ascii="仿宋" w:eastAsia="仿宋" w:cs="仿宋"/>
          <w:b/>
          <w:sz w:val="32"/>
          <w:szCs w:val="32"/>
        </w:rPr>
      </w:pPr>
    </w:p>
    <w:p w14:paraId="53AEC0AD">
      <w:pPr>
        <w:pStyle w:val="7"/>
        <w:spacing w:beforeLines="0" w:line="578" w:lineRule="exact"/>
        <w:rPr>
          <w:rFonts w:ascii="仿宋" w:eastAsia="仿宋" w:cs="仿宋"/>
          <w:b/>
          <w:sz w:val="32"/>
          <w:szCs w:val="32"/>
        </w:rPr>
      </w:pPr>
    </w:p>
    <w:p w14:paraId="1F1443E0">
      <w:pPr>
        <w:pStyle w:val="7"/>
        <w:spacing w:beforeLines="0" w:line="578" w:lineRule="exact"/>
        <w:rPr>
          <w:rFonts w:ascii="仿宋" w:eastAsia="仿宋" w:cs="仿宋"/>
          <w:b/>
          <w:sz w:val="32"/>
          <w:szCs w:val="32"/>
        </w:rPr>
      </w:pPr>
    </w:p>
    <w:p w14:paraId="097B82A1">
      <w:pPr>
        <w:spacing w:line="578" w:lineRule="exact"/>
        <w:ind w:firstLine="632" w:firstLineChars="200"/>
        <w:outlineLvl w:val="1"/>
        <w:rPr>
          <w:rFonts w:ascii="黑体" w:hAnsi="黑体" w:eastAsia="黑体" w:cs="黑体"/>
          <w:szCs w:val="32"/>
        </w:rPr>
      </w:pPr>
      <w:bookmarkStart w:id="26" w:name="_Toc15377209"/>
      <w:bookmarkStart w:id="27" w:name="_Toc15396607"/>
    </w:p>
    <w:p w14:paraId="5F5A9DBC">
      <w:pPr>
        <w:spacing w:line="578" w:lineRule="exact"/>
        <w:ind w:firstLine="632" w:firstLineChars="200"/>
        <w:outlineLvl w:val="1"/>
        <w:rPr>
          <w:rFonts w:ascii="黑体" w:hAnsi="黑体" w:eastAsia="黑体" w:cs="黑体"/>
          <w:szCs w:val="32"/>
        </w:rPr>
      </w:pPr>
    </w:p>
    <w:p w14:paraId="3C4403E1">
      <w:pPr>
        <w:spacing w:line="578" w:lineRule="exact"/>
        <w:ind w:firstLine="632" w:firstLineChars="200"/>
        <w:outlineLvl w:val="1"/>
        <w:rPr>
          <w:rStyle w:val="27"/>
          <w:rFonts w:ascii="仿宋" w:hAnsi="仿宋" w:eastAsia="仿宋" w:cs="仿宋"/>
          <w:b w:val="0"/>
        </w:rPr>
      </w:pPr>
      <w:r>
        <w:rPr>
          <w:rFonts w:hint="eastAsia" w:ascii="黑体" w:hAnsi="黑体" w:eastAsia="黑体" w:cs="黑体"/>
          <w:szCs w:val="32"/>
        </w:rPr>
        <w:t>五、</w:t>
      </w:r>
      <w:r>
        <w:rPr>
          <w:rFonts w:hint="eastAsia" w:ascii="黑体" w:hAnsi="黑体" w:eastAsia="黑体" w:cs="黑体"/>
          <w:b/>
          <w:szCs w:val="32"/>
        </w:rPr>
        <w:t>一</w:t>
      </w:r>
      <w:r>
        <w:rPr>
          <w:rStyle w:val="27"/>
          <w:rFonts w:hint="eastAsia" w:ascii="黑体" w:hAnsi="黑体" w:eastAsia="黑体" w:cs="黑体"/>
          <w:b w:val="0"/>
        </w:rPr>
        <w:t>般公共预算财政拨款支出决算情况说明</w:t>
      </w:r>
      <w:bookmarkEnd w:id="26"/>
      <w:bookmarkEnd w:id="27"/>
    </w:p>
    <w:p w14:paraId="6010FB2F">
      <w:pPr>
        <w:spacing w:line="578" w:lineRule="exact"/>
        <w:ind w:firstLine="632" w:firstLineChars="200"/>
        <w:outlineLvl w:val="2"/>
        <w:rPr>
          <w:rFonts w:cs="仿宋"/>
          <w:b/>
          <w:szCs w:val="32"/>
        </w:rPr>
      </w:pPr>
      <w:bookmarkStart w:id="28" w:name="_Toc15377210"/>
      <w:r>
        <w:rPr>
          <w:rFonts w:hint="eastAsia" w:cs="仿宋"/>
          <w:b/>
          <w:szCs w:val="32"/>
        </w:rPr>
        <w:t>（一）一般公共预算财政拨款支出决算总体情况</w:t>
      </w:r>
      <w:bookmarkEnd w:id="28"/>
    </w:p>
    <w:p w14:paraId="14590D25">
      <w:pPr>
        <w:spacing w:line="578" w:lineRule="exact"/>
        <w:ind w:firstLine="632" w:firstLineChars="200"/>
        <w:rPr>
          <w:rFonts w:cs="仿宋"/>
          <w:szCs w:val="32"/>
        </w:rPr>
      </w:pPr>
      <w:r>
        <w:rPr>
          <w:rFonts w:hint="eastAsia" w:cs="仿宋"/>
          <w:szCs w:val="32"/>
        </w:rPr>
        <w:t>2023年一般公共预算财政拨款支出723.56万元。与2022年相比，一般公共预算财政拨款支出增加428.55万元，增长145.27%。主要变动原因是专项资金增加。</w:t>
      </w:r>
    </w:p>
    <w:p w14:paraId="170693CD">
      <w:pPr>
        <w:spacing w:line="578" w:lineRule="exact"/>
        <w:jc w:val="center"/>
        <w:rPr>
          <w:rFonts w:cs="仿宋"/>
          <w:szCs w:val="32"/>
        </w:rPr>
      </w:pPr>
      <w:r>
        <w:rPr>
          <w:rFonts w:hint="eastAsia" w:cs="仿宋"/>
          <w:szCs w:val="32"/>
        </w:rPr>
        <w:t>（图5：一般公共预算财政拨款支出决算变动情况）</w:t>
      </w:r>
    </w:p>
    <w:p w14:paraId="3D4524FF">
      <w:pPr>
        <w:pStyle w:val="7"/>
        <w:spacing w:before="173"/>
        <w:rPr>
          <w:rFonts w:ascii="仿宋" w:eastAsia="仿宋" w:cs="仿宋"/>
          <w:sz w:val="32"/>
          <w:szCs w:val="32"/>
        </w:rPr>
      </w:pPr>
      <w:r>
        <w:rPr>
          <w:rFonts w:hint="eastAsia" w:ascii="仿宋" w:eastAsia="仿宋"/>
          <w:sz w:val="32"/>
          <w:szCs w:val="32"/>
        </w:rPr>
        <w:drawing>
          <wp:anchor distT="0" distB="0" distL="114300" distR="114300" simplePos="0" relativeHeight="251663360" behindDoc="0" locked="0" layoutInCell="1" allowOverlap="1">
            <wp:simplePos x="0" y="0"/>
            <wp:positionH relativeFrom="column">
              <wp:posOffset>19050</wp:posOffset>
            </wp:positionH>
            <wp:positionV relativeFrom="paragraph">
              <wp:posOffset>98425</wp:posOffset>
            </wp:positionV>
            <wp:extent cx="5610225" cy="2094865"/>
            <wp:effectExtent l="6350" t="6350" r="22225" b="13335"/>
            <wp:wrapNone/>
            <wp:docPr id="14"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DD87B43">
      <w:pPr>
        <w:pStyle w:val="7"/>
        <w:spacing w:before="173"/>
        <w:rPr>
          <w:rFonts w:ascii="仿宋" w:eastAsia="仿宋" w:cs="仿宋"/>
          <w:sz w:val="32"/>
          <w:szCs w:val="32"/>
        </w:rPr>
      </w:pPr>
    </w:p>
    <w:p w14:paraId="6738CDFD">
      <w:pPr>
        <w:pStyle w:val="7"/>
        <w:spacing w:before="173"/>
        <w:rPr>
          <w:rFonts w:ascii="仿宋" w:eastAsia="仿宋" w:cs="仿宋"/>
          <w:sz w:val="32"/>
          <w:szCs w:val="32"/>
        </w:rPr>
      </w:pPr>
    </w:p>
    <w:p w14:paraId="6C82202A">
      <w:pPr>
        <w:pStyle w:val="7"/>
        <w:spacing w:before="173"/>
        <w:rPr>
          <w:rFonts w:ascii="仿宋" w:eastAsia="仿宋" w:cs="仿宋"/>
          <w:sz w:val="32"/>
          <w:szCs w:val="32"/>
        </w:rPr>
      </w:pPr>
    </w:p>
    <w:p w14:paraId="44A583BF">
      <w:pPr>
        <w:spacing w:line="578" w:lineRule="exact"/>
        <w:rPr>
          <w:rFonts w:cs="仿宋"/>
          <w:szCs w:val="32"/>
        </w:rPr>
      </w:pPr>
    </w:p>
    <w:p w14:paraId="081E40F0">
      <w:pPr>
        <w:spacing w:line="578" w:lineRule="exact"/>
        <w:ind w:firstLine="632" w:firstLineChars="200"/>
        <w:outlineLvl w:val="2"/>
        <w:rPr>
          <w:rFonts w:cs="仿宋"/>
          <w:b/>
          <w:szCs w:val="32"/>
        </w:rPr>
      </w:pPr>
      <w:bookmarkStart w:id="29" w:name="_Toc15377211"/>
      <w:r>
        <w:rPr>
          <w:rFonts w:hint="eastAsia" w:cs="仿宋"/>
          <w:b/>
          <w:szCs w:val="32"/>
        </w:rPr>
        <w:t>（二）一般公共预算财政拨款支出决算结构情况</w:t>
      </w:r>
      <w:bookmarkEnd w:id="29"/>
    </w:p>
    <w:p w14:paraId="67A7598D">
      <w:pPr>
        <w:spacing w:line="578" w:lineRule="exact"/>
        <w:ind w:firstLine="640"/>
        <w:rPr>
          <w:szCs w:val="32"/>
        </w:rPr>
      </w:pPr>
      <w:r>
        <w:rPr>
          <w:rFonts w:hint="eastAsia" w:cs="仿宋"/>
          <w:szCs w:val="32"/>
        </w:rPr>
        <w:t>2023年一般公共预算财政拨款支出723.56万元，主要用于以下方面:</w:t>
      </w:r>
      <w:r>
        <w:rPr>
          <w:rFonts w:hint="eastAsia"/>
          <w:b/>
          <w:szCs w:val="32"/>
        </w:rPr>
        <w:t>社会保障和就业</w:t>
      </w:r>
      <w:r>
        <w:rPr>
          <w:rFonts w:hint="eastAsia"/>
          <w:b/>
          <w:bCs/>
          <w:szCs w:val="32"/>
        </w:rPr>
        <w:t>支出</w:t>
      </w:r>
      <w:r>
        <w:rPr>
          <w:rFonts w:hint="eastAsia"/>
          <w:szCs w:val="32"/>
        </w:rPr>
        <w:t>34.97万元，占4.83</w:t>
      </w:r>
      <w:r>
        <w:rPr>
          <w:szCs w:val="32"/>
        </w:rPr>
        <w:t>%</w:t>
      </w:r>
      <w:r>
        <w:rPr>
          <w:rFonts w:hint="eastAsia"/>
          <w:szCs w:val="32"/>
        </w:rPr>
        <w:t>；</w:t>
      </w:r>
      <w:r>
        <w:rPr>
          <w:rFonts w:hint="eastAsia"/>
          <w:b/>
          <w:bCs/>
          <w:szCs w:val="32"/>
        </w:rPr>
        <w:t>卫生健康支出</w:t>
      </w:r>
      <w:r>
        <w:rPr>
          <w:rFonts w:hint="eastAsia"/>
          <w:szCs w:val="32"/>
        </w:rPr>
        <w:t>12.80万元，占1.77</w:t>
      </w:r>
      <w:r>
        <w:rPr>
          <w:szCs w:val="32"/>
        </w:rPr>
        <w:t>%</w:t>
      </w:r>
      <w:r>
        <w:rPr>
          <w:rFonts w:hint="eastAsia"/>
          <w:szCs w:val="32"/>
        </w:rPr>
        <w:t>；</w:t>
      </w:r>
      <w:r>
        <w:rPr>
          <w:rFonts w:hint="eastAsia"/>
          <w:b/>
          <w:szCs w:val="32"/>
        </w:rPr>
        <w:t>农林水支出</w:t>
      </w:r>
      <w:r>
        <w:rPr>
          <w:rFonts w:hint="eastAsia"/>
          <w:szCs w:val="32"/>
        </w:rPr>
        <w:t>657.33万元，占90.85</w:t>
      </w:r>
      <w:r>
        <w:rPr>
          <w:szCs w:val="32"/>
        </w:rPr>
        <w:t>%</w:t>
      </w:r>
      <w:r>
        <w:rPr>
          <w:rFonts w:hint="eastAsia"/>
          <w:szCs w:val="32"/>
        </w:rPr>
        <w:t>；</w:t>
      </w:r>
      <w:r>
        <w:rPr>
          <w:rFonts w:hint="eastAsia"/>
          <w:b/>
          <w:szCs w:val="32"/>
        </w:rPr>
        <w:t>住房保障支出</w:t>
      </w:r>
      <w:r>
        <w:rPr>
          <w:rFonts w:hint="eastAsia"/>
          <w:bCs/>
          <w:szCs w:val="32"/>
        </w:rPr>
        <w:t>18.46</w:t>
      </w:r>
      <w:r>
        <w:rPr>
          <w:rFonts w:hint="eastAsia"/>
          <w:szCs w:val="32"/>
        </w:rPr>
        <w:t>万元，占2.55</w:t>
      </w:r>
      <w:r>
        <w:rPr>
          <w:szCs w:val="32"/>
        </w:rPr>
        <w:t>%</w:t>
      </w:r>
      <w:r>
        <w:rPr>
          <w:rFonts w:hint="eastAsia"/>
          <w:szCs w:val="32"/>
        </w:rPr>
        <w:t>。</w:t>
      </w:r>
    </w:p>
    <w:p w14:paraId="54A7A48C">
      <w:pPr>
        <w:spacing w:line="578" w:lineRule="exact"/>
        <w:jc w:val="center"/>
        <w:rPr>
          <w:rFonts w:cs="仿宋"/>
          <w:szCs w:val="32"/>
        </w:rPr>
      </w:pPr>
      <w:r>
        <w:rPr>
          <w:rFonts w:hint="eastAsia" w:cs="仿宋"/>
          <w:szCs w:val="32"/>
        </w:rPr>
        <w:t>（图6：一般公共预算财政拨款支出决算结构）</w:t>
      </w:r>
    </w:p>
    <w:p w14:paraId="608FFB60">
      <w:pPr>
        <w:pStyle w:val="2"/>
        <w:ind w:left="632" w:firstLine="632"/>
        <w:rPr>
          <w:rFonts w:cs="仿宋"/>
          <w:szCs w:val="32"/>
        </w:rPr>
      </w:pPr>
      <w:r>
        <w:rPr>
          <w:rFonts w:hint="eastAsia"/>
          <w:szCs w:val="32"/>
        </w:rPr>
        <w:drawing>
          <wp:anchor distT="0" distB="0" distL="114300" distR="114300" simplePos="0" relativeHeight="251664384" behindDoc="0" locked="0" layoutInCell="1" allowOverlap="1">
            <wp:simplePos x="0" y="0"/>
            <wp:positionH relativeFrom="column">
              <wp:posOffset>-38100</wp:posOffset>
            </wp:positionH>
            <wp:positionV relativeFrom="paragraph">
              <wp:posOffset>66040</wp:posOffset>
            </wp:positionV>
            <wp:extent cx="5569585" cy="2600960"/>
            <wp:effectExtent l="4445" t="4445" r="7620" b="23495"/>
            <wp:wrapNone/>
            <wp:docPr id="15"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0A4261D">
      <w:pPr>
        <w:pStyle w:val="2"/>
        <w:ind w:left="632" w:firstLine="632"/>
        <w:rPr>
          <w:rFonts w:cs="仿宋"/>
          <w:szCs w:val="32"/>
        </w:rPr>
      </w:pPr>
    </w:p>
    <w:p w14:paraId="0BC712EE">
      <w:pPr>
        <w:pStyle w:val="7"/>
        <w:spacing w:beforeLines="0" w:line="578" w:lineRule="exact"/>
        <w:rPr>
          <w:rFonts w:ascii="仿宋" w:eastAsia="仿宋" w:cs="仿宋"/>
          <w:sz w:val="32"/>
          <w:szCs w:val="32"/>
        </w:rPr>
      </w:pPr>
    </w:p>
    <w:p w14:paraId="4CB2BB12">
      <w:pPr>
        <w:pStyle w:val="7"/>
        <w:spacing w:beforeLines="0" w:line="578" w:lineRule="exact"/>
        <w:rPr>
          <w:rFonts w:ascii="仿宋" w:eastAsia="仿宋" w:cs="仿宋"/>
          <w:sz w:val="32"/>
          <w:szCs w:val="32"/>
        </w:rPr>
      </w:pPr>
    </w:p>
    <w:p w14:paraId="5E83BAB1">
      <w:pPr>
        <w:pStyle w:val="7"/>
        <w:spacing w:beforeLines="0" w:line="578" w:lineRule="exact"/>
        <w:rPr>
          <w:rFonts w:ascii="仿宋" w:eastAsia="仿宋" w:cs="仿宋"/>
          <w:sz w:val="32"/>
          <w:szCs w:val="32"/>
        </w:rPr>
      </w:pPr>
    </w:p>
    <w:p w14:paraId="7886FB09">
      <w:pPr>
        <w:pStyle w:val="7"/>
        <w:spacing w:beforeLines="0" w:line="578" w:lineRule="exact"/>
        <w:rPr>
          <w:rFonts w:ascii="仿宋" w:eastAsia="仿宋" w:cs="仿宋"/>
          <w:sz w:val="32"/>
          <w:szCs w:val="32"/>
        </w:rPr>
      </w:pPr>
    </w:p>
    <w:p w14:paraId="0F85720E">
      <w:pPr>
        <w:spacing w:line="578" w:lineRule="exact"/>
        <w:ind w:firstLine="632" w:firstLineChars="200"/>
        <w:outlineLvl w:val="2"/>
        <w:rPr>
          <w:rFonts w:cs="仿宋"/>
          <w:b/>
          <w:szCs w:val="32"/>
        </w:rPr>
      </w:pPr>
      <w:bookmarkStart w:id="30" w:name="_Toc15377212"/>
    </w:p>
    <w:p w14:paraId="16C71D9B">
      <w:pPr>
        <w:spacing w:line="578" w:lineRule="exact"/>
        <w:ind w:firstLine="632" w:firstLineChars="200"/>
        <w:outlineLvl w:val="2"/>
        <w:rPr>
          <w:rFonts w:cs="仿宋"/>
          <w:b/>
          <w:szCs w:val="32"/>
        </w:rPr>
      </w:pPr>
      <w:r>
        <w:rPr>
          <w:rFonts w:hint="eastAsia" w:cs="仿宋"/>
          <w:b/>
          <w:szCs w:val="32"/>
        </w:rPr>
        <w:t>（三）一般公共预算财政拨款支出决算具体情况</w:t>
      </w:r>
      <w:bookmarkEnd w:id="30"/>
    </w:p>
    <w:p w14:paraId="2E76C2EB">
      <w:pPr>
        <w:spacing w:line="578" w:lineRule="exact"/>
        <w:ind w:firstLine="632" w:firstLineChars="200"/>
        <w:outlineLvl w:val="2"/>
        <w:rPr>
          <w:rFonts w:eastAsia="仿宋_GB2312"/>
          <w:bCs/>
        </w:rPr>
      </w:pPr>
      <w:bookmarkStart w:id="31" w:name="_Toc15377444"/>
      <w:bookmarkStart w:id="32" w:name="_Toc15377213"/>
      <w:bookmarkStart w:id="33" w:name="_Toc15378460"/>
      <w:r>
        <w:rPr>
          <w:rFonts w:hint="eastAsia" w:cs="仿宋"/>
          <w:bCs/>
          <w:szCs w:val="32"/>
        </w:rPr>
        <w:t>2023年一般公共预算支出决算数为723.56万元，</w:t>
      </w:r>
      <w:r>
        <w:rPr>
          <w:rStyle w:val="16"/>
          <w:rFonts w:hint="eastAsia" w:cs="仿宋"/>
          <w:b w:val="0"/>
          <w:bCs/>
          <w:szCs w:val="32"/>
        </w:rPr>
        <w:t>完成预算100%。其中：</w:t>
      </w:r>
      <w:bookmarkEnd w:id="31"/>
      <w:bookmarkEnd w:id="32"/>
      <w:bookmarkEnd w:id="33"/>
    </w:p>
    <w:p w14:paraId="3CD1C160">
      <w:pPr>
        <w:spacing w:line="578" w:lineRule="exact"/>
        <w:ind w:firstLine="632" w:firstLineChars="200"/>
        <w:rPr>
          <w:rStyle w:val="16"/>
          <w:rFonts w:cs="仿宋"/>
          <w:b w:val="0"/>
          <w:bCs/>
          <w:szCs w:val="32"/>
        </w:rPr>
      </w:pPr>
      <w:r>
        <w:rPr>
          <w:rStyle w:val="16"/>
          <w:rFonts w:hint="eastAsia" w:cs="仿宋"/>
          <w:bCs/>
          <w:szCs w:val="32"/>
        </w:rPr>
        <w:t>1.社会保障和就业（208）行政事业单位离退休（05）事业单位离退休（02）</w:t>
      </w:r>
      <w:r>
        <w:rPr>
          <w:rStyle w:val="16"/>
          <w:rFonts w:hint="eastAsia" w:ascii="楷体" w:hAnsi="楷体" w:eastAsia="楷体"/>
          <w:b w:val="0"/>
          <w:bCs/>
          <w:szCs w:val="32"/>
        </w:rPr>
        <w:t>:</w:t>
      </w:r>
      <w:r>
        <w:rPr>
          <w:rFonts w:hint="eastAsia"/>
          <w:szCs w:val="32"/>
        </w:rPr>
        <w:t>支出决算为2.24万元，完成预算100%</w:t>
      </w:r>
      <w:r>
        <w:rPr>
          <w:rStyle w:val="16"/>
          <w:rFonts w:hint="eastAsia" w:cs="仿宋"/>
          <w:b w:val="0"/>
          <w:szCs w:val="32"/>
        </w:rPr>
        <w:t>，决算数与预算数持平</w:t>
      </w:r>
      <w:r>
        <w:rPr>
          <w:rFonts w:hint="eastAsia"/>
          <w:szCs w:val="32"/>
        </w:rPr>
        <w:t>。</w:t>
      </w:r>
    </w:p>
    <w:p w14:paraId="5D9BC5D7">
      <w:pPr>
        <w:spacing w:line="578" w:lineRule="exact"/>
        <w:ind w:firstLine="632" w:firstLineChars="200"/>
        <w:rPr>
          <w:rStyle w:val="16"/>
          <w:rFonts w:cs="仿宋"/>
          <w:b w:val="0"/>
          <w:bCs/>
          <w:szCs w:val="32"/>
        </w:rPr>
      </w:pPr>
      <w:r>
        <w:rPr>
          <w:rStyle w:val="16"/>
          <w:rFonts w:hint="eastAsia" w:cs="仿宋"/>
          <w:bCs/>
          <w:szCs w:val="32"/>
        </w:rPr>
        <w:t>2.社会保障和就业（208）行政事业单位离退休（05）机关事业单位基本养老保险缴费支出（05）:</w:t>
      </w:r>
      <w:r>
        <w:rPr>
          <w:rStyle w:val="16"/>
          <w:rFonts w:hint="eastAsia" w:cs="仿宋"/>
          <w:b w:val="0"/>
          <w:bCs/>
          <w:szCs w:val="32"/>
        </w:rPr>
        <w:t>支出决算为10.69万元，完成预算100%</w:t>
      </w:r>
      <w:r>
        <w:rPr>
          <w:rStyle w:val="16"/>
          <w:rFonts w:hint="eastAsia" w:cs="仿宋"/>
          <w:b w:val="0"/>
          <w:szCs w:val="32"/>
        </w:rPr>
        <w:t>，决算数与预算数持平</w:t>
      </w:r>
      <w:r>
        <w:rPr>
          <w:rStyle w:val="16"/>
          <w:rFonts w:hint="eastAsia" w:cs="仿宋"/>
          <w:b w:val="0"/>
          <w:bCs/>
          <w:szCs w:val="32"/>
        </w:rPr>
        <w:t>。</w:t>
      </w:r>
    </w:p>
    <w:p w14:paraId="48CD355D">
      <w:pPr>
        <w:spacing w:line="578" w:lineRule="exact"/>
        <w:ind w:firstLine="632" w:firstLineChars="200"/>
      </w:pPr>
      <w:r>
        <w:rPr>
          <w:rStyle w:val="16"/>
          <w:rFonts w:hint="eastAsia" w:cs="仿宋"/>
          <w:bCs/>
          <w:szCs w:val="32"/>
        </w:rPr>
        <w:t>3.社会保障和就业（208）行政事业单位离退休（05）其他机关事业单位养老支出（99）:</w:t>
      </w:r>
      <w:r>
        <w:rPr>
          <w:rStyle w:val="16"/>
          <w:rFonts w:hint="eastAsia" w:cs="仿宋"/>
          <w:b w:val="0"/>
          <w:bCs/>
          <w:szCs w:val="32"/>
        </w:rPr>
        <w:t>支出决算为20.32万元，完成预算100%</w:t>
      </w:r>
      <w:r>
        <w:rPr>
          <w:rStyle w:val="16"/>
          <w:rFonts w:hint="eastAsia" w:cs="仿宋"/>
          <w:b w:val="0"/>
          <w:szCs w:val="32"/>
        </w:rPr>
        <w:t>，决算数与预算数持平</w:t>
      </w:r>
      <w:r>
        <w:rPr>
          <w:rStyle w:val="16"/>
          <w:rFonts w:hint="eastAsia" w:cs="仿宋"/>
          <w:b w:val="0"/>
          <w:bCs/>
          <w:szCs w:val="32"/>
        </w:rPr>
        <w:t>。</w:t>
      </w:r>
    </w:p>
    <w:p w14:paraId="5882E951">
      <w:pPr>
        <w:spacing w:line="578" w:lineRule="exact"/>
        <w:ind w:firstLine="632" w:firstLineChars="200"/>
        <w:rPr>
          <w:rStyle w:val="16"/>
          <w:b w:val="0"/>
          <w:bCs/>
          <w:szCs w:val="32"/>
        </w:rPr>
      </w:pPr>
      <w:r>
        <w:rPr>
          <w:rStyle w:val="16"/>
          <w:rFonts w:hint="eastAsia" w:cs="仿宋"/>
          <w:bCs/>
          <w:szCs w:val="32"/>
        </w:rPr>
        <w:t>4.社会保障和就业（208）抚恤（08）死亡抚恤（01）</w:t>
      </w:r>
      <w:r>
        <w:rPr>
          <w:rStyle w:val="16"/>
          <w:rFonts w:ascii="楷体" w:hAnsi="楷体" w:eastAsia="楷体"/>
          <w:b w:val="0"/>
          <w:bCs/>
          <w:szCs w:val="32"/>
        </w:rPr>
        <w:t>:</w:t>
      </w:r>
      <w:r>
        <w:rPr>
          <w:rStyle w:val="16"/>
          <w:rFonts w:hint="eastAsia"/>
          <w:b w:val="0"/>
          <w:bCs/>
          <w:szCs w:val="32"/>
        </w:rPr>
        <w:t>支出决算为1.42万元，完成预算100</w:t>
      </w:r>
      <w:r>
        <w:rPr>
          <w:rStyle w:val="16"/>
          <w:b w:val="0"/>
          <w:bCs/>
          <w:szCs w:val="32"/>
        </w:rPr>
        <w:t>%</w:t>
      </w:r>
      <w:r>
        <w:rPr>
          <w:rStyle w:val="16"/>
          <w:rFonts w:hint="eastAsia" w:cs="仿宋"/>
          <w:b w:val="0"/>
          <w:szCs w:val="32"/>
        </w:rPr>
        <w:t>，决算数与预算数持平</w:t>
      </w:r>
      <w:r>
        <w:rPr>
          <w:rStyle w:val="16"/>
          <w:rFonts w:hint="eastAsia"/>
          <w:b w:val="0"/>
          <w:bCs/>
          <w:szCs w:val="32"/>
        </w:rPr>
        <w:t>。</w:t>
      </w:r>
    </w:p>
    <w:p w14:paraId="3724DD71">
      <w:pPr>
        <w:spacing w:line="578" w:lineRule="exact"/>
        <w:ind w:firstLine="632" w:firstLineChars="200"/>
      </w:pPr>
      <w:r>
        <w:rPr>
          <w:rStyle w:val="16"/>
          <w:rFonts w:hint="eastAsia" w:cs="仿宋"/>
          <w:bCs/>
          <w:szCs w:val="32"/>
        </w:rPr>
        <w:t>5.社会保障和就业（208）其他社会保障和就业支出（99）其他社会保障和就业支出（99）:</w:t>
      </w:r>
      <w:r>
        <w:rPr>
          <w:rStyle w:val="16"/>
          <w:rFonts w:hint="eastAsia" w:cs="仿宋"/>
          <w:b w:val="0"/>
          <w:bCs/>
          <w:szCs w:val="32"/>
        </w:rPr>
        <w:t>支出决算为0.30万元，完成预算100%</w:t>
      </w:r>
      <w:r>
        <w:rPr>
          <w:rStyle w:val="16"/>
          <w:rFonts w:hint="eastAsia" w:cs="仿宋"/>
          <w:b w:val="0"/>
          <w:szCs w:val="32"/>
        </w:rPr>
        <w:t>，决算数与预算数持平</w:t>
      </w:r>
      <w:r>
        <w:rPr>
          <w:rStyle w:val="16"/>
          <w:rFonts w:hint="eastAsia" w:cs="仿宋"/>
          <w:b w:val="0"/>
          <w:bCs/>
          <w:szCs w:val="32"/>
        </w:rPr>
        <w:t>。</w:t>
      </w:r>
    </w:p>
    <w:p w14:paraId="20887E41">
      <w:pPr>
        <w:spacing w:line="578" w:lineRule="exact"/>
        <w:ind w:firstLine="632" w:firstLineChars="200"/>
        <w:rPr>
          <w:rStyle w:val="16"/>
          <w:b w:val="0"/>
          <w:bCs/>
          <w:szCs w:val="32"/>
        </w:rPr>
      </w:pPr>
      <w:r>
        <w:rPr>
          <w:rStyle w:val="16"/>
          <w:rFonts w:hint="eastAsia" w:cs="仿宋"/>
          <w:bCs/>
          <w:szCs w:val="32"/>
        </w:rPr>
        <w:t>6.卫生健康支出（210）行政事业单位医疗（11）事业单位医疗（02）</w:t>
      </w:r>
      <w:r>
        <w:rPr>
          <w:rStyle w:val="16"/>
          <w:rFonts w:ascii="楷体" w:hAnsi="楷体" w:eastAsia="楷体"/>
          <w:b w:val="0"/>
          <w:bCs/>
          <w:szCs w:val="32"/>
        </w:rPr>
        <w:t>:</w:t>
      </w:r>
      <w:r>
        <w:rPr>
          <w:rStyle w:val="16"/>
          <w:rFonts w:hint="eastAsia"/>
          <w:b w:val="0"/>
          <w:bCs/>
          <w:szCs w:val="32"/>
        </w:rPr>
        <w:t>支出决算为12.80万元，完成预算100</w:t>
      </w:r>
      <w:r>
        <w:rPr>
          <w:rStyle w:val="16"/>
          <w:b w:val="0"/>
          <w:bCs/>
          <w:szCs w:val="32"/>
        </w:rPr>
        <w:t>%</w:t>
      </w:r>
      <w:r>
        <w:rPr>
          <w:rStyle w:val="16"/>
          <w:rFonts w:hint="eastAsia" w:cs="仿宋"/>
          <w:b w:val="0"/>
          <w:szCs w:val="32"/>
        </w:rPr>
        <w:t>，决算数与预算数持平</w:t>
      </w:r>
      <w:r>
        <w:rPr>
          <w:rStyle w:val="16"/>
          <w:rFonts w:hint="eastAsia"/>
          <w:b w:val="0"/>
          <w:bCs/>
          <w:szCs w:val="32"/>
        </w:rPr>
        <w:t>。</w:t>
      </w:r>
    </w:p>
    <w:p w14:paraId="6D02B3A5">
      <w:pPr>
        <w:spacing w:line="578" w:lineRule="exact"/>
        <w:ind w:firstLine="632" w:firstLineChars="200"/>
        <w:rPr>
          <w:rStyle w:val="16"/>
          <w:b w:val="0"/>
          <w:bCs/>
          <w:szCs w:val="32"/>
        </w:rPr>
      </w:pPr>
      <w:r>
        <w:rPr>
          <w:rStyle w:val="16"/>
          <w:rFonts w:hint="eastAsia" w:cs="仿宋"/>
          <w:bCs/>
          <w:szCs w:val="32"/>
        </w:rPr>
        <w:t>7.农林水支出（213）农业（01）事业运行（04）</w:t>
      </w:r>
      <w:r>
        <w:rPr>
          <w:rStyle w:val="16"/>
          <w:rFonts w:hint="eastAsia" w:ascii="楷体" w:hAnsi="楷体" w:eastAsia="楷体"/>
          <w:b w:val="0"/>
          <w:bCs/>
          <w:szCs w:val="32"/>
        </w:rPr>
        <w:t>：</w:t>
      </w:r>
      <w:r>
        <w:rPr>
          <w:rStyle w:val="16"/>
          <w:rFonts w:hint="eastAsia"/>
          <w:b w:val="0"/>
          <w:bCs/>
          <w:szCs w:val="32"/>
        </w:rPr>
        <w:t>支出决算为311.39万元，完成预算100</w:t>
      </w:r>
      <w:r>
        <w:rPr>
          <w:rStyle w:val="16"/>
          <w:b w:val="0"/>
          <w:bCs/>
          <w:szCs w:val="32"/>
        </w:rPr>
        <w:t>%</w:t>
      </w:r>
      <w:r>
        <w:rPr>
          <w:rStyle w:val="16"/>
          <w:rFonts w:hint="eastAsia" w:cs="仿宋"/>
          <w:b w:val="0"/>
          <w:szCs w:val="32"/>
        </w:rPr>
        <w:t>，决算数与预算数持平</w:t>
      </w:r>
      <w:r>
        <w:rPr>
          <w:rStyle w:val="16"/>
          <w:rFonts w:hint="eastAsia"/>
          <w:b w:val="0"/>
          <w:bCs/>
          <w:szCs w:val="32"/>
        </w:rPr>
        <w:t>。</w:t>
      </w:r>
    </w:p>
    <w:p w14:paraId="041AB1A8">
      <w:pPr>
        <w:pStyle w:val="7"/>
        <w:spacing w:beforeLines="0" w:line="578" w:lineRule="exact"/>
        <w:ind w:firstLine="632" w:firstLineChars="200"/>
        <w:rPr>
          <w:rStyle w:val="16"/>
          <w:rFonts w:ascii="仿宋" w:eastAsia="仿宋"/>
          <w:b w:val="0"/>
          <w:bCs/>
          <w:sz w:val="32"/>
          <w:szCs w:val="32"/>
        </w:rPr>
      </w:pPr>
      <w:r>
        <w:rPr>
          <w:rStyle w:val="16"/>
          <w:rFonts w:hint="eastAsia" w:ascii="仿宋" w:eastAsia="仿宋" w:cs="仿宋"/>
          <w:bCs/>
          <w:sz w:val="32"/>
          <w:szCs w:val="32"/>
        </w:rPr>
        <w:t>8.农林水支出（213）农业（01）病虫害控制（08）</w:t>
      </w:r>
      <w:r>
        <w:rPr>
          <w:rStyle w:val="16"/>
          <w:rFonts w:hint="eastAsia" w:ascii="楷体" w:hAnsi="楷体" w:eastAsia="楷体"/>
          <w:b w:val="0"/>
          <w:bCs/>
          <w:sz w:val="32"/>
          <w:szCs w:val="32"/>
        </w:rPr>
        <w:t>：</w:t>
      </w:r>
      <w:r>
        <w:rPr>
          <w:rStyle w:val="16"/>
          <w:rFonts w:hint="eastAsia" w:ascii="仿宋" w:eastAsia="仿宋"/>
          <w:b w:val="0"/>
          <w:bCs/>
          <w:sz w:val="32"/>
          <w:szCs w:val="32"/>
        </w:rPr>
        <w:t>支出决算为7.00万元，完成预算100</w:t>
      </w:r>
      <w:r>
        <w:rPr>
          <w:rStyle w:val="16"/>
          <w:rFonts w:ascii="仿宋" w:eastAsia="仿宋"/>
          <w:b w:val="0"/>
          <w:bCs/>
          <w:sz w:val="32"/>
          <w:szCs w:val="32"/>
        </w:rPr>
        <w:t>%</w:t>
      </w:r>
      <w:r>
        <w:rPr>
          <w:rStyle w:val="16"/>
          <w:rFonts w:hint="eastAsia" w:ascii="仿宋" w:eastAsia="仿宋" w:cs="仿宋"/>
          <w:b w:val="0"/>
          <w:sz w:val="32"/>
          <w:szCs w:val="32"/>
        </w:rPr>
        <w:t>，决算数与预算数持平</w:t>
      </w:r>
      <w:r>
        <w:rPr>
          <w:rStyle w:val="16"/>
          <w:rFonts w:hint="eastAsia" w:ascii="仿宋" w:eastAsia="仿宋"/>
          <w:b w:val="0"/>
          <w:bCs/>
          <w:sz w:val="32"/>
          <w:szCs w:val="32"/>
        </w:rPr>
        <w:t>。</w:t>
      </w:r>
    </w:p>
    <w:p w14:paraId="3F335B26">
      <w:pPr>
        <w:pStyle w:val="7"/>
        <w:spacing w:beforeLines="0" w:line="578" w:lineRule="exact"/>
        <w:ind w:firstLine="632" w:firstLineChars="200"/>
        <w:rPr>
          <w:rStyle w:val="16"/>
          <w:rFonts w:ascii="仿宋" w:eastAsia="仿宋"/>
          <w:b w:val="0"/>
          <w:bCs/>
          <w:sz w:val="32"/>
          <w:szCs w:val="32"/>
        </w:rPr>
      </w:pPr>
      <w:r>
        <w:rPr>
          <w:rStyle w:val="16"/>
          <w:rFonts w:hint="eastAsia" w:ascii="仿宋" w:eastAsia="仿宋" w:cs="仿宋"/>
          <w:bCs/>
          <w:sz w:val="32"/>
          <w:szCs w:val="32"/>
        </w:rPr>
        <w:t>9.农林水支出（213）农业（01）防灾救灾（19）</w:t>
      </w:r>
      <w:r>
        <w:rPr>
          <w:rStyle w:val="16"/>
          <w:rFonts w:hint="eastAsia" w:ascii="楷体" w:hAnsi="楷体" w:eastAsia="楷体"/>
          <w:b w:val="0"/>
          <w:bCs/>
          <w:sz w:val="32"/>
          <w:szCs w:val="32"/>
        </w:rPr>
        <w:t>：</w:t>
      </w:r>
      <w:r>
        <w:rPr>
          <w:rStyle w:val="16"/>
          <w:rFonts w:hint="eastAsia" w:ascii="仿宋" w:eastAsia="仿宋"/>
          <w:b w:val="0"/>
          <w:bCs/>
          <w:sz w:val="32"/>
          <w:szCs w:val="32"/>
        </w:rPr>
        <w:t>支出决算为44.00万元，完成预算100</w:t>
      </w:r>
      <w:r>
        <w:rPr>
          <w:rStyle w:val="16"/>
          <w:rFonts w:ascii="仿宋" w:eastAsia="仿宋"/>
          <w:b w:val="0"/>
          <w:bCs/>
          <w:sz w:val="32"/>
          <w:szCs w:val="32"/>
        </w:rPr>
        <w:t>%</w:t>
      </w:r>
      <w:r>
        <w:rPr>
          <w:rStyle w:val="16"/>
          <w:rFonts w:hint="eastAsia" w:ascii="仿宋" w:eastAsia="仿宋" w:cs="仿宋"/>
          <w:b w:val="0"/>
          <w:sz w:val="32"/>
          <w:szCs w:val="32"/>
        </w:rPr>
        <w:t>，决算数与预算数持平</w:t>
      </w:r>
      <w:r>
        <w:rPr>
          <w:rStyle w:val="16"/>
          <w:rFonts w:hint="eastAsia" w:ascii="仿宋" w:eastAsia="仿宋"/>
          <w:b w:val="0"/>
          <w:bCs/>
          <w:sz w:val="32"/>
          <w:szCs w:val="32"/>
        </w:rPr>
        <w:t>。</w:t>
      </w:r>
    </w:p>
    <w:p w14:paraId="26FC69FF">
      <w:pPr>
        <w:pStyle w:val="7"/>
        <w:spacing w:beforeLines="0" w:line="578" w:lineRule="exact"/>
        <w:ind w:firstLine="632" w:firstLineChars="200"/>
        <w:rPr>
          <w:rFonts w:eastAsia="仿宋"/>
        </w:rPr>
      </w:pPr>
      <w:r>
        <w:rPr>
          <w:rStyle w:val="16"/>
          <w:rFonts w:hint="eastAsia" w:ascii="仿宋" w:eastAsia="仿宋" w:cs="仿宋"/>
          <w:bCs/>
          <w:sz w:val="32"/>
          <w:szCs w:val="32"/>
        </w:rPr>
        <w:t>10.农林水支出（213）农业（01）其他农业农村支出（99）</w:t>
      </w:r>
      <w:r>
        <w:rPr>
          <w:rStyle w:val="16"/>
          <w:rFonts w:hint="eastAsia" w:ascii="楷体" w:hAnsi="楷体" w:eastAsia="楷体"/>
          <w:b w:val="0"/>
          <w:bCs/>
          <w:sz w:val="32"/>
          <w:szCs w:val="32"/>
        </w:rPr>
        <w:t>：</w:t>
      </w:r>
      <w:r>
        <w:rPr>
          <w:rStyle w:val="16"/>
          <w:rFonts w:hint="eastAsia" w:ascii="仿宋" w:eastAsia="仿宋"/>
          <w:b w:val="0"/>
          <w:bCs/>
          <w:sz w:val="32"/>
          <w:szCs w:val="32"/>
        </w:rPr>
        <w:t>支出决算为191.70万元，完成预算100</w:t>
      </w:r>
      <w:r>
        <w:rPr>
          <w:rStyle w:val="16"/>
          <w:rFonts w:ascii="仿宋" w:eastAsia="仿宋"/>
          <w:b w:val="0"/>
          <w:bCs/>
          <w:sz w:val="32"/>
          <w:szCs w:val="32"/>
        </w:rPr>
        <w:t>%</w:t>
      </w:r>
      <w:r>
        <w:rPr>
          <w:rStyle w:val="16"/>
          <w:rFonts w:hint="eastAsia" w:ascii="仿宋" w:eastAsia="仿宋" w:cs="仿宋"/>
          <w:b w:val="0"/>
          <w:sz w:val="32"/>
          <w:szCs w:val="32"/>
        </w:rPr>
        <w:t>，决算数与预算数持平</w:t>
      </w:r>
      <w:r>
        <w:rPr>
          <w:rStyle w:val="16"/>
          <w:rFonts w:hint="eastAsia" w:ascii="仿宋" w:eastAsia="仿宋"/>
          <w:b w:val="0"/>
          <w:bCs/>
          <w:sz w:val="32"/>
          <w:szCs w:val="32"/>
        </w:rPr>
        <w:t>。</w:t>
      </w:r>
    </w:p>
    <w:p w14:paraId="76266A52">
      <w:pPr>
        <w:pStyle w:val="7"/>
        <w:spacing w:beforeLines="0" w:line="578" w:lineRule="exact"/>
        <w:ind w:firstLine="632" w:firstLineChars="200"/>
      </w:pPr>
      <w:r>
        <w:rPr>
          <w:rStyle w:val="16"/>
          <w:rFonts w:hint="eastAsia" w:ascii="仿宋" w:eastAsia="仿宋" w:cs="仿宋"/>
          <w:bCs/>
          <w:sz w:val="32"/>
          <w:szCs w:val="32"/>
        </w:rPr>
        <w:t>11.农林水支出（213）巩固脱贫攻坚成果衔接乡村振兴支出（05）其他巩固脱贫攻坚成果衔接乡村振兴支出（99）</w:t>
      </w:r>
      <w:r>
        <w:rPr>
          <w:rStyle w:val="16"/>
          <w:rFonts w:hint="eastAsia" w:ascii="楷体" w:hAnsi="楷体" w:eastAsia="楷体"/>
          <w:b w:val="0"/>
          <w:bCs/>
          <w:sz w:val="32"/>
          <w:szCs w:val="32"/>
        </w:rPr>
        <w:t>：</w:t>
      </w:r>
      <w:r>
        <w:rPr>
          <w:rStyle w:val="16"/>
          <w:rFonts w:hint="eastAsia" w:ascii="仿宋" w:eastAsia="仿宋"/>
          <w:b w:val="0"/>
          <w:bCs/>
          <w:sz w:val="32"/>
          <w:szCs w:val="32"/>
        </w:rPr>
        <w:t>支出决算为100.00万元，完成预算100</w:t>
      </w:r>
      <w:r>
        <w:rPr>
          <w:rStyle w:val="16"/>
          <w:rFonts w:ascii="仿宋" w:eastAsia="仿宋"/>
          <w:b w:val="0"/>
          <w:bCs/>
          <w:sz w:val="32"/>
          <w:szCs w:val="32"/>
        </w:rPr>
        <w:t>%</w:t>
      </w:r>
      <w:r>
        <w:rPr>
          <w:rStyle w:val="16"/>
          <w:rFonts w:hint="eastAsia" w:ascii="仿宋" w:eastAsia="仿宋" w:cs="仿宋"/>
          <w:b w:val="0"/>
          <w:sz w:val="32"/>
          <w:szCs w:val="32"/>
        </w:rPr>
        <w:t>，决算数与预算数持平</w:t>
      </w:r>
      <w:r>
        <w:rPr>
          <w:rStyle w:val="16"/>
          <w:rFonts w:hint="eastAsia" w:ascii="仿宋" w:eastAsia="仿宋"/>
          <w:b w:val="0"/>
          <w:bCs/>
          <w:sz w:val="32"/>
          <w:szCs w:val="32"/>
        </w:rPr>
        <w:t>。</w:t>
      </w:r>
    </w:p>
    <w:p w14:paraId="47C7320D">
      <w:pPr>
        <w:spacing w:line="578" w:lineRule="exact"/>
        <w:ind w:firstLine="632" w:firstLineChars="200"/>
        <w:rPr>
          <w:rFonts w:cs="仿宋"/>
          <w:b/>
          <w:szCs w:val="32"/>
        </w:rPr>
      </w:pPr>
      <w:r>
        <w:rPr>
          <w:rStyle w:val="16"/>
          <w:rFonts w:hint="eastAsia" w:cs="仿宋"/>
          <w:bCs/>
          <w:szCs w:val="32"/>
        </w:rPr>
        <w:t>12.农林水支出（213）其他农林水支出（99）其他农林水支出（99）</w:t>
      </w:r>
      <w:r>
        <w:rPr>
          <w:rStyle w:val="16"/>
          <w:rFonts w:hint="eastAsia" w:ascii="楷体" w:hAnsi="楷体" w:eastAsia="楷体"/>
          <w:b w:val="0"/>
          <w:bCs/>
          <w:szCs w:val="32"/>
        </w:rPr>
        <w:t>：</w:t>
      </w:r>
      <w:r>
        <w:rPr>
          <w:rStyle w:val="16"/>
          <w:rFonts w:hint="eastAsia"/>
          <w:b w:val="0"/>
          <w:bCs/>
          <w:szCs w:val="32"/>
        </w:rPr>
        <w:t>支出决算为3.24万元，完成预算100</w:t>
      </w:r>
      <w:r>
        <w:rPr>
          <w:rStyle w:val="16"/>
          <w:b w:val="0"/>
          <w:bCs/>
          <w:szCs w:val="32"/>
        </w:rPr>
        <w:t>%</w:t>
      </w:r>
      <w:r>
        <w:rPr>
          <w:rStyle w:val="16"/>
          <w:rFonts w:hint="eastAsia" w:cs="仿宋"/>
          <w:b w:val="0"/>
          <w:szCs w:val="32"/>
        </w:rPr>
        <w:t>，决算数与预算数持平</w:t>
      </w:r>
      <w:r>
        <w:rPr>
          <w:rStyle w:val="16"/>
          <w:rFonts w:hint="eastAsia"/>
          <w:b w:val="0"/>
          <w:bCs/>
          <w:szCs w:val="32"/>
        </w:rPr>
        <w:t>。</w:t>
      </w:r>
    </w:p>
    <w:p w14:paraId="3FC49940">
      <w:pPr>
        <w:spacing w:line="578" w:lineRule="exact"/>
        <w:ind w:firstLine="632" w:firstLineChars="200"/>
      </w:pPr>
      <w:r>
        <w:rPr>
          <w:rStyle w:val="16"/>
          <w:rFonts w:hint="eastAsia" w:cs="仿宋"/>
          <w:bCs/>
          <w:szCs w:val="32"/>
        </w:rPr>
        <w:t>13.住房保障支出（221）住房改革支出（02）住房公积金（01）:</w:t>
      </w:r>
      <w:r>
        <w:rPr>
          <w:rStyle w:val="16"/>
          <w:rFonts w:hint="eastAsia" w:cs="仿宋"/>
          <w:b w:val="0"/>
          <w:szCs w:val="32"/>
        </w:rPr>
        <w:t>支出决算为18.46万元，完成预算100%，决算数与预算数持平。</w:t>
      </w:r>
    </w:p>
    <w:p w14:paraId="119456C3">
      <w:pPr>
        <w:tabs>
          <w:tab w:val="right" w:pos="8306"/>
        </w:tabs>
        <w:spacing w:line="578" w:lineRule="exact"/>
        <w:ind w:firstLine="632" w:firstLineChars="200"/>
        <w:outlineLvl w:val="1"/>
        <w:rPr>
          <w:rStyle w:val="27"/>
          <w:rFonts w:ascii="仿宋" w:hAnsi="仿宋" w:eastAsia="仿宋" w:cs="仿宋"/>
        </w:rPr>
      </w:pPr>
      <w:bookmarkStart w:id="34" w:name="_Toc15396608"/>
      <w:bookmarkStart w:id="35" w:name="_Toc15377214"/>
      <w:r>
        <w:rPr>
          <w:rFonts w:hint="eastAsia" w:ascii="黑体" w:hAnsi="黑体" w:eastAsia="黑体" w:cs="黑体"/>
          <w:szCs w:val="32"/>
        </w:rPr>
        <w:t>六</w:t>
      </w:r>
      <w:r>
        <w:rPr>
          <w:rFonts w:hint="eastAsia" w:ascii="黑体" w:hAnsi="黑体" w:eastAsia="黑体" w:cs="黑体"/>
          <w:b/>
          <w:szCs w:val="32"/>
        </w:rPr>
        <w:t>、一</w:t>
      </w:r>
      <w:r>
        <w:rPr>
          <w:rStyle w:val="27"/>
          <w:rFonts w:hint="eastAsia" w:ascii="黑体" w:hAnsi="黑体" w:eastAsia="黑体" w:cs="黑体"/>
          <w:b w:val="0"/>
        </w:rPr>
        <w:t>般公共预算财政拨款基本支出决算情况说明</w:t>
      </w:r>
      <w:bookmarkEnd w:id="34"/>
      <w:bookmarkEnd w:id="35"/>
      <w:r>
        <w:rPr>
          <w:rStyle w:val="27"/>
          <w:rFonts w:hint="eastAsia" w:ascii="仿宋" w:hAnsi="仿宋" w:eastAsia="仿宋" w:cs="仿宋"/>
          <w:b w:val="0"/>
        </w:rPr>
        <w:tab/>
      </w:r>
    </w:p>
    <w:p w14:paraId="6897ED60">
      <w:pPr>
        <w:spacing w:line="578" w:lineRule="exact"/>
        <w:ind w:firstLine="632" w:firstLineChars="200"/>
        <w:rPr>
          <w:rFonts w:cs="仿宋"/>
          <w:szCs w:val="32"/>
        </w:rPr>
      </w:pPr>
      <w:r>
        <w:rPr>
          <w:rFonts w:hint="eastAsia" w:cs="仿宋"/>
          <w:szCs w:val="32"/>
        </w:rPr>
        <w:t>2023年一般公共预算财政拨款基本支出384.62万元，其中：</w:t>
      </w:r>
    </w:p>
    <w:p w14:paraId="025B859F">
      <w:pPr>
        <w:spacing w:line="578" w:lineRule="exact"/>
        <w:ind w:firstLine="632" w:firstLineChars="200"/>
        <w:rPr>
          <w:rFonts w:cs="仿宋"/>
          <w:szCs w:val="32"/>
        </w:rPr>
      </w:pPr>
      <w:r>
        <w:rPr>
          <w:rFonts w:hint="eastAsia" w:cs="仿宋"/>
          <w:szCs w:val="32"/>
        </w:rPr>
        <w:t>人员经费326.16万元，主要包括：基本工资102.65万元、津贴补贴2.27万元、奖金16.48万元、绩效工资131.01万元、机关事业单位基本养老保险缴费10.69万元、职工基本医疗保险缴费12.80万元、其他社会保障缴费0.30万元、住房公积金18.46万元、其他工资福利支出5.40万元、抚恤金1.42万元、生活补助24.64万元、奖励金0.04万元。</w:t>
      </w:r>
      <w:r>
        <w:rPr>
          <w:rFonts w:hint="eastAsia" w:cs="仿宋"/>
          <w:szCs w:val="32"/>
        </w:rPr>
        <w:br w:type="textWrapping"/>
      </w:r>
      <w:r>
        <w:rPr>
          <w:rFonts w:hint="eastAsia" w:cs="仿宋"/>
          <w:szCs w:val="32"/>
        </w:rPr>
        <w:t>　　公用经费58.46万元，主要包括：办公费4.97万元、水费0.20万元、电费0.80万元、差旅费11.36万元、维修（护）费0.24万元、培训费1.05万元、劳务费1.61万元、委托业务费5.30万元、工会经费2.20万元、福利费14.09万元、公务用车运行维护费2.78万元、其他交通费用5.80万元、其他商品和服务支出8.06万元。</w:t>
      </w:r>
    </w:p>
    <w:p w14:paraId="40D62A18">
      <w:pPr>
        <w:spacing w:line="578" w:lineRule="exact"/>
        <w:ind w:firstLine="632" w:firstLineChars="200"/>
        <w:outlineLvl w:val="1"/>
        <w:rPr>
          <w:rStyle w:val="27"/>
          <w:rFonts w:ascii="黑体" w:hAnsi="黑体" w:eastAsia="黑体" w:cs="黑体"/>
          <w:b w:val="0"/>
          <w:bCs w:val="0"/>
        </w:rPr>
      </w:pPr>
      <w:bookmarkStart w:id="36" w:name="_Toc15396609"/>
      <w:bookmarkStart w:id="37" w:name="_Toc15377215"/>
      <w:r>
        <w:rPr>
          <w:rFonts w:hint="eastAsia" w:ascii="黑体" w:hAnsi="黑体" w:eastAsia="黑体" w:cs="黑体"/>
          <w:szCs w:val="32"/>
        </w:rPr>
        <w:t>七、</w:t>
      </w:r>
      <w:bookmarkEnd w:id="36"/>
      <w:bookmarkEnd w:id="37"/>
      <w:r>
        <w:rPr>
          <w:rStyle w:val="27"/>
          <w:rFonts w:hint="eastAsia" w:ascii="黑体" w:hAnsi="黑体" w:eastAsia="黑体" w:cs="黑体"/>
          <w:b w:val="0"/>
          <w:bCs w:val="0"/>
        </w:rPr>
        <w:t>财政拨款“三公”经费支出决算情况说明</w:t>
      </w:r>
    </w:p>
    <w:p w14:paraId="5FA31949">
      <w:pPr>
        <w:spacing w:line="578" w:lineRule="exact"/>
        <w:ind w:firstLine="632" w:firstLineChars="200"/>
        <w:outlineLvl w:val="2"/>
        <w:rPr>
          <w:rFonts w:cs="仿宋"/>
          <w:b/>
          <w:szCs w:val="32"/>
        </w:rPr>
      </w:pPr>
      <w:r>
        <w:rPr>
          <w:rFonts w:hint="eastAsia" w:cs="仿宋"/>
          <w:b/>
          <w:szCs w:val="32"/>
        </w:rPr>
        <w:t>（一）“三公”经费财政拨款支出决算总体情况说明</w:t>
      </w:r>
    </w:p>
    <w:p w14:paraId="23EC5E70">
      <w:pPr>
        <w:spacing w:line="578" w:lineRule="exact"/>
        <w:ind w:firstLine="632" w:firstLineChars="200"/>
        <w:rPr>
          <w:rFonts w:cs="仿宋"/>
          <w:szCs w:val="32"/>
        </w:rPr>
      </w:pPr>
      <w:r>
        <w:rPr>
          <w:rFonts w:hint="eastAsia" w:cs="仿宋"/>
          <w:szCs w:val="32"/>
        </w:rPr>
        <w:t>2023年“三公”经费财政拨款支出决算为2.78万元，完成预算73.94%，</w:t>
      </w:r>
      <w:r>
        <w:rPr>
          <w:rFonts w:hint="eastAsia"/>
          <w:szCs w:val="32"/>
        </w:rPr>
        <w:t>较上年增加2.22万元，增加396%，决算数小于预算数的主要原因为部分支出未支付，较上年增加主要原因为车辆运行维护费增加</w:t>
      </w:r>
      <w:r>
        <w:rPr>
          <w:rFonts w:hint="eastAsia" w:cs="仿宋"/>
          <w:szCs w:val="32"/>
        </w:rPr>
        <w:t>。</w:t>
      </w:r>
    </w:p>
    <w:p w14:paraId="79F714EE">
      <w:pPr>
        <w:spacing w:line="578" w:lineRule="exact"/>
        <w:ind w:firstLine="632" w:firstLineChars="200"/>
        <w:outlineLvl w:val="2"/>
        <w:rPr>
          <w:rFonts w:cs="仿宋"/>
          <w:b/>
          <w:szCs w:val="32"/>
        </w:rPr>
      </w:pPr>
      <w:bookmarkStart w:id="38" w:name="_Toc15377217"/>
      <w:r>
        <w:rPr>
          <w:rFonts w:hint="eastAsia" w:cs="仿宋"/>
          <w:b/>
          <w:szCs w:val="32"/>
        </w:rPr>
        <w:t>（二）“三公”经费财政拨款支出决算具体情况说明</w:t>
      </w:r>
      <w:bookmarkEnd w:id="38"/>
    </w:p>
    <w:p w14:paraId="5150F8D7">
      <w:pPr>
        <w:spacing w:line="578" w:lineRule="exact"/>
        <w:ind w:firstLine="632" w:firstLineChars="200"/>
        <w:rPr>
          <w:rFonts w:cs="仿宋"/>
          <w:szCs w:val="32"/>
        </w:rPr>
      </w:pPr>
      <w:r>
        <w:rPr>
          <w:rFonts w:hint="eastAsia" w:cs="仿宋"/>
          <w:szCs w:val="32"/>
        </w:rPr>
        <w:t>2023年“三公”经费财政拨款支出决算中，因公出国（境）费支出决算0万元，占0%；公务用车购置及运行维护费支出决算2.78万元，占100%；公务接待费支出决算0万元，占0%。具体情况如下：</w:t>
      </w:r>
    </w:p>
    <w:p w14:paraId="387A7D1E">
      <w:pPr>
        <w:pStyle w:val="2"/>
        <w:ind w:left="632" w:firstLine="632"/>
      </w:pPr>
      <w:r>
        <w:rPr>
          <w:rFonts w:hint="eastAsia"/>
          <w:szCs w:val="32"/>
        </w:rPr>
        <w:drawing>
          <wp:anchor distT="0" distB="0" distL="114300" distR="114300" simplePos="0" relativeHeight="251665408" behindDoc="0" locked="0" layoutInCell="1" allowOverlap="1">
            <wp:simplePos x="0" y="0"/>
            <wp:positionH relativeFrom="column">
              <wp:posOffset>45085</wp:posOffset>
            </wp:positionH>
            <wp:positionV relativeFrom="paragraph">
              <wp:posOffset>381000</wp:posOffset>
            </wp:positionV>
            <wp:extent cx="5503545" cy="2251075"/>
            <wp:effectExtent l="5080" t="4445" r="15875" b="11430"/>
            <wp:wrapNone/>
            <wp:docPr id="16" name="对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cs="仿宋"/>
          <w:szCs w:val="32"/>
        </w:rPr>
        <w:t>（图7：“三公”经费财政拨款支出结构）</w:t>
      </w:r>
    </w:p>
    <w:p w14:paraId="4780EFA9">
      <w:pPr>
        <w:spacing w:line="578" w:lineRule="exact"/>
        <w:jc w:val="center"/>
      </w:pPr>
    </w:p>
    <w:p w14:paraId="4C9A8EE2">
      <w:pPr>
        <w:pStyle w:val="7"/>
        <w:spacing w:before="173"/>
      </w:pPr>
    </w:p>
    <w:p w14:paraId="0A489D16">
      <w:pPr>
        <w:pStyle w:val="7"/>
        <w:spacing w:beforeLines="0" w:line="578" w:lineRule="exact"/>
        <w:rPr>
          <w:rFonts w:ascii="仿宋" w:eastAsia="仿宋" w:cs="仿宋"/>
          <w:sz w:val="32"/>
          <w:szCs w:val="32"/>
        </w:rPr>
      </w:pPr>
    </w:p>
    <w:p w14:paraId="7F686B73">
      <w:pPr>
        <w:pStyle w:val="7"/>
        <w:spacing w:beforeLines="0" w:line="578" w:lineRule="exact"/>
        <w:rPr>
          <w:rFonts w:ascii="仿宋" w:eastAsia="仿宋" w:cs="仿宋"/>
          <w:sz w:val="32"/>
          <w:szCs w:val="32"/>
        </w:rPr>
      </w:pPr>
    </w:p>
    <w:p w14:paraId="59C0EDA2">
      <w:pPr>
        <w:pStyle w:val="7"/>
        <w:spacing w:beforeLines="0" w:line="578" w:lineRule="exact"/>
        <w:rPr>
          <w:rFonts w:ascii="仿宋" w:eastAsia="仿宋" w:cs="仿宋"/>
          <w:sz w:val="32"/>
          <w:szCs w:val="32"/>
        </w:rPr>
      </w:pPr>
    </w:p>
    <w:p w14:paraId="25AC4F1C">
      <w:pPr>
        <w:spacing w:line="578" w:lineRule="exact"/>
        <w:ind w:firstLine="632" w:firstLineChars="200"/>
        <w:rPr>
          <w:rFonts w:cs="仿宋"/>
          <w:szCs w:val="32"/>
        </w:rPr>
      </w:pPr>
      <w:r>
        <w:rPr>
          <w:rFonts w:hint="eastAsia" w:cs="仿宋"/>
          <w:b/>
          <w:szCs w:val="32"/>
        </w:rPr>
        <w:t>1.因公出国（境）经费支出</w:t>
      </w:r>
      <w:r>
        <w:rPr>
          <w:rFonts w:hint="eastAsia" w:cs="仿宋"/>
          <w:szCs w:val="32"/>
        </w:rPr>
        <w:t>0万元，</w:t>
      </w:r>
      <w:r>
        <w:rPr>
          <w:rStyle w:val="16"/>
          <w:rFonts w:hint="eastAsia" w:cs="仿宋"/>
          <w:b w:val="0"/>
          <w:bCs/>
          <w:szCs w:val="32"/>
        </w:rPr>
        <w:t>完成预算0%。</w:t>
      </w:r>
      <w:r>
        <w:rPr>
          <w:rFonts w:hint="eastAsia" w:cs="仿宋"/>
          <w:szCs w:val="32"/>
        </w:rPr>
        <w:t>全年安排因公出国（境）团组0次，出国（境）0人。因公出国（境）支出决算比2022年持平。</w:t>
      </w:r>
    </w:p>
    <w:p w14:paraId="4DD498F3">
      <w:pPr>
        <w:spacing w:line="578" w:lineRule="exact"/>
        <w:ind w:firstLine="632" w:firstLineChars="200"/>
        <w:rPr>
          <w:rFonts w:cs="仿宋"/>
          <w:b/>
          <w:szCs w:val="32"/>
        </w:rPr>
      </w:pPr>
      <w:r>
        <w:rPr>
          <w:rFonts w:hint="eastAsia" w:cs="仿宋"/>
          <w:b/>
          <w:szCs w:val="32"/>
        </w:rPr>
        <w:t>2.公务用车购置及运行维护费支出2.78</w:t>
      </w:r>
      <w:r>
        <w:rPr>
          <w:rFonts w:hint="eastAsia" w:cs="仿宋"/>
          <w:szCs w:val="32"/>
        </w:rPr>
        <w:t>万元,</w:t>
      </w:r>
      <w:r>
        <w:rPr>
          <w:rStyle w:val="16"/>
          <w:rFonts w:hint="eastAsia" w:cs="仿宋"/>
          <w:b w:val="0"/>
          <w:bCs/>
          <w:szCs w:val="32"/>
        </w:rPr>
        <w:t>完成预算92.67%。</w:t>
      </w:r>
      <w:r>
        <w:rPr>
          <w:rFonts w:hint="eastAsia" w:cs="仿宋"/>
          <w:szCs w:val="32"/>
        </w:rPr>
        <w:t>公务用车购置及运行维护费支出决算比2022年增加2.78万元。主要原因是上年没有车辆运行维护费支付。</w:t>
      </w:r>
    </w:p>
    <w:p w14:paraId="561AA8A1">
      <w:pPr>
        <w:spacing w:line="578" w:lineRule="exact"/>
        <w:ind w:firstLine="632" w:firstLineChars="200"/>
        <w:rPr>
          <w:rFonts w:cs="仿宋"/>
          <w:b/>
          <w:szCs w:val="32"/>
        </w:rPr>
      </w:pPr>
      <w:r>
        <w:rPr>
          <w:rFonts w:hint="eastAsia" w:cs="仿宋"/>
          <w:szCs w:val="32"/>
        </w:rPr>
        <w:t>其中：</w:t>
      </w:r>
      <w:r>
        <w:rPr>
          <w:rFonts w:hint="eastAsia" w:cs="仿宋"/>
          <w:b/>
          <w:szCs w:val="32"/>
        </w:rPr>
        <w:t>公务用车购置支出</w:t>
      </w:r>
      <w:r>
        <w:rPr>
          <w:rFonts w:hint="eastAsia" w:cs="仿宋"/>
          <w:szCs w:val="32"/>
        </w:rPr>
        <w:t>0万元。全年按规定更新购置公务用车0辆。截至2023年12月底，单位共有公务用车1辆，其中：载客汽车1辆。</w:t>
      </w:r>
    </w:p>
    <w:p w14:paraId="1E560CE1">
      <w:pPr>
        <w:spacing w:line="578" w:lineRule="exact"/>
        <w:ind w:firstLine="632" w:firstLineChars="200"/>
        <w:rPr>
          <w:rFonts w:cs="仿宋"/>
          <w:szCs w:val="32"/>
        </w:rPr>
      </w:pPr>
      <w:r>
        <w:rPr>
          <w:rFonts w:hint="eastAsia" w:cs="仿宋"/>
          <w:b/>
          <w:szCs w:val="32"/>
        </w:rPr>
        <w:t>公务用车运行维护费支出2.78</w:t>
      </w:r>
      <w:r>
        <w:rPr>
          <w:rFonts w:hint="eastAsia" w:cs="仿宋"/>
          <w:szCs w:val="32"/>
        </w:rPr>
        <w:t>万元。主要用于开展农作物病虫害预测预报、统防统治、农药监督管理和植物检疫等工作所需的公务用车燃料费、维修费、保险费等支出。</w:t>
      </w:r>
    </w:p>
    <w:p w14:paraId="691E4924">
      <w:pPr>
        <w:spacing w:line="578" w:lineRule="exact"/>
        <w:ind w:firstLine="632" w:firstLineChars="200"/>
        <w:rPr>
          <w:rFonts w:cs="仿宋"/>
          <w:szCs w:val="32"/>
        </w:rPr>
      </w:pPr>
      <w:r>
        <w:rPr>
          <w:rFonts w:hint="eastAsia" w:cs="仿宋"/>
          <w:b/>
          <w:szCs w:val="32"/>
        </w:rPr>
        <w:t>3.公务接待费支出</w:t>
      </w:r>
      <w:r>
        <w:rPr>
          <w:rFonts w:hint="eastAsia" w:cs="仿宋"/>
          <w:szCs w:val="32"/>
        </w:rPr>
        <w:t>0万元，</w:t>
      </w:r>
      <w:r>
        <w:rPr>
          <w:rStyle w:val="16"/>
          <w:rFonts w:hint="eastAsia" w:cs="仿宋"/>
          <w:b w:val="0"/>
          <w:bCs/>
          <w:szCs w:val="32"/>
        </w:rPr>
        <w:t>完成预算0%。</w:t>
      </w:r>
      <w:r>
        <w:rPr>
          <w:rFonts w:hint="eastAsia" w:cs="仿宋"/>
          <w:szCs w:val="32"/>
        </w:rPr>
        <w:t>公务接待费支出决算比2022年减少0.56万元，下降100%。主要原因是严格执行公务接待范围、接待标准、接待对象及部分支出未支付。</w:t>
      </w:r>
    </w:p>
    <w:p w14:paraId="57CE14C0">
      <w:pPr>
        <w:spacing w:line="578" w:lineRule="exact"/>
        <w:ind w:firstLine="632" w:firstLineChars="200"/>
        <w:rPr>
          <w:rFonts w:cs="仿宋"/>
          <w:szCs w:val="32"/>
        </w:rPr>
      </w:pPr>
      <w:r>
        <w:rPr>
          <w:rFonts w:hint="eastAsia" w:cs="仿宋"/>
          <w:b/>
          <w:szCs w:val="32"/>
        </w:rPr>
        <w:t>国内公务接待支出</w:t>
      </w:r>
      <w:r>
        <w:rPr>
          <w:rFonts w:hint="eastAsia" w:cs="仿宋"/>
          <w:szCs w:val="32"/>
        </w:rPr>
        <w:t>0万元。</w:t>
      </w:r>
    </w:p>
    <w:p w14:paraId="470A5EAF">
      <w:pPr>
        <w:spacing w:line="578" w:lineRule="exact"/>
        <w:ind w:firstLine="632" w:firstLineChars="200"/>
        <w:rPr>
          <w:rFonts w:cs="仿宋"/>
          <w:szCs w:val="32"/>
        </w:rPr>
      </w:pPr>
      <w:r>
        <w:rPr>
          <w:rFonts w:hint="eastAsia" w:cs="仿宋"/>
          <w:b/>
          <w:szCs w:val="32"/>
        </w:rPr>
        <w:t>外事接待支出</w:t>
      </w:r>
      <w:r>
        <w:rPr>
          <w:rFonts w:hint="eastAsia" w:cs="仿宋"/>
          <w:szCs w:val="32"/>
        </w:rPr>
        <w:t>0万元，外事接待0批次，0人，共计支出0万元。</w:t>
      </w:r>
    </w:p>
    <w:p w14:paraId="5761A934">
      <w:pPr>
        <w:spacing w:line="578" w:lineRule="exact"/>
        <w:ind w:firstLine="632" w:firstLineChars="200"/>
        <w:outlineLvl w:val="1"/>
        <w:rPr>
          <w:rStyle w:val="27"/>
          <w:rFonts w:ascii="黑体" w:hAnsi="黑体" w:eastAsia="黑体" w:cs="黑体"/>
        </w:rPr>
      </w:pPr>
      <w:bookmarkStart w:id="39" w:name="_Toc15396610"/>
      <w:bookmarkStart w:id="40" w:name="_Toc15377218"/>
      <w:r>
        <w:rPr>
          <w:rFonts w:hint="eastAsia" w:ascii="黑体" w:hAnsi="黑体" w:eastAsia="黑体" w:cs="黑体"/>
          <w:szCs w:val="32"/>
        </w:rPr>
        <w:t>八、</w:t>
      </w:r>
      <w:r>
        <w:rPr>
          <w:rStyle w:val="27"/>
          <w:rFonts w:hint="eastAsia" w:ascii="黑体" w:hAnsi="黑体" w:eastAsia="黑体" w:cs="黑体"/>
          <w:b w:val="0"/>
        </w:rPr>
        <w:t>政府性基金预算支出决算情况说明</w:t>
      </w:r>
      <w:bookmarkEnd w:id="39"/>
      <w:bookmarkEnd w:id="40"/>
    </w:p>
    <w:p w14:paraId="427E0FA1">
      <w:pPr>
        <w:spacing w:line="578" w:lineRule="exact"/>
        <w:ind w:firstLine="632" w:firstLineChars="200"/>
        <w:rPr>
          <w:rFonts w:cs="仿宋"/>
          <w:szCs w:val="32"/>
        </w:rPr>
      </w:pPr>
      <w:r>
        <w:rPr>
          <w:rFonts w:hint="eastAsia" w:cs="仿宋"/>
          <w:szCs w:val="32"/>
        </w:rPr>
        <w:t>2023年政府性基金预算财政拨款支出20万元。</w:t>
      </w:r>
    </w:p>
    <w:p w14:paraId="083D8FB0">
      <w:pPr>
        <w:numPr>
          <w:ilvl w:val="0"/>
          <w:numId w:val="3"/>
        </w:numPr>
        <w:spacing w:line="578" w:lineRule="exact"/>
        <w:ind w:firstLine="632" w:firstLineChars="200"/>
        <w:outlineLvl w:val="1"/>
        <w:rPr>
          <w:rStyle w:val="27"/>
          <w:rFonts w:ascii="黑体" w:hAnsi="黑体" w:eastAsia="黑体" w:cs="黑体"/>
          <w:b w:val="0"/>
        </w:rPr>
      </w:pPr>
      <w:bookmarkStart w:id="41" w:name="_Toc15396611"/>
      <w:bookmarkStart w:id="42" w:name="_Toc15377219"/>
      <w:r>
        <w:rPr>
          <w:rStyle w:val="27"/>
          <w:rFonts w:hint="eastAsia" w:ascii="黑体" w:hAnsi="黑体" w:eastAsia="黑体" w:cs="黑体"/>
          <w:b w:val="0"/>
        </w:rPr>
        <w:t>国有资本经营预算支出决算情况说明</w:t>
      </w:r>
      <w:bookmarkEnd w:id="41"/>
      <w:bookmarkEnd w:id="42"/>
    </w:p>
    <w:p w14:paraId="2D8E39FE">
      <w:pPr>
        <w:spacing w:line="578" w:lineRule="exact"/>
        <w:ind w:firstLine="632" w:firstLineChars="200"/>
        <w:rPr>
          <w:rFonts w:cs="仿宋"/>
          <w:szCs w:val="32"/>
        </w:rPr>
      </w:pPr>
      <w:r>
        <w:rPr>
          <w:rFonts w:hint="eastAsia" w:cs="仿宋"/>
          <w:szCs w:val="32"/>
        </w:rPr>
        <w:t>2023年国有资本经营预算财政拨款支出0万元。</w:t>
      </w:r>
    </w:p>
    <w:p w14:paraId="2B0BA748">
      <w:pPr>
        <w:numPr>
          <w:ilvl w:val="0"/>
          <w:numId w:val="3"/>
        </w:numPr>
        <w:spacing w:line="578" w:lineRule="exact"/>
        <w:ind w:firstLine="632" w:firstLineChars="200"/>
        <w:outlineLvl w:val="1"/>
        <w:rPr>
          <w:rStyle w:val="27"/>
          <w:rFonts w:ascii="黑体" w:hAnsi="黑体" w:eastAsia="黑体" w:cs="黑体"/>
          <w:b w:val="0"/>
        </w:rPr>
      </w:pPr>
      <w:bookmarkStart w:id="43" w:name="_Toc15377221"/>
      <w:bookmarkStart w:id="44" w:name="_Toc15396612"/>
      <w:r>
        <w:rPr>
          <w:rStyle w:val="27"/>
          <w:rFonts w:hint="eastAsia" w:ascii="黑体" w:hAnsi="黑体" w:eastAsia="黑体" w:cs="黑体"/>
          <w:b w:val="0"/>
        </w:rPr>
        <w:t>其他重要事项的情况说明</w:t>
      </w:r>
      <w:bookmarkEnd w:id="43"/>
      <w:bookmarkEnd w:id="44"/>
    </w:p>
    <w:p w14:paraId="5A4A5E5F">
      <w:pPr>
        <w:spacing w:line="578" w:lineRule="exact"/>
        <w:ind w:firstLine="632" w:firstLineChars="200"/>
        <w:outlineLvl w:val="2"/>
        <w:rPr>
          <w:rFonts w:cs="仿宋"/>
          <w:szCs w:val="32"/>
        </w:rPr>
      </w:pPr>
      <w:bookmarkStart w:id="45" w:name="_Toc15377222"/>
      <w:r>
        <w:rPr>
          <w:rFonts w:hint="eastAsia" w:cs="仿宋"/>
          <w:b/>
          <w:szCs w:val="32"/>
        </w:rPr>
        <w:t>（一）事业运行经费支出情况</w:t>
      </w:r>
      <w:bookmarkEnd w:id="45"/>
    </w:p>
    <w:p w14:paraId="44794408">
      <w:pPr>
        <w:spacing w:line="578" w:lineRule="exact"/>
        <w:ind w:firstLine="632" w:firstLineChars="200"/>
        <w:rPr>
          <w:rFonts w:cs="仿宋"/>
          <w:szCs w:val="32"/>
        </w:rPr>
      </w:pPr>
      <w:r>
        <w:rPr>
          <w:rFonts w:hint="eastAsia" w:cs="仿宋"/>
          <w:szCs w:val="32"/>
        </w:rPr>
        <w:t>2023年，事业运行经费支出311.39万元，比2022年增加49.39万元，增长18.85%。主要原因是补发上年人员经费。</w:t>
      </w:r>
    </w:p>
    <w:p w14:paraId="0FA7D2BB">
      <w:pPr>
        <w:autoSpaceDE w:val="0"/>
        <w:autoSpaceDN w:val="0"/>
        <w:adjustRightInd w:val="0"/>
        <w:spacing w:line="578" w:lineRule="exact"/>
        <w:ind w:firstLine="632" w:firstLineChars="200"/>
        <w:outlineLvl w:val="2"/>
        <w:rPr>
          <w:rFonts w:cs="仿宋"/>
          <w:b/>
          <w:szCs w:val="32"/>
        </w:rPr>
      </w:pPr>
      <w:bookmarkStart w:id="46" w:name="_Toc15377223"/>
      <w:r>
        <w:rPr>
          <w:rFonts w:hint="eastAsia" w:cs="仿宋"/>
          <w:b/>
          <w:szCs w:val="32"/>
        </w:rPr>
        <w:t>（二）政府采购支出情况</w:t>
      </w:r>
      <w:bookmarkEnd w:id="46"/>
    </w:p>
    <w:p w14:paraId="023BC85C">
      <w:pPr>
        <w:spacing w:line="578" w:lineRule="exact"/>
        <w:ind w:firstLine="640"/>
        <w:rPr>
          <w:rFonts w:cs="仿宋"/>
          <w:szCs w:val="32"/>
        </w:rPr>
      </w:pPr>
      <w:r>
        <w:rPr>
          <w:rFonts w:hint="eastAsia" w:cs="仿宋"/>
          <w:szCs w:val="32"/>
        </w:rPr>
        <w:t>2023年，</w:t>
      </w:r>
      <w:r>
        <w:rPr>
          <w:rFonts w:hint="eastAsia" w:cs="仿宋_GB2312"/>
          <w:szCs w:val="32"/>
        </w:rPr>
        <w:t>大竹县植保植检站</w:t>
      </w:r>
      <w:r>
        <w:rPr>
          <w:rFonts w:hint="eastAsia" w:cs="仿宋"/>
          <w:szCs w:val="32"/>
        </w:rPr>
        <w:t>政府采购支出总额0万元。。</w:t>
      </w:r>
    </w:p>
    <w:p w14:paraId="14F36E3F">
      <w:pPr>
        <w:autoSpaceDE w:val="0"/>
        <w:autoSpaceDN w:val="0"/>
        <w:adjustRightInd w:val="0"/>
        <w:spacing w:line="578" w:lineRule="exact"/>
        <w:ind w:firstLine="632" w:firstLineChars="200"/>
        <w:outlineLvl w:val="2"/>
        <w:rPr>
          <w:rFonts w:cs="仿宋"/>
          <w:b/>
          <w:szCs w:val="32"/>
        </w:rPr>
      </w:pPr>
      <w:bookmarkStart w:id="47" w:name="_Toc15377224"/>
      <w:r>
        <w:rPr>
          <w:rFonts w:hint="eastAsia" w:cs="仿宋"/>
          <w:b/>
          <w:szCs w:val="32"/>
        </w:rPr>
        <w:t>（三）国有资产占有使用情况</w:t>
      </w:r>
      <w:bookmarkEnd w:id="47"/>
    </w:p>
    <w:p w14:paraId="510B3D72">
      <w:pPr>
        <w:autoSpaceDE w:val="0"/>
        <w:autoSpaceDN w:val="0"/>
        <w:adjustRightInd w:val="0"/>
        <w:spacing w:line="578" w:lineRule="exact"/>
        <w:ind w:firstLine="632" w:firstLineChars="200"/>
        <w:rPr>
          <w:rFonts w:cs="仿宋"/>
          <w:szCs w:val="32"/>
        </w:rPr>
      </w:pPr>
      <w:r>
        <w:rPr>
          <w:rFonts w:hint="eastAsia" w:cs="仿宋"/>
          <w:szCs w:val="32"/>
        </w:rPr>
        <w:t>截至2023年12月31日，</w:t>
      </w:r>
      <w:r>
        <w:rPr>
          <w:rFonts w:hint="eastAsia" w:cs="仿宋_GB2312"/>
          <w:szCs w:val="32"/>
        </w:rPr>
        <w:t>大竹县</w:t>
      </w:r>
      <w:r>
        <w:rPr>
          <w:rFonts w:cs="仿宋_GB2312"/>
          <w:szCs w:val="32"/>
        </w:rPr>
        <w:t>农业技术推广中心</w:t>
      </w:r>
      <w:r>
        <w:rPr>
          <w:rFonts w:hint="eastAsia"/>
          <w:szCs w:val="32"/>
        </w:rPr>
        <w:t>共有车辆1辆，其中：主要领导干部用车0辆、机要通信用车0辆、应急保障用车0辆、其他用车1辆，主要是用于</w:t>
      </w:r>
      <w:r>
        <w:rPr>
          <w:rFonts w:hint="eastAsia" w:cs="仿宋"/>
          <w:szCs w:val="32"/>
        </w:rPr>
        <w:t>农作物病虫害预测预报</w:t>
      </w:r>
      <w:r>
        <w:rPr>
          <w:rFonts w:hint="eastAsia"/>
          <w:szCs w:val="32"/>
        </w:rPr>
        <w:t>。单价</w:t>
      </w:r>
      <w:r>
        <w:rPr>
          <w:szCs w:val="32"/>
        </w:rPr>
        <w:t>50</w:t>
      </w:r>
      <w:r>
        <w:rPr>
          <w:rFonts w:hint="eastAsia"/>
          <w:szCs w:val="32"/>
        </w:rPr>
        <w:t>万元以上通用设备0台（套），单价</w:t>
      </w:r>
      <w:r>
        <w:rPr>
          <w:szCs w:val="32"/>
        </w:rPr>
        <w:t>100</w:t>
      </w:r>
      <w:r>
        <w:rPr>
          <w:rFonts w:hint="eastAsia"/>
          <w:szCs w:val="32"/>
        </w:rPr>
        <w:t>万元以上专用设备0台（套）。</w:t>
      </w:r>
    </w:p>
    <w:p w14:paraId="0BB60210">
      <w:pPr>
        <w:autoSpaceDE w:val="0"/>
        <w:autoSpaceDN w:val="0"/>
        <w:adjustRightInd w:val="0"/>
        <w:spacing w:line="578" w:lineRule="exact"/>
        <w:ind w:firstLine="632" w:firstLineChars="200"/>
        <w:outlineLvl w:val="2"/>
        <w:rPr>
          <w:rFonts w:cs="仿宋"/>
          <w:b/>
          <w:szCs w:val="32"/>
        </w:rPr>
      </w:pPr>
      <w:r>
        <w:rPr>
          <w:rFonts w:hint="eastAsia" w:cs="仿宋"/>
          <w:b/>
          <w:szCs w:val="32"/>
        </w:rPr>
        <w:t>（四）预算绩效管理情况</w:t>
      </w:r>
    </w:p>
    <w:p w14:paraId="28D37393">
      <w:pPr>
        <w:widowControl/>
        <w:spacing w:line="578" w:lineRule="exact"/>
        <w:ind w:firstLine="632" w:firstLineChars="200"/>
        <w:rPr>
          <w:rFonts w:cs="仿宋"/>
          <w:b/>
          <w:szCs w:val="32"/>
        </w:rPr>
      </w:pPr>
      <w:r>
        <w:rPr>
          <w:rFonts w:hint="eastAsia" w:ascii="仿宋_GB2312" w:hAnsi="仿宋_GB2312" w:eastAsia="仿宋_GB2312" w:cs="仿宋_GB2312"/>
          <w:szCs w:val="32"/>
        </w:rPr>
        <w:t>根据预算绩效管理要求，本单位在2023年度预算编制阶段，组织对大竹县2023年省级财政农业高质量发展共同财政事权转移支付植物疫情监测及阻截防控项目、农业防灾减灾和水利救灾资金、大竹县2023年省级财政农业高质量发展共同财政事权转移支付乡村植保员服务、大竹县2023年省级财政农业高质量发展共同财政事权转移支付植保重大病虫监测防治、大竹县2023年中央财政粮油生产保障资金小麦“一喷三防”、大竹县争创国家现代农业产业园区前期提升攻坚行动等6个项目编制了绩效目标，预算执行过程中，对6个项目开展绩效监控并开展绩效自评，绩效自评表详见</w:t>
      </w:r>
      <w:r>
        <w:rPr>
          <w:rFonts w:hint="eastAsia" w:hAnsi="仿宋_GB2312" w:cs="仿宋_GB2312"/>
          <w:szCs w:val="32"/>
        </w:rPr>
        <w:t>第四部分</w:t>
      </w:r>
      <w:r>
        <w:rPr>
          <w:rFonts w:hint="eastAsia" w:ascii="仿宋_GB2312" w:hAnsi="仿宋_GB2312" w:eastAsia="仿宋_GB2312" w:cs="仿宋_GB2312"/>
          <w:szCs w:val="32"/>
        </w:rPr>
        <w:t>附件。</w:t>
      </w:r>
      <w:r>
        <w:rPr>
          <w:rFonts w:hint="eastAsia" w:cs="仿宋"/>
          <w:b/>
          <w:szCs w:val="32"/>
        </w:rPr>
        <w:br w:type="page"/>
      </w:r>
    </w:p>
    <w:p w14:paraId="0735187A">
      <w:pPr>
        <w:spacing w:line="578" w:lineRule="exact"/>
        <w:jc w:val="center"/>
        <w:outlineLvl w:val="0"/>
        <w:rPr>
          <w:rStyle w:val="26"/>
          <w:rFonts w:ascii="黑体" w:hAnsi="黑体" w:eastAsia="黑体" w:cs="黑体"/>
          <w:b w:val="0"/>
        </w:rPr>
      </w:pPr>
      <w:bookmarkStart w:id="48" w:name="_Toc15377225"/>
      <w:bookmarkStart w:id="49" w:name="_Toc15396613"/>
      <w:r>
        <w:rPr>
          <w:rFonts w:hint="eastAsia" w:ascii="黑体" w:hAnsi="黑体" w:eastAsia="黑体" w:cs="黑体"/>
          <w:sz w:val="44"/>
          <w:szCs w:val="44"/>
        </w:rPr>
        <w:t>第三部分 名</w:t>
      </w:r>
      <w:r>
        <w:rPr>
          <w:rStyle w:val="26"/>
          <w:rFonts w:hint="eastAsia" w:ascii="黑体" w:hAnsi="黑体" w:eastAsia="黑体" w:cs="黑体"/>
          <w:b w:val="0"/>
        </w:rPr>
        <w:t>词解释</w:t>
      </w:r>
      <w:bookmarkEnd w:id="48"/>
      <w:bookmarkEnd w:id="49"/>
    </w:p>
    <w:p w14:paraId="66A29075">
      <w:pPr>
        <w:spacing w:line="578" w:lineRule="exact"/>
        <w:ind w:firstLine="632" w:firstLineChars="200"/>
        <w:rPr>
          <w:rFonts w:cs="仿宋"/>
          <w:b/>
          <w:szCs w:val="32"/>
        </w:rPr>
      </w:pPr>
    </w:p>
    <w:p w14:paraId="3D776FBA">
      <w:pPr>
        <w:pStyle w:val="24"/>
        <w:spacing w:line="578" w:lineRule="exact"/>
        <w:ind w:firstLine="632" w:firstLineChars="200"/>
        <w:jc w:val="both"/>
        <w:rPr>
          <w:rFonts w:hAnsi="仿宋"/>
          <w:color w:val="auto"/>
          <w:sz w:val="32"/>
          <w:szCs w:val="32"/>
        </w:rPr>
      </w:pPr>
      <w:r>
        <w:rPr>
          <w:rFonts w:hint="eastAsia" w:hAnsi="仿宋"/>
          <w:color w:val="auto"/>
          <w:sz w:val="32"/>
          <w:szCs w:val="32"/>
        </w:rPr>
        <w:t>1.财政拨款收入：指单位从同级财政部门取得的财政预算资金。</w:t>
      </w:r>
    </w:p>
    <w:p w14:paraId="0BFF9C28">
      <w:pPr>
        <w:pStyle w:val="24"/>
        <w:spacing w:line="578" w:lineRule="exact"/>
        <w:ind w:firstLine="632" w:firstLineChars="200"/>
        <w:jc w:val="both"/>
        <w:rPr>
          <w:rFonts w:hAnsi="仿宋"/>
          <w:color w:val="auto"/>
          <w:sz w:val="32"/>
          <w:szCs w:val="32"/>
        </w:rPr>
      </w:pPr>
      <w:r>
        <w:rPr>
          <w:rFonts w:hint="eastAsia" w:hAnsi="仿宋"/>
          <w:color w:val="auto"/>
          <w:sz w:val="32"/>
          <w:szCs w:val="32"/>
        </w:rPr>
        <w:t>2.事业收入：指事业单位开展专业业务活动及辅助活动取得的收入。</w:t>
      </w:r>
    </w:p>
    <w:p w14:paraId="14A8D548">
      <w:pPr>
        <w:pStyle w:val="24"/>
        <w:spacing w:line="578" w:lineRule="exact"/>
        <w:ind w:firstLine="632" w:firstLineChars="200"/>
        <w:jc w:val="both"/>
        <w:rPr>
          <w:rFonts w:hAnsi="仿宋"/>
          <w:color w:val="auto"/>
          <w:sz w:val="32"/>
          <w:szCs w:val="32"/>
        </w:rPr>
      </w:pPr>
      <w:r>
        <w:rPr>
          <w:rFonts w:hint="eastAsia" w:hAnsi="仿宋"/>
          <w:color w:val="auto"/>
          <w:sz w:val="32"/>
          <w:szCs w:val="32"/>
        </w:rPr>
        <w:t>3.年初结转和结余：指以前年度尚未完成、结转到本年按有关规定继续使用的资金。</w:t>
      </w:r>
    </w:p>
    <w:p w14:paraId="38EAB07E">
      <w:pPr>
        <w:pStyle w:val="24"/>
        <w:spacing w:line="578" w:lineRule="exact"/>
        <w:ind w:firstLine="632" w:firstLineChars="200"/>
        <w:jc w:val="both"/>
        <w:rPr>
          <w:rFonts w:hAnsi="仿宋"/>
          <w:color w:val="auto"/>
          <w:sz w:val="32"/>
          <w:szCs w:val="32"/>
        </w:rPr>
      </w:pPr>
      <w:r>
        <w:rPr>
          <w:rFonts w:hint="eastAsia" w:hAnsi="仿宋"/>
          <w:color w:val="auto"/>
          <w:sz w:val="32"/>
          <w:szCs w:val="32"/>
        </w:rPr>
        <w:t>4.年末结转和结余：指单位按有关规定结转到下年或以后年度继续使用的资金。</w:t>
      </w:r>
    </w:p>
    <w:p w14:paraId="330E3711">
      <w:pPr>
        <w:spacing w:line="578" w:lineRule="exact"/>
        <w:ind w:firstLine="632" w:firstLineChars="200"/>
        <w:rPr>
          <w:szCs w:val="32"/>
        </w:rPr>
      </w:pPr>
      <w:r>
        <w:rPr>
          <w:rFonts w:hint="eastAsia" w:cs="仿宋"/>
          <w:szCs w:val="32"/>
        </w:rPr>
        <w:t>5.</w:t>
      </w:r>
      <w:r>
        <w:rPr>
          <w:rFonts w:hint="eastAsia"/>
          <w:szCs w:val="32"/>
        </w:rPr>
        <w:t>社会保障和就业（208）行政事业单位离退休（05）机关事业单位基本养老保险缴费支出（05）:指机关事业单位实施养老保险制度由单位缴纳的基本养老保险费支出。</w:t>
      </w:r>
    </w:p>
    <w:p w14:paraId="0193E06F">
      <w:pPr>
        <w:spacing w:line="578" w:lineRule="exact"/>
        <w:ind w:firstLine="632" w:firstLineChars="200"/>
        <w:rPr>
          <w:szCs w:val="32"/>
        </w:rPr>
      </w:pPr>
      <w:r>
        <w:rPr>
          <w:rFonts w:hint="eastAsia"/>
          <w:szCs w:val="32"/>
        </w:rPr>
        <w:t>6.社会保障和就业（208）行政事业单位离退休（05）事业单位离退休（02）:指用于事业单位开支的离退休经费。</w:t>
      </w:r>
    </w:p>
    <w:p w14:paraId="25F0D5A6">
      <w:pPr>
        <w:spacing w:line="578" w:lineRule="exact"/>
        <w:ind w:firstLine="632" w:firstLineChars="200"/>
      </w:pPr>
      <w:r>
        <w:rPr>
          <w:rFonts w:hint="eastAsia"/>
        </w:rPr>
        <w:t>7.</w:t>
      </w:r>
      <w:r>
        <w:rPr>
          <w:rFonts w:hint="eastAsia"/>
          <w:szCs w:val="32"/>
        </w:rPr>
        <w:t>社会</w:t>
      </w:r>
      <w:r>
        <w:rPr>
          <w:rFonts w:hint="eastAsia"/>
        </w:rPr>
        <w:t>保障和就业（208）行政事业单位离退休（05）其他机关事业单位养老支出（99</w:t>
      </w:r>
      <w:r>
        <w:rPr>
          <w:rFonts w:hint="eastAsia"/>
          <w:szCs w:val="32"/>
        </w:rPr>
        <w:t>）:指其他用于行政事业单位养老方面的支出。</w:t>
      </w:r>
    </w:p>
    <w:p w14:paraId="40F40774">
      <w:pPr>
        <w:spacing w:line="578" w:lineRule="exact"/>
        <w:ind w:firstLine="632" w:firstLineChars="200"/>
        <w:rPr>
          <w:szCs w:val="32"/>
        </w:rPr>
      </w:pPr>
      <w:r>
        <w:rPr>
          <w:rFonts w:hint="eastAsia"/>
          <w:szCs w:val="32"/>
        </w:rPr>
        <w:t>8.社会保障和就业（208）抚恤（08）死亡抚恤（01）:指按规定用于烈士和牺牲、病故人员家属的一次性和定期抚恤金以及丧葬补助费。</w:t>
      </w:r>
    </w:p>
    <w:p w14:paraId="0C55C30E">
      <w:pPr>
        <w:spacing w:line="578" w:lineRule="exact"/>
        <w:ind w:firstLine="632" w:firstLineChars="200"/>
      </w:pPr>
      <w:r>
        <w:rPr>
          <w:rFonts w:hint="eastAsia"/>
          <w:szCs w:val="32"/>
        </w:rPr>
        <w:t>9.社会保障和就业（208）</w:t>
      </w:r>
      <w:r>
        <w:rPr>
          <w:rFonts w:hint="eastAsia"/>
        </w:rPr>
        <w:t>其他社会保障和就业支出（99）其他社会保障和就业支出（99</w:t>
      </w:r>
      <w:r>
        <w:rPr>
          <w:rFonts w:hint="eastAsia"/>
          <w:szCs w:val="32"/>
        </w:rPr>
        <w:t>）:指其他用于社会保障和就业方面的支出。</w:t>
      </w:r>
    </w:p>
    <w:p w14:paraId="5FD565C9">
      <w:pPr>
        <w:spacing w:line="578" w:lineRule="exact"/>
        <w:ind w:firstLine="632" w:firstLineChars="200"/>
        <w:rPr>
          <w:szCs w:val="32"/>
        </w:rPr>
      </w:pPr>
      <w:r>
        <w:rPr>
          <w:rFonts w:hint="eastAsia"/>
          <w:szCs w:val="32"/>
        </w:rPr>
        <w:t>10.卫生健康支出（210）行政事业单位医疗（11）事业单位医疗（02）:指财政部门安排的事业单位医疗保险缴费经费，未参加医疗保险的事业单位的公费医疗经费，按国家规定享受离休人员待遇的医疗经费。</w:t>
      </w:r>
    </w:p>
    <w:p w14:paraId="3CD067C4">
      <w:pPr>
        <w:spacing w:line="578" w:lineRule="exact"/>
        <w:ind w:firstLine="632" w:firstLineChars="200"/>
        <w:rPr>
          <w:szCs w:val="32"/>
        </w:rPr>
      </w:pPr>
      <w:r>
        <w:rPr>
          <w:rFonts w:hint="eastAsia"/>
          <w:szCs w:val="32"/>
        </w:rPr>
        <w:t>11.农林水支出（213）农业（01）事业运行（04）:指用于农业事业单位基本支出，事业单位设施、系统运行与资产维护等方面的支出。</w:t>
      </w:r>
    </w:p>
    <w:p w14:paraId="63E3DCE7">
      <w:pPr>
        <w:pStyle w:val="7"/>
        <w:spacing w:beforeLines="0" w:line="578" w:lineRule="exact"/>
        <w:ind w:firstLine="632" w:firstLineChars="200"/>
        <w:rPr>
          <w:rFonts w:ascii="仿宋" w:eastAsia="仿宋"/>
          <w:sz w:val="32"/>
          <w:szCs w:val="32"/>
        </w:rPr>
      </w:pPr>
      <w:r>
        <w:rPr>
          <w:rFonts w:hint="eastAsia" w:ascii="仿宋" w:eastAsia="仿宋"/>
          <w:sz w:val="32"/>
          <w:szCs w:val="32"/>
        </w:rPr>
        <w:t>12.农林水支出（213）农业（01）病虫害控制（08）:指用于病虫鼠害及疫情检测、预报、预防、控制、检疫、防疫所需的仪器、设施、药物、疫苗、种苗，疫畜（禽、鱼、植物）防治、扑杀补偿及劳务补助、菌（毒）种保藏及动植物及其产品检疫、检测等方面的支出。</w:t>
      </w:r>
    </w:p>
    <w:p w14:paraId="4E3A4213">
      <w:pPr>
        <w:spacing w:line="578" w:lineRule="exact"/>
        <w:ind w:firstLine="632" w:firstLineChars="200"/>
        <w:rPr>
          <w:szCs w:val="32"/>
        </w:rPr>
      </w:pPr>
      <w:r>
        <w:rPr>
          <w:rFonts w:hint="eastAsia"/>
          <w:szCs w:val="32"/>
        </w:rPr>
        <w:t>13.农林水支出（213）农业（01）防灾救灾（19）:指用于对农业生产因遭受自然、生物灾害损失给予的补助，促进农业防灾增产措施补助，海难救助补助，因其他灾害导致农牧渔业生产者损失给予的补助。</w:t>
      </w:r>
    </w:p>
    <w:p w14:paraId="22B92E55">
      <w:pPr>
        <w:spacing w:line="578" w:lineRule="exact"/>
        <w:ind w:firstLine="632" w:firstLineChars="200"/>
        <w:rPr>
          <w:szCs w:val="32"/>
        </w:rPr>
      </w:pPr>
      <w:r>
        <w:rPr>
          <w:rFonts w:hint="eastAsia"/>
          <w:szCs w:val="32"/>
        </w:rPr>
        <w:t>14.农林水支出（213）农业（01）其他农业农村支出（99）:指其他用于农业农村方面的支出。</w:t>
      </w:r>
    </w:p>
    <w:p w14:paraId="5C06FB9B">
      <w:pPr>
        <w:pStyle w:val="7"/>
        <w:spacing w:beforeLines="0" w:line="578" w:lineRule="exact"/>
        <w:ind w:firstLine="632" w:firstLineChars="200"/>
        <w:rPr>
          <w:rFonts w:eastAsia="仿宋"/>
        </w:rPr>
      </w:pPr>
      <w:r>
        <w:rPr>
          <w:rFonts w:hint="eastAsia" w:ascii="仿宋" w:eastAsia="仿宋"/>
          <w:sz w:val="32"/>
          <w:szCs w:val="32"/>
        </w:rPr>
        <w:t>15.农林水支出（213）其他农林水支出（99）其他农林水支出（99）:指除化解债务支出以外其他用于农林水方面的支出</w:t>
      </w:r>
      <w:r>
        <w:rPr>
          <w:rFonts w:hint="eastAsia" w:eastAsia="仿宋"/>
        </w:rPr>
        <w:t>。</w:t>
      </w:r>
    </w:p>
    <w:p w14:paraId="748F8F31">
      <w:pPr>
        <w:pStyle w:val="7"/>
        <w:spacing w:beforeLines="0" w:line="578" w:lineRule="exact"/>
        <w:ind w:firstLine="632" w:firstLineChars="200"/>
        <w:rPr>
          <w:rFonts w:ascii="仿宋" w:eastAsia="仿宋"/>
          <w:sz w:val="32"/>
          <w:szCs w:val="32"/>
        </w:rPr>
      </w:pPr>
      <w:r>
        <w:rPr>
          <w:rFonts w:hint="eastAsia" w:ascii="仿宋" w:eastAsia="仿宋"/>
          <w:sz w:val="32"/>
          <w:szCs w:val="32"/>
        </w:rPr>
        <w:t>16.住房保障支出（221）住房改革支出（02）住房公积金（01）:指行政事业单位按人力资源和社会保障部、财政部规定的基本工资和津贴补贴以及规定比例为职工缴纳的住房公积金。</w:t>
      </w:r>
    </w:p>
    <w:p w14:paraId="2F47BE87">
      <w:pPr>
        <w:spacing w:line="578" w:lineRule="exact"/>
        <w:ind w:firstLine="632" w:firstLineChars="200"/>
        <w:rPr>
          <w:rFonts w:cs="仿宋"/>
          <w:szCs w:val="32"/>
        </w:rPr>
      </w:pPr>
      <w:r>
        <w:rPr>
          <w:rFonts w:hint="eastAsia" w:cs="仿宋"/>
          <w:szCs w:val="32"/>
        </w:rPr>
        <w:t>17.基本支出：指为保障机构正常运转、完成日常工作任务而发生的人员支出和公用支出。</w:t>
      </w:r>
    </w:p>
    <w:p w14:paraId="47244952">
      <w:pPr>
        <w:spacing w:line="578" w:lineRule="exact"/>
        <w:ind w:firstLine="632" w:firstLineChars="200"/>
        <w:rPr>
          <w:rFonts w:cs="仿宋"/>
          <w:szCs w:val="32"/>
        </w:rPr>
      </w:pPr>
      <w:r>
        <w:rPr>
          <w:rFonts w:hint="eastAsia" w:cs="仿宋"/>
          <w:szCs w:val="32"/>
        </w:rPr>
        <w:t>18.项目支出：指在基本支出之外为完成特定行政任务和事业发展目标所发生的支出。</w:t>
      </w:r>
    </w:p>
    <w:p w14:paraId="6C88DDF5">
      <w:pPr>
        <w:pStyle w:val="24"/>
        <w:spacing w:line="578" w:lineRule="exact"/>
        <w:ind w:firstLine="632" w:firstLineChars="200"/>
        <w:jc w:val="both"/>
        <w:rPr>
          <w:rFonts w:hAnsi="仿宋"/>
          <w:color w:val="auto"/>
          <w:sz w:val="32"/>
          <w:szCs w:val="32"/>
        </w:rPr>
      </w:pPr>
      <w:r>
        <w:rPr>
          <w:rFonts w:hint="eastAsia" w:hAnsi="仿宋"/>
          <w:color w:val="auto"/>
          <w:sz w:val="32"/>
          <w:szCs w:val="32"/>
        </w:rPr>
        <w:t>19.“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2FA7554">
      <w:pPr>
        <w:pStyle w:val="24"/>
        <w:spacing w:line="578" w:lineRule="exact"/>
        <w:ind w:firstLine="632" w:firstLineChars="200"/>
        <w:jc w:val="both"/>
        <w:rPr>
          <w:rFonts w:hAnsi="仿宋"/>
          <w:color w:val="auto"/>
          <w:sz w:val="32"/>
          <w:szCs w:val="32"/>
        </w:rPr>
      </w:pPr>
    </w:p>
    <w:p w14:paraId="658EFFE8">
      <w:pPr>
        <w:spacing w:line="578" w:lineRule="exact"/>
        <w:ind w:firstLine="632" w:firstLineChars="200"/>
        <w:rPr>
          <w:rFonts w:cs="仿宋"/>
          <w:b/>
          <w:szCs w:val="32"/>
        </w:rPr>
      </w:pPr>
    </w:p>
    <w:p w14:paraId="61D06D63">
      <w:pPr>
        <w:spacing w:line="578" w:lineRule="exact"/>
        <w:jc w:val="center"/>
        <w:outlineLvl w:val="0"/>
        <w:rPr>
          <w:rFonts w:cs="仿宋"/>
          <w:b/>
          <w:szCs w:val="32"/>
        </w:rPr>
        <w:sectPr>
          <w:footerReference r:id="rId9" w:type="first"/>
          <w:footerReference r:id="rId8" w:type="default"/>
          <w:pgSz w:w="11906" w:h="16838"/>
          <w:pgMar w:top="2098" w:right="1474" w:bottom="1984" w:left="1587" w:header="851" w:footer="992" w:gutter="0"/>
          <w:pgNumType w:start="1"/>
          <w:cols w:space="0" w:num="1"/>
          <w:titlePg/>
          <w:docGrid w:type="linesAndChars" w:linePitch="579" w:charSpace="-842"/>
        </w:sectPr>
      </w:pPr>
      <w:bookmarkStart w:id="50" w:name="_Toc15377226"/>
      <w:r>
        <w:rPr>
          <w:rFonts w:hint="eastAsia" w:cs="仿宋"/>
          <w:b/>
          <w:szCs w:val="32"/>
        </w:rPr>
        <w:br w:type="page"/>
      </w:r>
      <w:bookmarkStart w:id="51" w:name="_Toc15396614"/>
    </w:p>
    <w:p w14:paraId="3CB1DE39">
      <w:pPr>
        <w:spacing w:line="578" w:lineRule="exact"/>
        <w:jc w:val="center"/>
        <w:outlineLvl w:val="0"/>
        <w:rPr>
          <w:rStyle w:val="26"/>
          <w:rFonts w:ascii="黑体" w:hAnsi="黑体" w:eastAsia="黑体" w:cs="黑体"/>
          <w:b w:val="0"/>
        </w:rPr>
      </w:pPr>
      <w:r>
        <w:rPr>
          <w:rFonts w:hint="eastAsia" w:ascii="黑体" w:hAnsi="黑体" w:eastAsia="黑体" w:cs="黑体"/>
          <w:sz w:val="44"/>
          <w:szCs w:val="44"/>
        </w:rPr>
        <w:t>第</w:t>
      </w:r>
      <w:r>
        <w:rPr>
          <w:rStyle w:val="26"/>
          <w:rFonts w:hint="eastAsia" w:ascii="黑体" w:hAnsi="黑体" w:eastAsia="黑体" w:cs="黑体"/>
          <w:b w:val="0"/>
        </w:rPr>
        <w:t>四部分 附件</w:t>
      </w:r>
      <w:bookmarkEnd w:id="51"/>
    </w:p>
    <w:p w14:paraId="7B59E0BF">
      <w:pPr>
        <w:pStyle w:val="2"/>
        <w:spacing w:line="400" w:lineRule="exact"/>
        <w:ind w:left="632" w:firstLine="632"/>
      </w:pPr>
    </w:p>
    <w:tbl>
      <w:tblPr>
        <w:tblStyle w:val="14"/>
        <w:tblW w:w="12708" w:type="dxa"/>
        <w:tblInd w:w="93" w:type="dxa"/>
        <w:tblLayout w:type="fixed"/>
        <w:tblCellMar>
          <w:top w:w="0" w:type="dxa"/>
          <w:left w:w="108" w:type="dxa"/>
          <w:bottom w:w="0" w:type="dxa"/>
          <w:right w:w="108" w:type="dxa"/>
        </w:tblCellMar>
      </w:tblPr>
      <w:tblGrid>
        <w:gridCol w:w="685"/>
        <w:gridCol w:w="1857"/>
        <w:gridCol w:w="1383"/>
        <w:gridCol w:w="1617"/>
        <w:gridCol w:w="1000"/>
        <w:gridCol w:w="766"/>
        <w:gridCol w:w="1000"/>
        <w:gridCol w:w="1117"/>
        <w:gridCol w:w="800"/>
        <w:gridCol w:w="733"/>
        <w:gridCol w:w="1750"/>
      </w:tblGrid>
      <w:tr w14:paraId="6951BA8D">
        <w:tblPrEx>
          <w:tblCellMar>
            <w:top w:w="0" w:type="dxa"/>
            <w:left w:w="108" w:type="dxa"/>
            <w:bottom w:w="0" w:type="dxa"/>
            <w:right w:w="108" w:type="dxa"/>
          </w:tblCellMar>
        </w:tblPrEx>
        <w:trPr>
          <w:trHeight w:val="644" w:hRule="atLeast"/>
        </w:trPr>
        <w:tc>
          <w:tcPr>
            <w:tcW w:w="127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B000A3">
            <w:pPr>
              <w:widowControl/>
              <w:spacing w:line="400" w:lineRule="exact"/>
              <w:jc w:val="center"/>
              <w:textAlignment w:val="center"/>
              <w:rPr>
                <w:rFonts w:ascii="黑体" w:hAnsi="宋体" w:eastAsia="黑体" w:cs="黑体"/>
                <w:b/>
                <w:bCs/>
                <w:sz w:val="30"/>
                <w:szCs w:val="30"/>
              </w:rPr>
            </w:pPr>
            <w:r>
              <w:rPr>
                <w:rFonts w:hint="eastAsia" w:ascii="黑体" w:hAnsi="宋体" w:eastAsia="黑体" w:cs="黑体"/>
                <w:b/>
                <w:bCs/>
                <w:kern w:val="0"/>
                <w:sz w:val="30"/>
                <w:szCs w:val="30"/>
                <w:lang w:bidi="ar"/>
              </w:rPr>
              <w:t>部门预算项目支出绩效自评表（2023年度）</w:t>
            </w:r>
          </w:p>
        </w:tc>
      </w:tr>
      <w:tr w14:paraId="29EA5359">
        <w:tblPrEx>
          <w:tblCellMar>
            <w:top w:w="0" w:type="dxa"/>
            <w:left w:w="108" w:type="dxa"/>
            <w:bottom w:w="0" w:type="dxa"/>
            <w:right w:w="108" w:type="dxa"/>
          </w:tblCellMar>
        </w:tblPrEx>
        <w:trPr>
          <w:trHeight w:val="285" w:hRule="atLeast"/>
        </w:trPr>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B2102">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项目名称</w:t>
            </w:r>
          </w:p>
        </w:tc>
        <w:tc>
          <w:tcPr>
            <w:tcW w:w="10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344675">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51172423T000009117314-大竹县争创国家现代农业产业园区前期提升攻坚行动实施方案</w:t>
            </w:r>
          </w:p>
        </w:tc>
      </w:tr>
      <w:tr w14:paraId="13AADC50">
        <w:tblPrEx>
          <w:tblCellMar>
            <w:top w:w="0" w:type="dxa"/>
            <w:left w:w="108" w:type="dxa"/>
            <w:bottom w:w="0" w:type="dxa"/>
            <w:right w:w="108" w:type="dxa"/>
          </w:tblCellMar>
        </w:tblPrEx>
        <w:trPr>
          <w:trHeight w:val="514" w:hRule="atLeast"/>
        </w:trPr>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A4DA1">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主管部门</w:t>
            </w:r>
          </w:p>
        </w:tc>
        <w:tc>
          <w:tcPr>
            <w:tcW w:w="5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4632B">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大竹县植保植检站部门</w:t>
            </w:r>
          </w:p>
        </w:tc>
        <w:tc>
          <w:tcPr>
            <w:tcW w:w="1117" w:type="dxa"/>
            <w:tcBorders>
              <w:top w:val="nil"/>
              <w:left w:val="nil"/>
              <w:bottom w:val="nil"/>
              <w:right w:val="nil"/>
            </w:tcBorders>
            <w:shd w:val="clear" w:color="auto" w:fill="auto"/>
            <w:vAlign w:val="center"/>
          </w:tcPr>
          <w:p w14:paraId="33B24915">
            <w:pPr>
              <w:widowControl/>
              <w:spacing w:line="240" w:lineRule="exact"/>
              <w:jc w:val="left"/>
              <w:textAlignment w:val="center"/>
              <w:rPr>
                <w:rFonts w:ascii="黑体" w:hAnsi="黑体" w:eastAsia="黑体" w:cs="黑体"/>
                <w:sz w:val="18"/>
                <w:szCs w:val="18"/>
              </w:rPr>
            </w:pPr>
            <w:r>
              <w:rPr>
                <w:rFonts w:hint="eastAsia" w:ascii="黑体" w:hAnsi="黑体" w:eastAsia="黑体" w:cs="黑体"/>
                <w:kern w:val="0"/>
                <w:sz w:val="18"/>
                <w:szCs w:val="18"/>
                <w:lang w:bidi="ar"/>
              </w:rPr>
              <w:t>实施单位 （盖章）</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227E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大竹县植保植检站</w:t>
            </w:r>
          </w:p>
        </w:tc>
      </w:tr>
      <w:tr w14:paraId="0FCBFBAC">
        <w:tblPrEx>
          <w:tblCellMar>
            <w:top w:w="0" w:type="dxa"/>
            <w:left w:w="108" w:type="dxa"/>
            <w:bottom w:w="0" w:type="dxa"/>
            <w:right w:w="108" w:type="dxa"/>
          </w:tblCellMar>
        </w:tblPrEx>
        <w:trPr>
          <w:trHeight w:val="285"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F7EB3">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项目基本情况</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30B3C">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1.项目年度目标完成情况</w:t>
            </w:r>
          </w:p>
        </w:tc>
        <w:tc>
          <w:tcPr>
            <w:tcW w:w="5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4FB5A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项目年度目标</w:t>
            </w:r>
          </w:p>
        </w:tc>
        <w:tc>
          <w:tcPr>
            <w:tcW w:w="4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CC7F3">
            <w:pPr>
              <w:widowControl/>
              <w:spacing w:line="240" w:lineRule="exact"/>
              <w:jc w:val="center"/>
              <w:textAlignment w:val="center"/>
              <w:rPr>
                <w:rFonts w:ascii="黑体" w:hAnsi="黑体" w:eastAsia="黑体" w:cs="黑体"/>
                <w:sz w:val="18"/>
                <w:szCs w:val="18"/>
              </w:rPr>
            </w:pPr>
            <w:r>
              <w:rPr>
                <w:rFonts w:hint="eastAsia" w:ascii="黑体" w:hAnsi="黑体" w:eastAsia="黑体" w:cs="黑体"/>
                <w:kern w:val="0"/>
                <w:sz w:val="18"/>
                <w:szCs w:val="18"/>
                <w:lang w:bidi="ar"/>
              </w:rPr>
              <w:t>年度目标完成情况</w:t>
            </w:r>
          </w:p>
        </w:tc>
      </w:tr>
      <w:tr w14:paraId="4B0BCA9C">
        <w:trPr>
          <w:trHeight w:val="26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ABE72">
            <w:pPr>
              <w:widowControl/>
              <w:spacing w:line="240" w:lineRule="exact"/>
              <w:rPr>
                <w:rFonts w:ascii="宋体" w:hAnsi="宋体" w:eastAsia="宋体" w:cs="宋体"/>
                <w:sz w:val="18"/>
                <w:szCs w:val="18"/>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086B3">
            <w:pPr>
              <w:widowControl/>
              <w:spacing w:line="240" w:lineRule="exact"/>
              <w:rPr>
                <w:rFonts w:ascii="宋体" w:hAnsi="宋体" w:eastAsia="宋体" w:cs="宋体"/>
                <w:sz w:val="18"/>
                <w:szCs w:val="18"/>
              </w:rPr>
            </w:pPr>
          </w:p>
        </w:tc>
        <w:tc>
          <w:tcPr>
            <w:tcW w:w="5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65799">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提升园区病虫监测水平，带动周边适时防治。</w:t>
            </w:r>
          </w:p>
        </w:tc>
        <w:tc>
          <w:tcPr>
            <w:tcW w:w="4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8DAFC">
            <w:pPr>
              <w:widowControl/>
              <w:spacing w:line="240" w:lineRule="exact"/>
              <w:jc w:val="left"/>
              <w:textAlignment w:val="center"/>
              <w:rPr>
                <w:rFonts w:ascii="黑体" w:hAnsi="黑体" w:eastAsia="黑体" w:cs="黑体"/>
                <w:sz w:val="18"/>
                <w:szCs w:val="18"/>
              </w:rPr>
            </w:pPr>
            <w:r>
              <w:rPr>
                <w:rFonts w:hint="eastAsia" w:ascii="黑体" w:hAnsi="黑体" w:eastAsia="黑体" w:cs="黑体"/>
                <w:kern w:val="0"/>
                <w:sz w:val="18"/>
                <w:szCs w:val="18"/>
                <w:lang w:bidi="ar"/>
              </w:rPr>
              <w:t>完成了监测设备安装和防治示范</w:t>
            </w:r>
          </w:p>
        </w:tc>
      </w:tr>
      <w:tr w14:paraId="6A6FEE48">
        <w:tblPrEx>
          <w:tblCellMar>
            <w:top w:w="0" w:type="dxa"/>
            <w:left w:w="108" w:type="dxa"/>
            <w:bottom w:w="0" w:type="dxa"/>
            <w:right w:w="108" w:type="dxa"/>
          </w:tblCellMar>
        </w:tblPrEx>
        <w:trPr>
          <w:trHeight w:val="694"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1131">
            <w:pPr>
              <w:widowControl/>
              <w:spacing w:line="240" w:lineRule="exact"/>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1CA9">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2.项目实施内容及过程概述</w:t>
            </w:r>
          </w:p>
        </w:tc>
        <w:tc>
          <w:tcPr>
            <w:tcW w:w="10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6506D9">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建立“大竹县粮油产业园区重大病虫害智能监测预警系统”，拟建3个水稻重大病虫害智能监测综合观测场。观测场一：包含1套物联网虫情灯诱测报系统、1套田间生景远程实时监控系统和1套田间小气候全自动采集系统；观测场二：配备1套物联网虫情灯诱测报系统、1套田间小气候全自动采集系统、1套农田鼠害预警分析系统；观测场三：配备1套物联网虫情灯诱测报系统、1套田间小气候全自动采集系统等。</w:t>
            </w:r>
          </w:p>
        </w:tc>
      </w:tr>
      <w:tr w14:paraId="5ED2C25C">
        <w:tblPrEx>
          <w:tblCellMar>
            <w:top w:w="0" w:type="dxa"/>
            <w:left w:w="108" w:type="dxa"/>
            <w:bottom w:w="0" w:type="dxa"/>
            <w:right w:w="108" w:type="dxa"/>
          </w:tblCellMar>
        </w:tblPrEx>
        <w:trPr>
          <w:trHeight w:val="300"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9468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预算执行情况（10分）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01A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年度预算数（万元）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19C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年初预算</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EA5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调整后预算数</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30F2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09F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DF6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9EB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得分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199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原因</w:t>
            </w:r>
          </w:p>
        </w:tc>
      </w:tr>
      <w:tr w14:paraId="63CD0AAC">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0D827">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76F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总额</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1D2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3EA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3535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BEB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46D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057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0D1DD">
            <w:pPr>
              <w:widowControl/>
              <w:spacing w:line="240" w:lineRule="exact"/>
              <w:rPr>
                <w:rFonts w:ascii="黑体" w:hAnsi="黑体" w:eastAsia="黑体" w:cs="黑体"/>
                <w:i/>
                <w:iCs/>
                <w:sz w:val="18"/>
                <w:szCs w:val="18"/>
              </w:rPr>
            </w:pPr>
          </w:p>
        </w:tc>
      </w:tr>
      <w:tr w14:paraId="0386FD43">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C8E5">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C90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其中：财政资金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E34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749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7961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AFC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AC3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C02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CE48">
            <w:pPr>
              <w:widowControl/>
              <w:spacing w:line="240" w:lineRule="exact"/>
              <w:rPr>
                <w:rFonts w:ascii="黑体" w:hAnsi="黑体" w:eastAsia="黑体" w:cs="黑体"/>
                <w:i/>
                <w:iCs/>
                <w:sz w:val="18"/>
                <w:szCs w:val="18"/>
              </w:rPr>
            </w:pPr>
          </w:p>
        </w:tc>
      </w:tr>
      <w:tr w14:paraId="4CBC781A">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ABB6">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EA5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财政专户管理资金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BAE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240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3029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339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EA6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066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05FA">
            <w:pPr>
              <w:widowControl/>
              <w:spacing w:line="240" w:lineRule="exact"/>
              <w:rPr>
                <w:rFonts w:ascii="黑体" w:hAnsi="黑体" w:eastAsia="黑体" w:cs="黑体"/>
                <w:i/>
                <w:iCs/>
                <w:sz w:val="18"/>
                <w:szCs w:val="18"/>
              </w:rPr>
            </w:pPr>
          </w:p>
        </w:tc>
      </w:tr>
      <w:tr w14:paraId="2FB46CC0">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3E59">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040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单位资金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320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90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4A09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F9E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5B1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907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6C56B">
            <w:pPr>
              <w:widowControl/>
              <w:spacing w:line="240" w:lineRule="exact"/>
              <w:rPr>
                <w:rFonts w:ascii="黑体" w:hAnsi="黑体" w:eastAsia="黑体" w:cs="黑体"/>
                <w:i/>
                <w:iCs/>
                <w:sz w:val="18"/>
                <w:szCs w:val="18"/>
              </w:rPr>
            </w:pPr>
          </w:p>
        </w:tc>
      </w:tr>
      <w:tr w14:paraId="7311E009">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048F0">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441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其他资金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21BF">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 xml:space="preserve">0.00 </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17D6">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 xml:space="preserve">0.00 </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EC06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710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01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ADF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C030">
            <w:pPr>
              <w:widowControl/>
              <w:spacing w:line="240" w:lineRule="exact"/>
              <w:rPr>
                <w:rFonts w:ascii="黑体" w:hAnsi="黑体" w:eastAsia="黑体" w:cs="黑体"/>
                <w:i/>
                <w:iCs/>
                <w:sz w:val="18"/>
                <w:szCs w:val="18"/>
              </w:rPr>
            </w:pPr>
          </w:p>
        </w:tc>
      </w:tr>
      <w:tr w14:paraId="32E5F620">
        <w:tblPrEx>
          <w:tblCellMar>
            <w:top w:w="0" w:type="dxa"/>
            <w:left w:w="108" w:type="dxa"/>
            <w:bottom w:w="0" w:type="dxa"/>
            <w:right w:w="108" w:type="dxa"/>
          </w:tblCellMar>
        </w:tblPrEx>
        <w:trPr>
          <w:trHeight w:val="300"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9E5D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绩效指标（90分）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816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一级指标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D9A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二级指标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9B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FB3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指标性质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FA9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指标值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025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度量单位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272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36C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权重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ED6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得分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857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未完成原因分析</w:t>
            </w:r>
          </w:p>
        </w:tc>
      </w:tr>
      <w:tr w14:paraId="1C0EB4F3">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D592">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BC0D">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F139">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数量指标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F13C">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监测预警园区农作物重大病虫，指导适时防治</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7E27">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2DEF">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6999">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万亩</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E35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2EF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BBB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30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527F">
            <w:pPr>
              <w:widowControl/>
              <w:spacing w:line="240" w:lineRule="exact"/>
              <w:jc w:val="center"/>
              <w:rPr>
                <w:rFonts w:ascii="宋体" w:hAnsi="宋体" w:eastAsia="宋体" w:cs="宋体"/>
                <w:sz w:val="18"/>
                <w:szCs w:val="18"/>
              </w:rPr>
            </w:pPr>
          </w:p>
        </w:tc>
      </w:tr>
      <w:tr w14:paraId="1819E4A0">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D123">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E15B">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885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质量指标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01A5">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农作物病虫监测及防治指导率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855A">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25B3">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41CD">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EA2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DEAD">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C9B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FC7A">
            <w:pPr>
              <w:widowControl/>
              <w:spacing w:line="240" w:lineRule="exact"/>
              <w:jc w:val="center"/>
              <w:rPr>
                <w:rFonts w:ascii="宋体" w:hAnsi="宋体" w:eastAsia="宋体" w:cs="宋体"/>
                <w:sz w:val="18"/>
                <w:szCs w:val="18"/>
              </w:rPr>
            </w:pPr>
          </w:p>
        </w:tc>
      </w:tr>
      <w:tr w14:paraId="789C2B14">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A54F">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79E4">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F876">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时效指标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3C6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按时完成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B3F7">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6325">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7399">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1D0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2758">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FE6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3007">
            <w:pPr>
              <w:widowControl/>
              <w:spacing w:line="240" w:lineRule="exact"/>
              <w:jc w:val="center"/>
              <w:rPr>
                <w:rFonts w:ascii="宋体" w:hAnsi="宋体" w:eastAsia="宋体" w:cs="宋体"/>
                <w:sz w:val="18"/>
                <w:szCs w:val="18"/>
              </w:rPr>
            </w:pPr>
          </w:p>
        </w:tc>
      </w:tr>
      <w:tr w14:paraId="05A78D60">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C276">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01AA">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EDF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经济效益指标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7D5C">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提高农产品质量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CAAD">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5307">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优</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C7D6">
            <w:pPr>
              <w:widowControl/>
              <w:spacing w:line="240" w:lineRule="exact"/>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BE5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5CE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61D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5520">
            <w:pPr>
              <w:widowControl/>
              <w:spacing w:line="240" w:lineRule="exact"/>
              <w:jc w:val="center"/>
              <w:rPr>
                <w:rFonts w:ascii="宋体" w:hAnsi="宋体" w:eastAsia="宋体" w:cs="宋体"/>
                <w:sz w:val="18"/>
                <w:szCs w:val="18"/>
              </w:rPr>
            </w:pPr>
          </w:p>
        </w:tc>
      </w:tr>
      <w:tr w14:paraId="4E6153D2">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5957">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E86C">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48D2">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社会效益指标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614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生态环境持续改善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287B">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3F45">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优</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4BD6">
            <w:pPr>
              <w:widowControl/>
              <w:spacing w:line="240" w:lineRule="exact"/>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3C1E">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D99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F89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0FD8">
            <w:pPr>
              <w:widowControl/>
              <w:spacing w:line="240" w:lineRule="exact"/>
              <w:jc w:val="center"/>
              <w:rPr>
                <w:rFonts w:ascii="宋体" w:hAnsi="宋体" w:eastAsia="宋体" w:cs="宋体"/>
                <w:sz w:val="18"/>
                <w:szCs w:val="18"/>
              </w:rPr>
            </w:pPr>
          </w:p>
        </w:tc>
      </w:tr>
      <w:tr w14:paraId="15B29E3E">
        <w:tblPrEx>
          <w:tblCellMar>
            <w:top w:w="0" w:type="dxa"/>
            <w:left w:w="108" w:type="dxa"/>
            <w:bottom w:w="0" w:type="dxa"/>
            <w:right w:w="108" w:type="dxa"/>
          </w:tblCellMar>
        </w:tblPrEx>
        <w:trPr>
          <w:trHeight w:val="300"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3700">
            <w:pPr>
              <w:widowControl/>
              <w:spacing w:line="240" w:lineRule="exact"/>
              <w:jc w:val="center"/>
              <w:rPr>
                <w:rFonts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CDCD">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满意度指标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416F">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服务对象满意度指标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25C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公众满意度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4892">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CBE4">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80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7501">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455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80.00%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F219">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1FD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EB7C">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宣传工作不够</w:t>
            </w:r>
          </w:p>
        </w:tc>
      </w:tr>
      <w:tr w14:paraId="5E7FD7EF">
        <w:tblPrEx>
          <w:tblCellMar>
            <w:top w:w="0" w:type="dxa"/>
            <w:left w:w="108" w:type="dxa"/>
            <w:bottom w:w="0" w:type="dxa"/>
            <w:right w:w="108" w:type="dxa"/>
          </w:tblCellMar>
        </w:tblPrEx>
        <w:trPr>
          <w:trHeight w:val="300" w:hRule="atLeast"/>
        </w:trPr>
        <w:tc>
          <w:tcPr>
            <w:tcW w:w="9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5F112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合计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065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188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98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11CB">
            <w:pPr>
              <w:widowControl/>
              <w:spacing w:line="240" w:lineRule="exact"/>
              <w:rPr>
                <w:rFonts w:ascii="宋体" w:hAnsi="宋体" w:eastAsia="宋体" w:cs="宋体"/>
                <w:sz w:val="18"/>
                <w:szCs w:val="18"/>
              </w:rPr>
            </w:pPr>
          </w:p>
        </w:tc>
      </w:tr>
      <w:tr w14:paraId="7113CFE7">
        <w:tblPrEx>
          <w:tblCellMar>
            <w:top w:w="0" w:type="dxa"/>
            <w:left w:w="108" w:type="dxa"/>
            <w:bottom w:w="0" w:type="dxa"/>
            <w:right w:w="108" w:type="dxa"/>
          </w:tblCellMar>
        </w:tblPrEx>
        <w:trPr>
          <w:trHeight w:val="3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A0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评价结论</w:t>
            </w:r>
          </w:p>
        </w:tc>
        <w:tc>
          <w:tcPr>
            <w:tcW w:w="120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1039E7">
            <w:pPr>
              <w:widowControl/>
              <w:spacing w:line="240" w:lineRule="exact"/>
              <w:jc w:val="left"/>
              <w:textAlignment w:val="center"/>
              <w:rPr>
                <w:rFonts w:ascii="微软雅黑" w:hAnsi="微软雅黑" w:eastAsia="微软雅黑" w:cs="微软雅黑"/>
                <w:b/>
                <w:bCs/>
                <w:sz w:val="16"/>
                <w:szCs w:val="16"/>
              </w:rPr>
            </w:pPr>
            <w:r>
              <w:rPr>
                <w:rFonts w:hint="eastAsia" w:ascii="微软雅黑" w:hAnsi="微软雅黑" w:eastAsia="微软雅黑" w:cs="微软雅黑"/>
                <w:b/>
                <w:bCs/>
                <w:kern w:val="0"/>
                <w:sz w:val="16"/>
                <w:szCs w:val="16"/>
                <w:lang w:bidi="ar"/>
              </w:rPr>
              <w:t>完成了监测设备安装和防治示范，提升 了园区病虫监测水平，指导和带动了周边农户适时防治，效果显著。</w:t>
            </w:r>
          </w:p>
        </w:tc>
      </w:tr>
      <w:tr w14:paraId="0BA2411E">
        <w:tblPrEx>
          <w:tblCellMar>
            <w:top w:w="0" w:type="dxa"/>
            <w:left w:w="108" w:type="dxa"/>
            <w:bottom w:w="0" w:type="dxa"/>
            <w:right w:w="108" w:type="dxa"/>
          </w:tblCellMar>
        </w:tblPrEx>
        <w:trPr>
          <w:trHeight w:val="3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E4E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存在问题</w:t>
            </w:r>
          </w:p>
        </w:tc>
        <w:tc>
          <w:tcPr>
            <w:tcW w:w="120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79D269">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宣传工作不够</w:t>
            </w:r>
          </w:p>
        </w:tc>
      </w:tr>
      <w:tr w14:paraId="1575A34B">
        <w:tblPrEx>
          <w:tblCellMar>
            <w:top w:w="0" w:type="dxa"/>
            <w:left w:w="108" w:type="dxa"/>
            <w:bottom w:w="0" w:type="dxa"/>
            <w:right w:w="108" w:type="dxa"/>
          </w:tblCellMar>
        </w:tblPrEx>
        <w:trPr>
          <w:trHeight w:val="3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BB9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改进措施</w:t>
            </w:r>
          </w:p>
        </w:tc>
        <w:tc>
          <w:tcPr>
            <w:tcW w:w="120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A39F49">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进一步加强相关工作的宣传力度，让更多的农户知道项目带来的好处。</w:t>
            </w:r>
          </w:p>
        </w:tc>
      </w:tr>
    </w:tbl>
    <w:p w14:paraId="5B3B9E8E">
      <w:pPr>
        <w:pStyle w:val="2"/>
        <w:ind w:left="0" w:leftChars="0" w:firstLine="0" w:firstLineChars="0"/>
      </w:pPr>
    </w:p>
    <w:tbl>
      <w:tblPr>
        <w:tblStyle w:val="14"/>
        <w:tblW w:w="12708" w:type="dxa"/>
        <w:tblInd w:w="93" w:type="dxa"/>
        <w:tblLayout w:type="fixed"/>
        <w:tblCellMar>
          <w:top w:w="0" w:type="dxa"/>
          <w:left w:w="108" w:type="dxa"/>
          <w:bottom w:w="0" w:type="dxa"/>
          <w:right w:w="108" w:type="dxa"/>
        </w:tblCellMar>
      </w:tblPr>
      <w:tblGrid>
        <w:gridCol w:w="793"/>
        <w:gridCol w:w="1749"/>
        <w:gridCol w:w="1383"/>
        <w:gridCol w:w="1617"/>
        <w:gridCol w:w="1000"/>
        <w:gridCol w:w="766"/>
        <w:gridCol w:w="1000"/>
        <w:gridCol w:w="1117"/>
        <w:gridCol w:w="783"/>
        <w:gridCol w:w="750"/>
        <w:gridCol w:w="1750"/>
      </w:tblGrid>
      <w:tr w14:paraId="044A5584">
        <w:tblPrEx>
          <w:tblCellMar>
            <w:top w:w="0" w:type="dxa"/>
            <w:left w:w="108" w:type="dxa"/>
            <w:bottom w:w="0" w:type="dxa"/>
            <w:right w:w="108" w:type="dxa"/>
          </w:tblCellMar>
        </w:tblPrEx>
        <w:trPr>
          <w:trHeight w:val="527" w:hRule="atLeast"/>
        </w:trPr>
        <w:tc>
          <w:tcPr>
            <w:tcW w:w="127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48FE4F">
            <w:pPr>
              <w:widowControl/>
              <w:spacing w:line="400" w:lineRule="exact"/>
              <w:jc w:val="center"/>
              <w:textAlignment w:val="center"/>
              <w:rPr>
                <w:rFonts w:ascii="黑体" w:hAnsi="宋体" w:eastAsia="黑体" w:cs="黑体"/>
                <w:b/>
                <w:bCs/>
                <w:sz w:val="30"/>
                <w:szCs w:val="30"/>
              </w:rPr>
            </w:pPr>
            <w:r>
              <w:rPr>
                <w:rFonts w:hint="eastAsia" w:ascii="黑体" w:hAnsi="宋体" w:eastAsia="黑体" w:cs="黑体"/>
                <w:b/>
                <w:bCs/>
                <w:kern w:val="0"/>
                <w:sz w:val="30"/>
                <w:szCs w:val="30"/>
                <w:lang w:bidi="ar"/>
              </w:rPr>
              <w:t>部门预算项目支出绩效自评表（2023年度）</w:t>
            </w:r>
          </w:p>
        </w:tc>
      </w:tr>
      <w:tr w14:paraId="7472E72F">
        <w:tblPrEx>
          <w:tblCellMar>
            <w:top w:w="0" w:type="dxa"/>
            <w:left w:w="108" w:type="dxa"/>
            <w:bottom w:w="0" w:type="dxa"/>
            <w:right w:w="108" w:type="dxa"/>
          </w:tblCellMar>
        </w:tblPrEx>
        <w:trPr>
          <w:trHeight w:val="285" w:hRule="atLeast"/>
        </w:trPr>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78BD5">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项目名称</w:t>
            </w:r>
          </w:p>
        </w:tc>
        <w:tc>
          <w:tcPr>
            <w:tcW w:w="10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23CFF9">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51172424T000009992122-大竹县2023年中央财政粮油生产保障资金小麦“一喷三防”实施方案</w:t>
            </w:r>
          </w:p>
        </w:tc>
      </w:tr>
      <w:tr w14:paraId="7AE76CD3">
        <w:tblPrEx>
          <w:tblCellMar>
            <w:top w:w="0" w:type="dxa"/>
            <w:left w:w="108" w:type="dxa"/>
            <w:bottom w:w="0" w:type="dxa"/>
            <w:right w:w="108" w:type="dxa"/>
          </w:tblCellMar>
        </w:tblPrEx>
        <w:trPr>
          <w:trHeight w:val="480" w:hRule="atLeast"/>
        </w:trPr>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B841F">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主管部门</w:t>
            </w:r>
          </w:p>
        </w:tc>
        <w:tc>
          <w:tcPr>
            <w:tcW w:w="5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64CD7">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大竹县植保植检站部门</w:t>
            </w:r>
          </w:p>
        </w:tc>
        <w:tc>
          <w:tcPr>
            <w:tcW w:w="1117" w:type="dxa"/>
            <w:tcBorders>
              <w:top w:val="nil"/>
              <w:left w:val="nil"/>
              <w:bottom w:val="nil"/>
              <w:right w:val="nil"/>
            </w:tcBorders>
            <w:shd w:val="clear" w:color="auto" w:fill="auto"/>
            <w:vAlign w:val="center"/>
          </w:tcPr>
          <w:p w14:paraId="4FB05613">
            <w:pPr>
              <w:widowControl/>
              <w:spacing w:line="240" w:lineRule="exact"/>
              <w:jc w:val="left"/>
              <w:textAlignment w:val="center"/>
              <w:rPr>
                <w:rFonts w:ascii="黑体" w:hAnsi="黑体" w:eastAsia="黑体" w:cs="黑体"/>
                <w:sz w:val="18"/>
                <w:szCs w:val="18"/>
              </w:rPr>
            </w:pPr>
            <w:r>
              <w:rPr>
                <w:rFonts w:hint="eastAsia" w:ascii="黑体" w:hAnsi="黑体" w:eastAsia="黑体" w:cs="黑体"/>
                <w:kern w:val="0"/>
                <w:sz w:val="18"/>
                <w:szCs w:val="18"/>
                <w:lang w:bidi="ar"/>
              </w:rPr>
              <w:t>实施单位 （盖章）</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75AE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大竹县植保植检站</w:t>
            </w:r>
          </w:p>
        </w:tc>
      </w:tr>
      <w:tr w14:paraId="33681CA4">
        <w:tblPrEx>
          <w:tblCellMar>
            <w:top w:w="0" w:type="dxa"/>
            <w:left w:w="108" w:type="dxa"/>
            <w:bottom w:w="0" w:type="dxa"/>
            <w:right w:w="108" w:type="dxa"/>
          </w:tblCellMar>
        </w:tblPrEx>
        <w:trPr>
          <w:trHeight w:val="285"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10C20">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项目基本情况</w:t>
            </w:r>
          </w:p>
        </w:tc>
        <w:tc>
          <w:tcPr>
            <w:tcW w:w="1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EF7DB">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1.项目年度目标完成情况</w:t>
            </w:r>
          </w:p>
        </w:tc>
        <w:tc>
          <w:tcPr>
            <w:tcW w:w="5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10B0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项目年度目标</w:t>
            </w:r>
          </w:p>
        </w:tc>
        <w:tc>
          <w:tcPr>
            <w:tcW w:w="4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415C5D">
            <w:pPr>
              <w:widowControl/>
              <w:spacing w:line="240" w:lineRule="exact"/>
              <w:jc w:val="center"/>
              <w:textAlignment w:val="center"/>
              <w:rPr>
                <w:rFonts w:ascii="黑体" w:hAnsi="黑体" w:eastAsia="黑体" w:cs="黑体"/>
                <w:sz w:val="18"/>
                <w:szCs w:val="18"/>
              </w:rPr>
            </w:pPr>
            <w:r>
              <w:rPr>
                <w:rFonts w:hint="eastAsia" w:ascii="黑体" w:hAnsi="黑体" w:eastAsia="黑体" w:cs="黑体"/>
                <w:kern w:val="0"/>
                <w:sz w:val="18"/>
                <w:szCs w:val="18"/>
                <w:lang w:bidi="ar"/>
              </w:rPr>
              <w:t>年度目标完成情况</w:t>
            </w:r>
          </w:p>
        </w:tc>
      </w:tr>
      <w:tr w14:paraId="085FEEB5">
        <w:tblPrEx>
          <w:tblCellMar>
            <w:top w:w="0" w:type="dxa"/>
            <w:left w:w="108" w:type="dxa"/>
            <w:bottom w:w="0" w:type="dxa"/>
            <w:right w:w="108" w:type="dxa"/>
          </w:tblCellMar>
        </w:tblPrEx>
        <w:trPr>
          <w:trHeight w:val="48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F57EF">
            <w:pPr>
              <w:widowControl/>
              <w:spacing w:line="240" w:lineRule="exact"/>
              <w:rPr>
                <w:rFonts w:ascii="宋体" w:hAnsi="宋体" w:eastAsia="宋体" w:cs="宋体"/>
                <w:sz w:val="18"/>
                <w:szCs w:val="18"/>
              </w:rPr>
            </w:pPr>
          </w:p>
        </w:tc>
        <w:tc>
          <w:tcPr>
            <w:tcW w:w="1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95610">
            <w:pPr>
              <w:widowControl/>
              <w:spacing w:line="240" w:lineRule="exact"/>
              <w:rPr>
                <w:rFonts w:ascii="宋体" w:hAnsi="宋体" w:eastAsia="宋体" w:cs="宋体"/>
                <w:sz w:val="18"/>
                <w:szCs w:val="18"/>
              </w:rPr>
            </w:pPr>
          </w:p>
        </w:tc>
        <w:tc>
          <w:tcPr>
            <w:tcW w:w="57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AABEA">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对全县8.8万亩次小麦的高效对路农药、植物生长调节剂等进行补助。</w:t>
            </w:r>
          </w:p>
        </w:tc>
        <w:tc>
          <w:tcPr>
            <w:tcW w:w="4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1F672">
            <w:pPr>
              <w:widowControl/>
              <w:spacing w:line="240" w:lineRule="exact"/>
              <w:jc w:val="left"/>
              <w:textAlignment w:val="center"/>
              <w:rPr>
                <w:rFonts w:ascii="黑体" w:hAnsi="黑体" w:eastAsia="黑体" w:cs="黑体"/>
                <w:sz w:val="18"/>
                <w:szCs w:val="18"/>
              </w:rPr>
            </w:pPr>
            <w:r>
              <w:rPr>
                <w:rFonts w:hint="eastAsia" w:ascii="黑体" w:hAnsi="黑体" w:eastAsia="黑体" w:cs="黑体"/>
                <w:kern w:val="0"/>
                <w:sz w:val="18"/>
                <w:szCs w:val="18"/>
                <w:lang w:bidi="ar"/>
              </w:rPr>
              <w:t>完成了全县8.8万亩次小麦的高效对路农药、植物生长调节剂等进行补助</w:t>
            </w:r>
          </w:p>
        </w:tc>
      </w:tr>
      <w:tr w14:paraId="05352C4D">
        <w:tblPrEx>
          <w:tblCellMar>
            <w:top w:w="0" w:type="dxa"/>
            <w:left w:w="108" w:type="dxa"/>
            <w:bottom w:w="0" w:type="dxa"/>
            <w:right w:w="108" w:type="dxa"/>
          </w:tblCellMar>
        </w:tblPrEx>
        <w:trPr>
          <w:trHeight w:val="42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6827">
            <w:pPr>
              <w:widowControl/>
              <w:spacing w:line="240" w:lineRule="exact"/>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2AD5">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2.项目实施内容及过程概述</w:t>
            </w:r>
          </w:p>
        </w:tc>
        <w:tc>
          <w:tcPr>
            <w:tcW w:w="10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AA2640">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对全县小麦8.8万亩次的高效对路农药、植物生长调节剂、叶面肥等物质进行补助</w:t>
            </w:r>
          </w:p>
        </w:tc>
      </w:tr>
      <w:tr w14:paraId="230D9702">
        <w:tblPrEx>
          <w:tblCellMar>
            <w:top w:w="0" w:type="dxa"/>
            <w:left w:w="108" w:type="dxa"/>
            <w:bottom w:w="0" w:type="dxa"/>
            <w:right w:w="108" w:type="dxa"/>
          </w:tblCellMar>
        </w:tblPrEx>
        <w:trPr>
          <w:trHeight w:val="300"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14DF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预算执行情况（10分）</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DA0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年度预算数（万元）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96F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年初预算</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86B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调整后预算数</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B49B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5F4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预算执行率</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15D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44F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得分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A11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原因</w:t>
            </w:r>
          </w:p>
        </w:tc>
      </w:tr>
      <w:tr w14:paraId="00D1A258">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82C5">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FE2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总额</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973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39E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44.00</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76D2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44.00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386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5CC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B5C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7BB2D">
            <w:pPr>
              <w:widowControl/>
              <w:spacing w:line="240" w:lineRule="exact"/>
              <w:jc w:val="left"/>
              <w:textAlignment w:val="center"/>
              <w:rPr>
                <w:rFonts w:ascii="黑体" w:hAnsi="黑体" w:eastAsia="黑体" w:cs="黑体"/>
                <w:i/>
                <w:iCs/>
                <w:sz w:val="18"/>
                <w:szCs w:val="18"/>
              </w:rPr>
            </w:pPr>
            <w:r>
              <w:rPr>
                <w:rFonts w:hint="eastAsia" w:ascii="黑体" w:hAnsi="黑体" w:eastAsia="黑体" w:cs="黑体"/>
                <w:i/>
                <w:iCs/>
                <w:kern w:val="0"/>
                <w:sz w:val="18"/>
                <w:szCs w:val="18"/>
                <w:lang w:bidi="ar"/>
              </w:rPr>
              <w:t>预算时上级专项资金未到，年中追加</w:t>
            </w:r>
          </w:p>
        </w:tc>
      </w:tr>
      <w:tr w14:paraId="05458E80">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863F">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AFA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其中：财政资金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CF7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8D5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44.00</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9244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44.00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111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E3C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82E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34A38">
            <w:pPr>
              <w:widowControl/>
              <w:spacing w:line="240" w:lineRule="exact"/>
              <w:rPr>
                <w:rFonts w:ascii="黑体" w:hAnsi="黑体" w:eastAsia="黑体" w:cs="黑体"/>
                <w:i/>
                <w:iCs/>
                <w:sz w:val="18"/>
                <w:szCs w:val="18"/>
              </w:rPr>
            </w:pPr>
          </w:p>
        </w:tc>
      </w:tr>
      <w:tr w14:paraId="632B9C2A">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399E">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6F5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财政专户管理资金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E26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2F7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5583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A87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720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4B1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068A8">
            <w:pPr>
              <w:widowControl/>
              <w:spacing w:line="240" w:lineRule="exact"/>
              <w:rPr>
                <w:rFonts w:ascii="黑体" w:hAnsi="黑体" w:eastAsia="黑体" w:cs="黑体"/>
                <w:i/>
                <w:iCs/>
                <w:sz w:val="18"/>
                <w:szCs w:val="18"/>
              </w:rPr>
            </w:pPr>
          </w:p>
        </w:tc>
      </w:tr>
      <w:tr w14:paraId="4AA9D560">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A2C80">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419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单位资金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7C5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8CE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A41A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27B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209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E66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E5EC">
            <w:pPr>
              <w:widowControl/>
              <w:spacing w:line="240" w:lineRule="exact"/>
              <w:rPr>
                <w:rFonts w:ascii="黑体" w:hAnsi="黑体" w:eastAsia="黑体" w:cs="黑体"/>
                <w:i/>
                <w:iCs/>
                <w:sz w:val="18"/>
                <w:szCs w:val="18"/>
              </w:rPr>
            </w:pPr>
          </w:p>
        </w:tc>
      </w:tr>
      <w:tr w14:paraId="37075B48">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B5E6E">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7F7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其他资金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F359">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 xml:space="preserve">0.00 </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56C6">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 xml:space="preserve">0.00 </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15CA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0E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06A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115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D8804">
            <w:pPr>
              <w:widowControl/>
              <w:spacing w:line="240" w:lineRule="exact"/>
              <w:rPr>
                <w:rFonts w:ascii="黑体" w:hAnsi="黑体" w:eastAsia="黑体" w:cs="黑体"/>
                <w:i/>
                <w:iCs/>
                <w:sz w:val="18"/>
                <w:szCs w:val="18"/>
              </w:rPr>
            </w:pPr>
          </w:p>
        </w:tc>
      </w:tr>
      <w:tr w14:paraId="5FFB760B">
        <w:tblPrEx>
          <w:tblCellMar>
            <w:top w:w="0" w:type="dxa"/>
            <w:left w:w="108" w:type="dxa"/>
            <w:bottom w:w="0" w:type="dxa"/>
            <w:right w:w="108" w:type="dxa"/>
          </w:tblCellMar>
        </w:tblPrEx>
        <w:trPr>
          <w:trHeight w:val="300"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CD7A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绩效指标（90分）</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95E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一级指标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E6F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二级指标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8CF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CA4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指标性质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FB2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指标值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6C1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度量单位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C63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完成值</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269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011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得分</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0F1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未完成原因分析</w:t>
            </w:r>
          </w:p>
        </w:tc>
      </w:tr>
      <w:tr w14:paraId="53A8EC91">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AFAF">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C68B">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C7D6">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数量指标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3E3D">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面积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147C">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63A5">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F96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万亩</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41EE">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DBF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22AF">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6CC1">
            <w:pPr>
              <w:widowControl/>
              <w:spacing w:line="240" w:lineRule="exact"/>
              <w:jc w:val="center"/>
              <w:rPr>
                <w:rFonts w:ascii="黑体" w:hAnsi="宋体" w:eastAsia="黑体" w:cs="黑体"/>
                <w:sz w:val="18"/>
                <w:szCs w:val="18"/>
              </w:rPr>
            </w:pPr>
          </w:p>
        </w:tc>
      </w:tr>
      <w:tr w14:paraId="5EC2B3A0">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D957">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5798">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1B5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质量指标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22E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病虫损失率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FA35">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B29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8FDC">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DD1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827B">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5F3B">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017D">
            <w:pPr>
              <w:widowControl/>
              <w:spacing w:line="240" w:lineRule="exact"/>
              <w:jc w:val="center"/>
              <w:rPr>
                <w:rFonts w:ascii="黑体" w:hAnsi="宋体" w:eastAsia="黑体" w:cs="黑体"/>
                <w:sz w:val="18"/>
                <w:szCs w:val="18"/>
              </w:rPr>
            </w:pPr>
          </w:p>
        </w:tc>
      </w:tr>
      <w:tr w14:paraId="6EE24913">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AE232">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B574">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452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时效指标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807C">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按时完成</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B63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321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D20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年</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6A9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8301">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3CD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D1E9">
            <w:pPr>
              <w:widowControl/>
              <w:spacing w:line="240" w:lineRule="exact"/>
              <w:jc w:val="center"/>
              <w:rPr>
                <w:rFonts w:ascii="黑体" w:hAnsi="宋体" w:eastAsia="黑体" w:cs="黑体"/>
                <w:sz w:val="18"/>
                <w:szCs w:val="18"/>
              </w:rPr>
            </w:pPr>
          </w:p>
        </w:tc>
      </w:tr>
      <w:tr w14:paraId="6DFEEE9E">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E122">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5422">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BBF9">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经济效益指标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465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产品质量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3B7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14A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农残达标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2970">
            <w:pPr>
              <w:widowControl/>
              <w:spacing w:line="240" w:lineRule="exact"/>
              <w:jc w:val="center"/>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70BC">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61F8">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DC6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D41D">
            <w:pPr>
              <w:widowControl/>
              <w:spacing w:line="240" w:lineRule="exact"/>
              <w:jc w:val="center"/>
              <w:rPr>
                <w:rFonts w:ascii="黑体" w:hAnsi="宋体" w:eastAsia="黑体" w:cs="黑体"/>
                <w:sz w:val="18"/>
                <w:szCs w:val="18"/>
              </w:rPr>
            </w:pPr>
          </w:p>
        </w:tc>
      </w:tr>
      <w:tr w14:paraId="06D5B39E">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41A2B">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8C6D">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9F77">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社会效益指标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204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生态环境持续向好</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50AD">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463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减少高毒农药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50E2">
            <w:pPr>
              <w:widowControl/>
              <w:spacing w:line="240" w:lineRule="exact"/>
              <w:jc w:val="center"/>
              <w:rPr>
                <w:rFonts w:ascii="宋体" w:hAnsi="宋体" w:eastAsia="宋体" w:cs="宋体"/>
                <w:sz w:val="18"/>
                <w:szCs w:val="18"/>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AE7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71C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A401">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EFBF">
            <w:pPr>
              <w:widowControl/>
              <w:spacing w:line="240" w:lineRule="exact"/>
              <w:jc w:val="center"/>
              <w:rPr>
                <w:rFonts w:ascii="黑体" w:hAnsi="宋体" w:eastAsia="黑体" w:cs="黑体"/>
                <w:sz w:val="18"/>
                <w:szCs w:val="18"/>
              </w:rPr>
            </w:pPr>
          </w:p>
        </w:tc>
      </w:tr>
      <w:tr w14:paraId="5CA7D66C">
        <w:tblPrEx>
          <w:tblCellMar>
            <w:top w:w="0" w:type="dxa"/>
            <w:left w:w="108" w:type="dxa"/>
            <w:bottom w:w="0" w:type="dxa"/>
            <w:right w:w="108" w:type="dxa"/>
          </w:tblCellMar>
        </w:tblPrEx>
        <w:trPr>
          <w:trHeight w:val="3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1A78">
            <w:pPr>
              <w:widowControl/>
              <w:spacing w:line="240" w:lineRule="exact"/>
              <w:jc w:val="center"/>
              <w:rPr>
                <w:rFonts w:ascii="宋体" w:hAnsi="宋体" w:eastAsia="宋体" w:cs="宋体"/>
                <w:sz w:val="18"/>
                <w:szCs w:val="18"/>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6035">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满意度指标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34D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服务对象满意度指标</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C40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农户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B81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399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A14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24E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80.00%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F9A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FFEF">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26CB">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宣传工作不够</w:t>
            </w:r>
          </w:p>
        </w:tc>
      </w:tr>
      <w:tr w14:paraId="09D192AC">
        <w:tblPrEx>
          <w:tblCellMar>
            <w:top w:w="0" w:type="dxa"/>
            <w:left w:w="108" w:type="dxa"/>
            <w:bottom w:w="0" w:type="dxa"/>
            <w:right w:w="108" w:type="dxa"/>
          </w:tblCellMar>
        </w:tblPrEx>
        <w:trPr>
          <w:trHeight w:val="300" w:hRule="atLeast"/>
        </w:trPr>
        <w:tc>
          <w:tcPr>
            <w:tcW w:w="9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4C106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合计</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7AE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476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98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594A">
            <w:pPr>
              <w:widowControl/>
              <w:spacing w:line="240" w:lineRule="exact"/>
              <w:rPr>
                <w:rFonts w:ascii="宋体" w:hAnsi="宋体" w:eastAsia="宋体" w:cs="宋体"/>
                <w:sz w:val="18"/>
                <w:szCs w:val="18"/>
              </w:rPr>
            </w:pPr>
          </w:p>
        </w:tc>
      </w:tr>
      <w:tr w14:paraId="1DE2D326">
        <w:tblPrEx>
          <w:tblCellMar>
            <w:top w:w="0" w:type="dxa"/>
            <w:left w:w="108" w:type="dxa"/>
            <w:bottom w:w="0" w:type="dxa"/>
            <w:right w:w="108" w:type="dxa"/>
          </w:tblCellMar>
        </w:tblPrEx>
        <w:trPr>
          <w:trHeight w:val="3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C1F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评价结论</w:t>
            </w:r>
          </w:p>
        </w:tc>
        <w:tc>
          <w:tcPr>
            <w:tcW w:w="119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8BF248">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完成了全县8.8万亩次小麦的高效对路农药、植物生长调节剂等进行补助</w:t>
            </w:r>
          </w:p>
        </w:tc>
      </w:tr>
      <w:tr w14:paraId="64F106C9">
        <w:tblPrEx>
          <w:tblCellMar>
            <w:top w:w="0" w:type="dxa"/>
            <w:left w:w="108" w:type="dxa"/>
            <w:bottom w:w="0" w:type="dxa"/>
            <w:right w:w="108" w:type="dxa"/>
          </w:tblCellMar>
        </w:tblPrEx>
        <w:trPr>
          <w:trHeight w:val="3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817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存在问题</w:t>
            </w:r>
          </w:p>
        </w:tc>
        <w:tc>
          <w:tcPr>
            <w:tcW w:w="119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F60DC3">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宣传工作不够</w:t>
            </w:r>
          </w:p>
        </w:tc>
      </w:tr>
      <w:tr w14:paraId="77FDBDAA">
        <w:tblPrEx>
          <w:tblCellMar>
            <w:top w:w="0" w:type="dxa"/>
            <w:left w:w="108" w:type="dxa"/>
            <w:bottom w:w="0" w:type="dxa"/>
            <w:right w:w="108" w:type="dxa"/>
          </w:tblCellMar>
        </w:tblPrEx>
        <w:trPr>
          <w:trHeight w:val="3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5D3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改进措施</w:t>
            </w:r>
          </w:p>
        </w:tc>
        <w:tc>
          <w:tcPr>
            <w:tcW w:w="119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D1B35B">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进一步加强相关工作的宣传力度，让更多的农户知道项目带来的好处。</w:t>
            </w:r>
          </w:p>
        </w:tc>
      </w:tr>
    </w:tbl>
    <w:p w14:paraId="52E0AA26">
      <w:pPr>
        <w:pStyle w:val="2"/>
        <w:ind w:left="0" w:leftChars="0" w:firstLine="0" w:firstLineChars="0"/>
      </w:pPr>
    </w:p>
    <w:tbl>
      <w:tblPr>
        <w:tblStyle w:val="14"/>
        <w:tblW w:w="12570" w:type="dxa"/>
        <w:tblInd w:w="93" w:type="dxa"/>
        <w:tblLayout w:type="fixed"/>
        <w:tblCellMar>
          <w:top w:w="0" w:type="dxa"/>
          <w:left w:w="108" w:type="dxa"/>
          <w:bottom w:w="0" w:type="dxa"/>
          <w:right w:w="108" w:type="dxa"/>
        </w:tblCellMar>
      </w:tblPr>
      <w:tblGrid>
        <w:gridCol w:w="838"/>
        <w:gridCol w:w="1704"/>
        <w:gridCol w:w="1400"/>
        <w:gridCol w:w="1600"/>
        <w:gridCol w:w="1016"/>
        <w:gridCol w:w="967"/>
        <w:gridCol w:w="983"/>
        <w:gridCol w:w="1167"/>
        <w:gridCol w:w="683"/>
        <w:gridCol w:w="750"/>
        <w:gridCol w:w="1462"/>
      </w:tblGrid>
      <w:tr w14:paraId="7919724F">
        <w:tblPrEx>
          <w:tblCellMar>
            <w:top w:w="0" w:type="dxa"/>
            <w:left w:w="108" w:type="dxa"/>
            <w:bottom w:w="0" w:type="dxa"/>
            <w:right w:w="108" w:type="dxa"/>
          </w:tblCellMar>
        </w:tblPrEx>
        <w:trPr>
          <w:trHeight w:val="467" w:hRule="atLeast"/>
        </w:trPr>
        <w:tc>
          <w:tcPr>
            <w:tcW w:w="125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1DF647">
            <w:pPr>
              <w:widowControl/>
              <w:spacing w:line="400" w:lineRule="exact"/>
              <w:jc w:val="center"/>
              <w:textAlignment w:val="center"/>
              <w:rPr>
                <w:rFonts w:ascii="黑体" w:hAnsi="宋体" w:eastAsia="黑体" w:cs="黑体"/>
                <w:b/>
                <w:bCs/>
                <w:sz w:val="30"/>
                <w:szCs w:val="30"/>
              </w:rPr>
            </w:pPr>
            <w:r>
              <w:rPr>
                <w:rFonts w:hint="eastAsia" w:ascii="黑体" w:hAnsi="宋体" w:eastAsia="黑体" w:cs="黑体"/>
                <w:b/>
                <w:bCs/>
                <w:kern w:val="0"/>
                <w:sz w:val="30"/>
                <w:szCs w:val="30"/>
                <w:lang w:bidi="ar"/>
              </w:rPr>
              <w:t>部门预算项目支出绩效自评表（2023年度）</w:t>
            </w:r>
          </w:p>
        </w:tc>
      </w:tr>
      <w:tr w14:paraId="1482FC01">
        <w:tblPrEx>
          <w:tblCellMar>
            <w:top w:w="0" w:type="dxa"/>
            <w:left w:w="108" w:type="dxa"/>
            <w:bottom w:w="0" w:type="dxa"/>
            <w:right w:w="108" w:type="dxa"/>
          </w:tblCellMar>
        </w:tblPrEx>
        <w:trPr>
          <w:trHeight w:val="285" w:hRule="atLeast"/>
        </w:trPr>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0929A">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项目名称</w:t>
            </w:r>
          </w:p>
        </w:tc>
        <w:tc>
          <w:tcPr>
            <w:tcW w:w="100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ED0C5B">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51172424T000009992039-大竹县2023年省级财政农业高质量发展共同财政事权转移支付植保重大病虫监测防治实施方案</w:t>
            </w:r>
          </w:p>
        </w:tc>
      </w:tr>
      <w:tr w14:paraId="67D77732">
        <w:tblPrEx>
          <w:tblCellMar>
            <w:top w:w="0" w:type="dxa"/>
            <w:left w:w="108" w:type="dxa"/>
            <w:bottom w:w="0" w:type="dxa"/>
            <w:right w:w="108" w:type="dxa"/>
          </w:tblCellMar>
        </w:tblPrEx>
        <w:trPr>
          <w:trHeight w:val="514" w:hRule="atLeast"/>
        </w:trPr>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AE23E">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主管部门</w:t>
            </w:r>
          </w:p>
        </w:tc>
        <w:tc>
          <w:tcPr>
            <w:tcW w:w="59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DDD48">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大竹县植保植检站部门</w:t>
            </w:r>
          </w:p>
        </w:tc>
        <w:tc>
          <w:tcPr>
            <w:tcW w:w="1167" w:type="dxa"/>
            <w:tcBorders>
              <w:top w:val="nil"/>
              <w:left w:val="nil"/>
              <w:bottom w:val="nil"/>
              <w:right w:val="nil"/>
            </w:tcBorders>
            <w:shd w:val="clear" w:color="auto" w:fill="auto"/>
            <w:vAlign w:val="center"/>
          </w:tcPr>
          <w:p w14:paraId="22CD8CE1">
            <w:pPr>
              <w:widowControl/>
              <w:spacing w:line="240" w:lineRule="exact"/>
              <w:jc w:val="left"/>
              <w:textAlignment w:val="center"/>
              <w:rPr>
                <w:rFonts w:ascii="黑体" w:hAnsi="黑体" w:eastAsia="黑体" w:cs="黑体"/>
                <w:sz w:val="18"/>
                <w:szCs w:val="18"/>
              </w:rPr>
            </w:pPr>
            <w:r>
              <w:rPr>
                <w:rFonts w:hint="eastAsia" w:ascii="黑体" w:hAnsi="黑体" w:eastAsia="黑体" w:cs="黑体"/>
                <w:kern w:val="0"/>
                <w:sz w:val="18"/>
                <w:szCs w:val="18"/>
                <w:lang w:bidi="ar"/>
              </w:rPr>
              <w:t>实施单位 （盖章）</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AABA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大竹县植保植检站</w:t>
            </w:r>
          </w:p>
        </w:tc>
      </w:tr>
      <w:tr w14:paraId="44E81011">
        <w:tblPrEx>
          <w:tblCellMar>
            <w:top w:w="0" w:type="dxa"/>
            <w:left w:w="108" w:type="dxa"/>
            <w:bottom w:w="0" w:type="dxa"/>
            <w:right w:w="108" w:type="dxa"/>
          </w:tblCellMar>
        </w:tblPrEx>
        <w:trPr>
          <w:trHeight w:val="300"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443CD">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项目基本情况</w:t>
            </w: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36F66">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1.项目年度目标完成情况</w:t>
            </w:r>
          </w:p>
        </w:tc>
        <w:tc>
          <w:tcPr>
            <w:tcW w:w="59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3C51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项目年度目标</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EE721">
            <w:pPr>
              <w:widowControl/>
              <w:spacing w:line="240" w:lineRule="exact"/>
              <w:jc w:val="center"/>
              <w:textAlignment w:val="center"/>
              <w:rPr>
                <w:rFonts w:ascii="黑体" w:hAnsi="黑体" w:eastAsia="黑体" w:cs="黑体"/>
                <w:sz w:val="18"/>
                <w:szCs w:val="18"/>
              </w:rPr>
            </w:pPr>
            <w:r>
              <w:rPr>
                <w:rFonts w:hint="eastAsia" w:ascii="黑体" w:hAnsi="黑体" w:eastAsia="黑体" w:cs="黑体"/>
                <w:kern w:val="0"/>
                <w:sz w:val="18"/>
                <w:szCs w:val="18"/>
                <w:lang w:bidi="ar"/>
              </w:rPr>
              <w:t>年度目标完成情况</w:t>
            </w:r>
          </w:p>
        </w:tc>
      </w:tr>
      <w:tr w14:paraId="5EEE6B17">
        <w:tblPrEx>
          <w:tblCellMar>
            <w:top w:w="0" w:type="dxa"/>
            <w:left w:w="108" w:type="dxa"/>
            <w:bottom w:w="0" w:type="dxa"/>
            <w:right w:w="108" w:type="dxa"/>
          </w:tblCellMar>
        </w:tblPrEx>
        <w:trPr>
          <w:trHeight w:val="36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8554">
            <w:pPr>
              <w:widowControl/>
              <w:spacing w:line="240" w:lineRule="exact"/>
              <w:rPr>
                <w:rFonts w:ascii="宋体" w:hAnsi="宋体" w:eastAsia="宋体" w:cs="宋体"/>
                <w:sz w:val="18"/>
                <w:szCs w:val="18"/>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F7C75">
            <w:pPr>
              <w:widowControl/>
              <w:spacing w:line="240" w:lineRule="exact"/>
              <w:rPr>
                <w:rFonts w:ascii="宋体" w:hAnsi="宋体" w:eastAsia="宋体" w:cs="宋体"/>
                <w:sz w:val="18"/>
                <w:szCs w:val="18"/>
              </w:rPr>
            </w:pPr>
          </w:p>
        </w:tc>
        <w:tc>
          <w:tcPr>
            <w:tcW w:w="59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BA9C1D">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在全县31个乡镇开展重大病虫监测面积2万亩。</w:t>
            </w:r>
          </w:p>
        </w:tc>
        <w:tc>
          <w:tcPr>
            <w:tcW w:w="40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566DA">
            <w:pPr>
              <w:widowControl/>
              <w:spacing w:line="240" w:lineRule="exact"/>
              <w:jc w:val="left"/>
              <w:textAlignment w:val="center"/>
              <w:rPr>
                <w:rFonts w:ascii="黑体" w:hAnsi="黑体" w:eastAsia="黑体" w:cs="黑体"/>
                <w:sz w:val="18"/>
                <w:szCs w:val="18"/>
              </w:rPr>
            </w:pPr>
            <w:r>
              <w:rPr>
                <w:rFonts w:hint="eastAsia" w:ascii="黑体" w:hAnsi="黑体" w:eastAsia="黑体" w:cs="黑体"/>
                <w:kern w:val="0"/>
                <w:sz w:val="18"/>
                <w:szCs w:val="18"/>
                <w:lang w:bidi="ar"/>
              </w:rPr>
              <w:t>完成了全县31个乡镇开展重大病虫监测面积12万亩。</w:t>
            </w:r>
          </w:p>
        </w:tc>
      </w:tr>
      <w:tr w14:paraId="7393AC7A">
        <w:tblPrEx>
          <w:tblCellMar>
            <w:top w:w="0" w:type="dxa"/>
            <w:left w:w="108" w:type="dxa"/>
            <w:bottom w:w="0" w:type="dxa"/>
            <w:right w:w="108" w:type="dxa"/>
          </w:tblCellMar>
        </w:tblPrEx>
        <w:trPr>
          <w:trHeight w:val="4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7A939">
            <w:pPr>
              <w:widowControl/>
              <w:spacing w:line="240" w:lineRule="exact"/>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8765">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2.项目实施内容及过程概述</w:t>
            </w:r>
          </w:p>
        </w:tc>
        <w:tc>
          <w:tcPr>
            <w:tcW w:w="100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17070C">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在全县31个乡镇开展重大病虫监测面积2万亩。</w:t>
            </w:r>
          </w:p>
        </w:tc>
      </w:tr>
      <w:tr w14:paraId="54466452">
        <w:tblPrEx>
          <w:tblCellMar>
            <w:top w:w="0" w:type="dxa"/>
            <w:left w:w="108" w:type="dxa"/>
            <w:bottom w:w="0" w:type="dxa"/>
            <w:right w:w="108" w:type="dxa"/>
          </w:tblCellMar>
        </w:tblPrEx>
        <w:trPr>
          <w:trHeight w:val="300"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F679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预算执行情况（10分）</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802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年度预算数（万元）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A31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年初预算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EFF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调整后预算数</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92B2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E59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067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280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得分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578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原因</w:t>
            </w:r>
          </w:p>
        </w:tc>
      </w:tr>
      <w:tr w14:paraId="35C5835E">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3F17">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4A3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总额</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FD8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20.00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648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20.00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485A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987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1B4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739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239BD">
            <w:pPr>
              <w:widowControl/>
              <w:spacing w:line="240" w:lineRule="exact"/>
              <w:rPr>
                <w:rFonts w:ascii="黑体" w:hAnsi="黑体" w:eastAsia="黑体" w:cs="黑体"/>
                <w:i/>
                <w:iCs/>
                <w:sz w:val="18"/>
                <w:szCs w:val="18"/>
              </w:rPr>
            </w:pPr>
          </w:p>
        </w:tc>
      </w:tr>
      <w:tr w14:paraId="5586E465">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DC4CD">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6E7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其中：财政资金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69C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20.00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17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20.00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EB46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985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6E5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376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A709">
            <w:pPr>
              <w:widowControl/>
              <w:spacing w:line="240" w:lineRule="exact"/>
              <w:rPr>
                <w:rFonts w:ascii="黑体" w:hAnsi="黑体" w:eastAsia="黑体" w:cs="黑体"/>
                <w:i/>
                <w:iCs/>
                <w:sz w:val="18"/>
                <w:szCs w:val="18"/>
              </w:rPr>
            </w:pPr>
          </w:p>
        </w:tc>
      </w:tr>
      <w:tr w14:paraId="0F99F1CE">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AE67">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275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财政专户管理资金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07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05F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6B6C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340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512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F4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2DB3">
            <w:pPr>
              <w:widowControl/>
              <w:spacing w:line="240" w:lineRule="exact"/>
              <w:rPr>
                <w:rFonts w:ascii="黑体" w:hAnsi="黑体" w:eastAsia="黑体" w:cs="黑体"/>
                <w:i/>
                <w:iCs/>
                <w:sz w:val="18"/>
                <w:szCs w:val="18"/>
              </w:rPr>
            </w:pPr>
          </w:p>
        </w:tc>
      </w:tr>
      <w:tr w14:paraId="2A3EFF6F">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9F71D">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63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单位资金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0E3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861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93AA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AD5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E3C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849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D3D4">
            <w:pPr>
              <w:widowControl/>
              <w:spacing w:line="240" w:lineRule="exact"/>
              <w:rPr>
                <w:rFonts w:ascii="黑体" w:hAnsi="黑体" w:eastAsia="黑体" w:cs="黑体"/>
                <w:i/>
                <w:iCs/>
                <w:sz w:val="18"/>
                <w:szCs w:val="18"/>
              </w:rPr>
            </w:pPr>
          </w:p>
        </w:tc>
      </w:tr>
      <w:tr w14:paraId="6D74A377">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19C3">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D98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其他资金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160F">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 xml:space="preserve">0.00 </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2598">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 xml:space="preserve">0.00 </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D4AA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D77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56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0CC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7B78">
            <w:pPr>
              <w:widowControl/>
              <w:spacing w:line="240" w:lineRule="exact"/>
              <w:rPr>
                <w:rFonts w:ascii="黑体" w:hAnsi="黑体" w:eastAsia="黑体" w:cs="黑体"/>
                <w:i/>
                <w:iCs/>
                <w:sz w:val="18"/>
                <w:szCs w:val="18"/>
              </w:rPr>
            </w:pPr>
          </w:p>
        </w:tc>
      </w:tr>
      <w:tr w14:paraId="0A039C7B">
        <w:tblPrEx>
          <w:tblCellMar>
            <w:top w:w="0" w:type="dxa"/>
            <w:left w:w="108" w:type="dxa"/>
            <w:bottom w:w="0" w:type="dxa"/>
            <w:right w:w="108" w:type="dxa"/>
          </w:tblCellMar>
        </w:tblPrEx>
        <w:trPr>
          <w:trHeight w:val="300"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3824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绩效指标（90分）</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CAF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一级指标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8F9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二级指标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A6E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三级指标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280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指标性质</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E1E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指标值</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C5F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度量单位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0D6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完成值</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F44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069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得分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134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未完成原因分析</w:t>
            </w:r>
          </w:p>
        </w:tc>
      </w:tr>
      <w:tr w14:paraId="132D3A01">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1D25">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CBA6">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7263">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7D85">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面积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ED3C">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AFC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A64D">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万亩</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8B5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6AB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1E8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ADC8">
            <w:pPr>
              <w:widowControl/>
              <w:spacing w:line="240" w:lineRule="exact"/>
              <w:jc w:val="center"/>
              <w:rPr>
                <w:rFonts w:ascii="黑体" w:hAnsi="宋体" w:eastAsia="黑体" w:cs="黑体"/>
                <w:sz w:val="18"/>
                <w:szCs w:val="18"/>
              </w:rPr>
            </w:pPr>
          </w:p>
        </w:tc>
      </w:tr>
      <w:tr w14:paraId="6F02BCB5">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8AD4">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0ADF">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34FF">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质量指标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E28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病虫预报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B6D7">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5A1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3107">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337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DB31">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000E">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DC4D">
            <w:pPr>
              <w:widowControl/>
              <w:spacing w:line="240" w:lineRule="exact"/>
              <w:jc w:val="center"/>
              <w:rPr>
                <w:rFonts w:ascii="黑体" w:hAnsi="宋体" w:eastAsia="黑体" w:cs="黑体"/>
                <w:sz w:val="18"/>
                <w:szCs w:val="18"/>
              </w:rPr>
            </w:pPr>
          </w:p>
        </w:tc>
      </w:tr>
      <w:tr w14:paraId="3864DC88">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61636">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BB72">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8768">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时效指标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D5BF">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按时完成</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11F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E7F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01B2">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EA7E">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CC50">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053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FDD6">
            <w:pPr>
              <w:widowControl/>
              <w:spacing w:line="240" w:lineRule="exact"/>
              <w:jc w:val="center"/>
              <w:rPr>
                <w:rFonts w:ascii="黑体" w:hAnsi="宋体" w:eastAsia="黑体" w:cs="黑体"/>
                <w:sz w:val="18"/>
                <w:szCs w:val="18"/>
              </w:rPr>
            </w:pPr>
          </w:p>
        </w:tc>
      </w:tr>
      <w:tr w14:paraId="04BED1E1">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73D8">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8B61">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6E43">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经济效益指标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7BC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病虫损失</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F808">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BA2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3D3D">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5CE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34CF">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C35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3169">
            <w:pPr>
              <w:widowControl/>
              <w:spacing w:line="240" w:lineRule="exact"/>
              <w:jc w:val="center"/>
              <w:rPr>
                <w:rFonts w:ascii="黑体" w:hAnsi="宋体" w:eastAsia="黑体" w:cs="黑体"/>
                <w:sz w:val="18"/>
                <w:szCs w:val="18"/>
              </w:rPr>
            </w:pPr>
          </w:p>
        </w:tc>
      </w:tr>
      <w:tr w14:paraId="093EA337">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782B">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7AA5">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988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社会效益指标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E767">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生态环境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88AD">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BF22">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持续向好</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C45A">
            <w:pPr>
              <w:widowControl/>
              <w:spacing w:line="240" w:lineRule="exact"/>
              <w:jc w:val="center"/>
              <w:rPr>
                <w:rFonts w:ascii="宋体" w:hAnsi="宋体" w:eastAsia="宋体" w:cs="宋体"/>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05B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870F">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EEA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3A38">
            <w:pPr>
              <w:widowControl/>
              <w:spacing w:line="240" w:lineRule="exact"/>
              <w:jc w:val="center"/>
              <w:rPr>
                <w:rFonts w:ascii="黑体" w:hAnsi="宋体" w:eastAsia="黑体" w:cs="黑体"/>
                <w:sz w:val="18"/>
                <w:szCs w:val="18"/>
              </w:rPr>
            </w:pPr>
          </w:p>
        </w:tc>
      </w:tr>
      <w:tr w14:paraId="7FD0AA0C">
        <w:tblPrEx>
          <w:tblCellMar>
            <w:top w:w="0" w:type="dxa"/>
            <w:left w:w="108" w:type="dxa"/>
            <w:bottom w:w="0" w:type="dxa"/>
            <w:right w:w="108" w:type="dxa"/>
          </w:tblCellMar>
        </w:tblPrEx>
        <w:trPr>
          <w:trHeight w:val="30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5D40">
            <w:pPr>
              <w:widowControl/>
              <w:spacing w:line="240" w:lineRule="exact"/>
              <w:jc w:val="center"/>
              <w:rPr>
                <w:rFonts w:ascii="宋体" w:hAnsi="宋体" w:eastAsia="宋体" w:cs="宋体"/>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7689">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满意度指标</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1762">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服务对象满意度指标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D1C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农户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7CB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853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F51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ECE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051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B78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44B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宣传工作不够</w:t>
            </w:r>
          </w:p>
        </w:tc>
      </w:tr>
      <w:tr w14:paraId="7387928A">
        <w:tblPrEx>
          <w:tblCellMar>
            <w:top w:w="0" w:type="dxa"/>
            <w:left w:w="108" w:type="dxa"/>
            <w:bottom w:w="0" w:type="dxa"/>
            <w:right w:w="108" w:type="dxa"/>
          </w:tblCellMar>
        </w:tblPrEx>
        <w:trPr>
          <w:trHeight w:val="300" w:hRule="atLeast"/>
        </w:trPr>
        <w:tc>
          <w:tcPr>
            <w:tcW w:w="96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D746E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B84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399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98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7CC2">
            <w:pPr>
              <w:widowControl/>
              <w:spacing w:line="240" w:lineRule="exact"/>
              <w:rPr>
                <w:rFonts w:ascii="宋体" w:hAnsi="宋体" w:eastAsia="宋体" w:cs="宋体"/>
                <w:sz w:val="18"/>
                <w:szCs w:val="18"/>
              </w:rPr>
            </w:pPr>
          </w:p>
        </w:tc>
      </w:tr>
      <w:tr w14:paraId="54CC9B5E">
        <w:tblPrEx>
          <w:tblCellMar>
            <w:top w:w="0" w:type="dxa"/>
            <w:left w:w="108" w:type="dxa"/>
            <w:bottom w:w="0" w:type="dxa"/>
            <w:right w:w="108" w:type="dxa"/>
          </w:tblCellMar>
        </w:tblPrEx>
        <w:trPr>
          <w:trHeight w:val="3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047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评价结论</w:t>
            </w:r>
          </w:p>
        </w:tc>
        <w:tc>
          <w:tcPr>
            <w:tcW w:w="11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864501">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完成了全县31个乡镇开展重大病虫监测面积12万亩，项目效果显著。</w:t>
            </w:r>
          </w:p>
        </w:tc>
      </w:tr>
      <w:tr w14:paraId="7DAAECB7">
        <w:tblPrEx>
          <w:tblCellMar>
            <w:top w:w="0" w:type="dxa"/>
            <w:left w:w="108" w:type="dxa"/>
            <w:bottom w:w="0" w:type="dxa"/>
            <w:right w:w="108" w:type="dxa"/>
          </w:tblCellMar>
        </w:tblPrEx>
        <w:trPr>
          <w:trHeight w:val="3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4F4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存在问题</w:t>
            </w:r>
          </w:p>
        </w:tc>
        <w:tc>
          <w:tcPr>
            <w:tcW w:w="11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1367D4">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宣传工作不够</w:t>
            </w:r>
          </w:p>
        </w:tc>
      </w:tr>
      <w:tr w14:paraId="01FAA3AB">
        <w:tblPrEx>
          <w:tblCellMar>
            <w:top w:w="0" w:type="dxa"/>
            <w:left w:w="108" w:type="dxa"/>
            <w:bottom w:w="0" w:type="dxa"/>
            <w:right w:w="108" w:type="dxa"/>
          </w:tblCellMar>
        </w:tblPrEx>
        <w:trPr>
          <w:trHeight w:val="3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BE5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改进措施</w:t>
            </w:r>
          </w:p>
        </w:tc>
        <w:tc>
          <w:tcPr>
            <w:tcW w:w="11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0B9B65">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进一步加强相关工作的宣传力度，让更多的农户知道项目带来的好处。</w:t>
            </w:r>
          </w:p>
        </w:tc>
      </w:tr>
    </w:tbl>
    <w:p w14:paraId="27756615">
      <w:pPr>
        <w:pStyle w:val="2"/>
        <w:ind w:left="0" w:leftChars="0" w:firstLine="0" w:firstLineChars="0"/>
      </w:pPr>
    </w:p>
    <w:p w14:paraId="7EE9CE39">
      <w:pPr>
        <w:pStyle w:val="2"/>
        <w:ind w:left="0" w:leftChars="0" w:firstLine="0" w:firstLineChars="0"/>
      </w:pPr>
    </w:p>
    <w:tbl>
      <w:tblPr>
        <w:tblStyle w:val="14"/>
        <w:tblW w:w="12792" w:type="dxa"/>
        <w:tblInd w:w="93" w:type="dxa"/>
        <w:tblLayout w:type="fixed"/>
        <w:tblCellMar>
          <w:top w:w="0" w:type="dxa"/>
          <w:left w:w="108" w:type="dxa"/>
          <w:bottom w:w="0" w:type="dxa"/>
          <w:right w:w="108" w:type="dxa"/>
        </w:tblCellMar>
      </w:tblPr>
      <w:tblGrid>
        <w:gridCol w:w="838"/>
        <w:gridCol w:w="1745"/>
        <w:gridCol w:w="1359"/>
        <w:gridCol w:w="1600"/>
        <w:gridCol w:w="1016"/>
        <w:gridCol w:w="984"/>
        <w:gridCol w:w="966"/>
        <w:gridCol w:w="1167"/>
        <w:gridCol w:w="683"/>
        <w:gridCol w:w="734"/>
        <w:gridCol w:w="1700"/>
      </w:tblGrid>
      <w:tr w14:paraId="730B95A2">
        <w:tblPrEx>
          <w:tblCellMar>
            <w:top w:w="0" w:type="dxa"/>
            <w:left w:w="108" w:type="dxa"/>
            <w:bottom w:w="0" w:type="dxa"/>
            <w:right w:w="108" w:type="dxa"/>
          </w:tblCellMar>
        </w:tblPrEx>
        <w:trPr>
          <w:trHeight w:val="611" w:hRule="atLeast"/>
        </w:trPr>
        <w:tc>
          <w:tcPr>
            <w:tcW w:w="127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8F5BB9">
            <w:pPr>
              <w:widowControl/>
              <w:spacing w:line="400" w:lineRule="exact"/>
              <w:jc w:val="center"/>
              <w:textAlignment w:val="center"/>
              <w:rPr>
                <w:rFonts w:ascii="黑体" w:hAnsi="宋体" w:eastAsia="黑体" w:cs="黑体"/>
                <w:b/>
                <w:bCs/>
                <w:sz w:val="30"/>
                <w:szCs w:val="30"/>
              </w:rPr>
            </w:pPr>
            <w:r>
              <w:rPr>
                <w:rFonts w:hint="eastAsia" w:ascii="黑体" w:hAnsi="宋体" w:eastAsia="黑体" w:cs="黑体"/>
                <w:b/>
                <w:bCs/>
                <w:kern w:val="0"/>
                <w:sz w:val="30"/>
                <w:szCs w:val="30"/>
                <w:lang w:bidi="ar"/>
              </w:rPr>
              <w:t>部门预算项目支出绩效自评表（2023年度）</w:t>
            </w:r>
          </w:p>
        </w:tc>
      </w:tr>
      <w:tr w14:paraId="7FBD471B">
        <w:tblPrEx>
          <w:tblCellMar>
            <w:top w:w="0" w:type="dxa"/>
            <w:left w:w="108" w:type="dxa"/>
            <w:bottom w:w="0" w:type="dxa"/>
            <w:right w:w="108" w:type="dxa"/>
          </w:tblCellMar>
        </w:tblPrEx>
        <w:trPr>
          <w:trHeight w:val="285" w:hRule="atLeast"/>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E6E0F">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项目名称</w:t>
            </w:r>
          </w:p>
        </w:tc>
        <w:tc>
          <w:tcPr>
            <w:tcW w:w="102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983D9B">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51172424T000009992078-大竹县2023年省级财政农业高质量发展共同财政事权转移支付乡村植保员服务实施方案</w:t>
            </w:r>
          </w:p>
        </w:tc>
      </w:tr>
      <w:tr w14:paraId="772AC0B5">
        <w:tblPrEx>
          <w:tblCellMar>
            <w:top w:w="0" w:type="dxa"/>
            <w:left w:w="108" w:type="dxa"/>
            <w:bottom w:w="0" w:type="dxa"/>
            <w:right w:w="108" w:type="dxa"/>
          </w:tblCellMar>
        </w:tblPrEx>
        <w:trPr>
          <w:trHeight w:val="514" w:hRule="atLeast"/>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88B0D">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主管部门</w:t>
            </w:r>
          </w:p>
        </w:tc>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11C07">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大竹县植保植检站部门</w:t>
            </w:r>
          </w:p>
        </w:tc>
        <w:tc>
          <w:tcPr>
            <w:tcW w:w="1167" w:type="dxa"/>
            <w:tcBorders>
              <w:top w:val="nil"/>
              <w:left w:val="nil"/>
              <w:bottom w:val="nil"/>
              <w:right w:val="nil"/>
            </w:tcBorders>
            <w:shd w:val="clear" w:color="auto" w:fill="auto"/>
            <w:vAlign w:val="center"/>
          </w:tcPr>
          <w:p w14:paraId="2C0B213D">
            <w:pPr>
              <w:widowControl/>
              <w:spacing w:line="240" w:lineRule="exact"/>
              <w:jc w:val="left"/>
              <w:textAlignment w:val="center"/>
              <w:rPr>
                <w:rFonts w:ascii="黑体" w:hAnsi="黑体" w:eastAsia="黑体" w:cs="黑体"/>
                <w:sz w:val="18"/>
                <w:szCs w:val="18"/>
              </w:rPr>
            </w:pPr>
            <w:r>
              <w:rPr>
                <w:rFonts w:hint="eastAsia" w:ascii="黑体" w:hAnsi="黑体" w:eastAsia="黑体" w:cs="黑体"/>
                <w:kern w:val="0"/>
                <w:sz w:val="18"/>
                <w:szCs w:val="18"/>
                <w:lang w:bidi="ar"/>
              </w:rPr>
              <w:t>实施单位 （盖章）</w:t>
            </w:r>
          </w:p>
        </w:tc>
        <w:tc>
          <w:tcPr>
            <w:tcW w:w="3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CE90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大竹县植保植检站</w:t>
            </w:r>
          </w:p>
        </w:tc>
      </w:tr>
      <w:tr w14:paraId="78364980">
        <w:tblPrEx>
          <w:tblCellMar>
            <w:top w:w="0" w:type="dxa"/>
            <w:left w:w="108" w:type="dxa"/>
            <w:bottom w:w="0" w:type="dxa"/>
            <w:right w:w="108" w:type="dxa"/>
          </w:tblCellMar>
        </w:tblPrEx>
        <w:trPr>
          <w:trHeight w:val="285"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67C51">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项目基本情况</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498E7">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1.项目年度目标完成情况</w:t>
            </w:r>
          </w:p>
        </w:tc>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983B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项目年度目标</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F9DBC">
            <w:pPr>
              <w:widowControl/>
              <w:spacing w:line="240" w:lineRule="exact"/>
              <w:jc w:val="center"/>
              <w:textAlignment w:val="center"/>
              <w:rPr>
                <w:rFonts w:ascii="黑体" w:hAnsi="黑体" w:eastAsia="黑体" w:cs="黑体"/>
                <w:sz w:val="18"/>
                <w:szCs w:val="18"/>
              </w:rPr>
            </w:pPr>
            <w:r>
              <w:rPr>
                <w:rFonts w:hint="eastAsia" w:ascii="黑体" w:hAnsi="黑体" w:eastAsia="黑体" w:cs="黑体"/>
                <w:kern w:val="0"/>
                <w:sz w:val="18"/>
                <w:szCs w:val="18"/>
                <w:lang w:bidi="ar"/>
              </w:rPr>
              <w:t>年度目标完成情况</w:t>
            </w:r>
          </w:p>
        </w:tc>
      </w:tr>
      <w:tr w14:paraId="0FE2F9DD">
        <w:tblPrEx>
          <w:tblCellMar>
            <w:top w:w="0" w:type="dxa"/>
            <w:left w:w="108" w:type="dxa"/>
            <w:bottom w:w="0" w:type="dxa"/>
            <w:right w:w="108" w:type="dxa"/>
          </w:tblCellMar>
        </w:tblPrEx>
        <w:trPr>
          <w:trHeight w:val="4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6790">
            <w:pPr>
              <w:widowControl/>
              <w:spacing w:line="240" w:lineRule="exact"/>
              <w:rPr>
                <w:rFonts w:ascii="宋体" w:hAnsi="宋体" w:eastAsia="宋体" w:cs="宋体"/>
                <w:sz w:val="18"/>
                <w:szCs w:val="18"/>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C145">
            <w:pPr>
              <w:widowControl/>
              <w:spacing w:line="240" w:lineRule="exact"/>
              <w:rPr>
                <w:rFonts w:ascii="宋体" w:hAnsi="宋体" w:eastAsia="宋体" w:cs="宋体"/>
                <w:sz w:val="18"/>
                <w:szCs w:val="18"/>
              </w:rPr>
            </w:pPr>
          </w:p>
        </w:tc>
        <w:tc>
          <w:tcPr>
            <w:tcW w:w="59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9D356">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在31个乡镇选聘乡村植保员，完善我县乡村病虫疫情监测预警体系。</w:t>
            </w:r>
          </w:p>
        </w:tc>
        <w:tc>
          <w:tcPr>
            <w:tcW w:w="4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07A1B">
            <w:pPr>
              <w:widowControl/>
              <w:spacing w:line="240" w:lineRule="exact"/>
              <w:jc w:val="left"/>
              <w:textAlignment w:val="center"/>
              <w:rPr>
                <w:rFonts w:ascii="黑体" w:hAnsi="黑体" w:eastAsia="黑体" w:cs="黑体"/>
                <w:sz w:val="18"/>
                <w:szCs w:val="18"/>
              </w:rPr>
            </w:pPr>
            <w:r>
              <w:rPr>
                <w:rFonts w:hint="eastAsia" w:ascii="黑体" w:hAnsi="黑体" w:eastAsia="黑体" w:cs="黑体"/>
                <w:kern w:val="0"/>
                <w:sz w:val="18"/>
                <w:szCs w:val="18"/>
                <w:lang w:bidi="ar"/>
              </w:rPr>
              <w:t>完成了31个乡镇选聘乡村植保员，完善我县乡村病虫疫情监测预警体系。</w:t>
            </w:r>
          </w:p>
        </w:tc>
      </w:tr>
      <w:tr w14:paraId="073C2C50">
        <w:tblPrEx>
          <w:tblCellMar>
            <w:top w:w="0" w:type="dxa"/>
            <w:left w:w="108" w:type="dxa"/>
            <w:bottom w:w="0" w:type="dxa"/>
            <w:right w:w="108" w:type="dxa"/>
          </w:tblCellMar>
        </w:tblPrEx>
        <w:trPr>
          <w:trHeight w:val="4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7BCC">
            <w:pPr>
              <w:widowControl/>
              <w:spacing w:line="240" w:lineRule="exact"/>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E50D">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2.项目实施内容及过程概述</w:t>
            </w:r>
          </w:p>
        </w:tc>
        <w:tc>
          <w:tcPr>
            <w:tcW w:w="102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600024">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在全县31个乡镇选聘31个乡村植保员。</w:t>
            </w:r>
          </w:p>
        </w:tc>
      </w:tr>
      <w:tr w14:paraId="31823E3A">
        <w:tblPrEx>
          <w:tblCellMar>
            <w:top w:w="0" w:type="dxa"/>
            <w:left w:w="108" w:type="dxa"/>
            <w:bottom w:w="0" w:type="dxa"/>
            <w:right w:w="108" w:type="dxa"/>
          </w:tblCellMar>
        </w:tblPrEx>
        <w:trPr>
          <w:trHeight w:val="280"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9F46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预算执行情况（10分）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40A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年度预算数（万元）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A3A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年初预算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32E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调整后预算数</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27CB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4B3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B4E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权重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866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得分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46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原因</w:t>
            </w:r>
          </w:p>
        </w:tc>
      </w:tr>
      <w:tr w14:paraId="56F8258F">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688B">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E2D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总额</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04D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31.00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5BB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31.00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31F5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28.50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72A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91.94%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D80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343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4DDD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采购节约结余资金</w:t>
            </w:r>
          </w:p>
        </w:tc>
      </w:tr>
      <w:tr w14:paraId="0AF4FAB1">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EA65">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CAC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其中：财政资金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E2B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31.00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A72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31.00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C0D1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28.50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441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91.94%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4CF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759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534CD">
            <w:pPr>
              <w:widowControl/>
              <w:spacing w:line="240" w:lineRule="exact"/>
              <w:jc w:val="center"/>
              <w:rPr>
                <w:rFonts w:ascii="宋体" w:hAnsi="宋体" w:eastAsia="宋体" w:cs="宋体"/>
                <w:sz w:val="18"/>
                <w:szCs w:val="18"/>
              </w:rPr>
            </w:pPr>
          </w:p>
        </w:tc>
      </w:tr>
      <w:tr w14:paraId="173BD95F">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55CEC">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314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财政专户管理资金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6EC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526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D923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08A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ABC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C6F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69033">
            <w:pPr>
              <w:widowControl/>
              <w:spacing w:line="240" w:lineRule="exact"/>
              <w:jc w:val="center"/>
              <w:rPr>
                <w:rFonts w:ascii="宋体" w:hAnsi="宋体" w:eastAsia="宋体" w:cs="宋体"/>
                <w:sz w:val="18"/>
                <w:szCs w:val="18"/>
              </w:rPr>
            </w:pPr>
          </w:p>
        </w:tc>
      </w:tr>
      <w:tr w14:paraId="057CCB5C">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00AE5">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4F3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单位资金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688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FF6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89E8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CB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B06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0B9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8205">
            <w:pPr>
              <w:widowControl/>
              <w:spacing w:line="240" w:lineRule="exact"/>
              <w:jc w:val="center"/>
              <w:rPr>
                <w:rFonts w:ascii="宋体" w:hAnsi="宋体" w:eastAsia="宋体" w:cs="宋体"/>
                <w:sz w:val="18"/>
                <w:szCs w:val="18"/>
              </w:rPr>
            </w:pPr>
          </w:p>
        </w:tc>
      </w:tr>
      <w:tr w14:paraId="413A9A46">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58F7">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C02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其他资金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741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A66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1002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830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D09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943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AE61">
            <w:pPr>
              <w:widowControl/>
              <w:spacing w:line="240" w:lineRule="exact"/>
              <w:jc w:val="center"/>
              <w:rPr>
                <w:rFonts w:ascii="宋体" w:hAnsi="宋体" w:eastAsia="宋体" w:cs="宋体"/>
                <w:sz w:val="18"/>
                <w:szCs w:val="18"/>
              </w:rPr>
            </w:pPr>
          </w:p>
        </w:tc>
      </w:tr>
      <w:tr w14:paraId="60EB9BFE">
        <w:tblPrEx>
          <w:tblCellMar>
            <w:top w:w="0" w:type="dxa"/>
            <w:left w:w="108" w:type="dxa"/>
            <w:bottom w:w="0" w:type="dxa"/>
            <w:right w:w="108" w:type="dxa"/>
          </w:tblCellMar>
        </w:tblPrEx>
        <w:trPr>
          <w:trHeight w:val="280"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78AD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绩效指标（90分）</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934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一级指标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A9D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二级指标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CDA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三级指标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E98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指标性质</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9BE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指标值</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C6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度量单位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39F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完成值</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9128">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权重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45B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得分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C32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未完成原因分析</w:t>
            </w:r>
          </w:p>
        </w:tc>
      </w:tr>
      <w:tr w14:paraId="0A33B047">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2CD4">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7412">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71B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3B06">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4CB7">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70A5">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31</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58D4">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4BC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DD0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565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EA81">
            <w:pPr>
              <w:widowControl/>
              <w:spacing w:line="240" w:lineRule="exact"/>
              <w:jc w:val="center"/>
              <w:rPr>
                <w:rFonts w:ascii="宋体" w:hAnsi="宋体" w:eastAsia="宋体" w:cs="宋体"/>
                <w:sz w:val="18"/>
                <w:szCs w:val="18"/>
              </w:rPr>
            </w:pPr>
          </w:p>
        </w:tc>
      </w:tr>
      <w:tr w14:paraId="5D7C21C7">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0BA8C">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B933">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9432">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质量指标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A3D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病虫预报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F351">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4E5A">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80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DF39">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12A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BF0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53E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4C99">
            <w:pPr>
              <w:widowControl/>
              <w:spacing w:line="240" w:lineRule="exact"/>
              <w:jc w:val="center"/>
              <w:rPr>
                <w:rFonts w:ascii="宋体" w:hAnsi="宋体" w:eastAsia="宋体" w:cs="宋体"/>
                <w:sz w:val="18"/>
                <w:szCs w:val="18"/>
              </w:rPr>
            </w:pPr>
          </w:p>
        </w:tc>
      </w:tr>
      <w:tr w14:paraId="31AE7779">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BA6A6">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6D51">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AEB8">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时效指标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4B6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按时完成</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7B64">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29D8">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517D">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52E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02C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45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A680">
            <w:pPr>
              <w:widowControl/>
              <w:spacing w:line="240" w:lineRule="exact"/>
              <w:jc w:val="center"/>
              <w:rPr>
                <w:rFonts w:ascii="宋体" w:hAnsi="宋体" w:eastAsia="宋体" w:cs="宋体"/>
                <w:sz w:val="18"/>
                <w:szCs w:val="18"/>
              </w:rPr>
            </w:pPr>
          </w:p>
        </w:tc>
      </w:tr>
      <w:tr w14:paraId="7CA2DD18">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B5A6">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0254">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A9B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经济效益指标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9F9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病虫损失</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B409">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9E17">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4</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7E83">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E79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D8C7">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B341">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73EA">
            <w:pPr>
              <w:widowControl/>
              <w:spacing w:line="240" w:lineRule="exact"/>
              <w:jc w:val="center"/>
              <w:rPr>
                <w:rFonts w:ascii="宋体" w:hAnsi="宋体" w:eastAsia="宋体" w:cs="宋体"/>
                <w:sz w:val="18"/>
                <w:szCs w:val="18"/>
              </w:rPr>
            </w:pPr>
          </w:p>
        </w:tc>
      </w:tr>
      <w:tr w14:paraId="498B8641">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D992">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40A8">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0E8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社会效益指标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8328">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生态环境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EBFB">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1160">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持续向好</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9BED">
            <w:pPr>
              <w:widowControl/>
              <w:spacing w:line="240" w:lineRule="exact"/>
              <w:rPr>
                <w:rFonts w:ascii="宋体" w:hAnsi="宋体" w:eastAsia="宋体" w:cs="宋体"/>
                <w:sz w:val="18"/>
                <w:szCs w:val="18"/>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F7C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C7DC">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F0C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E530">
            <w:pPr>
              <w:widowControl/>
              <w:spacing w:line="240" w:lineRule="exact"/>
              <w:jc w:val="center"/>
              <w:rPr>
                <w:rFonts w:ascii="宋体" w:hAnsi="宋体" w:eastAsia="宋体" w:cs="宋体"/>
                <w:sz w:val="18"/>
                <w:szCs w:val="18"/>
              </w:rPr>
            </w:pPr>
          </w:p>
        </w:tc>
      </w:tr>
      <w:tr w14:paraId="1A8DC902">
        <w:tblPrEx>
          <w:tblCellMar>
            <w:top w:w="0" w:type="dxa"/>
            <w:left w:w="108" w:type="dxa"/>
            <w:bottom w:w="0" w:type="dxa"/>
            <w:right w:w="108" w:type="dxa"/>
          </w:tblCellMar>
        </w:tblPrEx>
        <w:trPr>
          <w:trHeight w:val="280" w:hRule="atLeast"/>
        </w:trPr>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C27AA">
            <w:pPr>
              <w:widowControl/>
              <w:spacing w:line="240" w:lineRule="exact"/>
              <w:jc w:val="center"/>
              <w:rPr>
                <w:rFonts w:ascii="宋体" w:hAnsi="宋体" w:eastAsia="宋体" w:cs="宋体"/>
                <w:sz w:val="18"/>
                <w:szCs w:val="1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DEB2">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满意度指标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2A2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服务对象满意度指标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9FC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农户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D352">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5993">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80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5553">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93E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80.00%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8F75">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02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2CC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宣传工作不够</w:t>
            </w:r>
          </w:p>
        </w:tc>
      </w:tr>
      <w:tr w14:paraId="03A51CDA">
        <w:tblPrEx>
          <w:tblCellMar>
            <w:top w:w="0" w:type="dxa"/>
            <w:left w:w="108" w:type="dxa"/>
            <w:bottom w:w="0" w:type="dxa"/>
            <w:right w:w="108" w:type="dxa"/>
          </w:tblCellMar>
        </w:tblPrEx>
        <w:trPr>
          <w:trHeight w:val="300" w:hRule="atLeast"/>
        </w:trPr>
        <w:tc>
          <w:tcPr>
            <w:tcW w:w="96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A31B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6C4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055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98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2A88">
            <w:pPr>
              <w:widowControl/>
              <w:spacing w:line="240" w:lineRule="exact"/>
              <w:rPr>
                <w:rFonts w:ascii="宋体" w:hAnsi="宋体" w:eastAsia="宋体" w:cs="宋体"/>
                <w:sz w:val="18"/>
                <w:szCs w:val="18"/>
              </w:rPr>
            </w:pPr>
          </w:p>
        </w:tc>
      </w:tr>
      <w:tr w14:paraId="7FA99334">
        <w:tblPrEx>
          <w:tblCellMar>
            <w:top w:w="0" w:type="dxa"/>
            <w:left w:w="108" w:type="dxa"/>
            <w:bottom w:w="0" w:type="dxa"/>
            <w:right w:w="108" w:type="dxa"/>
          </w:tblCellMar>
        </w:tblPrEx>
        <w:trPr>
          <w:trHeight w:val="3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F190">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评价结论</w:t>
            </w:r>
          </w:p>
        </w:tc>
        <w:tc>
          <w:tcPr>
            <w:tcW w:w="11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547B8A">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完成了31个乡镇选聘乡村植保员，完善我县乡村病虫疫情监测预警体系，提升了我县监测水平。</w:t>
            </w:r>
          </w:p>
        </w:tc>
      </w:tr>
      <w:tr w14:paraId="3716B56D">
        <w:tblPrEx>
          <w:tblCellMar>
            <w:top w:w="0" w:type="dxa"/>
            <w:left w:w="108" w:type="dxa"/>
            <w:bottom w:w="0" w:type="dxa"/>
            <w:right w:w="108" w:type="dxa"/>
          </w:tblCellMar>
        </w:tblPrEx>
        <w:trPr>
          <w:trHeight w:val="3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0EB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存在问题</w:t>
            </w:r>
          </w:p>
        </w:tc>
        <w:tc>
          <w:tcPr>
            <w:tcW w:w="11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E012E7">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宣传工作不够</w:t>
            </w:r>
          </w:p>
        </w:tc>
      </w:tr>
      <w:tr w14:paraId="18418390">
        <w:tblPrEx>
          <w:tblCellMar>
            <w:top w:w="0" w:type="dxa"/>
            <w:left w:w="108" w:type="dxa"/>
            <w:bottom w:w="0" w:type="dxa"/>
            <w:right w:w="108" w:type="dxa"/>
          </w:tblCellMar>
        </w:tblPrEx>
        <w:trPr>
          <w:trHeight w:val="3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41F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改进措施</w:t>
            </w:r>
          </w:p>
        </w:tc>
        <w:tc>
          <w:tcPr>
            <w:tcW w:w="119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1A84BE">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进一步加强相关工作的宣传力度，让更多的农户知道项目带来的好处。</w:t>
            </w:r>
          </w:p>
        </w:tc>
      </w:tr>
    </w:tbl>
    <w:p w14:paraId="246F0073">
      <w:pPr>
        <w:pStyle w:val="2"/>
        <w:ind w:left="0" w:leftChars="0" w:firstLine="0" w:firstLineChars="0"/>
      </w:pPr>
    </w:p>
    <w:tbl>
      <w:tblPr>
        <w:tblStyle w:val="14"/>
        <w:tblW w:w="12758" w:type="dxa"/>
        <w:tblInd w:w="93" w:type="dxa"/>
        <w:tblLayout w:type="fixed"/>
        <w:tblCellMar>
          <w:top w:w="0" w:type="dxa"/>
          <w:left w:w="108" w:type="dxa"/>
          <w:bottom w:w="0" w:type="dxa"/>
          <w:right w:w="108" w:type="dxa"/>
        </w:tblCellMar>
      </w:tblPr>
      <w:tblGrid>
        <w:gridCol w:w="842"/>
        <w:gridCol w:w="1757"/>
        <w:gridCol w:w="1359"/>
        <w:gridCol w:w="1584"/>
        <w:gridCol w:w="1033"/>
        <w:gridCol w:w="983"/>
        <w:gridCol w:w="950"/>
        <w:gridCol w:w="1184"/>
        <w:gridCol w:w="666"/>
        <w:gridCol w:w="734"/>
        <w:gridCol w:w="1666"/>
      </w:tblGrid>
      <w:tr w14:paraId="5EDA97C5">
        <w:tblPrEx>
          <w:tblCellMar>
            <w:top w:w="0" w:type="dxa"/>
            <w:left w:w="108" w:type="dxa"/>
            <w:bottom w:w="0" w:type="dxa"/>
            <w:right w:w="108" w:type="dxa"/>
          </w:tblCellMar>
        </w:tblPrEx>
        <w:trPr>
          <w:trHeight w:val="627" w:hRule="atLeast"/>
        </w:trPr>
        <w:tc>
          <w:tcPr>
            <w:tcW w:w="127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692642">
            <w:pPr>
              <w:widowControl/>
              <w:spacing w:line="400" w:lineRule="exact"/>
              <w:jc w:val="center"/>
              <w:textAlignment w:val="center"/>
              <w:rPr>
                <w:rFonts w:ascii="黑体" w:hAnsi="宋体" w:eastAsia="黑体" w:cs="黑体"/>
                <w:b/>
                <w:bCs/>
                <w:sz w:val="30"/>
                <w:szCs w:val="30"/>
              </w:rPr>
            </w:pPr>
            <w:r>
              <w:rPr>
                <w:rFonts w:hint="eastAsia" w:ascii="黑体" w:hAnsi="宋体" w:eastAsia="黑体" w:cs="黑体"/>
                <w:b/>
                <w:bCs/>
                <w:kern w:val="0"/>
                <w:sz w:val="30"/>
                <w:szCs w:val="30"/>
                <w:lang w:bidi="ar"/>
              </w:rPr>
              <w:t>部门预算项目支出绩效自评表（2023年度）</w:t>
            </w:r>
          </w:p>
        </w:tc>
      </w:tr>
      <w:tr w14:paraId="12888219">
        <w:tblPrEx>
          <w:tblCellMar>
            <w:top w:w="0" w:type="dxa"/>
            <w:left w:w="108" w:type="dxa"/>
            <w:bottom w:w="0" w:type="dxa"/>
            <w:right w:w="108" w:type="dxa"/>
          </w:tblCellMar>
        </w:tblPrEx>
        <w:trPr>
          <w:trHeight w:val="420"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A029D">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项目名称</w:t>
            </w:r>
          </w:p>
        </w:tc>
        <w:tc>
          <w:tcPr>
            <w:tcW w:w="10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D959EC">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51172423T000009719423-农业防灾减灾和水利救灾资金</w:t>
            </w:r>
          </w:p>
        </w:tc>
      </w:tr>
      <w:tr w14:paraId="64B76FED">
        <w:tblPrEx>
          <w:tblCellMar>
            <w:top w:w="0" w:type="dxa"/>
            <w:left w:w="108" w:type="dxa"/>
            <w:bottom w:w="0" w:type="dxa"/>
            <w:right w:w="108" w:type="dxa"/>
          </w:tblCellMar>
        </w:tblPrEx>
        <w:trPr>
          <w:trHeight w:val="514" w:hRule="atLeast"/>
        </w:trPr>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7B100">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主管部门</w:t>
            </w:r>
          </w:p>
        </w:tc>
        <w:tc>
          <w:tcPr>
            <w:tcW w:w="5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60D92">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大竹县植保植检站部门</w:t>
            </w:r>
          </w:p>
        </w:tc>
        <w:tc>
          <w:tcPr>
            <w:tcW w:w="1184" w:type="dxa"/>
            <w:tcBorders>
              <w:top w:val="nil"/>
              <w:left w:val="nil"/>
              <w:bottom w:val="nil"/>
              <w:right w:val="nil"/>
            </w:tcBorders>
            <w:shd w:val="clear" w:color="auto" w:fill="auto"/>
            <w:vAlign w:val="center"/>
          </w:tcPr>
          <w:p w14:paraId="1802E4E6">
            <w:pPr>
              <w:widowControl/>
              <w:spacing w:line="240" w:lineRule="exact"/>
              <w:jc w:val="left"/>
              <w:textAlignment w:val="center"/>
              <w:rPr>
                <w:rFonts w:ascii="黑体" w:hAnsi="黑体" w:eastAsia="黑体" w:cs="黑体"/>
                <w:sz w:val="18"/>
                <w:szCs w:val="18"/>
              </w:rPr>
            </w:pPr>
            <w:r>
              <w:rPr>
                <w:rFonts w:hint="eastAsia" w:ascii="黑体" w:hAnsi="黑体" w:eastAsia="黑体" w:cs="黑体"/>
                <w:kern w:val="0"/>
                <w:sz w:val="18"/>
                <w:szCs w:val="18"/>
                <w:lang w:bidi="ar"/>
              </w:rPr>
              <w:t>实施单位 （盖章）</w:t>
            </w:r>
          </w:p>
        </w:tc>
        <w:tc>
          <w:tcPr>
            <w:tcW w:w="3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84EE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大竹县植保植检站</w:t>
            </w:r>
          </w:p>
        </w:tc>
      </w:tr>
      <w:tr w14:paraId="2A74F15B">
        <w:tblPrEx>
          <w:tblCellMar>
            <w:top w:w="0" w:type="dxa"/>
            <w:left w:w="108" w:type="dxa"/>
            <w:bottom w:w="0" w:type="dxa"/>
            <w:right w:w="108" w:type="dxa"/>
          </w:tblCellMar>
        </w:tblPrEx>
        <w:trPr>
          <w:trHeight w:val="285"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7F48B">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项目基本情况</w:t>
            </w:r>
          </w:p>
        </w:tc>
        <w:tc>
          <w:tcPr>
            <w:tcW w:w="1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16E61">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1.项目年度目标完成情况</w:t>
            </w:r>
          </w:p>
        </w:tc>
        <w:tc>
          <w:tcPr>
            <w:tcW w:w="5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F4B8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项目年度目标</w:t>
            </w:r>
          </w:p>
        </w:tc>
        <w:tc>
          <w:tcPr>
            <w:tcW w:w="4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BE8D26">
            <w:pPr>
              <w:widowControl/>
              <w:spacing w:line="240" w:lineRule="exact"/>
              <w:jc w:val="center"/>
              <w:textAlignment w:val="center"/>
              <w:rPr>
                <w:rFonts w:ascii="黑体" w:hAnsi="黑体" w:eastAsia="黑体" w:cs="黑体"/>
                <w:sz w:val="18"/>
                <w:szCs w:val="18"/>
              </w:rPr>
            </w:pPr>
            <w:r>
              <w:rPr>
                <w:rFonts w:hint="eastAsia" w:ascii="黑体" w:hAnsi="黑体" w:eastAsia="黑体" w:cs="黑体"/>
                <w:kern w:val="0"/>
                <w:sz w:val="18"/>
                <w:szCs w:val="18"/>
                <w:lang w:bidi="ar"/>
              </w:rPr>
              <w:t>年度目标完成情况</w:t>
            </w:r>
          </w:p>
        </w:tc>
      </w:tr>
      <w:tr w14:paraId="77F5C039">
        <w:tblPrEx>
          <w:tblCellMar>
            <w:top w:w="0" w:type="dxa"/>
            <w:left w:w="108" w:type="dxa"/>
            <w:bottom w:w="0" w:type="dxa"/>
            <w:right w:w="108" w:type="dxa"/>
          </w:tblCellMar>
        </w:tblPrEx>
        <w:trPr>
          <w:trHeight w:val="28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3678">
            <w:pPr>
              <w:widowControl/>
              <w:spacing w:line="240" w:lineRule="exact"/>
              <w:rPr>
                <w:rFonts w:ascii="宋体" w:hAnsi="宋体" w:eastAsia="宋体" w:cs="宋体"/>
                <w:sz w:val="18"/>
                <w:szCs w:val="18"/>
              </w:rPr>
            </w:pPr>
          </w:p>
        </w:tc>
        <w:tc>
          <w:tcPr>
            <w:tcW w:w="1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0DF4">
            <w:pPr>
              <w:widowControl/>
              <w:spacing w:line="240" w:lineRule="exact"/>
              <w:rPr>
                <w:rFonts w:ascii="宋体" w:hAnsi="宋体" w:eastAsia="宋体" w:cs="宋体"/>
                <w:sz w:val="18"/>
                <w:szCs w:val="18"/>
              </w:rPr>
            </w:pPr>
          </w:p>
        </w:tc>
        <w:tc>
          <w:tcPr>
            <w:tcW w:w="5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9BE626">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水稻重大病虫绿色防控和统防统治2.93万亩次。</w:t>
            </w:r>
          </w:p>
        </w:tc>
        <w:tc>
          <w:tcPr>
            <w:tcW w:w="4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37AC70">
            <w:pPr>
              <w:widowControl/>
              <w:spacing w:line="240" w:lineRule="exact"/>
              <w:jc w:val="left"/>
              <w:textAlignment w:val="center"/>
              <w:rPr>
                <w:rFonts w:ascii="黑体" w:hAnsi="黑体" w:eastAsia="黑体" w:cs="黑体"/>
                <w:sz w:val="18"/>
                <w:szCs w:val="18"/>
              </w:rPr>
            </w:pPr>
            <w:r>
              <w:rPr>
                <w:rFonts w:hint="eastAsia" w:ascii="黑体" w:hAnsi="黑体" w:eastAsia="黑体" w:cs="黑体"/>
                <w:kern w:val="0"/>
                <w:sz w:val="18"/>
                <w:szCs w:val="18"/>
                <w:lang w:bidi="ar"/>
              </w:rPr>
              <w:t>完成水稻重大病虫绿色防控和统防统治2.93万亩次。</w:t>
            </w:r>
          </w:p>
        </w:tc>
      </w:tr>
      <w:tr w14:paraId="126336AE">
        <w:tblPrEx>
          <w:tblCellMar>
            <w:top w:w="0" w:type="dxa"/>
            <w:left w:w="108" w:type="dxa"/>
            <w:bottom w:w="0" w:type="dxa"/>
            <w:right w:w="108" w:type="dxa"/>
          </w:tblCellMar>
        </w:tblPrEx>
        <w:trPr>
          <w:trHeight w:val="48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EB90">
            <w:pPr>
              <w:widowControl/>
              <w:spacing w:line="240" w:lineRule="exact"/>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8B4A">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2.项目实施内容及过程概述</w:t>
            </w:r>
          </w:p>
        </w:tc>
        <w:tc>
          <w:tcPr>
            <w:tcW w:w="101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ABF178">
            <w:pPr>
              <w:widowControl/>
              <w:spacing w:line="240" w:lineRule="exact"/>
              <w:jc w:val="left"/>
              <w:textAlignment w:val="center"/>
              <w:rPr>
                <w:rFonts w:ascii="宋体" w:hAnsi="宋体" w:eastAsia="宋体" w:cs="宋体"/>
                <w:sz w:val="18"/>
                <w:szCs w:val="18"/>
              </w:rPr>
            </w:pPr>
            <w:r>
              <w:rPr>
                <w:rFonts w:ascii="宋体" w:hAnsi="宋体" w:eastAsia="宋体" w:cs="宋体"/>
                <w:kern w:val="0"/>
                <w:sz w:val="18"/>
                <w:szCs w:val="18"/>
                <w:lang w:bidi="ar"/>
              </w:rPr>
              <w:t>2.93万亩次水稻重大病虫绿色防控与统防统治</w:t>
            </w:r>
          </w:p>
        </w:tc>
      </w:tr>
      <w:tr w14:paraId="4E9CF635">
        <w:tblPrEx>
          <w:tblCellMar>
            <w:top w:w="0" w:type="dxa"/>
            <w:left w:w="108" w:type="dxa"/>
            <w:bottom w:w="0" w:type="dxa"/>
            <w:right w:w="108" w:type="dxa"/>
          </w:tblCellMar>
        </w:tblPrEx>
        <w:trPr>
          <w:trHeight w:val="300"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0CFA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预算执行情况（10分）</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940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年度预算数（万元）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2BA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年初预算</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4356">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调整后预算数</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4FD8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96E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4F1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权重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91D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得分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B2F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原因</w:t>
            </w:r>
          </w:p>
        </w:tc>
      </w:tr>
      <w:tr w14:paraId="418CDA12">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4739">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78C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总额</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760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44.00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AE3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44.00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6B67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44.00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51B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607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5AA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w:t>
            </w: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B1055">
            <w:pPr>
              <w:widowControl/>
              <w:spacing w:line="240" w:lineRule="exact"/>
              <w:rPr>
                <w:rFonts w:ascii="黑体" w:hAnsi="黑体" w:eastAsia="黑体" w:cs="黑体"/>
                <w:i/>
                <w:iCs/>
                <w:sz w:val="18"/>
                <w:szCs w:val="18"/>
              </w:rPr>
            </w:pPr>
          </w:p>
        </w:tc>
      </w:tr>
      <w:tr w14:paraId="2A4D98AE">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B334">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0F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其中：财政资金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BA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44.00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3DF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44.00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5178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44.00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98A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278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498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45FA">
            <w:pPr>
              <w:widowControl/>
              <w:spacing w:line="240" w:lineRule="exact"/>
              <w:rPr>
                <w:rFonts w:ascii="黑体" w:hAnsi="黑体" w:eastAsia="黑体" w:cs="黑体"/>
                <w:i/>
                <w:iCs/>
                <w:sz w:val="18"/>
                <w:szCs w:val="18"/>
              </w:rPr>
            </w:pPr>
          </w:p>
        </w:tc>
      </w:tr>
      <w:tr w14:paraId="77D802AE">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FDFB">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0A1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财政专户管理资金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573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083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4F95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437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B8B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479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0FCA">
            <w:pPr>
              <w:widowControl/>
              <w:spacing w:line="240" w:lineRule="exact"/>
              <w:rPr>
                <w:rFonts w:ascii="黑体" w:hAnsi="黑体" w:eastAsia="黑体" w:cs="黑体"/>
                <w:i/>
                <w:iCs/>
                <w:sz w:val="18"/>
                <w:szCs w:val="18"/>
              </w:rPr>
            </w:pPr>
          </w:p>
        </w:tc>
      </w:tr>
      <w:tr w14:paraId="727F6C2C">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3FD1C">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9DA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单位资金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C49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34BA">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5F32B">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1761">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53D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57F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6864">
            <w:pPr>
              <w:widowControl/>
              <w:spacing w:line="240" w:lineRule="exact"/>
              <w:rPr>
                <w:rFonts w:ascii="黑体" w:hAnsi="黑体" w:eastAsia="黑体" w:cs="黑体"/>
                <w:i/>
                <w:iCs/>
                <w:sz w:val="18"/>
                <w:szCs w:val="18"/>
              </w:rPr>
            </w:pPr>
          </w:p>
        </w:tc>
      </w:tr>
      <w:tr w14:paraId="76F7CB4F">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292D">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0D0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其他资金</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A21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B23E">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DBB5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A714">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16E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993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74366">
            <w:pPr>
              <w:widowControl/>
              <w:spacing w:line="240" w:lineRule="exact"/>
              <w:rPr>
                <w:rFonts w:ascii="黑体" w:hAnsi="黑体" w:eastAsia="黑体" w:cs="黑体"/>
                <w:i/>
                <w:iCs/>
                <w:sz w:val="18"/>
                <w:szCs w:val="18"/>
              </w:rPr>
            </w:pPr>
          </w:p>
        </w:tc>
      </w:tr>
      <w:tr w14:paraId="1D5A6A78">
        <w:tblPrEx>
          <w:tblCellMar>
            <w:top w:w="0" w:type="dxa"/>
            <w:left w:w="108" w:type="dxa"/>
            <w:bottom w:w="0" w:type="dxa"/>
            <w:right w:w="108" w:type="dxa"/>
          </w:tblCellMar>
        </w:tblPrEx>
        <w:trPr>
          <w:trHeight w:val="300"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5E02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绩效指标（90分）</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5AB3">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一级指标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F8B2">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二级指标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F615">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三级指标</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AD2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指标性质</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1847">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指标值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8B4D">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度量单位</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D77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40B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权重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595F">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得分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8A1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未完成原因分析</w:t>
            </w:r>
          </w:p>
        </w:tc>
      </w:tr>
      <w:tr w14:paraId="366EB0AA">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17F7">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CFC7">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CC72">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数量指标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13A3">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防治面积</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0CD5">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0F3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0.75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3063">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万亩</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E8F8">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E29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783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7811">
            <w:pPr>
              <w:widowControl/>
              <w:spacing w:line="240" w:lineRule="exact"/>
              <w:jc w:val="center"/>
              <w:rPr>
                <w:rFonts w:ascii="黑体" w:hAnsi="宋体" w:eastAsia="黑体" w:cs="黑体"/>
                <w:sz w:val="18"/>
                <w:szCs w:val="18"/>
              </w:rPr>
            </w:pPr>
          </w:p>
        </w:tc>
      </w:tr>
      <w:tr w14:paraId="2E558168">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2B6C6">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B19D">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69AD">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质量指标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AD06">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病虫损失率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7133">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7DC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CEB9">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510">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A2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089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989D">
            <w:pPr>
              <w:widowControl/>
              <w:spacing w:line="240" w:lineRule="exact"/>
              <w:jc w:val="center"/>
              <w:rPr>
                <w:rFonts w:ascii="黑体" w:hAnsi="宋体" w:eastAsia="黑体" w:cs="黑体"/>
                <w:sz w:val="18"/>
                <w:szCs w:val="18"/>
              </w:rPr>
            </w:pPr>
          </w:p>
        </w:tc>
      </w:tr>
      <w:tr w14:paraId="18F94AA5">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2516">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9263">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D16C">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时效指标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9B2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按时完成</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179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387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69EF">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C751">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842B">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2C0">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52B5">
            <w:pPr>
              <w:widowControl/>
              <w:spacing w:line="240" w:lineRule="exact"/>
              <w:jc w:val="center"/>
              <w:rPr>
                <w:rFonts w:ascii="黑体" w:hAnsi="宋体" w:eastAsia="黑体" w:cs="黑体"/>
                <w:sz w:val="18"/>
                <w:szCs w:val="18"/>
              </w:rPr>
            </w:pPr>
          </w:p>
        </w:tc>
      </w:tr>
      <w:tr w14:paraId="09AB38BD">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90B0">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305">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37C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经济效益指标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C56A">
            <w:pPr>
              <w:widowControl/>
              <w:spacing w:line="24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提高农产品质量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60EF">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8713">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优</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1C42">
            <w:pPr>
              <w:widowControl/>
              <w:spacing w:line="240" w:lineRule="exact"/>
              <w:jc w:val="center"/>
              <w:rPr>
                <w:rFonts w:ascii="宋体" w:hAnsi="宋体" w:eastAsia="宋体" w:cs="宋体"/>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EA3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AC8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90D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E7CF">
            <w:pPr>
              <w:widowControl/>
              <w:spacing w:line="240" w:lineRule="exact"/>
              <w:jc w:val="center"/>
              <w:rPr>
                <w:rFonts w:ascii="黑体" w:hAnsi="宋体" w:eastAsia="黑体" w:cs="黑体"/>
                <w:sz w:val="18"/>
                <w:szCs w:val="18"/>
              </w:rPr>
            </w:pPr>
          </w:p>
        </w:tc>
      </w:tr>
      <w:tr w14:paraId="3066D112">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70A2">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58F1">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1D7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社会效益指标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AB7A">
            <w:pPr>
              <w:widowControl/>
              <w:spacing w:line="240" w:lineRule="exact"/>
              <w:jc w:val="center"/>
              <w:textAlignment w:val="center"/>
              <w:rPr>
                <w:rFonts w:ascii="宋体" w:hAnsi="宋体" w:eastAsia="宋体" w:cs="宋体"/>
                <w:sz w:val="16"/>
                <w:szCs w:val="16"/>
              </w:rPr>
            </w:pPr>
            <w:r>
              <w:rPr>
                <w:rFonts w:hint="eastAsia" w:ascii="宋体" w:hAnsi="宋体" w:eastAsia="宋体" w:cs="宋体"/>
                <w:kern w:val="0"/>
                <w:sz w:val="16"/>
                <w:szCs w:val="16"/>
                <w:lang w:bidi="ar"/>
              </w:rPr>
              <w:t>生态环境持续改善</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0CE4">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BE3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优</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C9FF">
            <w:pPr>
              <w:widowControl/>
              <w:spacing w:line="240" w:lineRule="exact"/>
              <w:jc w:val="center"/>
              <w:rPr>
                <w:rFonts w:ascii="宋体" w:hAnsi="宋体" w:eastAsia="宋体" w:cs="宋体"/>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CE5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637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EBD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EDD0">
            <w:pPr>
              <w:widowControl/>
              <w:spacing w:line="240" w:lineRule="exact"/>
              <w:jc w:val="center"/>
              <w:rPr>
                <w:rFonts w:ascii="黑体" w:hAnsi="宋体" w:eastAsia="黑体" w:cs="黑体"/>
                <w:sz w:val="18"/>
                <w:szCs w:val="18"/>
              </w:rPr>
            </w:pPr>
          </w:p>
        </w:tc>
      </w:tr>
      <w:tr w14:paraId="476DE4DB">
        <w:tblPrEx>
          <w:tblCellMar>
            <w:top w:w="0" w:type="dxa"/>
            <w:left w:w="108" w:type="dxa"/>
            <w:bottom w:w="0" w:type="dxa"/>
            <w:right w:w="108" w:type="dxa"/>
          </w:tblCellMar>
        </w:tblPrEx>
        <w:trPr>
          <w:trHeight w:val="300"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E5E9">
            <w:pPr>
              <w:widowControl/>
              <w:spacing w:line="240" w:lineRule="exact"/>
              <w:jc w:val="center"/>
              <w:rPr>
                <w:rFonts w:ascii="宋体" w:hAnsi="宋体" w:eastAsia="宋体" w:cs="宋体"/>
                <w:sz w:val="18"/>
                <w:szCs w:val="18"/>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65A3">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满意度指标</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F246">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服务对象满意度指标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6C9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农户满意度</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28F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8378">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E367">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732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BC3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22E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097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宣传工作不够</w:t>
            </w:r>
          </w:p>
        </w:tc>
      </w:tr>
      <w:tr w14:paraId="52B05A72">
        <w:tblPrEx>
          <w:tblCellMar>
            <w:top w:w="0" w:type="dxa"/>
            <w:left w:w="108" w:type="dxa"/>
            <w:bottom w:w="0" w:type="dxa"/>
            <w:right w:w="108" w:type="dxa"/>
          </w:tblCellMar>
        </w:tblPrEx>
        <w:trPr>
          <w:trHeight w:val="300" w:hRule="atLeast"/>
        </w:trPr>
        <w:tc>
          <w:tcPr>
            <w:tcW w:w="96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EFE80C">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243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8EB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98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3D9F">
            <w:pPr>
              <w:widowControl/>
              <w:spacing w:line="240" w:lineRule="exact"/>
              <w:rPr>
                <w:rFonts w:ascii="黑体" w:hAnsi="宋体" w:eastAsia="黑体" w:cs="黑体"/>
                <w:sz w:val="18"/>
                <w:szCs w:val="18"/>
              </w:rPr>
            </w:pPr>
          </w:p>
        </w:tc>
      </w:tr>
      <w:tr w14:paraId="5802C2CE">
        <w:tblPrEx>
          <w:tblCellMar>
            <w:top w:w="0" w:type="dxa"/>
            <w:left w:w="108" w:type="dxa"/>
            <w:bottom w:w="0" w:type="dxa"/>
            <w:right w:w="108" w:type="dxa"/>
          </w:tblCellMar>
        </w:tblPrEx>
        <w:trPr>
          <w:trHeight w:val="300"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459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评价结论</w:t>
            </w:r>
          </w:p>
        </w:tc>
        <w:tc>
          <w:tcPr>
            <w:tcW w:w="119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421E07">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完成水稻重大病虫绿色防控和统防统治2.93万亩次，达到项目整体目标，效果显著。</w:t>
            </w:r>
          </w:p>
        </w:tc>
      </w:tr>
      <w:tr w14:paraId="3687F718">
        <w:tblPrEx>
          <w:tblCellMar>
            <w:top w:w="0" w:type="dxa"/>
            <w:left w:w="108" w:type="dxa"/>
            <w:bottom w:w="0" w:type="dxa"/>
            <w:right w:w="108" w:type="dxa"/>
          </w:tblCellMar>
        </w:tblPrEx>
        <w:trPr>
          <w:trHeight w:val="300"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2F9F">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存在问题</w:t>
            </w:r>
          </w:p>
        </w:tc>
        <w:tc>
          <w:tcPr>
            <w:tcW w:w="119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CDFB1C">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宣传工作不够</w:t>
            </w:r>
          </w:p>
        </w:tc>
      </w:tr>
      <w:tr w14:paraId="5390909D">
        <w:tblPrEx>
          <w:tblCellMar>
            <w:top w:w="0" w:type="dxa"/>
            <w:left w:w="108" w:type="dxa"/>
            <w:bottom w:w="0" w:type="dxa"/>
            <w:right w:w="108" w:type="dxa"/>
          </w:tblCellMar>
        </w:tblPrEx>
        <w:trPr>
          <w:trHeight w:val="300"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82D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改进措施</w:t>
            </w:r>
          </w:p>
        </w:tc>
        <w:tc>
          <w:tcPr>
            <w:tcW w:w="119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1869BA">
            <w:pPr>
              <w:widowControl/>
              <w:spacing w:line="240" w:lineRule="exact"/>
              <w:jc w:val="left"/>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进一步加强相关工作的宣传力度，让更多的农户知道项目带来的好处。</w:t>
            </w:r>
          </w:p>
        </w:tc>
      </w:tr>
    </w:tbl>
    <w:p w14:paraId="45EB32D1">
      <w:pPr>
        <w:pStyle w:val="2"/>
        <w:ind w:left="0" w:leftChars="0" w:firstLine="0" w:firstLineChars="0"/>
      </w:pPr>
    </w:p>
    <w:tbl>
      <w:tblPr>
        <w:tblStyle w:val="14"/>
        <w:tblW w:w="12775" w:type="dxa"/>
        <w:tblInd w:w="93" w:type="dxa"/>
        <w:tblLayout w:type="fixed"/>
        <w:tblCellMar>
          <w:top w:w="0" w:type="dxa"/>
          <w:left w:w="108" w:type="dxa"/>
          <w:bottom w:w="0" w:type="dxa"/>
          <w:right w:w="108" w:type="dxa"/>
        </w:tblCellMar>
      </w:tblPr>
      <w:tblGrid>
        <w:gridCol w:w="836"/>
        <w:gridCol w:w="1742"/>
        <w:gridCol w:w="1380"/>
        <w:gridCol w:w="1584"/>
        <w:gridCol w:w="1016"/>
        <w:gridCol w:w="981"/>
        <w:gridCol w:w="969"/>
        <w:gridCol w:w="1184"/>
        <w:gridCol w:w="666"/>
        <w:gridCol w:w="734"/>
        <w:gridCol w:w="1683"/>
      </w:tblGrid>
      <w:tr w14:paraId="6B01A156">
        <w:tblPrEx>
          <w:tblCellMar>
            <w:top w:w="0" w:type="dxa"/>
            <w:left w:w="108" w:type="dxa"/>
            <w:bottom w:w="0" w:type="dxa"/>
            <w:right w:w="108" w:type="dxa"/>
          </w:tblCellMar>
        </w:tblPrEx>
        <w:trPr>
          <w:trHeight w:val="540" w:hRule="atLeast"/>
        </w:trPr>
        <w:tc>
          <w:tcPr>
            <w:tcW w:w="127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84AA75">
            <w:pPr>
              <w:widowControl/>
              <w:spacing w:line="400" w:lineRule="exact"/>
              <w:jc w:val="center"/>
              <w:textAlignment w:val="center"/>
              <w:rPr>
                <w:rFonts w:ascii="黑体" w:hAnsi="宋体" w:eastAsia="黑体" w:cs="黑体"/>
                <w:b/>
                <w:bCs/>
                <w:sz w:val="30"/>
                <w:szCs w:val="30"/>
              </w:rPr>
            </w:pPr>
            <w:r>
              <w:rPr>
                <w:rFonts w:hint="eastAsia" w:ascii="黑体" w:hAnsi="宋体" w:eastAsia="黑体" w:cs="黑体"/>
                <w:b/>
                <w:bCs/>
                <w:kern w:val="0"/>
                <w:sz w:val="30"/>
                <w:szCs w:val="30"/>
                <w:lang w:bidi="ar"/>
              </w:rPr>
              <w:t>部门预算项目支出绩效自评表（2023年度）</w:t>
            </w:r>
          </w:p>
        </w:tc>
      </w:tr>
      <w:tr w14:paraId="0538407A">
        <w:tblPrEx>
          <w:tblCellMar>
            <w:top w:w="0" w:type="dxa"/>
            <w:left w:w="108" w:type="dxa"/>
            <w:bottom w:w="0" w:type="dxa"/>
            <w:right w:w="108" w:type="dxa"/>
          </w:tblCellMar>
        </w:tblPrEx>
        <w:trPr>
          <w:trHeight w:val="560" w:hRule="atLeast"/>
        </w:trPr>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3B365">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项目名称</w:t>
            </w:r>
          </w:p>
        </w:tc>
        <w:tc>
          <w:tcPr>
            <w:tcW w:w="101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65864B">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51172424T000009992205-大竹县2023年省级财政农业高质量发展共同财政事权转移支付植物疫情监测及阻截防控实施方案</w:t>
            </w:r>
          </w:p>
        </w:tc>
      </w:tr>
      <w:tr w14:paraId="42EB0CFE">
        <w:tblPrEx>
          <w:tblCellMar>
            <w:top w:w="0" w:type="dxa"/>
            <w:left w:w="108" w:type="dxa"/>
            <w:bottom w:w="0" w:type="dxa"/>
            <w:right w:w="108" w:type="dxa"/>
          </w:tblCellMar>
        </w:tblPrEx>
        <w:trPr>
          <w:trHeight w:val="480" w:hRule="atLeast"/>
        </w:trPr>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E9B1E">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主管部门</w:t>
            </w:r>
          </w:p>
        </w:tc>
        <w:tc>
          <w:tcPr>
            <w:tcW w:w="5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076372">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大竹县植保植检站部门</w:t>
            </w:r>
          </w:p>
        </w:tc>
        <w:tc>
          <w:tcPr>
            <w:tcW w:w="1184" w:type="dxa"/>
            <w:tcBorders>
              <w:top w:val="nil"/>
              <w:left w:val="nil"/>
              <w:bottom w:val="nil"/>
              <w:right w:val="nil"/>
            </w:tcBorders>
            <w:shd w:val="clear" w:color="auto" w:fill="auto"/>
            <w:vAlign w:val="center"/>
          </w:tcPr>
          <w:p w14:paraId="6B9175B8">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实施单位 （盖章）</w:t>
            </w:r>
          </w:p>
        </w:tc>
        <w:tc>
          <w:tcPr>
            <w:tcW w:w="3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BA84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大竹县植保植检站</w:t>
            </w:r>
          </w:p>
        </w:tc>
      </w:tr>
      <w:tr w14:paraId="1BEF83DC">
        <w:tblPrEx>
          <w:tblCellMar>
            <w:top w:w="0" w:type="dxa"/>
            <w:left w:w="108" w:type="dxa"/>
            <w:bottom w:w="0" w:type="dxa"/>
            <w:right w:w="108" w:type="dxa"/>
          </w:tblCellMar>
        </w:tblPrEx>
        <w:trPr>
          <w:trHeight w:val="285"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DF9F3">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项目基本情况</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2124A">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1.项目年度目标完成情况</w:t>
            </w:r>
          </w:p>
        </w:tc>
        <w:tc>
          <w:tcPr>
            <w:tcW w:w="5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EC43E">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项目年度目标</w:t>
            </w: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15E1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年度目标完成情况</w:t>
            </w:r>
          </w:p>
        </w:tc>
      </w:tr>
      <w:tr w14:paraId="3164D8F0">
        <w:tblPrEx>
          <w:tblCellMar>
            <w:top w:w="0" w:type="dxa"/>
            <w:left w:w="108" w:type="dxa"/>
            <w:bottom w:w="0" w:type="dxa"/>
            <w:right w:w="108" w:type="dxa"/>
          </w:tblCellMar>
        </w:tblPrEx>
        <w:trPr>
          <w:trHeight w:val="72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FDFF">
            <w:pPr>
              <w:widowControl/>
              <w:spacing w:line="240" w:lineRule="exact"/>
              <w:rPr>
                <w:rFonts w:ascii="黑体" w:hAnsi="宋体" w:eastAsia="黑体" w:cs="黑体"/>
                <w:sz w:val="18"/>
                <w:szCs w:val="18"/>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160B5">
            <w:pPr>
              <w:widowControl/>
              <w:spacing w:line="240" w:lineRule="exact"/>
              <w:rPr>
                <w:rFonts w:ascii="黑体" w:hAnsi="宋体" w:eastAsia="黑体" w:cs="黑体"/>
                <w:sz w:val="18"/>
                <w:szCs w:val="18"/>
              </w:rPr>
            </w:pPr>
          </w:p>
        </w:tc>
        <w:tc>
          <w:tcPr>
            <w:tcW w:w="59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22EE3">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建立植物疫情监测点40个和防控示范区1个，监测调查0.6万亩次，防控处置0.27万亩次，植物疫情防控处置率100%。</w:t>
            </w: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324BB5">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完成了建立植物疫情监测点40个和防控示范区1个、监测调查0.6万亩次、防控处置0.27万亩次、植物疫情防控处置率100%的目标。</w:t>
            </w:r>
          </w:p>
        </w:tc>
      </w:tr>
      <w:tr w14:paraId="3EDB5E8B">
        <w:tblPrEx>
          <w:tblCellMar>
            <w:top w:w="0" w:type="dxa"/>
            <w:left w:w="108" w:type="dxa"/>
            <w:bottom w:w="0" w:type="dxa"/>
            <w:right w:w="108" w:type="dxa"/>
          </w:tblCellMar>
        </w:tblPrEx>
        <w:trPr>
          <w:trHeight w:val="4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CE5C">
            <w:pPr>
              <w:widowControl/>
              <w:spacing w:line="240" w:lineRule="exact"/>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E601">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2.项目实施内容及过程概述</w:t>
            </w:r>
          </w:p>
        </w:tc>
        <w:tc>
          <w:tcPr>
            <w:tcW w:w="101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B46BC2">
            <w:pPr>
              <w:widowControl/>
              <w:spacing w:line="240" w:lineRule="exact"/>
              <w:jc w:val="left"/>
              <w:textAlignment w:val="center"/>
              <w:rPr>
                <w:rFonts w:ascii="黑体" w:hAnsi="宋体" w:eastAsia="黑体" w:cs="黑体"/>
                <w:sz w:val="18"/>
                <w:szCs w:val="18"/>
              </w:rPr>
            </w:pPr>
            <w:r>
              <w:rPr>
                <w:rFonts w:hint="eastAsia" w:ascii="黑体" w:hAnsi="宋体" w:eastAsia="黑体" w:cs="黑体"/>
                <w:kern w:val="0"/>
                <w:sz w:val="18"/>
                <w:szCs w:val="18"/>
                <w:lang w:bidi="ar"/>
              </w:rPr>
              <w:t>植物疫情监测调查0.6万亩次，植物疫情防控处置0.27万亩次，植物疫情防控处置率100%。</w:t>
            </w:r>
          </w:p>
        </w:tc>
      </w:tr>
      <w:tr w14:paraId="4E3157D9">
        <w:tblPrEx>
          <w:tblCellMar>
            <w:top w:w="0" w:type="dxa"/>
            <w:left w:w="108" w:type="dxa"/>
            <w:bottom w:w="0" w:type="dxa"/>
            <w:right w:w="108" w:type="dxa"/>
          </w:tblCellMar>
        </w:tblPrEx>
        <w:trPr>
          <w:trHeight w:val="30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3BDF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预算执行情况（10分）</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C2B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年度预算数（万元）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16D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年初预算</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CD7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调整后预算数</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A936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预算执行数</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C2F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预算执行率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CDFB">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权重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D9F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得分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781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原因</w:t>
            </w:r>
          </w:p>
        </w:tc>
      </w:tr>
      <w:tr w14:paraId="4CD54D07">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A342">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623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总额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724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17.00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AD6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17.00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82F5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17.00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28E0">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D95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9C7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CB15E">
            <w:pPr>
              <w:widowControl/>
              <w:spacing w:line="240" w:lineRule="exact"/>
              <w:rPr>
                <w:rFonts w:ascii="黑体" w:hAnsi="宋体" w:eastAsia="黑体" w:cs="黑体"/>
                <w:i/>
                <w:iCs/>
                <w:sz w:val="18"/>
                <w:szCs w:val="18"/>
              </w:rPr>
            </w:pPr>
          </w:p>
        </w:tc>
      </w:tr>
      <w:tr w14:paraId="15C5252F">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5593B">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1C5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其中：财政资金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E1CB">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17.00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D3A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17.00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C4E1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17.00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EFA8">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05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CA4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6169">
            <w:pPr>
              <w:widowControl/>
              <w:spacing w:line="240" w:lineRule="exact"/>
              <w:rPr>
                <w:rFonts w:ascii="黑体" w:hAnsi="宋体" w:eastAsia="黑体" w:cs="黑体"/>
                <w:i/>
                <w:iCs/>
                <w:sz w:val="18"/>
                <w:szCs w:val="18"/>
              </w:rPr>
            </w:pPr>
          </w:p>
        </w:tc>
      </w:tr>
      <w:tr w14:paraId="76D57001">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F0B9">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5AF8">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财政专户管理资金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E5F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0.00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FF1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80ED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71E0">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454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395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C2F97">
            <w:pPr>
              <w:widowControl/>
              <w:spacing w:line="240" w:lineRule="exact"/>
              <w:rPr>
                <w:rFonts w:ascii="黑体" w:hAnsi="宋体" w:eastAsia="黑体" w:cs="黑体"/>
                <w:i/>
                <w:iCs/>
                <w:sz w:val="18"/>
                <w:szCs w:val="18"/>
              </w:rPr>
            </w:pPr>
          </w:p>
        </w:tc>
      </w:tr>
      <w:tr w14:paraId="7F12F0B4">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C028">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3E0E">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单位资金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F41E">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0.00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43C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0.00</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5508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27FE">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A860">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AB9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4DAE">
            <w:pPr>
              <w:widowControl/>
              <w:spacing w:line="240" w:lineRule="exact"/>
              <w:rPr>
                <w:rFonts w:ascii="黑体" w:hAnsi="宋体" w:eastAsia="黑体" w:cs="黑体"/>
                <w:i/>
                <w:iCs/>
                <w:sz w:val="18"/>
                <w:szCs w:val="18"/>
              </w:rPr>
            </w:pPr>
          </w:p>
        </w:tc>
      </w:tr>
      <w:tr w14:paraId="63D6F73F">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856C">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64C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其他资金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D9AA">
            <w:pPr>
              <w:widowControl/>
              <w:spacing w:line="240" w:lineRule="exact"/>
              <w:jc w:val="center"/>
              <w:textAlignment w:val="center"/>
              <w:rPr>
                <w:rFonts w:ascii="黑体" w:hAnsi="宋体" w:eastAsia="黑体" w:cs="黑体"/>
                <w:sz w:val="16"/>
                <w:szCs w:val="16"/>
              </w:rPr>
            </w:pPr>
            <w:r>
              <w:rPr>
                <w:rFonts w:hint="eastAsia" w:ascii="黑体" w:hAnsi="宋体" w:eastAsia="黑体" w:cs="黑体"/>
                <w:kern w:val="0"/>
                <w:sz w:val="16"/>
                <w:szCs w:val="16"/>
                <w:lang w:bidi="ar"/>
              </w:rPr>
              <w:t xml:space="preserve">0.00 </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6306">
            <w:pPr>
              <w:widowControl/>
              <w:spacing w:line="240" w:lineRule="exact"/>
              <w:jc w:val="center"/>
              <w:textAlignment w:val="center"/>
              <w:rPr>
                <w:rFonts w:ascii="黑体" w:hAnsi="宋体" w:eastAsia="黑体" w:cs="黑体"/>
                <w:sz w:val="16"/>
                <w:szCs w:val="16"/>
              </w:rPr>
            </w:pPr>
            <w:r>
              <w:rPr>
                <w:rFonts w:hint="eastAsia" w:ascii="黑体" w:hAnsi="宋体" w:eastAsia="黑体" w:cs="黑体"/>
                <w:kern w:val="0"/>
                <w:sz w:val="16"/>
                <w:szCs w:val="16"/>
                <w:lang w:bidi="ar"/>
              </w:rPr>
              <w:t xml:space="preserve">0.00 </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195AF">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775F">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069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471">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2DD8">
            <w:pPr>
              <w:widowControl/>
              <w:spacing w:line="240" w:lineRule="exact"/>
              <w:rPr>
                <w:rFonts w:ascii="黑体" w:hAnsi="宋体" w:eastAsia="黑体" w:cs="黑体"/>
                <w:i/>
                <w:iCs/>
                <w:sz w:val="18"/>
                <w:szCs w:val="18"/>
              </w:rPr>
            </w:pPr>
          </w:p>
        </w:tc>
      </w:tr>
      <w:tr w14:paraId="1B80620A">
        <w:tblPrEx>
          <w:tblCellMar>
            <w:top w:w="0" w:type="dxa"/>
            <w:left w:w="108" w:type="dxa"/>
            <w:bottom w:w="0" w:type="dxa"/>
            <w:right w:w="108" w:type="dxa"/>
          </w:tblCellMar>
        </w:tblPrEx>
        <w:trPr>
          <w:trHeight w:val="30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9919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绩效指标（90分）</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B68C">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一级指标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74E6">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二级指标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6B1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三级指标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7AF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指标性质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DCE0">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指标值</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533">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度量单位</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248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D22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权重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EF1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得分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A90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未完成原因分析</w:t>
            </w:r>
          </w:p>
        </w:tc>
      </w:tr>
      <w:tr w14:paraId="59277C12">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9722">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EFC9">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FAA7">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数量指标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491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面积</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BEE5">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9CE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0.6</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2DC2">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万亩</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95F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6F2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8671">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398F">
            <w:pPr>
              <w:widowControl/>
              <w:spacing w:line="240" w:lineRule="exact"/>
              <w:jc w:val="center"/>
              <w:rPr>
                <w:rFonts w:ascii="黑体" w:hAnsi="宋体" w:eastAsia="黑体" w:cs="黑体"/>
                <w:sz w:val="18"/>
                <w:szCs w:val="18"/>
              </w:rPr>
            </w:pPr>
          </w:p>
        </w:tc>
      </w:tr>
      <w:tr w14:paraId="6CA3B603">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8380">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5494">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B39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质量指标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B535">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发生处置率</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7316">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14DF">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5095">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2E1C">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0A2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9E9A">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3C82">
            <w:pPr>
              <w:widowControl/>
              <w:spacing w:line="240" w:lineRule="exact"/>
              <w:jc w:val="center"/>
              <w:rPr>
                <w:rFonts w:ascii="黑体" w:hAnsi="宋体" w:eastAsia="黑体" w:cs="黑体"/>
                <w:sz w:val="18"/>
                <w:szCs w:val="18"/>
              </w:rPr>
            </w:pPr>
          </w:p>
        </w:tc>
      </w:tr>
      <w:tr w14:paraId="703EC97B">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0953">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258C">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产出指标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E00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时效指标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90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按时完成</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8D59">
            <w:pPr>
              <w:widowControl/>
              <w:spacing w:line="240" w:lineRule="exact"/>
              <w:jc w:val="center"/>
              <w:textAlignment w:val="center"/>
              <w:rPr>
                <w:rFonts w:ascii="宋体" w:hAnsi="宋体" w:eastAsia="宋体" w:cs="宋体"/>
                <w:sz w:val="18"/>
                <w:szCs w:val="18"/>
              </w:rPr>
            </w:pPr>
            <w:r>
              <w:rPr>
                <w:rFonts w:ascii="宋体" w:hAnsi="宋体" w:eastAsia="宋体" w:cs="宋体"/>
                <w:kern w:val="0"/>
                <w:sz w:val="18"/>
                <w:szCs w:val="18"/>
                <w:lang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0302">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C0C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年</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724C">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29C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45C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20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30AC">
            <w:pPr>
              <w:widowControl/>
              <w:spacing w:line="240" w:lineRule="exact"/>
              <w:jc w:val="center"/>
              <w:rPr>
                <w:rFonts w:ascii="黑体" w:hAnsi="宋体" w:eastAsia="黑体" w:cs="黑体"/>
                <w:sz w:val="18"/>
                <w:szCs w:val="18"/>
              </w:rPr>
            </w:pPr>
          </w:p>
        </w:tc>
      </w:tr>
      <w:tr w14:paraId="00E9EF9F">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09CB">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13DE">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6B77">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经济效益指标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D47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降低损失</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9791">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CB09">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持续向好</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2BE5">
            <w:pPr>
              <w:widowControl/>
              <w:spacing w:line="240" w:lineRule="exact"/>
              <w:jc w:val="center"/>
              <w:rPr>
                <w:rFonts w:ascii="宋体" w:hAnsi="宋体" w:eastAsia="宋体" w:cs="宋体"/>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078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C42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E9C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144C">
            <w:pPr>
              <w:widowControl/>
              <w:spacing w:line="240" w:lineRule="exact"/>
              <w:jc w:val="center"/>
              <w:rPr>
                <w:rFonts w:ascii="黑体" w:hAnsi="宋体" w:eastAsia="黑体" w:cs="黑体"/>
                <w:sz w:val="18"/>
                <w:szCs w:val="18"/>
              </w:rPr>
            </w:pPr>
          </w:p>
        </w:tc>
      </w:tr>
      <w:tr w14:paraId="72D0AA27">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389B4">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6BEA">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效益指标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EC0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社会效益指标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8AEB">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控制疫区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4B52">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定性</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454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持续向好</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0EE7">
            <w:pPr>
              <w:widowControl/>
              <w:spacing w:line="240" w:lineRule="exact"/>
              <w:jc w:val="center"/>
              <w:rPr>
                <w:rFonts w:ascii="宋体" w:hAnsi="宋体" w:eastAsia="宋体" w:cs="宋体"/>
                <w:sz w:val="18"/>
                <w:szCs w:val="18"/>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89A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D2A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E8F1">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CA11">
            <w:pPr>
              <w:widowControl/>
              <w:spacing w:line="240" w:lineRule="exact"/>
              <w:jc w:val="center"/>
              <w:rPr>
                <w:rFonts w:ascii="黑体" w:hAnsi="宋体" w:eastAsia="黑体" w:cs="黑体"/>
                <w:sz w:val="18"/>
                <w:szCs w:val="18"/>
              </w:rPr>
            </w:pPr>
          </w:p>
        </w:tc>
      </w:tr>
      <w:tr w14:paraId="6284DF91">
        <w:tblPrEx>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CD6C">
            <w:pPr>
              <w:widowControl/>
              <w:spacing w:line="240" w:lineRule="exact"/>
              <w:jc w:val="center"/>
              <w:rPr>
                <w:rFonts w:ascii="黑体" w:hAnsi="宋体" w:eastAsia="黑体" w:cs="黑体"/>
                <w:sz w:val="18"/>
                <w:szCs w:val="18"/>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9238">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0D20">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服务对象满意度指标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4DC6">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农户满意度</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9F88">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E87A">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701E">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510">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80.00%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AD3D">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8BB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8</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EE97">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宣传工作不够</w:t>
            </w:r>
          </w:p>
        </w:tc>
      </w:tr>
      <w:tr w14:paraId="268B1AB9">
        <w:tblPrEx>
          <w:tblCellMar>
            <w:top w:w="0" w:type="dxa"/>
            <w:left w:w="108" w:type="dxa"/>
            <w:bottom w:w="0" w:type="dxa"/>
            <w:right w:w="108" w:type="dxa"/>
          </w:tblCellMar>
        </w:tblPrEx>
        <w:trPr>
          <w:trHeight w:val="300" w:hRule="atLeast"/>
        </w:trPr>
        <w:tc>
          <w:tcPr>
            <w:tcW w:w="96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C9A332">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ECE9">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100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23C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98</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11D2">
            <w:pPr>
              <w:widowControl/>
              <w:spacing w:line="240" w:lineRule="exact"/>
              <w:rPr>
                <w:rFonts w:ascii="黑体" w:hAnsi="宋体" w:eastAsia="黑体" w:cs="黑体"/>
                <w:sz w:val="18"/>
                <w:szCs w:val="18"/>
              </w:rPr>
            </w:pPr>
          </w:p>
        </w:tc>
      </w:tr>
      <w:tr w14:paraId="05DA196C">
        <w:tblPrEx>
          <w:tblCellMar>
            <w:top w:w="0" w:type="dxa"/>
            <w:left w:w="108" w:type="dxa"/>
            <w:bottom w:w="0" w:type="dxa"/>
            <w:right w:w="108" w:type="dxa"/>
          </w:tblCellMar>
        </w:tblPrEx>
        <w:trPr>
          <w:trHeight w:val="48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E2F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评价结论</w:t>
            </w:r>
          </w:p>
        </w:tc>
        <w:tc>
          <w:tcPr>
            <w:tcW w:w="119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07C4BA">
            <w:pPr>
              <w:widowControl/>
              <w:spacing w:line="240" w:lineRule="exact"/>
              <w:jc w:val="left"/>
              <w:textAlignment w:val="center"/>
              <w:rPr>
                <w:rFonts w:ascii="黑体" w:hAnsi="宋体" w:eastAsia="黑体" w:cs="黑体"/>
                <w:sz w:val="16"/>
                <w:szCs w:val="16"/>
              </w:rPr>
            </w:pPr>
            <w:r>
              <w:rPr>
                <w:rFonts w:hint="eastAsia" w:ascii="黑体" w:hAnsi="宋体" w:eastAsia="黑体" w:cs="黑体"/>
                <w:kern w:val="0"/>
                <w:sz w:val="16"/>
                <w:szCs w:val="16"/>
                <w:lang w:bidi="ar"/>
              </w:rPr>
              <w:t>完成了建立植物疫情监测点40个和防控示范区1个，植物疫情监测调查0.6万亩次，植物疫情防控处置0.27万亩次，植物疫情防控处置率100%，项目效果显著。</w:t>
            </w:r>
          </w:p>
        </w:tc>
      </w:tr>
      <w:tr w14:paraId="18064B24">
        <w:tblPrEx>
          <w:tblCellMar>
            <w:top w:w="0" w:type="dxa"/>
            <w:left w:w="108" w:type="dxa"/>
            <w:bottom w:w="0" w:type="dxa"/>
            <w:right w:w="108" w:type="dxa"/>
          </w:tblCellMar>
        </w:tblPrEx>
        <w:trPr>
          <w:trHeight w:val="3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C515">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存在问题</w:t>
            </w:r>
          </w:p>
        </w:tc>
        <w:tc>
          <w:tcPr>
            <w:tcW w:w="119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EA0900">
            <w:pPr>
              <w:widowControl/>
              <w:spacing w:line="240" w:lineRule="exact"/>
              <w:jc w:val="left"/>
              <w:textAlignment w:val="center"/>
              <w:rPr>
                <w:rFonts w:ascii="黑体" w:hAnsi="宋体" w:eastAsia="黑体" w:cs="黑体"/>
                <w:sz w:val="16"/>
                <w:szCs w:val="16"/>
              </w:rPr>
            </w:pPr>
            <w:r>
              <w:rPr>
                <w:rFonts w:hint="eastAsia" w:ascii="黑体" w:hAnsi="宋体" w:eastAsia="黑体" w:cs="黑体"/>
                <w:kern w:val="0"/>
                <w:sz w:val="16"/>
                <w:szCs w:val="16"/>
                <w:lang w:bidi="ar"/>
              </w:rPr>
              <w:t>宣传工作不够</w:t>
            </w:r>
          </w:p>
        </w:tc>
      </w:tr>
      <w:tr w14:paraId="086A4380">
        <w:tblPrEx>
          <w:tblCellMar>
            <w:top w:w="0" w:type="dxa"/>
            <w:left w:w="108" w:type="dxa"/>
            <w:bottom w:w="0" w:type="dxa"/>
            <w:right w:w="108" w:type="dxa"/>
          </w:tblCellMar>
        </w:tblPrEx>
        <w:trPr>
          <w:trHeight w:val="3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C05E">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lang w:bidi="ar"/>
              </w:rPr>
              <w:t>改进措施</w:t>
            </w:r>
          </w:p>
        </w:tc>
        <w:tc>
          <w:tcPr>
            <w:tcW w:w="119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06FF0E">
            <w:pPr>
              <w:widowControl/>
              <w:spacing w:line="240" w:lineRule="exact"/>
              <w:jc w:val="left"/>
              <w:textAlignment w:val="center"/>
              <w:rPr>
                <w:rFonts w:ascii="黑体" w:hAnsi="宋体" w:eastAsia="黑体" w:cs="黑体"/>
                <w:sz w:val="16"/>
                <w:szCs w:val="16"/>
              </w:rPr>
            </w:pPr>
            <w:r>
              <w:rPr>
                <w:rFonts w:hint="eastAsia" w:ascii="黑体" w:hAnsi="宋体" w:eastAsia="黑体" w:cs="黑体"/>
                <w:kern w:val="0"/>
                <w:sz w:val="16"/>
                <w:szCs w:val="16"/>
                <w:lang w:bidi="ar"/>
              </w:rPr>
              <w:t>进一步加强相关工作的宣传力度，让更多的农户知道项目带来的好处。</w:t>
            </w:r>
          </w:p>
        </w:tc>
      </w:tr>
    </w:tbl>
    <w:p w14:paraId="2A40CACD">
      <w:pPr>
        <w:pStyle w:val="2"/>
        <w:ind w:left="0" w:leftChars="0" w:firstLine="0" w:firstLineChars="0"/>
        <w:sectPr>
          <w:pgSz w:w="16838" w:h="11906" w:orient="landscape"/>
          <w:pgMar w:top="1587" w:right="2098" w:bottom="1474" w:left="1984" w:header="851" w:footer="992" w:gutter="0"/>
          <w:cols w:space="0" w:num="1"/>
          <w:titlePg/>
          <w:docGrid w:type="linesAndChars" w:linePitch="589" w:charSpace="-842"/>
        </w:sectPr>
      </w:pPr>
    </w:p>
    <w:p w14:paraId="7212C57C">
      <w:pPr>
        <w:numPr>
          <w:ilvl w:val="0"/>
          <w:numId w:val="4"/>
        </w:numPr>
        <w:spacing w:line="578" w:lineRule="exact"/>
        <w:jc w:val="center"/>
        <w:outlineLvl w:val="0"/>
        <w:rPr>
          <w:rStyle w:val="26"/>
          <w:rFonts w:ascii="黑体" w:hAnsi="黑体" w:eastAsia="黑体" w:cs="黑体"/>
          <w:b w:val="0"/>
        </w:rPr>
      </w:pPr>
      <w:bookmarkStart w:id="52" w:name="_Toc15396618"/>
      <w:r>
        <w:rPr>
          <w:rStyle w:val="26"/>
          <w:rFonts w:hint="eastAsia" w:ascii="黑体" w:hAnsi="黑体" w:eastAsia="黑体" w:cs="黑体"/>
          <w:b w:val="0"/>
        </w:rPr>
        <w:t>附表</w:t>
      </w:r>
      <w:bookmarkEnd w:id="50"/>
      <w:bookmarkEnd w:id="52"/>
      <w:bookmarkStart w:id="53" w:name="_Toc15396619"/>
    </w:p>
    <w:p w14:paraId="0462F246">
      <w:pPr>
        <w:pStyle w:val="2"/>
        <w:ind w:left="0" w:leftChars="0" w:firstLine="0" w:firstLineChars="0"/>
      </w:pPr>
    </w:p>
    <w:bookmarkEnd w:id="53"/>
    <w:p w14:paraId="37BF5C9A">
      <w:pPr>
        <w:spacing w:line="578" w:lineRule="exact"/>
        <w:ind w:firstLine="632" w:firstLineChars="200"/>
        <w:rPr>
          <w:rFonts w:cs="仿宋"/>
          <w:szCs w:val="32"/>
        </w:rPr>
      </w:pPr>
      <w:r>
        <w:rPr>
          <w:rFonts w:hint="eastAsia" w:cs="仿宋"/>
          <w:szCs w:val="32"/>
        </w:rPr>
        <w:t>一、收入支出决算总表</w:t>
      </w:r>
    </w:p>
    <w:p w14:paraId="4D42E4AF">
      <w:pPr>
        <w:spacing w:line="578" w:lineRule="exact"/>
        <w:ind w:firstLine="632" w:firstLineChars="200"/>
        <w:rPr>
          <w:rFonts w:cs="仿宋"/>
          <w:szCs w:val="32"/>
        </w:rPr>
      </w:pPr>
      <w:r>
        <w:rPr>
          <w:rFonts w:hint="eastAsia" w:cs="仿宋"/>
          <w:szCs w:val="32"/>
        </w:rPr>
        <w:t>二、收入决算表</w:t>
      </w:r>
    </w:p>
    <w:p w14:paraId="5BB9D2AB">
      <w:pPr>
        <w:spacing w:line="578" w:lineRule="exact"/>
        <w:ind w:firstLine="632" w:firstLineChars="200"/>
        <w:rPr>
          <w:rFonts w:cs="仿宋"/>
          <w:szCs w:val="32"/>
        </w:rPr>
      </w:pPr>
      <w:r>
        <w:rPr>
          <w:rFonts w:hint="eastAsia" w:cs="仿宋"/>
          <w:szCs w:val="32"/>
        </w:rPr>
        <w:t>三、支出决算表</w:t>
      </w:r>
    </w:p>
    <w:p w14:paraId="6512D47F">
      <w:pPr>
        <w:spacing w:line="578" w:lineRule="exact"/>
        <w:ind w:firstLine="632" w:firstLineChars="200"/>
        <w:rPr>
          <w:rFonts w:cs="仿宋"/>
          <w:szCs w:val="32"/>
        </w:rPr>
      </w:pPr>
      <w:r>
        <w:rPr>
          <w:rFonts w:hint="eastAsia" w:cs="仿宋"/>
          <w:szCs w:val="32"/>
        </w:rPr>
        <w:t>四、财政拨款收入支出决算总表</w:t>
      </w:r>
    </w:p>
    <w:p w14:paraId="0104275D">
      <w:pPr>
        <w:spacing w:line="578" w:lineRule="exact"/>
        <w:ind w:firstLine="632" w:firstLineChars="200"/>
        <w:rPr>
          <w:rFonts w:cs="仿宋"/>
          <w:szCs w:val="32"/>
        </w:rPr>
      </w:pPr>
      <w:r>
        <w:rPr>
          <w:rFonts w:hint="eastAsia" w:cs="仿宋"/>
          <w:szCs w:val="32"/>
        </w:rPr>
        <w:t>五、财政拨款支出决算明细表</w:t>
      </w:r>
    </w:p>
    <w:p w14:paraId="2D87452B">
      <w:pPr>
        <w:spacing w:line="578" w:lineRule="exact"/>
        <w:ind w:firstLine="632" w:firstLineChars="200"/>
        <w:rPr>
          <w:rFonts w:cs="仿宋"/>
          <w:szCs w:val="32"/>
        </w:rPr>
      </w:pPr>
      <w:r>
        <w:rPr>
          <w:rFonts w:hint="eastAsia" w:cs="仿宋"/>
          <w:szCs w:val="32"/>
        </w:rPr>
        <w:t>六、一般公共预算财政拨款支出决算表</w:t>
      </w:r>
    </w:p>
    <w:p w14:paraId="683217F6">
      <w:pPr>
        <w:spacing w:line="578" w:lineRule="exact"/>
        <w:ind w:firstLine="632" w:firstLineChars="200"/>
        <w:rPr>
          <w:rFonts w:cs="仿宋"/>
          <w:szCs w:val="32"/>
        </w:rPr>
      </w:pPr>
      <w:r>
        <w:rPr>
          <w:rFonts w:hint="eastAsia" w:cs="仿宋"/>
          <w:szCs w:val="32"/>
        </w:rPr>
        <w:t>七、一般公共预算财政拨款支出决算明细表</w:t>
      </w:r>
    </w:p>
    <w:p w14:paraId="4ED17718">
      <w:pPr>
        <w:spacing w:line="578" w:lineRule="exact"/>
        <w:ind w:firstLine="632" w:firstLineChars="200"/>
        <w:rPr>
          <w:rFonts w:cs="仿宋"/>
          <w:szCs w:val="32"/>
        </w:rPr>
      </w:pPr>
      <w:r>
        <w:rPr>
          <w:rFonts w:hint="eastAsia" w:cs="仿宋"/>
          <w:szCs w:val="32"/>
        </w:rPr>
        <w:t>八、一般公共预算财政拨款基本支出决算表</w:t>
      </w:r>
    </w:p>
    <w:p w14:paraId="417A4CA9">
      <w:pPr>
        <w:spacing w:line="578" w:lineRule="exact"/>
        <w:ind w:firstLine="632" w:firstLineChars="200"/>
        <w:rPr>
          <w:rFonts w:cs="仿宋"/>
          <w:szCs w:val="32"/>
        </w:rPr>
      </w:pPr>
      <w:r>
        <w:rPr>
          <w:rFonts w:hint="eastAsia" w:cs="仿宋"/>
          <w:szCs w:val="32"/>
        </w:rPr>
        <w:t>九、一般公共预算财政拨款项目支出决算表</w:t>
      </w:r>
    </w:p>
    <w:p w14:paraId="2A1B177E">
      <w:pPr>
        <w:spacing w:line="578" w:lineRule="exact"/>
        <w:ind w:firstLine="632" w:firstLineChars="200"/>
        <w:rPr>
          <w:rFonts w:cs="仿宋"/>
          <w:szCs w:val="32"/>
        </w:rPr>
      </w:pPr>
      <w:r>
        <w:rPr>
          <w:rFonts w:hint="eastAsia" w:cs="仿宋"/>
          <w:szCs w:val="32"/>
        </w:rPr>
        <w:t>十、政府性基金预算财政拨款收入支出决算表</w:t>
      </w:r>
    </w:p>
    <w:p w14:paraId="0A58E331">
      <w:pPr>
        <w:spacing w:line="578" w:lineRule="exact"/>
        <w:ind w:firstLine="632" w:firstLineChars="200"/>
        <w:rPr>
          <w:rFonts w:cs="仿宋"/>
          <w:szCs w:val="32"/>
        </w:rPr>
      </w:pPr>
      <w:r>
        <w:rPr>
          <w:rFonts w:hint="eastAsia" w:cs="仿宋"/>
          <w:szCs w:val="32"/>
        </w:rPr>
        <w:t>十一、国有资本经营预算财政拨款收入支出决算表</w:t>
      </w:r>
    </w:p>
    <w:p w14:paraId="49FC7838">
      <w:pPr>
        <w:spacing w:line="578" w:lineRule="exact"/>
        <w:ind w:firstLine="632" w:firstLineChars="200"/>
        <w:rPr>
          <w:rFonts w:cs="仿宋"/>
          <w:szCs w:val="32"/>
        </w:rPr>
      </w:pPr>
      <w:r>
        <w:rPr>
          <w:rFonts w:hint="eastAsia" w:cs="仿宋"/>
          <w:szCs w:val="32"/>
        </w:rPr>
        <w:t>十二、国有资本经营预算财政拨款支出决算表</w:t>
      </w:r>
    </w:p>
    <w:p w14:paraId="1FB02DA2">
      <w:pPr>
        <w:spacing w:line="578" w:lineRule="exact"/>
        <w:ind w:firstLine="632" w:firstLineChars="200"/>
        <w:rPr>
          <w:rFonts w:cs="仿宋"/>
          <w:szCs w:val="32"/>
        </w:rPr>
      </w:pPr>
      <w:r>
        <w:rPr>
          <w:rFonts w:hint="eastAsia" w:cs="仿宋"/>
          <w:szCs w:val="32"/>
        </w:rPr>
        <w:t>十三、财政拨款“三公”经费支出决算表</w:t>
      </w:r>
    </w:p>
    <w:sectPr>
      <w:pgSz w:w="11906" w:h="16838"/>
      <w:pgMar w:top="2098" w:right="1474" w:bottom="1984" w:left="1587" w:header="851" w:footer="992" w:gutter="0"/>
      <w:cols w:space="0"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ACEC1">
    <w:pPr>
      <w:pStyle w:val="10"/>
      <w:tabs>
        <w:tab w:val="center" w:pos="4422"/>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C3367">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66C49">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3F66C49">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D2AD">
    <w:pPr>
      <w:pStyle w:val="10"/>
      <w:tabs>
        <w:tab w:val="center" w:pos="4422"/>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E8C5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D2E8C55">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B84A">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B018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9AB018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3E0B">
    <w:pPr>
      <w:pStyle w:val="10"/>
      <w:tabs>
        <w:tab w:val="center" w:pos="4422"/>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706A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C8706A1">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EA51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5D28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9421D"/>
    <w:multiLevelType w:val="singleLevel"/>
    <w:tmpl w:val="8C59421D"/>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614DC9E"/>
    <w:multiLevelType w:val="singleLevel"/>
    <w:tmpl w:val="7614DC9E"/>
    <w:lvl w:ilvl="0" w:tentative="0">
      <w:start w:val="5"/>
      <w:numFmt w:val="chineseCounting"/>
      <w:suff w:val="space"/>
      <w:lvlText w:val="第%1部分"/>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0"/>
  <w:drawingGridHorizontalSpacing w:val="158"/>
  <w:drawingGridVerticalSpacing w:val="29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MGYyNmNmMDZkODUzYzZhY2Y4NDQ1ZDY1ZGE3ZW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4E57"/>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5A4A"/>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6276"/>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47ED6"/>
    <w:rsid w:val="0237401F"/>
    <w:rsid w:val="046E6DDE"/>
    <w:rsid w:val="07D96F64"/>
    <w:rsid w:val="07E028D5"/>
    <w:rsid w:val="0A2032A3"/>
    <w:rsid w:val="0A2966FE"/>
    <w:rsid w:val="0B141005"/>
    <w:rsid w:val="0B3C4ECA"/>
    <w:rsid w:val="0B8A37D8"/>
    <w:rsid w:val="0BF26C44"/>
    <w:rsid w:val="0C1E1172"/>
    <w:rsid w:val="0D4A5C7B"/>
    <w:rsid w:val="0DA727D8"/>
    <w:rsid w:val="0EA21BDD"/>
    <w:rsid w:val="0ECA394A"/>
    <w:rsid w:val="10C055FF"/>
    <w:rsid w:val="118107EC"/>
    <w:rsid w:val="11853D3E"/>
    <w:rsid w:val="118C1F04"/>
    <w:rsid w:val="11DD6519"/>
    <w:rsid w:val="123478B9"/>
    <w:rsid w:val="1272218F"/>
    <w:rsid w:val="13F34056"/>
    <w:rsid w:val="142B450A"/>
    <w:rsid w:val="14B4083D"/>
    <w:rsid w:val="151A266A"/>
    <w:rsid w:val="15A703A2"/>
    <w:rsid w:val="15E50ECA"/>
    <w:rsid w:val="162817BA"/>
    <w:rsid w:val="16BB723D"/>
    <w:rsid w:val="18015F3F"/>
    <w:rsid w:val="182C1032"/>
    <w:rsid w:val="1BE8440E"/>
    <w:rsid w:val="1C540A0A"/>
    <w:rsid w:val="1D155CEE"/>
    <w:rsid w:val="1F1E555E"/>
    <w:rsid w:val="1F523979"/>
    <w:rsid w:val="20F57F95"/>
    <w:rsid w:val="224C7487"/>
    <w:rsid w:val="231724AF"/>
    <w:rsid w:val="240371BF"/>
    <w:rsid w:val="2540611D"/>
    <w:rsid w:val="25C741E6"/>
    <w:rsid w:val="265E2CFF"/>
    <w:rsid w:val="26F176CF"/>
    <w:rsid w:val="276A738F"/>
    <w:rsid w:val="27842671"/>
    <w:rsid w:val="28B5472C"/>
    <w:rsid w:val="295C4372"/>
    <w:rsid w:val="29E170CB"/>
    <w:rsid w:val="29FD04D3"/>
    <w:rsid w:val="2A55119D"/>
    <w:rsid w:val="2A756869"/>
    <w:rsid w:val="2AB20A8E"/>
    <w:rsid w:val="2ABE7A3E"/>
    <w:rsid w:val="2AD7155F"/>
    <w:rsid w:val="2BD96984"/>
    <w:rsid w:val="2BE35315"/>
    <w:rsid w:val="2C533D85"/>
    <w:rsid w:val="2E271C28"/>
    <w:rsid w:val="2EFA178C"/>
    <w:rsid w:val="2F962529"/>
    <w:rsid w:val="2FD14A88"/>
    <w:rsid w:val="30683D04"/>
    <w:rsid w:val="30B46D73"/>
    <w:rsid w:val="30C7362A"/>
    <w:rsid w:val="31231879"/>
    <w:rsid w:val="319F7F4E"/>
    <w:rsid w:val="31EC481C"/>
    <w:rsid w:val="35701E05"/>
    <w:rsid w:val="370E579B"/>
    <w:rsid w:val="380553F1"/>
    <w:rsid w:val="38F90665"/>
    <w:rsid w:val="397E08AA"/>
    <w:rsid w:val="39AE70AB"/>
    <w:rsid w:val="3A23599A"/>
    <w:rsid w:val="3A3079D3"/>
    <w:rsid w:val="3A5109A3"/>
    <w:rsid w:val="3AD0481E"/>
    <w:rsid w:val="3B750F8B"/>
    <w:rsid w:val="3C0C0783"/>
    <w:rsid w:val="3EAF0EB0"/>
    <w:rsid w:val="3F5C7D12"/>
    <w:rsid w:val="3F9F3A96"/>
    <w:rsid w:val="3FB34DA6"/>
    <w:rsid w:val="402B1405"/>
    <w:rsid w:val="42956407"/>
    <w:rsid w:val="42B73518"/>
    <w:rsid w:val="436F2260"/>
    <w:rsid w:val="44917BC1"/>
    <w:rsid w:val="48B3087D"/>
    <w:rsid w:val="48CB76C5"/>
    <w:rsid w:val="48F50E49"/>
    <w:rsid w:val="493C27E9"/>
    <w:rsid w:val="496F39ED"/>
    <w:rsid w:val="49FF41D3"/>
    <w:rsid w:val="4BE068DB"/>
    <w:rsid w:val="4BF6002B"/>
    <w:rsid w:val="4E3E294A"/>
    <w:rsid w:val="4E5B34FC"/>
    <w:rsid w:val="4ECE2238"/>
    <w:rsid w:val="506316E6"/>
    <w:rsid w:val="51DB4B86"/>
    <w:rsid w:val="528D20F2"/>
    <w:rsid w:val="54104D07"/>
    <w:rsid w:val="54B90F7D"/>
    <w:rsid w:val="55333C3E"/>
    <w:rsid w:val="55501DDF"/>
    <w:rsid w:val="55670902"/>
    <w:rsid w:val="5668540D"/>
    <w:rsid w:val="59537B91"/>
    <w:rsid w:val="5B820325"/>
    <w:rsid w:val="5DE62663"/>
    <w:rsid w:val="5E2B6F06"/>
    <w:rsid w:val="5F71264E"/>
    <w:rsid w:val="5FAC19D9"/>
    <w:rsid w:val="6014175D"/>
    <w:rsid w:val="60372B4A"/>
    <w:rsid w:val="62032FE6"/>
    <w:rsid w:val="62864468"/>
    <w:rsid w:val="64CA39A1"/>
    <w:rsid w:val="65425D45"/>
    <w:rsid w:val="657A49BA"/>
    <w:rsid w:val="660B4C61"/>
    <w:rsid w:val="66C56D30"/>
    <w:rsid w:val="67ED41E5"/>
    <w:rsid w:val="6B5B0DE8"/>
    <w:rsid w:val="6BE35B73"/>
    <w:rsid w:val="6C4A05C8"/>
    <w:rsid w:val="6C513E75"/>
    <w:rsid w:val="6D940E39"/>
    <w:rsid w:val="70745727"/>
    <w:rsid w:val="708B6D2E"/>
    <w:rsid w:val="70B07096"/>
    <w:rsid w:val="70E13FFA"/>
    <w:rsid w:val="714B7C09"/>
    <w:rsid w:val="72734D90"/>
    <w:rsid w:val="74084D1B"/>
    <w:rsid w:val="74096F68"/>
    <w:rsid w:val="747D56CB"/>
    <w:rsid w:val="75717C2C"/>
    <w:rsid w:val="76DE127B"/>
    <w:rsid w:val="79E7B28D"/>
    <w:rsid w:val="7A175207"/>
    <w:rsid w:val="7A21770D"/>
    <w:rsid w:val="7AD06707"/>
    <w:rsid w:val="7BA41C2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30"/>
    <w:unhideWhenUsed/>
    <w:qFormat/>
    <w:uiPriority w:val="9"/>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4"/>
    <w:qFormat/>
    <w:uiPriority w:val="9"/>
    <w:rPr>
      <w:rFonts w:ascii="Times New Roman" w:hAnsi="Times New Roman"/>
      <w:b/>
      <w:bCs/>
      <w:kern w:val="44"/>
      <w:sz w:val="44"/>
      <w:szCs w:val="44"/>
    </w:rPr>
  </w:style>
  <w:style w:type="character" w:customStyle="1" w:styleId="27">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正文1"/>
    <w:next w:val="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6631804136"/>
          <c:y val="0.0358760013932428"/>
          <c:w val="0.568400285238888"/>
          <c:h val="0.878704284221526"/>
        </c:manualLayout>
      </c:layout>
      <c:barChart>
        <c:barDir val="col"/>
        <c:grouping val="clustered"/>
        <c:varyColors val="0"/>
        <c:ser>
          <c:idx val="0"/>
          <c:order val="0"/>
          <c:tx>
            <c:strRef>
              <c:f>Sheet1!$A$2</c:f>
              <c:strCache>
                <c:ptCount val="1"/>
                <c:pt idx="0">
                  <c:v>2022年收、支总计</c:v>
                </c:pt>
              </c:strCache>
            </c:strRef>
          </c:tx>
          <c:spPr>
            <a:solidFill>
              <a:srgbClr val="9999FF"/>
            </a:solidFill>
            <a:ln w="12670">
              <a:solidFill>
                <a:srgbClr val="000000"/>
              </a:solidFill>
              <a:prstDash val="solid"/>
            </a:ln>
          </c:spPr>
          <c:invertIfNegative val="0"/>
          <c:dLbls>
            <c:spPr>
              <a:noFill/>
              <a:ln w="25340">
                <a:noFill/>
              </a:ln>
              <a:effectLst/>
            </c:spPr>
            <c:txPr>
              <a:bodyPr rot="0" spcFirstLastPara="0" vertOverflow="ellipsis" vert="horz" wrap="square" lIns="38100" tIns="19050" rIns="38100" bIns="19050"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Sheet1!$B$1:$B$1</c:f>
              <c:numCache>
                <c:formatCode>General</c:formatCode>
                <c:ptCount val="1"/>
              </c:numCache>
            </c:numRef>
          </c:cat>
          <c:val>
            <c:numRef>
              <c:f>Sheet1!$B$2:$B$2</c:f>
              <c:numCache>
                <c:formatCode>0.00</c:formatCode>
                <c:ptCount val="1"/>
                <c:pt idx="0">
                  <c:v>353.25</c:v>
                </c:pt>
              </c:numCache>
            </c:numRef>
          </c:val>
        </c:ser>
        <c:ser>
          <c:idx val="1"/>
          <c:order val="1"/>
          <c:tx>
            <c:strRef>
              <c:f>Sheet1!$A$3</c:f>
              <c:strCache>
                <c:ptCount val="1"/>
                <c:pt idx="0">
                  <c:v>2023年收、支总计</c:v>
                </c:pt>
              </c:strCache>
            </c:strRef>
          </c:tx>
          <c:spPr>
            <a:solidFill>
              <a:srgbClr val="993366"/>
            </a:solidFill>
            <a:ln w="12670">
              <a:solidFill>
                <a:srgbClr val="000000"/>
              </a:solidFill>
              <a:prstDash val="solid"/>
            </a:ln>
          </c:spPr>
          <c:invertIfNegative val="0"/>
          <c:dLbls>
            <c:spPr>
              <a:noFill/>
              <a:ln w="25340">
                <a:noFill/>
              </a:ln>
              <a:effectLst/>
            </c:spPr>
            <c:txPr>
              <a:bodyPr rot="0" spcFirstLastPara="0" vertOverflow="ellipsis" vert="horz" wrap="square" lIns="38100" tIns="19050" rIns="38100" bIns="19050"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Sheet1!$B$1:$B$1</c:f>
              <c:numCache>
                <c:formatCode>General</c:formatCode>
                <c:ptCount val="1"/>
              </c:numCache>
            </c:numRef>
          </c:cat>
          <c:val>
            <c:numRef>
              <c:f>Sheet1!$B$3:$B$3</c:f>
              <c:numCache>
                <c:formatCode>0.00</c:formatCode>
                <c:ptCount val="1"/>
                <c:pt idx="0">
                  <c:v>753.95</c:v>
                </c:pt>
              </c:numCache>
            </c:numRef>
          </c:val>
        </c:ser>
        <c:dLbls>
          <c:showLegendKey val="0"/>
          <c:showVal val="1"/>
          <c:showCatName val="0"/>
          <c:showSerName val="0"/>
          <c:showPercent val="0"/>
          <c:showBubbleSize val="0"/>
        </c:dLbls>
        <c:gapWidth val="150"/>
        <c:axId val="1752574576"/>
        <c:axId val="1752581104"/>
      </c:barChart>
      <c:catAx>
        <c:axId val="1752574576"/>
        <c:scaling>
          <c:orientation val="minMax"/>
        </c:scaling>
        <c:delete val="0"/>
        <c:axPos val="b"/>
        <c:numFmt formatCode="General" sourceLinked="1"/>
        <c:majorTickMark val="in"/>
        <c:minorTickMark val="none"/>
        <c:tickLblPos val="low"/>
        <c:spPr>
          <a:ln w="3168" cap="flat" cmpd="sng" algn="ctr">
            <a:solidFill>
              <a:srgbClr val="000000"/>
            </a:solidFill>
            <a:prstDash val="solid"/>
            <a:round/>
          </a:ln>
        </c:spPr>
        <c:txPr>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52581104"/>
        <c:crosses val="autoZero"/>
        <c:auto val="1"/>
        <c:lblAlgn val="ctr"/>
        <c:lblOffset val="100"/>
        <c:tickLblSkip val="1"/>
        <c:noMultiLvlLbl val="0"/>
      </c:catAx>
      <c:valAx>
        <c:axId val="1752581104"/>
        <c:scaling>
          <c:orientation val="minMax"/>
        </c:scaling>
        <c:delete val="0"/>
        <c:axPos val="l"/>
        <c:majorGridlines>
          <c:spPr>
            <a:ln w="3168" cap="flat" cmpd="sng" algn="ctr">
              <a:solidFill>
                <a:srgbClr val="000000"/>
              </a:solidFill>
              <a:prstDash val="solid"/>
              <a:round/>
            </a:ln>
          </c:spPr>
        </c:majorGridlines>
        <c:numFmt formatCode="0.00" sourceLinked="1"/>
        <c:majorTickMark val="in"/>
        <c:minorTickMark val="none"/>
        <c:tickLblPos val="nextTo"/>
        <c:spPr>
          <a:ln w="3168" cap="flat" cmpd="sng" algn="ctr">
            <a:solidFill>
              <a:srgbClr val="000000"/>
            </a:solidFill>
            <a:prstDash val="solid"/>
            <a:round/>
          </a:ln>
        </c:spPr>
        <c:txPr>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5257457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69998811363366"/>
          <c:y val="0.319880418535127"/>
          <c:w val="0.222869368833947"/>
          <c:h val="0.360239162929746"/>
        </c:manualLayout>
      </c:layout>
      <c:overlay val="0"/>
      <c:spPr>
        <a:noFill/>
        <a:ln w="3168">
          <a:solidFill>
            <a:srgbClr val="000000"/>
          </a:solidFill>
          <a:prstDash val="solid"/>
        </a:ln>
      </c:spPr>
      <c:txPr>
        <a:bodyPr rot="0" spcFirstLastPara="0" vertOverflow="ellipsis" vert="horz" wrap="square" anchor="ctr" anchorCtr="1"/>
        <a:lstStyle/>
        <a:p>
          <a:pPr>
            <a:defRPr lang="zh-CN" sz="13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solidFill>
        <a:schemeClr val="accent1"/>
      </a:solidFill>
      <a:prstDash val="solid"/>
      <a:round/>
    </a:ln>
  </c:spPr>
  <c:txPr>
    <a:bodyPr/>
    <a:lstStyle/>
    <a:p>
      <a:pPr>
        <a:defRPr lang="zh-CN" sz="14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34799235182"/>
          <c:y val="0.0909090909090911"/>
          <c:w val="0.464627151051625"/>
          <c:h val="0.818181818181819"/>
        </c:manualLayout>
      </c:layout>
      <c:pieChart>
        <c:varyColors val="1"/>
        <c:ser>
          <c:idx val="0"/>
          <c:order val="0"/>
          <c:tx>
            <c:strRef>
              <c:f>Sheet1!$B$1</c:f>
              <c:strCache>
                <c:ptCount val="1"/>
                <c:pt idx="0">
                  <c:v>收入决算结构图</c:v>
                </c:pt>
              </c:strCache>
            </c:strRef>
          </c:tx>
          <c:explosion val="0"/>
          <c:dPt>
            <c:idx val="0"/>
            <c:bubble3D val="0"/>
          </c:dPt>
          <c:dPt>
            <c:idx val="1"/>
            <c:bubble3D val="0"/>
          </c:dPt>
          <c:dLbls>
            <c:dLbl>
              <c:idx val="1"/>
              <c:layout>
                <c:manualLayout>
                  <c:x val="0.0135287485907554"/>
                  <c:y val="0.0644395455316263"/>
                </c:manualLayout>
              </c:layout>
              <c:dLblPos val="inEnd"/>
              <c:showLegendKey val="0"/>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716.56</c:v>
                </c:pt>
                <c:pt idx="1">
                  <c:v>20</c:v>
                </c:pt>
              </c:numCache>
            </c:numRef>
          </c:val>
        </c:ser>
        <c:dLbls>
          <c:showLegendKey val="0"/>
          <c:showVal val="1"/>
          <c:showCatName val="0"/>
          <c:showSerName val="0"/>
          <c:showPercent val="1"/>
          <c:showBubbleSize val="0"/>
          <c:showLeaderLines val="1"/>
        </c:dLbls>
        <c:firstSliceAng val="0"/>
      </c:pieChart>
    </c:plotArea>
    <c:legend>
      <c:legendPos val="r"/>
      <c:layout>
        <c:manualLayout>
          <c:xMode val="edge"/>
          <c:yMode val="edge"/>
          <c:x val="0.639368900436266"/>
          <c:y val="0"/>
          <c:w val="0.352982925394709"/>
          <c:h val="0.99778467430984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spPr>
    <a:ln w="3175" cap="flat" cmpd="sng" algn="ctr">
      <a:solidFill>
        <a:sysClr val="windowText" lastClr="000000">
          <a:tint val="75000"/>
          <a:shade val="95000"/>
          <a:satMod val="105000"/>
        </a:sysClr>
      </a:solid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34799235182"/>
          <c:y val="0.0909090909090911"/>
          <c:w val="0.464627151051625"/>
          <c:h val="0.81818181818182"/>
        </c:manualLayout>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1"/>
              <c:layout>
                <c:manualLayout>
                  <c:x val="0.0135287485907554"/>
                  <c:y val="0.0644395455316263"/>
                </c:manualLayout>
              </c:layout>
              <c:dLblPos val="inEnd"/>
              <c:showLegendKey val="0"/>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384.62</c:v>
                </c:pt>
                <c:pt idx="1">
                  <c:v>367.55</c:v>
                </c:pt>
              </c:numCache>
            </c:numRef>
          </c:val>
        </c:ser>
        <c:dLbls>
          <c:showLegendKey val="0"/>
          <c:showVal val="1"/>
          <c:showCatName val="0"/>
          <c:showSerName val="0"/>
          <c:showPercent val="1"/>
          <c:showBubbleSize val="0"/>
          <c:showLeaderLines val="1"/>
        </c:dLbls>
        <c:firstSliceAng val="0"/>
      </c:pieChart>
    </c:plotArea>
    <c:legend>
      <c:legendPos val="r"/>
      <c:layout>
        <c:manualLayout>
          <c:xMode val="edge"/>
          <c:yMode val="edge"/>
          <c:x val="0.632116635833948"/>
          <c:y val="0.00572956455309397"/>
          <c:w val="0.364491617416476"/>
          <c:h val="0.985704403965875"/>
        </c:manualLayout>
      </c:layout>
      <c:overlay val="0"/>
      <c:txPr>
        <a:bodyPr rot="0" spcFirstLastPara="0" vertOverflow="ellipsis" vert="eaVert"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42634042624872"/>
          <c:y val="0.0319159579789896"/>
          <c:w val="0.586452762923348"/>
          <c:h val="0.878787878787881"/>
        </c:manualLayout>
      </c:layout>
      <c:barChart>
        <c:barDir val="col"/>
        <c:grouping val="clustered"/>
        <c:varyColors val="0"/>
        <c:ser>
          <c:idx val="0"/>
          <c:order val="0"/>
          <c:tx>
            <c:strRef>
              <c:f>Sheet1!$A$2</c:f>
              <c:strCache>
                <c:ptCount val="1"/>
                <c:pt idx="0">
                  <c:v>2022年财政拨款收、支总计</c:v>
                </c:pt>
              </c:strCache>
            </c:strRef>
          </c:tx>
          <c:spPr>
            <a:solidFill>
              <a:srgbClr val="9999FF"/>
            </a:solidFill>
            <a:ln w="12670">
              <a:solidFill>
                <a:srgbClr val="000000"/>
              </a:solidFill>
              <a:prstDash val="solid"/>
            </a:ln>
          </c:spPr>
          <c:invertIfNegative val="0"/>
          <c:dLbls>
            <c:spPr>
              <a:noFill/>
              <a:ln w="25340">
                <a:noFill/>
              </a:ln>
              <a:effectLst/>
            </c:spPr>
            <c:txPr>
              <a:bodyPr rot="0" spcFirstLastPara="0" vertOverflow="ellipsis" vert="horz" wrap="square" lIns="38100" tIns="19050" rIns="38100" bIns="19050"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Sheet1!$B$1:$B$1</c:f>
              <c:numCache>
                <c:formatCode>General</c:formatCode>
                <c:ptCount val="1"/>
              </c:numCache>
            </c:numRef>
          </c:cat>
          <c:val>
            <c:numRef>
              <c:f>Sheet1!$B$2:$B$2</c:f>
              <c:numCache>
                <c:formatCode>General</c:formatCode>
                <c:ptCount val="1"/>
                <c:pt idx="0">
                  <c:v>295.01</c:v>
                </c:pt>
              </c:numCache>
            </c:numRef>
          </c:val>
        </c:ser>
        <c:ser>
          <c:idx val="1"/>
          <c:order val="1"/>
          <c:tx>
            <c:strRef>
              <c:f>Sheet1!$A$3</c:f>
              <c:strCache>
                <c:ptCount val="1"/>
                <c:pt idx="0">
                  <c:v>2023年财政拨款收、支总计</c:v>
                </c:pt>
              </c:strCache>
            </c:strRef>
          </c:tx>
          <c:spPr>
            <a:solidFill>
              <a:srgbClr val="993366"/>
            </a:solidFill>
            <a:ln w="12670">
              <a:solidFill>
                <a:srgbClr val="000000"/>
              </a:solidFill>
              <a:prstDash val="solid"/>
            </a:ln>
          </c:spPr>
          <c:invertIfNegative val="0"/>
          <c:dLbls>
            <c:spPr>
              <a:noFill/>
              <a:ln w="25340">
                <a:noFill/>
              </a:ln>
              <a:effectLst/>
            </c:spPr>
            <c:txPr>
              <a:bodyPr rot="0" spcFirstLastPara="0" vertOverflow="ellipsis" vert="horz" wrap="square" lIns="38100" tIns="19050" rIns="38100" bIns="19050"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Sheet1!$B$1:$B$1</c:f>
              <c:numCache>
                <c:formatCode>General</c:formatCode>
                <c:ptCount val="1"/>
              </c:numCache>
            </c:numRef>
          </c:cat>
          <c:val>
            <c:numRef>
              <c:f>Sheet1!$B$3:$B$3</c:f>
              <c:numCache>
                <c:formatCode>General</c:formatCode>
                <c:ptCount val="1"/>
                <c:pt idx="0">
                  <c:v>743.56</c:v>
                </c:pt>
              </c:numCache>
            </c:numRef>
          </c:val>
        </c:ser>
        <c:dLbls>
          <c:showLegendKey val="0"/>
          <c:showVal val="1"/>
          <c:showCatName val="0"/>
          <c:showSerName val="0"/>
          <c:showPercent val="0"/>
          <c:showBubbleSize val="0"/>
        </c:dLbls>
        <c:gapWidth val="150"/>
        <c:axId val="1752584368"/>
        <c:axId val="1752581648"/>
      </c:barChart>
      <c:catAx>
        <c:axId val="1752584368"/>
        <c:scaling>
          <c:orientation val="minMax"/>
        </c:scaling>
        <c:delete val="0"/>
        <c:axPos val="b"/>
        <c:numFmt formatCode="General" sourceLinked="1"/>
        <c:majorTickMark val="in"/>
        <c:minorTickMark val="none"/>
        <c:tickLblPos val="low"/>
        <c:spPr>
          <a:ln w="3168" cap="flat" cmpd="sng" algn="ctr">
            <a:solidFill>
              <a:srgbClr val="000000"/>
            </a:solidFill>
            <a:prstDash val="solid"/>
            <a:round/>
          </a:ln>
        </c:spPr>
        <c:txPr>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52581648"/>
        <c:crosses val="autoZero"/>
        <c:auto val="1"/>
        <c:lblAlgn val="ctr"/>
        <c:lblOffset val="100"/>
        <c:tickLblSkip val="1"/>
        <c:noMultiLvlLbl val="0"/>
      </c:catAx>
      <c:valAx>
        <c:axId val="1752581648"/>
        <c:scaling>
          <c:orientation val="minMax"/>
        </c:scaling>
        <c:delete val="0"/>
        <c:axPos val="l"/>
        <c:majorGridlines>
          <c:spPr>
            <a:ln w="3168" cap="flat" cmpd="sng" algn="ctr">
              <a:solidFill>
                <a:srgbClr val="000000"/>
              </a:solidFill>
              <a:prstDash val="solid"/>
              <a:round/>
            </a:ln>
          </c:spPr>
        </c:majorGridlines>
        <c:numFmt formatCode="General" sourceLinked="1"/>
        <c:majorTickMark val="in"/>
        <c:minorTickMark val="none"/>
        <c:tickLblPos val="nextTo"/>
        <c:spPr>
          <a:ln w="3168" cap="flat" cmpd="sng" algn="ctr">
            <a:solidFill>
              <a:srgbClr val="000000"/>
            </a:solidFill>
            <a:prstDash val="solid"/>
            <a:round/>
          </a:ln>
        </c:spPr>
        <c:txPr>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52584368"/>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1666270501545"/>
          <c:y val="0.319794253281305"/>
          <c:w val="0.276206322795341"/>
          <c:h val="0.360234125576446"/>
        </c:manualLayout>
      </c:layout>
      <c:overlay val="0"/>
      <c:spPr>
        <a:noFill/>
        <a:ln w="3168">
          <a:solidFill>
            <a:srgbClr val="000000"/>
          </a:solidFill>
          <a:prstDash val="solid"/>
        </a:ln>
      </c:spPr>
      <c:txPr>
        <a:bodyPr rot="0" spcFirstLastPara="0" vertOverflow="ellipsis" vert="horz" wrap="square" anchor="ctr" anchorCtr="1"/>
        <a:lstStyle/>
        <a:p>
          <a:pPr>
            <a:defRPr lang="zh-CN" sz="13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solidFill>
        <a:schemeClr val="accent1"/>
      </a:solidFill>
      <a:prstDash val="solid"/>
      <a:round/>
    </a:ln>
  </c:spPr>
  <c:txPr>
    <a:bodyPr/>
    <a:lstStyle/>
    <a:p>
      <a:pPr>
        <a:defRPr lang="zh-CN" sz="14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964664310954"/>
          <c:y val="0.0577922077922078"/>
          <c:w val="0.548"/>
          <c:h val="0.86548051948052"/>
        </c:manualLayout>
      </c:layout>
      <c:barChart>
        <c:barDir val="col"/>
        <c:grouping val="clustered"/>
        <c:varyColors val="0"/>
        <c:ser>
          <c:idx val="0"/>
          <c:order val="0"/>
          <c:tx>
            <c:strRef>
              <c:f>Sheet1!$A$2</c:f>
              <c:strCache>
                <c:ptCount val="1"/>
                <c:pt idx="0">
                  <c:v>2022年一般公共预算财政拨款支出</c:v>
                </c:pt>
              </c:strCache>
            </c:strRef>
          </c:tx>
          <c:spPr>
            <a:solidFill>
              <a:srgbClr val="9999FF"/>
            </a:solidFill>
            <a:ln w="12670">
              <a:solidFill>
                <a:srgbClr val="000000"/>
              </a:solidFill>
              <a:prstDash val="solid"/>
            </a:ln>
          </c:spPr>
          <c:invertIfNegative val="0"/>
          <c:dLbls>
            <c:spPr>
              <a:noFill/>
              <a:ln w="25340">
                <a:noFill/>
              </a:ln>
              <a:effectLst/>
            </c:spPr>
            <c:txPr>
              <a:bodyPr rot="0" spcFirstLastPara="0" vertOverflow="ellipsis" vert="horz" wrap="square" lIns="38100" tIns="19050" rIns="38100" bIns="19050"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Sheet1!$B$1:$B$1</c:f>
              <c:numCache>
                <c:formatCode>General</c:formatCode>
                <c:ptCount val="1"/>
              </c:numCache>
            </c:numRef>
          </c:cat>
          <c:val>
            <c:numRef>
              <c:f>Sheet1!$B$2:$B$2</c:f>
              <c:numCache>
                <c:formatCode>General</c:formatCode>
                <c:ptCount val="1"/>
                <c:pt idx="0">
                  <c:v>295.01</c:v>
                </c:pt>
              </c:numCache>
            </c:numRef>
          </c:val>
        </c:ser>
        <c:ser>
          <c:idx val="1"/>
          <c:order val="1"/>
          <c:tx>
            <c:strRef>
              <c:f>Sheet1!$A$3</c:f>
              <c:strCache>
                <c:ptCount val="1"/>
                <c:pt idx="0">
                  <c:v>2023年一般公共预算财政拨款支出</c:v>
                </c:pt>
              </c:strCache>
            </c:strRef>
          </c:tx>
          <c:spPr>
            <a:solidFill>
              <a:srgbClr val="993366"/>
            </a:solidFill>
            <a:ln w="12670">
              <a:solidFill>
                <a:srgbClr val="000000"/>
              </a:solidFill>
              <a:prstDash val="solid"/>
            </a:ln>
          </c:spPr>
          <c:invertIfNegative val="0"/>
          <c:dLbls>
            <c:spPr>
              <a:noFill/>
              <a:ln w="25340">
                <a:noFill/>
              </a:ln>
              <a:effectLst/>
            </c:spPr>
            <c:txPr>
              <a:bodyPr rot="0" spcFirstLastPara="0" vertOverflow="ellipsis" vert="horz" wrap="square" lIns="38100" tIns="19050" rIns="38100" bIns="19050"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Sheet1!$B$1:$B$1</c:f>
              <c:numCache>
                <c:formatCode>General</c:formatCode>
                <c:ptCount val="1"/>
              </c:numCache>
            </c:numRef>
          </c:cat>
          <c:val>
            <c:numRef>
              <c:f>Sheet1!$B$3:$B$3</c:f>
              <c:numCache>
                <c:formatCode>General</c:formatCode>
                <c:ptCount val="1"/>
                <c:pt idx="0">
                  <c:v>723.56</c:v>
                </c:pt>
              </c:numCache>
            </c:numRef>
          </c:val>
        </c:ser>
        <c:dLbls>
          <c:showLegendKey val="0"/>
          <c:showVal val="1"/>
          <c:showCatName val="0"/>
          <c:showSerName val="0"/>
          <c:showPercent val="0"/>
          <c:showBubbleSize val="0"/>
        </c:dLbls>
        <c:gapWidth val="150"/>
        <c:axId val="1752572400"/>
        <c:axId val="1752583280"/>
      </c:barChart>
      <c:catAx>
        <c:axId val="1752572400"/>
        <c:scaling>
          <c:orientation val="minMax"/>
        </c:scaling>
        <c:delete val="0"/>
        <c:axPos val="b"/>
        <c:numFmt formatCode="General" sourceLinked="1"/>
        <c:majorTickMark val="in"/>
        <c:minorTickMark val="none"/>
        <c:tickLblPos val="low"/>
        <c:spPr>
          <a:ln w="3168" cap="flat" cmpd="sng" algn="ctr">
            <a:solidFill>
              <a:srgbClr val="000000"/>
            </a:solidFill>
            <a:prstDash val="solid"/>
            <a:round/>
          </a:ln>
        </c:spPr>
        <c:txPr>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52583280"/>
        <c:crosses val="autoZero"/>
        <c:auto val="1"/>
        <c:lblAlgn val="ctr"/>
        <c:lblOffset val="100"/>
        <c:tickLblSkip val="1"/>
        <c:noMultiLvlLbl val="0"/>
      </c:catAx>
      <c:valAx>
        <c:axId val="1752583280"/>
        <c:scaling>
          <c:orientation val="minMax"/>
        </c:scaling>
        <c:delete val="0"/>
        <c:axPos val="l"/>
        <c:majorGridlines>
          <c:spPr>
            <a:ln w="3168" cap="flat" cmpd="sng" algn="ctr">
              <a:solidFill>
                <a:srgbClr val="000000"/>
              </a:solidFill>
              <a:prstDash val="solid"/>
              <a:round/>
            </a:ln>
          </c:spPr>
        </c:majorGridlines>
        <c:numFmt formatCode="General" sourceLinked="1"/>
        <c:majorTickMark val="in"/>
        <c:minorTickMark val="none"/>
        <c:tickLblPos val="nextTo"/>
        <c:spPr>
          <a:ln w="3168" cap="flat" cmpd="sng" algn="ctr">
            <a:solidFill>
              <a:srgbClr val="000000"/>
            </a:solidFill>
            <a:prstDash val="solid"/>
            <a:round/>
          </a:ln>
        </c:spPr>
        <c:txPr>
          <a:bodyPr rot="0" spcFirstLastPara="0" vertOverflow="ellipsis" vert="horz" wrap="square" anchor="ctr" anchorCtr="1"/>
          <a:lstStyle/>
          <a:p>
            <a:pPr>
              <a:defRPr lang="zh-CN" sz="14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752572400"/>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696466431095406"/>
          <c:y val="0.322510822510823"/>
          <c:w val="0.284452296819788"/>
          <c:h val="0.36038961038961"/>
        </c:manualLayout>
      </c:layout>
      <c:overlay val="0"/>
      <c:spPr>
        <a:noFill/>
        <a:ln w="3168">
          <a:solidFill>
            <a:srgbClr val="000000"/>
          </a:solidFill>
          <a:prstDash val="solid"/>
        </a:ln>
      </c:spPr>
      <c:txPr>
        <a:bodyPr rot="0" spcFirstLastPara="0" vertOverflow="ellipsis" vert="horz" wrap="square" anchor="ctr" anchorCtr="1"/>
        <a:lstStyle/>
        <a:p>
          <a:pPr>
            <a:defRPr lang="zh-CN" sz="13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12700" cap="flat" cmpd="sng" algn="ctr">
      <a:solidFill>
        <a:schemeClr val="accent1"/>
      </a:solidFill>
      <a:prstDash val="solid"/>
      <a:round/>
    </a:ln>
  </c:spPr>
  <c:txPr>
    <a:bodyPr/>
    <a:lstStyle/>
    <a:p>
      <a:pPr>
        <a:defRPr lang="zh-CN" sz="14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352795683149"/>
          <c:y val="0.0216942148760331"/>
          <c:w val="0.391717621494266"/>
          <c:h val="0.887333486086313"/>
        </c:manualLayout>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Lbls>
            <c:dLbl>
              <c:idx val="1"/>
              <c:layout>
                <c:manualLayout>
                  <c:x val="0.00750968317796204"/>
                  <c:y val="0.319270611488222"/>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2"/>
              <c:layout>
                <c:manualLayout>
                  <c:x val="-0.00234227564693737"/>
                  <c:y val="0.0994356207043046"/>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3"/>
              <c:layout>
                <c:manualLayout>
                  <c:x val="0.0154607129074759"/>
                  <c:y val="0.226324222392139"/>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0.00</c:formatCode>
                <c:ptCount val="4"/>
                <c:pt idx="0">
                  <c:v>34.97</c:v>
                </c:pt>
                <c:pt idx="1">
                  <c:v>12.8</c:v>
                </c:pt>
                <c:pt idx="2">
                  <c:v>657.33</c:v>
                </c:pt>
                <c:pt idx="3">
                  <c:v>18.46</c:v>
                </c:pt>
              </c:numCache>
            </c:numRef>
          </c:val>
        </c:ser>
        <c:dLbls>
          <c:showLegendKey val="0"/>
          <c:showVal val="1"/>
          <c:showCatName val="0"/>
          <c:showSerName val="0"/>
          <c:showPercent val="1"/>
          <c:showBubbleSize val="0"/>
          <c:showLeaderLines val="1"/>
        </c:dLbls>
        <c:firstSliceAng val="0"/>
      </c:pieChart>
    </c:plotArea>
    <c:legend>
      <c:legendPos val="r"/>
      <c:layout>
        <c:manualLayout>
          <c:xMode val="edge"/>
          <c:yMode val="edge"/>
          <c:x val="0.639368900436266"/>
          <c:y val="0"/>
          <c:w val="0.352982925394709"/>
          <c:h val="0.99778467430984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34799235182"/>
          <c:y val="0.0909090909090911"/>
          <c:w val="0.464627151051625"/>
          <c:h val="0.81818181818182"/>
        </c:manualLayout>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Lbls>
            <c:dLbl>
              <c:idx val="1"/>
              <c:layout>
                <c:manualLayout>
                  <c:x val="0.0135287485907554"/>
                  <c:y val="0.0644395455316263"/>
                </c:manualLayout>
              </c:layout>
              <c:dLblPos val="inEnd"/>
              <c:showLegendKey val="0"/>
              <c:showVal val="1"/>
              <c:showCatName val="0"/>
              <c:showSerName val="0"/>
              <c:showPercent val="1"/>
              <c:showBubbleSize val="0"/>
              <c:separator>, </c:separator>
              <c:extLst>
                <c:ext xmlns:c15="http://schemas.microsoft.com/office/drawing/2012/chart" uri="{CE6537A1-D6FC-4f65-9D91-7224C49458BB}">
                  <c15:layout/>
                </c:ext>
              </c:extLst>
            </c:dLbl>
            <c:dLbl>
              <c:idx val="2"/>
              <c:layout>
                <c:manualLayout>
                  <c:x val="0.00450965549739059"/>
                  <c:y val="0.0327639212696178"/>
                </c:manualLayout>
              </c:layout>
              <c:dLblPos val="inEnd"/>
              <c:showLegendKey val="0"/>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0.00</c:formatCode>
                <c:ptCount val="3"/>
                <c:pt idx="0">
                  <c:v>0</c:v>
                </c:pt>
                <c:pt idx="1">
                  <c:v>2.78</c:v>
                </c:pt>
                <c:pt idx="2">
                  <c:v>0</c:v>
                </c:pt>
              </c:numCache>
            </c:numRef>
          </c:val>
        </c:ser>
        <c:dLbls>
          <c:showLegendKey val="0"/>
          <c:showVal val="1"/>
          <c:showCatName val="0"/>
          <c:showSerName val="0"/>
          <c:showPercent val="1"/>
          <c:showBubbleSize val="0"/>
          <c:showLeaderLines val="1"/>
        </c:dLbls>
        <c:firstSliceAng val="0"/>
      </c:pieChart>
    </c:plotArea>
    <c:legend>
      <c:legendPos val="r"/>
      <c:layout>
        <c:manualLayout>
          <c:xMode val="edge"/>
          <c:yMode val="edge"/>
          <c:x val="0.639368900436266"/>
          <c:y val="0"/>
          <c:w val="0.35298292539471"/>
          <c:h val="0.99778467430984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8593</Words>
  <Characters>10268</Characters>
  <Lines>82</Lines>
  <Paragraphs>23</Paragraphs>
  <TotalTime>3</TotalTime>
  <ScaleCrop>false</ScaleCrop>
  <LinksUpToDate>false</LinksUpToDate>
  <CharactersWithSpaces>10310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2024-10-22T03:21:21Z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73D7F988CF404A56B17E10FA910F5D71_13</vt:lpwstr>
  </property>
</Properties>
</file>