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69756">
      <w:pPr>
        <w:spacing w:line="600" w:lineRule="exact"/>
        <w:jc w:val="left"/>
        <w:outlineLvl w:val="0"/>
        <w:rPr>
          <w:rFonts w:ascii="方正小标宋简体" w:hAnsi="宋体" w:eastAsia="方正小标宋简体"/>
          <w:szCs w:val="21"/>
        </w:rPr>
      </w:pPr>
      <w:bookmarkStart w:id="0" w:name="_Toc15306267"/>
    </w:p>
    <w:p w14:paraId="25706363">
      <w:pPr>
        <w:pStyle w:val="2"/>
        <w:spacing w:before="93"/>
      </w:pPr>
    </w:p>
    <w:p w14:paraId="5DB737DF">
      <w:pPr>
        <w:spacing w:line="600" w:lineRule="exact"/>
        <w:jc w:val="center"/>
        <w:outlineLvl w:val="0"/>
        <w:rPr>
          <w:rFonts w:ascii="方正小标宋简体" w:hAnsi="宋体" w:eastAsia="方正小标宋简体"/>
          <w:sz w:val="72"/>
          <w:szCs w:val="72"/>
        </w:rPr>
      </w:pPr>
    </w:p>
    <w:p w14:paraId="37F41B42">
      <w:pPr>
        <w:spacing w:line="600" w:lineRule="exact"/>
        <w:jc w:val="center"/>
        <w:outlineLvl w:val="0"/>
        <w:rPr>
          <w:rFonts w:ascii="方正小标宋简体" w:hAnsi="宋体" w:eastAsia="方正小标宋简体"/>
          <w:sz w:val="72"/>
          <w:szCs w:val="72"/>
        </w:rPr>
      </w:pPr>
    </w:p>
    <w:p w14:paraId="4CF4BA28">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bookmarkStart w:id="1" w:name="_Toc15377425"/>
      <w:bookmarkStart w:id="2" w:name="_Toc15396475"/>
      <w:bookmarkStart w:id="3" w:name="_Toc15396597"/>
      <w:bookmarkStart w:id="4" w:name="_Toc15377193"/>
      <w:bookmarkStart w:id="5" w:name="_Toc15378441"/>
      <w:r>
        <w:rPr>
          <w:rFonts w:hint="eastAsia" w:ascii="方正小标宋简体" w:hAnsi="方正小标宋简体" w:eastAsia="方正小标宋简体" w:cs="方正小标宋简体"/>
          <w:sz w:val="72"/>
          <w:szCs w:val="72"/>
          <w:highlight w:val="none"/>
        </w:rPr>
        <w:t>2023年度</w:t>
      </w:r>
      <w:bookmarkEnd w:id="1"/>
      <w:bookmarkEnd w:id="2"/>
      <w:bookmarkEnd w:id="3"/>
      <w:bookmarkEnd w:id="4"/>
      <w:bookmarkEnd w:id="5"/>
    </w:p>
    <w:bookmarkEnd w:id="0"/>
    <w:p w14:paraId="66AA47F0">
      <w:pPr>
        <w:adjustRightInd w:val="0"/>
        <w:snapToGrid w:val="0"/>
        <w:spacing w:line="360" w:lineRule="auto"/>
        <w:jc w:val="center"/>
        <w:outlineLvl w:val="0"/>
        <w:rPr>
          <w:rFonts w:hint="eastAsia" w:ascii="方正小标宋简体" w:hAnsi="方正小标宋简体" w:eastAsia="方正小标宋简体" w:cs="方正小标宋简体"/>
          <w:sz w:val="48"/>
          <w:szCs w:val="48"/>
          <w:highlight w:val="none"/>
          <w:lang w:val="en-US" w:eastAsia="zh-CN"/>
        </w:rPr>
      </w:pPr>
      <w:bookmarkStart w:id="6" w:name="_Toc15396598"/>
      <w:bookmarkStart w:id="7" w:name="_Toc15306268"/>
      <w:bookmarkStart w:id="8" w:name="_Toc15396476"/>
      <w:bookmarkStart w:id="9" w:name="_Toc15378442"/>
      <w:bookmarkStart w:id="10" w:name="_Toc15377426"/>
      <w:bookmarkStart w:id="11" w:name="_Toc15377194"/>
      <w:r>
        <w:rPr>
          <w:rFonts w:hint="eastAsia" w:ascii="方正小标宋简体" w:hAnsi="方正小标宋简体" w:eastAsia="方正小标宋简体" w:cs="方正小标宋简体"/>
          <w:sz w:val="48"/>
          <w:szCs w:val="48"/>
          <w:highlight w:val="none"/>
          <w:lang w:val="en-US" w:eastAsia="zh-CN"/>
        </w:rPr>
        <w:t>大竹县观音镇第二中心小学</w:t>
      </w:r>
    </w:p>
    <w:p w14:paraId="51F4BD00">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48"/>
          <w:szCs w:val="48"/>
          <w:highlight w:val="none"/>
        </w:rPr>
        <w:t>单位决算</w:t>
      </w:r>
      <w:bookmarkEnd w:id="6"/>
      <w:bookmarkEnd w:id="7"/>
      <w:bookmarkEnd w:id="8"/>
      <w:bookmarkEnd w:id="9"/>
      <w:bookmarkEnd w:id="10"/>
      <w:bookmarkEnd w:id="11"/>
    </w:p>
    <w:p w14:paraId="3B8932CD">
      <w:pPr>
        <w:widowControl/>
        <w:spacing w:line="440" w:lineRule="exact"/>
        <w:jc w:val="left"/>
        <w:rPr>
          <w:rFonts w:ascii="方正小标宋简体" w:hAnsi="宋体" w:eastAsia="方正小标宋简体"/>
          <w:sz w:val="36"/>
          <w:szCs w:val="36"/>
          <w:highlight w:val="none"/>
        </w:rPr>
      </w:pPr>
      <w:r>
        <w:rPr>
          <w:rFonts w:ascii="方正小标宋简体" w:hAnsi="宋体" w:eastAsia="方正小标宋简体"/>
          <w:sz w:val="36"/>
          <w:szCs w:val="36"/>
          <w:highlight w:val="none"/>
        </w:rPr>
        <w:br w:type="page"/>
      </w:r>
      <w:bookmarkStart w:id="12" w:name="_Toc15377196"/>
      <w:bookmarkStart w:id="13" w:name="_Toc15396599"/>
    </w:p>
    <w:p w14:paraId="599424EA">
      <w:pPr>
        <w:widowControl/>
        <w:jc w:val="center"/>
        <w:rPr>
          <w:rFonts w:ascii="黑体" w:hAnsi="黑体" w:eastAsia="黑体"/>
          <w:sz w:val="48"/>
          <w:szCs w:val="48"/>
        </w:rPr>
      </w:pPr>
      <w:r>
        <w:rPr>
          <w:rFonts w:hint="eastAsia" w:ascii="黑体" w:hAnsi="黑体" w:eastAsia="黑体"/>
          <w:sz w:val="48"/>
          <w:szCs w:val="48"/>
        </w:rPr>
        <w:t>目录</w:t>
      </w:r>
    </w:p>
    <w:p w14:paraId="6419D489">
      <w:pPr>
        <w:widowControl/>
        <w:jc w:val="center"/>
        <w:rPr>
          <w:rFonts w:ascii="黑体" w:hAnsi="黑体" w:eastAsia="黑体" w:cstheme="minorBidi"/>
          <w:sz w:val="28"/>
          <w:szCs w:val="28"/>
        </w:rPr>
      </w:pPr>
    </w:p>
    <w:p w14:paraId="4E0BED22">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46608C6D"/>
    <w:p w14:paraId="3A5DC681">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70AD3480">
      <w:pPr>
        <w:pStyle w:val="12"/>
        <w:adjustRightInd w:val="0"/>
        <w:snapToGrid w:val="0"/>
        <w:spacing w:line="440" w:lineRule="exact"/>
        <w:jc w:val="left"/>
        <w:rPr>
          <w:rFonts w:hint="default" w:eastAsia="宋体"/>
          <w:lang w:val="en-US" w:eastAsia="zh-CN"/>
        </w:rPr>
      </w:pPr>
      <w:r>
        <w:rPr>
          <w:rFonts w:hint="eastAsia"/>
          <w:sz w:val="24"/>
        </w:rPr>
        <w:t>一、主要职责</w:t>
      </w:r>
      <w:r>
        <w:rPr>
          <w:rFonts w:hint="eastAsia"/>
          <w:sz w:val="24"/>
          <w:lang w:val="en-US" w:eastAsia="zh-CN"/>
        </w:rPr>
        <w:t>...........................................................................................4</w:t>
      </w:r>
    </w:p>
    <w:p w14:paraId="34AB5A74">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14:paraId="518FE1AE">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...........................5</w:t>
      </w:r>
    </w:p>
    <w:p w14:paraId="634061FB">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14:paraId="19A9B432">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14:paraId="3FC82A84">
      <w:pPr>
        <w:pStyle w:val="12"/>
        <w:adjustRightInd w:val="0"/>
        <w:snapToGrid w:val="0"/>
        <w:spacing w:line="440" w:lineRule="exact"/>
        <w:jc w:val="left"/>
        <w:rPr>
          <w:rFonts w:hint="eastAsia"/>
          <w:sz w:val="24"/>
          <w:lang w:val="en-US" w:eastAsia="zh-CN"/>
        </w:rPr>
      </w:pPr>
      <w:r>
        <w:rPr>
          <w:rFonts w:hint="eastAsia"/>
          <w:sz w:val="24"/>
        </w:rPr>
        <w:t>三、支出决算情况说明</w:t>
      </w:r>
      <w:r>
        <w:rPr>
          <w:rFonts w:hint="eastAsia"/>
          <w:sz w:val="24"/>
          <w:lang w:val="en-US" w:eastAsia="zh-CN"/>
        </w:rPr>
        <w:t>..........................................................................6</w:t>
      </w:r>
    </w:p>
    <w:p w14:paraId="3DB9E80F">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14:paraId="403A792E">
      <w:pPr>
        <w:pStyle w:val="12"/>
        <w:adjustRightInd w:val="0"/>
        <w:snapToGrid w:val="0"/>
        <w:spacing w:line="440" w:lineRule="exact"/>
        <w:jc w:val="left"/>
        <w:rPr>
          <w:rFonts w:hint="eastAsia"/>
          <w:sz w:val="24"/>
          <w:lang w:val="en-US" w:eastAsia="zh-CN"/>
        </w:rPr>
      </w:pPr>
      <w:r>
        <w:rPr>
          <w:rFonts w:hint="eastAsia"/>
          <w:sz w:val="24"/>
        </w:rPr>
        <w:t>五、一般公共预算财政拨款支出决算情况说明</w:t>
      </w:r>
      <w:r>
        <w:rPr>
          <w:rFonts w:hint="eastAsia"/>
          <w:sz w:val="24"/>
          <w:lang w:val="en-US" w:eastAsia="zh-CN"/>
        </w:rPr>
        <w:t>..................................7</w:t>
      </w:r>
    </w:p>
    <w:p w14:paraId="391FCAB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..........................9</w:t>
      </w:r>
    </w:p>
    <w:p w14:paraId="0016B9F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................................9</w:t>
      </w:r>
    </w:p>
    <w:p w14:paraId="271490B9">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............................................11</w:t>
      </w:r>
    </w:p>
    <w:p w14:paraId="630E27F7">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........................................11</w:t>
      </w:r>
    </w:p>
    <w:p w14:paraId="7B37FC02">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............................................................11</w:t>
      </w:r>
    </w:p>
    <w:p w14:paraId="12E46CC9">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...........................................12</w:t>
      </w:r>
    </w:p>
    <w:p w14:paraId="134A6BCC">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...............................................15</w:t>
      </w:r>
    </w:p>
    <w:p w14:paraId="30C8D70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...............................................19</w:t>
      </w:r>
    </w:p>
    <w:p w14:paraId="4661D844">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.........................................................................19</w:t>
      </w:r>
    </w:p>
    <w:p w14:paraId="2AFA58B5">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.....................................................................................19</w:t>
      </w:r>
    </w:p>
    <w:p w14:paraId="29D3A5B2">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.....................................................................................19</w:t>
      </w:r>
    </w:p>
    <w:p w14:paraId="3E98EF44">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..........................................................19</w:t>
      </w:r>
    </w:p>
    <w:p w14:paraId="50770D3E">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..............................................................19</w:t>
      </w:r>
    </w:p>
    <w:p w14:paraId="47C04550">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..............................................19</w:t>
      </w:r>
    </w:p>
    <w:p w14:paraId="07376FFB">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......................................19</w:t>
      </w:r>
    </w:p>
    <w:p w14:paraId="2339A8C2">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 19</w:t>
      </w:r>
    </w:p>
    <w:p w14:paraId="1DE8A613">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......................................19</w:t>
      </w:r>
    </w:p>
    <w:p w14:paraId="35C81D43">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.............................19</w:t>
      </w:r>
    </w:p>
    <w:p w14:paraId="457BCF7E">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.....................19</w:t>
      </w:r>
    </w:p>
    <w:p w14:paraId="3D68712A">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.............................19</w:t>
      </w:r>
    </w:p>
    <w:p w14:paraId="650FF09F">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 .19</w:t>
      </w:r>
    </w:p>
    <w:p w14:paraId="78C36343">
      <w:pPr>
        <w:widowControl/>
        <w:spacing w:line="440" w:lineRule="exact"/>
        <w:jc w:val="left"/>
        <w:rPr>
          <w:rFonts w:ascii="仿宋" w:hAnsi="仿宋" w:eastAsia="仿宋"/>
          <w:bCs/>
          <w:kern w:val="44"/>
          <w:sz w:val="24"/>
        </w:rPr>
      </w:pPr>
      <w:r>
        <w:rPr>
          <w:rFonts w:ascii="仿宋" w:hAnsi="仿宋" w:eastAsia="仿宋"/>
          <w:b/>
          <w:sz w:val="24"/>
        </w:rPr>
        <w:br w:type="page"/>
      </w:r>
    </w:p>
    <w:p w14:paraId="4E2C160C">
      <w:pPr>
        <w:pStyle w:val="2"/>
      </w:pPr>
    </w:p>
    <w:p w14:paraId="637B401B">
      <w:pPr>
        <w:pStyle w:val="3"/>
        <w:jc w:val="center"/>
        <w:rPr>
          <w:rStyle w:val="27"/>
          <w:rFonts w:ascii="黑体" w:hAnsi="黑体" w:eastAsia="黑体"/>
          <w:b/>
          <w:bCs w:val="0"/>
          <w:highlight w:val="none"/>
        </w:rPr>
      </w:pPr>
      <w:r>
        <w:rPr>
          <w:rFonts w:hint="eastAsia" w:ascii="黑体" w:hAnsi="黑体" w:eastAsia="黑体"/>
          <w:b w:val="0"/>
          <w:highlight w:val="none"/>
        </w:rPr>
        <w:t>第一部分 单位</w:t>
      </w:r>
      <w:r>
        <w:rPr>
          <w:rStyle w:val="27"/>
          <w:rFonts w:hint="eastAsia" w:ascii="黑体" w:hAnsi="黑体" w:eastAsia="黑体"/>
          <w:b w:val="0"/>
          <w:bCs w:val="0"/>
          <w:highlight w:val="none"/>
        </w:rPr>
        <w:t>概况</w:t>
      </w:r>
      <w:bookmarkEnd w:id="12"/>
      <w:bookmarkEnd w:id="13"/>
    </w:p>
    <w:p w14:paraId="469A7DE7">
      <w:pPr>
        <w:widowControl/>
        <w:jc w:val="left"/>
        <w:rPr>
          <w:rFonts w:ascii="黑体" w:eastAsia="黑体"/>
          <w:sz w:val="32"/>
          <w:szCs w:val="32"/>
          <w:highlight w:val="none"/>
        </w:rPr>
      </w:pPr>
    </w:p>
    <w:p w14:paraId="4CC108DD">
      <w:pPr>
        <w:pStyle w:val="4"/>
        <w:numPr>
          <w:ilvl w:val="0"/>
          <w:numId w:val="1"/>
        </w:numPr>
        <w:rPr>
          <w:highlight w:val="none"/>
        </w:rPr>
      </w:pPr>
      <w:bookmarkStart w:id="14" w:name="_Toc15377197"/>
      <w:bookmarkStart w:id="15" w:name="_Toc15396600"/>
      <w:r>
        <w:rPr>
          <w:rStyle w:val="28"/>
          <w:rFonts w:hint="eastAsia" w:ascii="黑体" w:hAnsi="黑体" w:eastAsia="黑体"/>
          <w:b w:val="0"/>
          <w:bCs w:val="0"/>
          <w:highlight w:val="none"/>
        </w:rPr>
        <w:t>主要职责</w:t>
      </w:r>
      <w:bookmarkStart w:id="16" w:name="_Toc15377198"/>
      <w:bookmarkStart w:id="17" w:name="_Toc15378445"/>
    </w:p>
    <w:p w14:paraId="37281386">
      <w:pPr>
        <w:pStyle w:val="4"/>
        <w:numPr>
          <w:ilvl w:val="0"/>
          <w:numId w:val="0"/>
        </w:numPr>
        <w:ind w:firstLine="640" w:firstLineChars="200"/>
        <w:rPr>
          <w:rFonts w:hint="eastAsia" w:ascii="仿宋" w:hAnsi="仿宋" w:eastAsia="仿宋" w:cs="仿宋"/>
          <w:b w:val="0"/>
          <w:bCs w:val="0"/>
          <w:highlight w:val="none"/>
        </w:rPr>
      </w:pPr>
      <w:r>
        <w:rPr>
          <w:rFonts w:hint="eastAsia" w:ascii="仿宋" w:hAnsi="仿宋" w:eastAsia="仿宋" w:cs="仿宋"/>
          <w:b w:val="0"/>
          <w:bCs w:val="0"/>
          <w:kern w:val="2"/>
          <w:sz w:val="32"/>
          <w:szCs w:val="32"/>
          <w:highlight w:val="none"/>
          <w:lang w:eastAsia="zh-CN"/>
        </w:rPr>
        <w:t>大竹县观音镇第二中心小学</w:t>
      </w:r>
      <w:r>
        <w:rPr>
          <w:rFonts w:hint="eastAsia" w:ascii="仿宋" w:hAnsi="仿宋" w:eastAsia="仿宋" w:cs="仿宋"/>
          <w:b w:val="0"/>
          <w:bCs w:val="0"/>
          <w:kern w:val="2"/>
          <w:sz w:val="32"/>
          <w:szCs w:val="32"/>
          <w:highlight w:val="none"/>
        </w:rPr>
        <w:t>的基本职能和主要工作是实施义务教育，促进基础教育发展，进行小学教育及相关的社会活动。</w:t>
      </w:r>
      <w:bookmarkEnd w:id="16"/>
      <w:bookmarkEnd w:id="17"/>
    </w:p>
    <w:p w14:paraId="75C0E127">
      <w:pPr>
        <w:pStyle w:val="4"/>
        <w:numPr>
          <w:ilvl w:val="0"/>
          <w:numId w:val="1"/>
        </w:numPr>
        <w:ind w:left="0" w:leftChars="0" w:firstLine="0" w:firstLineChars="0"/>
        <w:rPr>
          <w:rFonts w:hint="eastAsia" w:ascii="黑体" w:hAnsi="黑体" w:eastAsia="黑体"/>
          <w:b w:val="0"/>
          <w:highlight w:val="none"/>
        </w:rPr>
      </w:pPr>
      <w:r>
        <w:rPr>
          <w:rFonts w:hint="eastAsia" w:ascii="黑体" w:hAnsi="黑体" w:eastAsia="黑体"/>
          <w:b w:val="0"/>
          <w:highlight w:val="none"/>
        </w:rPr>
        <w:t>机构设置</w:t>
      </w:r>
    </w:p>
    <w:p w14:paraId="33E845E4">
      <w:pPr>
        <w:ind w:firstLine="420" w:firstLineChars="200"/>
        <w:rPr>
          <w:rFonts w:hint="eastAsia" w:ascii="仿宋" w:hAnsi="仿宋" w:eastAsia="仿宋" w:cs="Times New Roman"/>
          <w:color w:val="000000"/>
          <w:sz w:val="32"/>
          <w:szCs w:val="32"/>
          <w:highlight w:val="none"/>
        </w:rPr>
      </w:pPr>
      <w:r>
        <w:rPr>
          <w:rFonts w:hint="eastAsia"/>
          <w:highlight w:val="none"/>
          <w:lang w:val="en-US" w:eastAsia="zh-CN"/>
        </w:rPr>
        <w:t xml:space="preserve">    </w:t>
      </w:r>
      <w:r>
        <w:rPr>
          <w:rFonts w:hint="eastAsia" w:ascii="仿宋" w:hAnsi="仿宋" w:eastAsia="仿宋"/>
          <w:bCs/>
          <w:color w:val="auto"/>
          <w:kern w:val="0"/>
          <w:sz w:val="32"/>
          <w:szCs w:val="32"/>
          <w:highlight w:val="none"/>
          <w:lang w:eastAsia="zh-CN"/>
        </w:rPr>
        <w:t>大竹县观音镇第二中心小学</w:t>
      </w:r>
      <w:r>
        <w:rPr>
          <w:rFonts w:hint="eastAsia" w:ascii="仿宋" w:hAnsi="仿宋" w:eastAsia="仿宋" w:cs="Times New Roman"/>
          <w:color w:val="000000"/>
          <w:sz w:val="32"/>
          <w:szCs w:val="32"/>
          <w:highlight w:val="none"/>
        </w:rPr>
        <w:t>下属二级单位0个，其中行政单位0个，参照公务员法管理的事业单位0个，其他事业单位0个。</w:t>
      </w:r>
    </w:p>
    <w:p w14:paraId="2B1A858D">
      <w:pPr>
        <w:ind w:firstLine="640" w:firstLineChars="200"/>
        <w:rPr>
          <w:rFonts w:hint="eastAsia" w:ascii="仿宋" w:hAnsi="仿宋" w:eastAsia="仿宋" w:cs="Times New Roman"/>
          <w:color w:val="000000"/>
          <w:sz w:val="32"/>
          <w:szCs w:val="32"/>
          <w:highlight w:val="none"/>
        </w:rPr>
      </w:pPr>
      <w:r>
        <w:rPr>
          <w:rFonts w:hint="eastAsia" w:ascii="仿宋" w:hAnsi="仿宋" w:eastAsia="仿宋" w:cs="Times New Roman"/>
          <w:color w:val="000000"/>
          <w:sz w:val="32"/>
          <w:szCs w:val="32"/>
          <w:highlight w:val="none"/>
        </w:rPr>
        <w:t>纳入</w:t>
      </w:r>
      <w:r>
        <w:rPr>
          <w:rFonts w:hint="eastAsia" w:ascii="仿宋" w:hAnsi="仿宋" w:eastAsia="仿宋"/>
          <w:bCs/>
          <w:color w:val="auto"/>
          <w:kern w:val="0"/>
          <w:sz w:val="32"/>
          <w:szCs w:val="32"/>
          <w:highlight w:val="none"/>
          <w:lang w:eastAsia="zh-CN"/>
        </w:rPr>
        <w:t>大竹县观音镇第二中心小学</w:t>
      </w:r>
      <w:r>
        <w:rPr>
          <w:rFonts w:hint="eastAsia" w:ascii="仿宋" w:hAnsi="仿宋" w:eastAsia="仿宋" w:cs="Times New Roman"/>
          <w:color w:val="000000"/>
          <w:sz w:val="32"/>
          <w:szCs w:val="32"/>
          <w:highlight w:val="none"/>
          <w:lang w:eastAsia="zh-CN"/>
        </w:rPr>
        <w:t>202</w:t>
      </w:r>
      <w:r>
        <w:rPr>
          <w:rFonts w:hint="eastAsia" w:ascii="仿宋" w:hAnsi="仿宋" w:eastAsia="仿宋" w:cs="Times New Roman"/>
          <w:color w:val="000000"/>
          <w:sz w:val="32"/>
          <w:szCs w:val="32"/>
          <w:highlight w:val="none"/>
          <w:lang w:val="en-US" w:eastAsia="zh-CN"/>
        </w:rPr>
        <w:t>3</w:t>
      </w:r>
      <w:r>
        <w:rPr>
          <w:rFonts w:hint="eastAsia" w:ascii="仿宋" w:hAnsi="仿宋" w:eastAsia="仿宋" w:cs="Times New Roman"/>
          <w:color w:val="000000"/>
          <w:sz w:val="32"/>
          <w:szCs w:val="32"/>
          <w:highlight w:val="none"/>
        </w:rPr>
        <w:t>年度部门决算编制范围的二级预算单位包括：</w:t>
      </w:r>
    </w:p>
    <w:p w14:paraId="294C4669">
      <w:pPr>
        <w:ind w:firstLine="640" w:firstLineChars="200"/>
        <w:rPr>
          <w:rFonts w:hint="default" w:ascii="仿宋" w:hAnsi="仿宋" w:eastAsia="仿宋" w:cs="Times New Roman"/>
          <w:color w:val="000000"/>
          <w:sz w:val="32"/>
          <w:szCs w:val="32"/>
          <w:highlight w:val="none"/>
          <w:lang w:val="en-US" w:eastAsia="zh-CN"/>
        </w:rPr>
      </w:pPr>
      <w:r>
        <w:rPr>
          <w:rFonts w:hint="eastAsia" w:ascii="仿宋" w:hAnsi="仿宋" w:eastAsia="仿宋" w:cs="Times New Roman"/>
          <w:color w:val="000000"/>
          <w:sz w:val="32"/>
          <w:szCs w:val="32"/>
          <w:highlight w:val="none"/>
        </w:rPr>
        <w:t>无。</w:t>
      </w:r>
    </w:p>
    <w:p w14:paraId="16E69F13">
      <w:pPr>
        <w:numPr>
          <w:ilvl w:val="0"/>
          <w:numId w:val="0"/>
        </w:numPr>
        <w:ind w:leftChars="0"/>
        <w:rPr>
          <w:rFonts w:hint="default" w:eastAsia="宋体"/>
          <w:highlight w:val="none"/>
          <w:lang w:val="en-US" w:eastAsia="zh-CN"/>
        </w:rPr>
      </w:pPr>
    </w:p>
    <w:bookmarkEnd w:id="14"/>
    <w:bookmarkEnd w:id="15"/>
    <w:p w14:paraId="30BBC1E1">
      <w:pPr>
        <w:widowControl/>
        <w:jc w:val="left"/>
        <w:rPr>
          <w:rFonts w:ascii="仿宋" w:hAnsi="仿宋" w:eastAsia="仿宋"/>
          <w:kern w:val="0"/>
          <w:sz w:val="32"/>
          <w:szCs w:val="32"/>
          <w:highlight w:val="none"/>
        </w:rPr>
      </w:pPr>
      <w:r>
        <w:rPr>
          <w:rFonts w:ascii="仿宋" w:hAnsi="仿宋" w:eastAsia="仿宋"/>
          <w:sz w:val="32"/>
          <w:szCs w:val="32"/>
          <w:highlight w:val="none"/>
        </w:rPr>
        <w:br w:type="page"/>
      </w:r>
    </w:p>
    <w:p w14:paraId="013FCBFB">
      <w:pPr>
        <w:pStyle w:val="3"/>
        <w:ind w:right="440"/>
        <w:jc w:val="center"/>
        <w:rPr>
          <w:rStyle w:val="27"/>
          <w:rFonts w:ascii="黑体" w:hAnsi="黑体" w:eastAsia="黑体"/>
          <w:b w:val="0"/>
          <w:bCs/>
          <w:highlight w:val="none"/>
        </w:rPr>
      </w:pPr>
      <w:bookmarkStart w:id="18" w:name="_Toc15377204"/>
      <w:bookmarkStart w:id="19" w:name="_Toc15396602"/>
      <w:r>
        <w:rPr>
          <w:rFonts w:hint="eastAsia" w:ascii="黑体" w:hAnsi="黑体" w:eastAsia="黑体"/>
          <w:b w:val="0"/>
          <w:highlight w:val="none"/>
        </w:rPr>
        <w:t>第二部分 2023年度</w:t>
      </w:r>
      <w:r>
        <w:rPr>
          <w:rStyle w:val="27"/>
          <w:rFonts w:hint="eastAsia" w:ascii="黑体" w:hAnsi="黑体" w:eastAsia="黑体"/>
          <w:b w:val="0"/>
          <w:bCs/>
          <w:highlight w:val="none"/>
        </w:rPr>
        <w:t>单位决算情况说明</w:t>
      </w:r>
      <w:bookmarkEnd w:id="18"/>
      <w:bookmarkEnd w:id="19"/>
    </w:p>
    <w:p w14:paraId="200DD57B">
      <w:pPr>
        <w:rPr>
          <w:highlight w:val="none"/>
        </w:rPr>
      </w:pPr>
    </w:p>
    <w:p w14:paraId="53077AE2">
      <w:pPr>
        <w:pStyle w:val="26"/>
        <w:numPr>
          <w:ilvl w:val="0"/>
          <w:numId w:val="2"/>
        </w:numPr>
        <w:spacing w:line="600" w:lineRule="exact"/>
        <w:ind w:firstLineChars="0"/>
        <w:outlineLvl w:val="1"/>
        <w:rPr>
          <w:rStyle w:val="28"/>
          <w:rFonts w:ascii="黑体" w:hAnsi="黑体" w:eastAsia="黑体"/>
          <w:b w:val="0"/>
          <w:highlight w:val="none"/>
        </w:rPr>
      </w:pPr>
      <w:bookmarkStart w:id="20" w:name="_Toc15396603"/>
      <w:bookmarkStart w:id="21" w:name="_Toc15377205"/>
      <w:r>
        <w:rPr>
          <w:rFonts w:hint="eastAsia" w:ascii="黑体" w:hAnsi="黑体" w:eastAsia="黑体"/>
          <w:sz w:val="32"/>
          <w:szCs w:val="32"/>
          <w:highlight w:val="none"/>
        </w:rPr>
        <w:t>收</w:t>
      </w:r>
      <w:r>
        <w:rPr>
          <w:rStyle w:val="28"/>
          <w:rFonts w:hint="eastAsia" w:ascii="黑体" w:hAnsi="黑体" w:eastAsia="黑体"/>
          <w:b w:val="0"/>
          <w:highlight w:val="none"/>
        </w:rPr>
        <w:t>入支出决算总体情况说明</w:t>
      </w:r>
      <w:bookmarkEnd w:id="20"/>
      <w:bookmarkEnd w:id="21"/>
    </w:p>
    <w:p w14:paraId="3DAAFF3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2023年度收、支总计均为</w:t>
      </w:r>
      <w:r>
        <w:rPr>
          <w:rFonts w:hint="eastAsia" w:ascii="仿宋" w:hAnsi="仿宋" w:eastAsia="仿宋"/>
          <w:b/>
          <w:sz w:val="32"/>
          <w:szCs w:val="32"/>
          <w:highlight w:val="none"/>
        </w:rPr>
        <w:t>4,67</w:t>
      </w:r>
      <w:r>
        <w:rPr>
          <w:rFonts w:hint="eastAsia" w:ascii="仿宋" w:hAnsi="仿宋" w:eastAsia="仿宋"/>
          <w:b/>
          <w:sz w:val="32"/>
          <w:szCs w:val="32"/>
          <w:highlight w:val="none"/>
          <w:lang w:val="en-US" w:eastAsia="zh-CN"/>
        </w:rPr>
        <w:t>.30</w:t>
      </w:r>
      <w:r>
        <w:rPr>
          <w:rFonts w:hint="eastAsia" w:ascii="仿宋" w:hAnsi="仿宋" w:eastAsia="仿宋"/>
          <w:sz w:val="32"/>
          <w:szCs w:val="32"/>
          <w:highlight w:val="none"/>
        </w:rPr>
        <w:t>万元。与2022年度相比，收、支总计各增加</w:t>
      </w:r>
      <w:r>
        <w:rPr>
          <w:rFonts w:hint="eastAsia" w:ascii="仿宋" w:hAnsi="仿宋" w:eastAsia="仿宋"/>
          <w:sz w:val="32"/>
          <w:szCs w:val="32"/>
          <w:highlight w:val="none"/>
          <w:lang w:val="en-US" w:eastAsia="zh-CN"/>
        </w:rPr>
        <w:t>35.62</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8.25</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教师岗位晋升</w:t>
      </w:r>
      <w:r>
        <w:rPr>
          <w:rFonts w:hint="eastAsia" w:ascii="仿宋" w:hAnsi="仿宋" w:eastAsia="仿宋"/>
          <w:sz w:val="32"/>
          <w:szCs w:val="32"/>
          <w:highlight w:val="none"/>
        </w:rPr>
        <w:t>。</w:t>
      </w:r>
    </w:p>
    <w:p w14:paraId="5C0661A5">
      <w:pPr>
        <w:spacing w:line="600" w:lineRule="exact"/>
        <w:jc w:val="left"/>
        <w:rPr>
          <w:rFonts w:ascii="仿宋_GB2312" w:eastAsia="仿宋_GB2312"/>
          <w:sz w:val="32"/>
          <w:szCs w:val="32"/>
          <w:highlight w:val="none"/>
        </w:rPr>
      </w:pPr>
      <w:r>
        <w:rPr>
          <w:highlight w:val="none"/>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250825</wp:posOffset>
            </wp:positionV>
            <wp:extent cx="4491990" cy="2819400"/>
            <wp:effectExtent l="4445" t="4445" r="14605" b="107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EB61919">
      <w:pPr>
        <w:pStyle w:val="26"/>
        <w:numPr>
          <w:ilvl w:val="0"/>
          <w:numId w:val="2"/>
        </w:numPr>
        <w:spacing w:line="600" w:lineRule="exact"/>
        <w:ind w:firstLineChars="0"/>
        <w:outlineLvl w:val="1"/>
        <w:rPr>
          <w:rStyle w:val="28"/>
          <w:rFonts w:ascii="黑体" w:hAnsi="黑体" w:eastAsia="黑体"/>
          <w:b w:val="0"/>
          <w:highlight w:val="none"/>
        </w:rPr>
      </w:pPr>
      <w:bookmarkStart w:id="22" w:name="_Toc15396604"/>
      <w:bookmarkStart w:id="23" w:name="_Toc15377206"/>
      <w:r>
        <w:rPr>
          <w:rFonts w:hint="eastAsia" w:ascii="黑体" w:hAnsi="黑体" w:eastAsia="黑体"/>
          <w:sz w:val="32"/>
          <w:szCs w:val="32"/>
          <w:highlight w:val="none"/>
        </w:rPr>
        <w:t>收</w:t>
      </w:r>
      <w:r>
        <w:rPr>
          <w:rStyle w:val="28"/>
          <w:rFonts w:hint="eastAsia" w:ascii="黑体" w:hAnsi="黑体" w:eastAsia="黑体"/>
          <w:b w:val="0"/>
          <w:highlight w:val="none"/>
        </w:rPr>
        <w:t>入决算情况说明</w:t>
      </w:r>
      <w:bookmarkEnd w:id="22"/>
      <w:bookmarkEnd w:id="23"/>
    </w:p>
    <w:p w14:paraId="1EC8303D">
      <w:pPr>
        <w:spacing w:line="600" w:lineRule="exact"/>
        <w:ind w:firstLine="420" w:firstLineChars="200"/>
        <w:outlineLvl w:val="1"/>
        <w:rPr>
          <w:rFonts w:hint="eastAsia" w:ascii="仿宋" w:hAnsi="仿宋" w:eastAsia="仿宋"/>
          <w:sz w:val="32"/>
          <w:szCs w:val="32"/>
          <w:highlight w:val="none"/>
        </w:rPr>
      </w:pPr>
      <w:r>
        <w:drawing>
          <wp:anchor distT="0" distB="0" distL="114300" distR="114300" simplePos="0" relativeHeight="251665408" behindDoc="0" locked="0" layoutInCell="1" allowOverlap="1">
            <wp:simplePos x="0" y="0"/>
            <wp:positionH relativeFrom="column">
              <wp:posOffset>233045</wp:posOffset>
            </wp:positionH>
            <wp:positionV relativeFrom="paragraph">
              <wp:posOffset>913130</wp:posOffset>
            </wp:positionV>
            <wp:extent cx="3888105" cy="2208530"/>
            <wp:effectExtent l="4445" t="4445" r="8890" b="1206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highlight w:val="none"/>
        </w:rPr>
        <w:t>2023年度本年收入合计</w:t>
      </w:r>
      <w:r>
        <w:rPr>
          <w:rFonts w:hint="eastAsia" w:ascii="仿宋" w:hAnsi="仿宋" w:eastAsia="仿宋"/>
          <w:b/>
          <w:sz w:val="32"/>
          <w:szCs w:val="32"/>
          <w:highlight w:val="none"/>
          <w:lang w:val="en-US" w:eastAsia="zh-CN"/>
        </w:rPr>
        <w:t>448.78</w:t>
      </w:r>
      <w:r>
        <w:rPr>
          <w:rFonts w:hint="eastAsia" w:ascii="仿宋" w:hAnsi="仿宋" w:eastAsia="仿宋"/>
          <w:sz w:val="32"/>
          <w:szCs w:val="32"/>
          <w:highlight w:val="none"/>
        </w:rPr>
        <w:t>万元，其中：一般公共预算财政拨款收入</w:t>
      </w:r>
      <w:r>
        <w:rPr>
          <w:rFonts w:hint="eastAsia" w:ascii="仿宋" w:hAnsi="仿宋" w:eastAsia="仿宋"/>
          <w:b/>
          <w:sz w:val="32"/>
          <w:szCs w:val="32"/>
          <w:highlight w:val="none"/>
          <w:lang w:val="en-US" w:eastAsia="zh-CN"/>
        </w:rPr>
        <w:t>448.78</w:t>
      </w:r>
      <w:r>
        <w:rPr>
          <w:rFonts w:hint="eastAsia" w:ascii="仿宋" w:hAnsi="仿宋" w:eastAsia="仿宋"/>
          <w:sz w:val="32"/>
          <w:szCs w:val="32"/>
          <w:highlight w:val="none"/>
        </w:rPr>
        <w:t>万元，占</w:t>
      </w:r>
      <w:r>
        <w:rPr>
          <w:rFonts w:ascii="仿宋" w:hAnsi="仿宋" w:eastAsia="仿宋"/>
          <w:b/>
          <w:sz w:val="32"/>
          <w:szCs w:val="32"/>
          <w:highlight w:val="none"/>
        </w:rPr>
        <w:t>100%</w:t>
      </w:r>
      <w:r>
        <w:rPr>
          <w:rFonts w:hint="eastAsia" w:ascii="仿宋" w:hAnsi="仿宋" w:eastAsia="仿宋"/>
          <w:sz w:val="32"/>
          <w:szCs w:val="32"/>
          <w:highlight w:val="none"/>
        </w:rPr>
        <w:t>。</w:t>
      </w:r>
    </w:p>
    <w:p w14:paraId="136D0382">
      <w:pPr>
        <w:pStyle w:val="2"/>
        <w:rPr>
          <w:rFonts w:hint="eastAsia" w:ascii="仿宋" w:hAnsi="仿宋" w:eastAsia="仿宋"/>
          <w:sz w:val="32"/>
          <w:szCs w:val="32"/>
          <w:highlight w:val="none"/>
          <w:lang w:val="en-US" w:eastAsia="zh-CN"/>
        </w:rPr>
      </w:pPr>
    </w:p>
    <w:p w14:paraId="40A734DA">
      <w:pPr>
        <w:pStyle w:val="26"/>
        <w:numPr>
          <w:ilvl w:val="0"/>
          <w:numId w:val="2"/>
        </w:numPr>
        <w:spacing w:line="600" w:lineRule="exact"/>
        <w:ind w:firstLineChars="0"/>
        <w:outlineLvl w:val="1"/>
        <w:rPr>
          <w:rStyle w:val="28"/>
          <w:rFonts w:ascii="黑体" w:hAnsi="黑体" w:eastAsia="黑体"/>
          <w:b w:val="0"/>
          <w:highlight w:val="none"/>
        </w:rPr>
      </w:pPr>
      <w:bookmarkStart w:id="24" w:name="_Toc15396605"/>
      <w:bookmarkStart w:id="25" w:name="_Toc15377207"/>
      <w:r>
        <w:rPr>
          <w:rFonts w:hint="eastAsia" w:ascii="黑体" w:hAnsi="黑体" w:eastAsia="黑体"/>
          <w:sz w:val="32"/>
          <w:szCs w:val="32"/>
          <w:highlight w:val="none"/>
        </w:rPr>
        <w:t>支</w:t>
      </w:r>
      <w:r>
        <w:rPr>
          <w:rStyle w:val="28"/>
          <w:rFonts w:hint="eastAsia" w:ascii="黑体" w:hAnsi="黑体" w:eastAsia="黑体"/>
          <w:b w:val="0"/>
          <w:highlight w:val="none"/>
        </w:rPr>
        <w:t>出决算情况说明</w:t>
      </w:r>
      <w:bookmarkEnd w:id="24"/>
      <w:bookmarkEnd w:id="25"/>
    </w:p>
    <w:p w14:paraId="1E3FCA6E">
      <w:pPr>
        <w:spacing w:line="600" w:lineRule="exact"/>
        <w:ind w:firstLine="640" w:firstLineChars="200"/>
        <w:outlineLvl w:val="1"/>
        <w:rPr>
          <w:rFonts w:ascii="仿宋" w:hAnsi="仿宋" w:eastAsia="仿宋"/>
          <w:sz w:val="32"/>
          <w:szCs w:val="32"/>
          <w:highlight w:val="none"/>
        </w:rPr>
      </w:pPr>
      <w:r>
        <w:rPr>
          <w:rFonts w:hint="eastAsia" w:ascii="仿宋" w:hAnsi="仿宋" w:eastAsia="仿宋"/>
          <w:sz w:val="32"/>
          <w:szCs w:val="32"/>
          <w:highlight w:val="none"/>
        </w:rPr>
        <w:t>2023年度本年支出合计</w:t>
      </w:r>
      <w:r>
        <w:rPr>
          <w:rFonts w:hint="eastAsia" w:ascii="仿宋" w:hAnsi="仿宋" w:eastAsia="仿宋"/>
          <w:b/>
          <w:sz w:val="32"/>
          <w:szCs w:val="32"/>
          <w:highlight w:val="none"/>
          <w:lang w:val="en-US" w:eastAsia="zh-CN"/>
        </w:rPr>
        <w:t>467.30</w:t>
      </w:r>
      <w:r>
        <w:rPr>
          <w:rFonts w:hint="eastAsia" w:ascii="仿宋" w:hAnsi="仿宋" w:eastAsia="仿宋"/>
          <w:sz w:val="32"/>
          <w:szCs w:val="32"/>
          <w:highlight w:val="none"/>
        </w:rPr>
        <w:t>万元，其中：基本支出</w:t>
      </w:r>
      <w:r>
        <w:rPr>
          <w:rFonts w:hint="eastAsia" w:ascii="仿宋" w:hAnsi="仿宋" w:eastAsia="仿宋"/>
          <w:b/>
          <w:sz w:val="32"/>
          <w:szCs w:val="32"/>
          <w:highlight w:val="none"/>
          <w:lang w:val="en-US" w:eastAsia="zh-CN"/>
        </w:rPr>
        <w:t>465.66</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99.64</w:t>
      </w:r>
      <w:r>
        <w:rPr>
          <w:rFonts w:ascii="仿宋" w:hAnsi="仿宋" w:eastAsia="仿宋"/>
          <w:sz w:val="32"/>
          <w:szCs w:val="32"/>
          <w:highlight w:val="none"/>
        </w:rPr>
        <w:t>%</w:t>
      </w:r>
      <w:r>
        <w:rPr>
          <w:rFonts w:hint="eastAsia" w:ascii="仿宋" w:hAnsi="仿宋" w:eastAsia="仿宋"/>
          <w:sz w:val="32"/>
          <w:szCs w:val="32"/>
          <w:highlight w:val="none"/>
        </w:rPr>
        <w:t>；项目支出</w:t>
      </w:r>
      <w:r>
        <w:rPr>
          <w:rFonts w:hint="eastAsia" w:ascii="仿宋" w:hAnsi="仿宋" w:eastAsia="仿宋"/>
          <w:b/>
          <w:sz w:val="32"/>
          <w:szCs w:val="32"/>
          <w:highlight w:val="none"/>
          <w:lang w:val="en-US" w:eastAsia="zh-CN"/>
        </w:rPr>
        <w:t>1.64</w:t>
      </w:r>
      <w:r>
        <w:rPr>
          <w:rFonts w:hint="eastAsia" w:ascii="仿宋" w:hAnsi="仿宋" w:eastAsia="仿宋"/>
          <w:sz w:val="32"/>
          <w:szCs w:val="32"/>
          <w:highlight w:val="none"/>
        </w:rPr>
        <w:t>万元，占</w:t>
      </w:r>
      <w:r>
        <w:rPr>
          <w:rFonts w:hint="eastAsia" w:ascii="仿宋" w:hAnsi="仿宋" w:eastAsia="仿宋"/>
          <w:b/>
          <w:sz w:val="32"/>
          <w:szCs w:val="32"/>
          <w:highlight w:val="none"/>
          <w:lang w:val="en-US" w:eastAsia="zh-CN"/>
        </w:rPr>
        <w:t>0.35</w:t>
      </w:r>
      <w:r>
        <w:rPr>
          <w:rFonts w:ascii="仿宋" w:hAnsi="仿宋" w:eastAsia="仿宋"/>
          <w:sz w:val="32"/>
          <w:szCs w:val="32"/>
          <w:highlight w:val="none"/>
        </w:rPr>
        <w:t>%</w:t>
      </w:r>
      <w:r>
        <w:rPr>
          <w:rFonts w:hint="eastAsia" w:ascii="仿宋" w:hAnsi="仿宋" w:eastAsia="仿宋"/>
          <w:sz w:val="32"/>
          <w:szCs w:val="32"/>
          <w:highlight w:val="none"/>
        </w:rPr>
        <w:t>。</w:t>
      </w:r>
    </w:p>
    <w:p w14:paraId="5C1E89D7">
      <w:pPr>
        <w:spacing w:line="600" w:lineRule="exact"/>
        <w:rPr>
          <w:rFonts w:ascii="仿宋_GB2312" w:eastAsia="仿宋_GB2312"/>
          <w:sz w:val="32"/>
          <w:szCs w:val="32"/>
          <w:highlight w:val="none"/>
        </w:rPr>
      </w:pPr>
      <w:r>
        <w:rPr>
          <w:highlight w:val="none"/>
        </w:rPr>
        <w:drawing>
          <wp:anchor distT="0" distB="0" distL="114300" distR="114300" simplePos="0" relativeHeight="251661312" behindDoc="0" locked="0" layoutInCell="1" allowOverlap="1">
            <wp:simplePos x="0" y="0"/>
            <wp:positionH relativeFrom="column">
              <wp:posOffset>152400</wp:posOffset>
            </wp:positionH>
            <wp:positionV relativeFrom="paragraph">
              <wp:posOffset>252095</wp:posOffset>
            </wp:positionV>
            <wp:extent cx="4464050" cy="2819400"/>
            <wp:effectExtent l="4445" t="5080" r="12065" b="1016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DC6AB78">
      <w:pPr>
        <w:spacing w:line="600" w:lineRule="exact"/>
        <w:ind w:firstLine="640" w:firstLineChars="200"/>
        <w:outlineLvl w:val="1"/>
        <w:rPr>
          <w:rStyle w:val="28"/>
          <w:rFonts w:ascii="黑体" w:hAnsi="黑体" w:eastAsia="黑体"/>
          <w:b w:val="0"/>
          <w:highlight w:val="none"/>
        </w:rPr>
      </w:pPr>
      <w:bookmarkStart w:id="26" w:name="_Toc15396606"/>
      <w:bookmarkStart w:id="27" w:name="_Toc15377208"/>
      <w:r>
        <w:rPr>
          <w:rFonts w:hint="eastAsia" w:ascii="黑体" w:hAnsi="黑体" w:eastAsia="黑体"/>
          <w:sz w:val="32"/>
          <w:szCs w:val="32"/>
          <w:highlight w:val="none"/>
        </w:rPr>
        <w:t>四、财</w:t>
      </w:r>
      <w:r>
        <w:rPr>
          <w:rStyle w:val="28"/>
          <w:rFonts w:hint="eastAsia" w:ascii="黑体" w:hAnsi="黑体" w:eastAsia="黑体"/>
          <w:b w:val="0"/>
          <w:highlight w:val="none"/>
        </w:rPr>
        <w:t>政拨款收入支出决算总体情况说明</w:t>
      </w:r>
      <w:bookmarkEnd w:id="26"/>
      <w:bookmarkEnd w:id="27"/>
    </w:p>
    <w:p w14:paraId="131FB7E9">
      <w:pPr>
        <w:spacing w:line="600" w:lineRule="exact"/>
        <w:ind w:firstLine="640"/>
        <w:rPr>
          <w:rFonts w:hint="eastAsia" w:ascii="仿宋" w:hAnsi="仿宋" w:eastAsia="仿宋"/>
          <w:sz w:val="32"/>
          <w:szCs w:val="32"/>
          <w:highlight w:val="none"/>
          <w:lang w:val="en-US" w:eastAsia="zh-CN"/>
        </w:rPr>
      </w:pPr>
      <w:r>
        <w:rPr>
          <w:highlight w:val="none"/>
        </w:rPr>
        <w:drawing>
          <wp:anchor distT="0" distB="0" distL="114300" distR="114300" simplePos="0" relativeHeight="251662336" behindDoc="0" locked="0" layoutInCell="1" allowOverlap="1">
            <wp:simplePos x="0" y="0"/>
            <wp:positionH relativeFrom="column">
              <wp:posOffset>495935</wp:posOffset>
            </wp:positionH>
            <wp:positionV relativeFrom="paragraph">
              <wp:posOffset>1165225</wp:posOffset>
            </wp:positionV>
            <wp:extent cx="4051300" cy="2433320"/>
            <wp:effectExtent l="4445" t="4445" r="13335" b="15875"/>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highlight w:val="none"/>
        </w:rPr>
        <w:t>2023年度财政拨款收、支总计均为</w:t>
      </w:r>
      <w:r>
        <w:rPr>
          <w:rFonts w:hint="eastAsia" w:ascii="仿宋" w:hAnsi="仿宋" w:eastAsia="仿宋"/>
          <w:b/>
          <w:sz w:val="32"/>
          <w:szCs w:val="32"/>
          <w:highlight w:val="none"/>
          <w:lang w:val="en-US" w:eastAsia="zh-CN"/>
        </w:rPr>
        <w:t>467.30</w:t>
      </w:r>
      <w:r>
        <w:rPr>
          <w:rFonts w:hint="eastAsia" w:ascii="仿宋" w:hAnsi="仿宋" w:eastAsia="仿宋"/>
          <w:sz w:val="32"/>
          <w:szCs w:val="32"/>
          <w:highlight w:val="none"/>
        </w:rPr>
        <w:t>万元。与2022年度相比，财政拨款收、支总计各增加</w:t>
      </w:r>
      <w:r>
        <w:rPr>
          <w:rFonts w:hint="eastAsia" w:ascii="仿宋" w:hAnsi="仿宋" w:eastAsia="仿宋"/>
          <w:sz w:val="32"/>
          <w:szCs w:val="32"/>
          <w:highlight w:val="none"/>
          <w:lang w:val="en-US" w:eastAsia="zh-CN"/>
        </w:rPr>
        <w:t>35.62</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8.25</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教师岗位晋升</w:t>
      </w:r>
    </w:p>
    <w:p w14:paraId="652F72AD">
      <w:pPr>
        <w:pStyle w:val="2"/>
        <w:rPr>
          <w:highlight w:val="none"/>
        </w:rPr>
      </w:pPr>
    </w:p>
    <w:p w14:paraId="0E66E97A">
      <w:pPr>
        <w:spacing w:line="600" w:lineRule="exact"/>
        <w:ind w:firstLine="640" w:firstLineChars="200"/>
        <w:outlineLvl w:val="1"/>
        <w:rPr>
          <w:rStyle w:val="28"/>
          <w:rFonts w:ascii="黑体" w:hAnsi="黑体" w:eastAsia="黑体"/>
          <w:b w:val="0"/>
          <w:highlight w:val="none"/>
        </w:rPr>
      </w:pPr>
      <w:bookmarkStart w:id="28" w:name="_Toc15396607"/>
      <w:bookmarkStart w:id="29" w:name="_Toc15377209"/>
      <w:r>
        <w:rPr>
          <w:rFonts w:hint="eastAsia" w:ascii="黑体" w:hAnsi="黑体" w:eastAsia="黑体"/>
          <w:sz w:val="32"/>
          <w:szCs w:val="32"/>
          <w:highlight w:val="none"/>
        </w:rPr>
        <w:t>五、</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般公共预算财政拨款支出决算情况说明</w:t>
      </w:r>
      <w:bookmarkEnd w:id="28"/>
      <w:bookmarkEnd w:id="29"/>
    </w:p>
    <w:p w14:paraId="69608322">
      <w:pPr>
        <w:spacing w:line="600" w:lineRule="exact"/>
        <w:ind w:firstLine="643" w:firstLineChars="200"/>
        <w:outlineLvl w:val="2"/>
        <w:rPr>
          <w:rFonts w:ascii="仿宋" w:hAnsi="仿宋" w:eastAsia="仿宋"/>
          <w:b/>
          <w:sz w:val="32"/>
          <w:szCs w:val="32"/>
          <w:highlight w:val="none"/>
        </w:rPr>
      </w:pPr>
      <w:bookmarkStart w:id="30" w:name="_Toc15377210"/>
      <w:r>
        <w:rPr>
          <w:rFonts w:hint="eastAsia" w:ascii="仿宋" w:hAnsi="仿宋" w:eastAsia="仿宋"/>
          <w:b/>
          <w:sz w:val="32"/>
          <w:szCs w:val="32"/>
          <w:highlight w:val="none"/>
        </w:rPr>
        <w:t>（一）一般公共预算财政拨款支出决算总体情况</w:t>
      </w:r>
      <w:bookmarkEnd w:id="30"/>
    </w:p>
    <w:p w14:paraId="44F75F75">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467.30</w:t>
      </w:r>
      <w:r>
        <w:rPr>
          <w:rFonts w:hint="eastAsia" w:ascii="仿宋" w:hAnsi="仿宋" w:eastAsia="仿宋"/>
          <w:sz w:val="32"/>
          <w:szCs w:val="32"/>
          <w:highlight w:val="none"/>
        </w:rPr>
        <w:t>万元，占本年支出合计的</w:t>
      </w:r>
      <w:r>
        <w:rPr>
          <w:rFonts w:hint="eastAsia" w:ascii="仿宋" w:hAnsi="仿宋" w:eastAsia="仿宋"/>
          <w:b/>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。与2022年度相比，一般公共预算财政拨款支出增加</w:t>
      </w:r>
      <w:r>
        <w:rPr>
          <w:rFonts w:hint="eastAsia" w:ascii="仿宋" w:hAnsi="仿宋" w:eastAsia="仿宋"/>
          <w:sz w:val="32"/>
          <w:szCs w:val="32"/>
          <w:highlight w:val="none"/>
          <w:lang w:val="en-US" w:eastAsia="zh-CN"/>
        </w:rPr>
        <w:t>35.62</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8.25</w:t>
      </w:r>
      <w:r>
        <w:rPr>
          <w:rFonts w:ascii="仿宋" w:hAnsi="仿宋" w:eastAsia="仿宋"/>
          <w:sz w:val="32"/>
          <w:szCs w:val="32"/>
          <w:highlight w:val="none"/>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教师岗位晋升。</w:t>
      </w:r>
    </w:p>
    <w:p w14:paraId="69AAF3B2">
      <w:pPr>
        <w:spacing w:line="600" w:lineRule="exact"/>
        <w:ind w:firstLine="420" w:firstLineChars="200"/>
        <w:rPr>
          <w:rFonts w:ascii="仿宋" w:hAnsi="仿宋" w:eastAsia="仿宋"/>
          <w:sz w:val="32"/>
          <w:szCs w:val="32"/>
          <w:highlight w:val="none"/>
        </w:rPr>
      </w:pPr>
      <w:r>
        <w:rPr>
          <w:highlight w:val="none"/>
        </w:rPr>
        <w:drawing>
          <wp:anchor distT="0" distB="0" distL="114300" distR="114300" simplePos="0" relativeHeight="251663360" behindDoc="0" locked="0" layoutInCell="1" allowOverlap="1">
            <wp:simplePos x="0" y="0"/>
            <wp:positionH relativeFrom="column">
              <wp:posOffset>236855</wp:posOffset>
            </wp:positionH>
            <wp:positionV relativeFrom="paragraph">
              <wp:posOffset>234950</wp:posOffset>
            </wp:positionV>
            <wp:extent cx="4479925" cy="2819400"/>
            <wp:effectExtent l="4445" t="4445" r="11430" b="10795"/>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ADA1A5B">
      <w:pPr>
        <w:spacing w:line="600" w:lineRule="exact"/>
        <w:ind w:firstLine="640" w:firstLineChars="200"/>
        <w:rPr>
          <w:rFonts w:ascii="仿宋" w:hAnsi="仿宋" w:eastAsia="仿宋"/>
          <w:sz w:val="32"/>
          <w:szCs w:val="32"/>
          <w:highlight w:val="none"/>
        </w:rPr>
      </w:pPr>
    </w:p>
    <w:p w14:paraId="56065F0A">
      <w:pPr>
        <w:spacing w:line="600" w:lineRule="exact"/>
        <w:ind w:firstLine="643" w:firstLineChars="200"/>
        <w:outlineLvl w:val="2"/>
        <w:rPr>
          <w:rFonts w:ascii="仿宋" w:hAnsi="仿宋" w:eastAsia="仿宋"/>
          <w:b/>
          <w:sz w:val="32"/>
          <w:szCs w:val="32"/>
          <w:highlight w:val="none"/>
        </w:rPr>
      </w:pPr>
      <w:bookmarkStart w:id="31" w:name="_Toc15377211"/>
      <w:r>
        <w:rPr>
          <w:rFonts w:hint="eastAsia" w:ascii="仿宋" w:hAnsi="仿宋" w:eastAsia="仿宋"/>
          <w:b/>
          <w:sz w:val="32"/>
          <w:szCs w:val="32"/>
          <w:highlight w:val="none"/>
        </w:rPr>
        <w:t>（二）一般公共预算财政拨款支出决算结构情况</w:t>
      </w:r>
      <w:bookmarkEnd w:id="31"/>
    </w:p>
    <w:p w14:paraId="1984BA82">
      <w:pPr>
        <w:spacing w:line="600" w:lineRule="exact"/>
        <w:ind w:firstLine="640"/>
        <w:rPr>
          <w:highlight w:val="none"/>
        </w:rPr>
      </w:pPr>
      <w:r>
        <w:rPr>
          <w:highlight w:val="none"/>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1739900</wp:posOffset>
            </wp:positionV>
            <wp:extent cx="4362450" cy="2824480"/>
            <wp:effectExtent l="4445" t="4445" r="6985" b="571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467.30</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教育支出</w:t>
      </w:r>
      <w:r>
        <w:rPr>
          <w:rFonts w:hint="eastAsia" w:ascii="仿宋" w:hAnsi="仿宋" w:eastAsia="仿宋"/>
          <w:sz w:val="32"/>
          <w:szCs w:val="32"/>
          <w:highlight w:val="none"/>
          <w:lang w:val="en-US" w:eastAsia="zh-CN"/>
        </w:rPr>
        <w:t>336.25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71.96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highlight w:val="none"/>
        </w:rPr>
        <w:t>社会保障和就业</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71.63</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15.33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13.48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2.88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住房保障支出</w:t>
      </w:r>
      <w:r>
        <w:rPr>
          <w:rFonts w:hint="eastAsia" w:ascii="仿宋" w:hAnsi="仿宋" w:eastAsia="仿宋"/>
          <w:sz w:val="32"/>
          <w:szCs w:val="32"/>
          <w:highlight w:val="none"/>
          <w:lang w:val="en-US" w:eastAsia="zh-CN"/>
        </w:rPr>
        <w:t>45.94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9.83</w:t>
      </w:r>
      <w:r>
        <w:rPr>
          <w:rFonts w:ascii="仿宋" w:hAnsi="仿宋" w:eastAsia="仿宋"/>
          <w:sz w:val="32"/>
          <w:szCs w:val="32"/>
          <w:highlight w:val="none"/>
        </w:rPr>
        <w:t>%</w:t>
      </w:r>
      <w:r>
        <w:rPr>
          <w:rFonts w:hint="eastAsia" w:ascii="仿宋" w:hAnsi="仿宋" w:eastAsia="仿宋"/>
          <w:sz w:val="32"/>
          <w:szCs w:val="32"/>
          <w:highlight w:val="none"/>
        </w:rPr>
        <w:t>。</w:t>
      </w:r>
    </w:p>
    <w:p w14:paraId="3E7FC9E0">
      <w:pPr>
        <w:spacing w:line="600" w:lineRule="exact"/>
        <w:ind w:firstLine="643" w:firstLineChars="200"/>
        <w:outlineLvl w:val="2"/>
        <w:rPr>
          <w:rFonts w:ascii="仿宋" w:hAnsi="仿宋" w:eastAsia="仿宋"/>
          <w:b/>
          <w:sz w:val="32"/>
          <w:szCs w:val="32"/>
          <w:highlight w:val="none"/>
        </w:rPr>
      </w:pPr>
      <w:bookmarkStart w:id="32" w:name="_Toc15377212"/>
      <w:r>
        <w:rPr>
          <w:rFonts w:hint="eastAsia" w:ascii="仿宋" w:hAnsi="仿宋" w:eastAsia="仿宋"/>
          <w:b/>
          <w:sz w:val="32"/>
          <w:szCs w:val="32"/>
          <w:highlight w:val="none"/>
        </w:rPr>
        <w:t>（三）一般公共预算财政拨款支出决算具体情况</w:t>
      </w:r>
      <w:bookmarkEnd w:id="32"/>
    </w:p>
    <w:p w14:paraId="797D4B58">
      <w:pPr>
        <w:spacing w:line="600" w:lineRule="exact"/>
        <w:ind w:firstLine="643" w:firstLineChars="200"/>
        <w:outlineLvl w:val="2"/>
        <w:rPr>
          <w:rStyle w:val="16"/>
          <w:rFonts w:hint="eastAsia" w:ascii="仿宋" w:hAnsi="仿宋" w:eastAsia="仿宋"/>
          <w:bCs/>
          <w:sz w:val="32"/>
          <w:szCs w:val="32"/>
          <w:highlight w:val="none"/>
        </w:rPr>
      </w:pPr>
      <w:bookmarkStart w:id="33" w:name="_Toc15377213"/>
      <w:bookmarkStart w:id="34" w:name="_Toc15377444"/>
      <w:bookmarkStart w:id="35" w:name="_Toc15378460"/>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467.30万元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3"/>
      <w:bookmarkEnd w:id="34"/>
      <w:bookmarkEnd w:id="35"/>
    </w:p>
    <w:p w14:paraId="7AD425A2">
      <w:pPr>
        <w:numPr>
          <w:ilvl w:val="0"/>
          <w:numId w:val="0"/>
        </w:numPr>
        <w:spacing w:line="600" w:lineRule="exact"/>
        <w:ind w:firstLine="643" w:firstLineChars="200"/>
        <w:rPr>
          <w:highlight w:val="none"/>
        </w:rPr>
      </w:pPr>
      <w:r>
        <w:rPr>
          <w:rStyle w:val="16"/>
          <w:rFonts w:hint="eastAsia" w:ascii="仿宋" w:hAnsi="仿宋" w:eastAsia="仿宋"/>
          <w:bCs/>
          <w:sz w:val="32"/>
          <w:szCs w:val="32"/>
          <w:highlight w:val="none"/>
          <w:lang w:val="en-US" w:eastAsia="zh-CN"/>
        </w:rPr>
        <w:t>1.</w:t>
      </w:r>
      <w:r>
        <w:rPr>
          <w:rStyle w:val="16"/>
          <w:rFonts w:hint="eastAsia" w:ascii="仿宋" w:hAnsi="仿宋" w:eastAsia="仿宋"/>
          <w:bCs/>
          <w:sz w:val="32"/>
          <w:szCs w:val="32"/>
          <w:highlight w:val="none"/>
        </w:rPr>
        <w:t>教育</w:t>
      </w:r>
      <w:r>
        <w:rPr>
          <w:rStyle w:val="16"/>
          <w:rFonts w:hint="eastAsia" w:ascii="仿宋" w:hAnsi="仿宋" w:eastAsia="仿宋"/>
          <w:bCs/>
          <w:sz w:val="32"/>
          <w:szCs w:val="32"/>
          <w:highlight w:val="none"/>
          <w:lang w:val="en-US" w:eastAsia="zh-CN"/>
        </w:rPr>
        <w:t>205</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01</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2.24</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43B8EFC0">
      <w:pPr>
        <w:numPr>
          <w:ilvl w:val="0"/>
          <w:numId w:val="0"/>
        </w:numPr>
        <w:spacing w:line="600" w:lineRule="exact"/>
        <w:ind w:firstLine="643" w:firstLineChars="200"/>
        <w:rPr>
          <w:highlight w:val="none"/>
        </w:rPr>
      </w:pPr>
      <w:r>
        <w:rPr>
          <w:rStyle w:val="16"/>
          <w:rFonts w:hint="eastAsia" w:ascii="仿宋" w:hAnsi="仿宋" w:eastAsia="仿宋"/>
          <w:bCs/>
          <w:sz w:val="32"/>
          <w:szCs w:val="32"/>
          <w:highlight w:val="none"/>
          <w:lang w:val="en-US" w:eastAsia="zh-CN"/>
        </w:rPr>
        <w:t>2.</w:t>
      </w:r>
      <w:r>
        <w:rPr>
          <w:rStyle w:val="16"/>
          <w:rFonts w:hint="eastAsia" w:ascii="仿宋" w:hAnsi="仿宋" w:eastAsia="仿宋"/>
          <w:bCs/>
          <w:sz w:val="32"/>
          <w:szCs w:val="32"/>
          <w:highlight w:val="none"/>
        </w:rPr>
        <w:t>教育</w:t>
      </w:r>
      <w:r>
        <w:rPr>
          <w:rStyle w:val="16"/>
          <w:rFonts w:hint="eastAsia" w:ascii="仿宋" w:hAnsi="仿宋" w:eastAsia="仿宋"/>
          <w:bCs/>
          <w:sz w:val="32"/>
          <w:szCs w:val="32"/>
          <w:highlight w:val="none"/>
          <w:lang w:val="en-US" w:eastAsia="zh-CN"/>
        </w:rPr>
        <w:t>205</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334.01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615E61A9">
      <w:pPr>
        <w:numPr>
          <w:ilvl w:val="0"/>
          <w:numId w:val="0"/>
        </w:num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3.</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19.63</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2313260D">
      <w:pPr>
        <w:numPr>
          <w:ilvl w:val="0"/>
          <w:numId w:val="0"/>
        </w:numPr>
        <w:spacing w:line="600" w:lineRule="exact"/>
        <w:ind w:firstLine="643" w:firstLineChars="200"/>
        <w:rPr>
          <w:rFonts w:hint="eastAsia"/>
          <w:highlight w:val="none"/>
        </w:rPr>
      </w:pPr>
      <w:r>
        <w:rPr>
          <w:rStyle w:val="16"/>
          <w:rFonts w:hint="eastAsia" w:ascii="仿宋" w:hAnsi="仿宋" w:eastAsia="仿宋"/>
          <w:bCs/>
          <w:sz w:val="32"/>
          <w:szCs w:val="32"/>
          <w:highlight w:val="none"/>
          <w:lang w:val="en-US" w:eastAsia="zh-CN"/>
        </w:rPr>
        <w:t>4.</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05</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99</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46.79</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29A6877F">
      <w:pPr>
        <w:numPr>
          <w:ilvl w:val="0"/>
          <w:numId w:val="0"/>
        </w:numPr>
        <w:spacing w:line="600" w:lineRule="exact"/>
        <w:ind w:firstLine="643" w:firstLineChars="200"/>
        <w:rPr>
          <w:rStyle w:val="16"/>
          <w:rFonts w:hint="eastAsia" w:ascii="仿宋" w:hAnsi="仿宋" w:eastAsia="仿宋"/>
          <w:b w:val="0"/>
          <w:bCs/>
          <w:sz w:val="32"/>
          <w:szCs w:val="32"/>
          <w:highlight w:val="none"/>
        </w:rPr>
      </w:pPr>
      <w:r>
        <w:rPr>
          <w:rStyle w:val="16"/>
          <w:rFonts w:hint="eastAsia" w:ascii="仿宋" w:hAnsi="仿宋" w:eastAsia="仿宋"/>
          <w:bCs/>
          <w:sz w:val="32"/>
          <w:szCs w:val="32"/>
          <w:highlight w:val="none"/>
          <w:lang w:val="en-US" w:eastAsia="zh-CN"/>
        </w:rPr>
        <w:t>5.</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08</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01</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5.21</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71B3D57B">
      <w:pPr>
        <w:numPr>
          <w:ilvl w:val="0"/>
          <w:numId w:val="0"/>
        </w:numPr>
        <w:spacing w:line="600" w:lineRule="exact"/>
        <w:ind w:firstLine="643" w:firstLineChars="200"/>
        <w:rPr>
          <w:rStyle w:val="16"/>
          <w:rFonts w:hint="eastAsia" w:ascii="仿宋" w:hAnsi="仿宋" w:eastAsia="仿宋"/>
          <w:b w:val="0"/>
          <w:bCs/>
          <w:sz w:val="32"/>
          <w:szCs w:val="32"/>
          <w:highlight w:val="none"/>
        </w:rPr>
      </w:pPr>
      <w:r>
        <w:rPr>
          <w:rFonts w:hint="eastAsia" w:ascii="仿宋" w:hAnsi="仿宋" w:eastAsia="仿宋"/>
          <w:b/>
          <w:bCs/>
          <w:sz w:val="32"/>
          <w:szCs w:val="32"/>
          <w:highlight w:val="none"/>
          <w:lang w:val="en-US" w:eastAsia="zh-CN"/>
        </w:rPr>
        <w:t>6.</w:t>
      </w:r>
      <w:r>
        <w:rPr>
          <w:rFonts w:hint="eastAsia" w:ascii="仿宋" w:hAnsi="仿宋" w:eastAsia="仿宋"/>
          <w:b/>
          <w:bCs/>
          <w:sz w:val="32"/>
          <w:szCs w:val="32"/>
          <w:highlight w:val="none"/>
        </w:rPr>
        <w:t>卫生健康</w:t>
      </w:r>
      <w:r>
        <w:rPr>
          <w:rFonts w:hint="eastAsia" w:ascii="仿宋" w:hAnsi="仿宋" w:eastAsia="仿宋"/>
          <w:b/>
          <w:bCs/>
          <w:sz w:val="32"/>
          <w:szCs w:val="32"/>
          <w:highlight w:val="none"/>
          <w:lang w:val="en-US" w:eastAsia="zh-CN"/>
        </w:rPr>
        <w:t>210</w:t>
      </w:r>
      <w:r>
        <w:rPr>
          <w:rStyle w:val="16"/>
          <w:rFonts w:hint="eastAsia" w:ascii="仿宋" w:hAnsi="仿宋" w:eastAsia="仿宋"/>
          <w:bCs/>
          <w:sz w:val="32"/>
          <w:szCs w:val="32"/>
          <w:highlight w:val="none"/>
        </w:rPr>
        <w:t>（类）</w:t>
      </w:r>
      <w:r>
        <w:rPr>
          <w:rStyle w:val="16"/>
          <w:rFonts w:hint="eastAsia" w:ascii="仿宋" w:hAnsi="仿宋" w:eastAsia="仿宋"/>
          <w:bCs/>
          <w:sz w:val="32"/>
          <w:szCs w:val="32"/>
          <w:highlight w:val="none"/>
          <w:lang w:val="en-US" w:eastAsia="zh-CN"/>
        </w:rPr>
        <w:t>11</w:t>
      </w:r>
      <w:r>
        <w:rPr>
          <w:rStyle w:val="16"/>
          <w:rFonts w:hint="eastAsia" w:ascii="仿宋" w:hAnsi="仿宋" w:eastAsia="仿宋"/>
          <w:bCs/>
          <w:sz w:val="32"/>
          <w:szCs w:val="32"/>
          <w:highlight w:val="none"/>
        </w:rPr>
        <w:t>（款）</w:t>
      </w:r>
      <w:r>
        <w:rPr>
          <w:rStyle w:val="16"/>
          <w:rFonts w:hint="eastAsia" w:ascii="仿宋" w:hAnsi="仿宋" w:eastAsia="仿宋"/>
          <w:bCs/>
          <w:sz w:val="32"/>
          <w:szCs w:val="32"/>
          <w:highlight w:val="none"/>
          <w:lang w:val="en-US" w:eastAsia="zh-CN"/>
        </w:rPr>
        <w:t>02</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13.48</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36FA6E2E">
      <w:pPr>
        <w:pStyle w:val="2"/>
        <w:numPr>
          <w:ilvl w:val="0"/>
          <w:numId w:val="0"/>
        </w:numPr>
        <w:ind w:firstLine="600" w:firstLineChars="200"/>
        <w:rPr>
          <w:rFonts w:ascii="仿宋" w:hAnsi="仿宋" w:eastAsia="仿宋"/>
          <w:b/>
          <w:sz w:val="32"/>
          <w:szCs w:val="32"/>
          <w:highlight w:val="none"/>
        </w:rPr>
      </w:pPr>
      <w:r>
        <w:rPr>
          <w:rFonts w:hint="eastAsia"/>
          <w:highlight w:val="none"/>
          <w:lang w:val="en-US" w:eastAsia="zh-CN"/>
        </w:rPr>
        <w:t>7.住房保障221（类）02（款）01（项）：支出决算为45.94万元，完成预算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，决算数等于预算数。</w:t>
      </w:r>
    </w:p>
    <w:p w14:paraId="55C8F4B5">
      <w:pPr>
        <w:tabs>
          <w:tab w:val="right" w:pos="8306"/>
        </w:tabs>
        <w:spacing w:line="600" w:lineRule="exact"/>
        <w:ind w:firstLine="640"/>
        <w:outlineLvl w:val="1"/>
        <w:rPr>
          <w:rStyle w:val="28"/>
          <w:highlight w:val="none"/>
        </w:rPr>
      </w:pPr>
      <w:bookmarkStart w:id="36" w:name="_Toc15377214"/>
      <w:bookmarkStart w:id="37" w:name="_Toc15396608"/>
      <w:r>
        <w:rPr>
          <w:rFonts w:hint="eastAsia" w:ascii="黑体" w:eastAsia="黑体"/>
          <w:sz w:val="32"/>
          <w:szCs w:val="32"/>
          <w:highlight w:val="none"/>
        </w:rPr>
        <w:t>六</w:t>
      </w:r>
      <w:r>
        <w:rPr>
          <w:rFonts w:hint="eastAsia" w:ascii="黑体" w:eastAsia="黑体"/>
          <w:b/>
          <w:sz w:val="32"/>
          <w:szCs w:val="32"/>
          <w:highlight w:val="none"/>
        </w:rPr>
        <w:t>、</w:t>
      </w:r>
      <w:r>
        <w:rPr>
          <w:rFonts w:hint="eastAsia" w:ascii="黑体" w:hAnsi="黑体" w:eastAsia="黑体"/>
          <w:b/>
          <w:sz w:val="32"/>
          <w:szCs w:val="32"/>
          <w:highlight w:val="none"/>
        </w:rPr>
        <w:t>一</w:t>
      </w:r>
      <w:r>
        <w:rPr>
          <w:rStyle w:val="28"/>
          <w:rFonts w:hint="eastAsia" w:ascii="黑体" w:hAnsi="黑体" w:eastAsia="黑体"/>
          <w:b w:val="0"/>
          <w:highlight w:val="none"/>
        </w:rPr>
        <w:t>般公共预算财政拨款基本支出决算情况说明</w:t>
      </w:r>
      <w:bookmarkEnd w:id="36"/>
      <w:bookmarkEnd w:id="37"/>
      <w:r>
        <w:rPr>
          <w:rStyle w:val="28"/>
          <w:rFonts w:ascii="黑体" w:hAnsi="黑体" w:eastAsia="黑体"/>
          <w:b w:val="0"/>
          <w:highlight w:val="none"/>
        </w:rPr>
        <w:tab/>
      </w:r>
    </w:p>
    <w:p w14:paraId="613CF570">
      <w:pPr>
        <w:spacing w:line="600" w:lineRule="exact"/>
        <w:ind w:firstLine="645"/>
        <w:rPr>
          <w:rFonts w:ascii="仿宋" w:hAnsi="仿宋" w:eastAsia="仿宋"/>
          <w:sz w:val="32"/>
          <w:szCs w:val="32"/>
          <w:highlight w:val="none"/>
        </w:rPr>
      </w:pPr>
      <w:r>
        <w:rPr>
          <w:rFonts w:hint="eastAsia" w:ascii="仿宋" w:hAnsi="仿宋" w:eastAsia="仿宋"/>
          <w:sz w:val="32"/>
          <w:szCs w:val="32"/>
          <w:highlight w:val="none"/>
        </w:rPr>
        <w:t>2023年度一般公共预算财政拨款基本支出</w:t>
      </w:r>
      <w:r>
        <w:rPr>
          <w:rFonts w:hint="eastAsia" w:ascii="仿宋" w:hAnsi="仿宋" w:eastAsia="仿宋"/>
          <w:b/>
          <w:sz w:val="32"/>
          <w:szCs w:val="32"/>
          <w:highlight w:val="none"/>
          <w:lang w:val="en-US" w:eastAsia="zh-CN"/>
        </w:rPr>
        <w:t>465.66</w:t>
      </w:r>
      <w:r>
        <w:rPr>
          <w:rFonts w:hint="eastAsia" w:ascii="仿宋" w:hAnsi="仿宋" w:eastAsia="仿宋"/>
          <w:sz w:val="32"/>
          <w:szCs w:val="32"/>
          <w:highlight w:val="none"/>
        </w:rPr>
        <w:t>万元，其中：</w:t>
      </w:r>
    </w:p>
    <w:p w14:paraId="38454A26">
      <w:pPr>
        <w:spacing w:line="600" w:lineRule="exact"/>
        <w:ind w:firstLine="645"/>
        <w:rPr>
          <w:rFonts w:ascii="仿宋" w:hAnsi="仿宋" w:eastAsia="仿宋"/>
          <w:b/>
          <w:sz w:val="32"/>
          <w:szCs w:val="32"/>
          <w:highlight w:val="none"/>
        </w:rPr>
      </w:pPr>
      <w:r>
        <w:rPr>
          <w:rFonts w:hint="eastAsia" w:ascii="仿宋" w:hAnsi="仿宋" w:eastAsia="仿宋"/>
          <w:sz w:val="32"/>
          <w:szCs w:val="32"/>
          <w:highlight w:val="none"/>
        </w:rPr>
        <w:t>人员经费</w:t>
      </w:r>
      <w:r>
        <w:rPr>
          <w:rFonts w:hint="eastAsia" w:ascii="仿宋" w:hAnsi="仿宋" w:eastAsia="仿宋"/>
          <w:b/>
          <w:sz w:val="32"/>
          <w:szCs w:val="32"/>
          <w:highlight w:val="none"/>
          <w:lang w:val="en-US" w:eastAsia="zh-CN"/>
        </w:rPr>
        <w:t>381.80</w:t>
      </w:r>
      <w:r>
        <w:rPr>
          <w:rFonts w:hint="eastAsia" w:ascii="仿宋" w:hAnsi="仿宋" w:eastAsia="仿宋"/>
          <w:sz w:val="32"/>
          <w:szCs w:val="32"/>
          <w:highlight w:val="none"/>
        </w:rPr>
        <w:t>万元，主要包括：基本工资</w:t>
      </w:r>
      <w:r>
        <w:rPr>
          <w:rFonts w:hint="eastAsia" w:ascii="仿宋" w:hAnsi="仿宋" w:eastAsia="仿宋"/>
          <w:sz w:val="32"/>
          <w:szCs w:val="32"/>
          <w:highlight w:val="none"/>
          <w:lang w:val="en-US" w:eastAsia="zh-CN"/>
        </w:rPr>
        <w:t>94.04万元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21.03万元</w:t>
      </w:r>
      <w:r>
        <w:rPr>
          <w:rFonts w:hint="eastAsia" w:ascii="仿宋" w:hAnsi="仿宋" w:eastAsia="仿宋"/>
          <w:sz w:val="32"/>
          <w:szCs w:val="32"/>
          <w:highlight w:val="none"/>
        </w:rPr>
        <w:t>、绩效工资</w:t>
      </w:r>
      <w:r>
        <w:rPr>
          <w:rFonts w:hint="eastAsia" w:ascii="仿宋" w:hAnsi="仿宋" w:eastAsia="仿宋"/>
          <w:sz w:val="32"/>
          <w:szCs w:val="32"/>
          <w:highlight w:val="none"/>
          <w:lang w:val="en-US" w:eastAsia="zh-CN"/>
        </w:rPr>
        <w:t>62.90万元</w:t>
      </w:r>
      <w:r>
        <w:rPr>
          <w:rFonts w:hint="eastAsia" w:ascii="仿宋" w:hAnsi="仿宋" w:eastAsia="仿宋"/>
          <w:sz w:val="32"/>
          <w:szCs w:val="32"/>
          <w:highlight w:val="none"/>
        </w:rPr>
        <w:t>、机关事业单位基本养老保险缴费</w:t>
      </w:r>
      <w:r>
        <w:rPr>
          <w:rFonts w:hint="eastAsia" w:ascii="仿宋" w:hAnsi="仿宋" w:eastAsia="仿宋"/>
          <w:sz w:val="32"/>
          <w:szCs w:val="32"/>
          <w:highlight w:val="none"/>
          <w:lang w:val="en-US" w:eastAsia="zh-CN"/>
        </w:rPr>
        <w:t>19.63万元</w:t>
      </w:r>
      <w:r>
        <w:rPr>
          <w:rFonts w:hint="eastAsia" w:ascii="仿宋" w:hAnsi="仿宋" w:eastAsia="仿宋"/>
          <w:sz w:val="32"/>
          <w:szCs w:val="32"/>
          <w:highlight w:val="none"/>
        </w:rPr>
        <w:t>、其他工资福利支出</w:t>
      </w:r>
      <w:r>
        <w:rPr>
          <w:rFonts w:hint="eastAsia" w:ascii="仿宋" w:hAnsi="仿宋" w:eastAsia="仿宋"/>
          <w:sz w:val="32"/>
          <w:szCs w:val="32"/>
          <w:highlight w:val="none"/>
          <w:lang w:val="en-US" w:eastAsia="zh-CN"/>
        </w:rPr>
        <w:t>72.31万元</w:t>
      </w:r>
      <w:r>
        <w:rPr>
          <w:rFonts w:hint="eastAsia" w:ascii="仿宋" w:hAnsi="仿宋" w:eastAsia="仿宋"/>
          <w:sz w:val="32"/>
          <w:szCs w:val="32"/>
          <w:highlight w:val="none"/>
        </w:rPr>
        <w:t>、抚恤金</w:t>
      </w:r>
      <w:r>
        <w:rPr>
          <w:rFonts w:hint="eastAsia" w:ascii="仿宋" w:hAnsi="仿宋" w:eastAsia="仿宋"/>
          <w:sz w:val="32"/>
          <w:szCs w:val="32"/>
          <w:highlight w:val="none"/>
          <w:lang w:val="en-US" w:eastAsia="zh-CN"/>
        </w:rPr>
        <w:t>5.21万元</w:t>
      </w:r>
      <w:r>
        <w:rPr>
          <w:rFonts w:hint="eastAsia" w:ascii="仿宋" w:hAnsi="仿宋" w:eastAsia="仿宋"/>
          <w:sz w:val="32"/>
          <w:szCs w:val="32"/>
          <w:highlight w:val="none"/>
        </w:rPr>
        <w:t>、生活补助</w:t>
      </w:r>
      <w:r>
        <w:rPr>
          <w:rFonts w:hint="eastAsia" w:ascii="仿宋" w:hAnsi="仿宋" w:eastAsia="仿宋"/>
          <w:sz w:val="32"/>
          <w:szCs w:val="32"/>
          <w:highlight w:val="none"/>
          <w:lang w:val="en-US" w:eastAsia="zh-CN"/>
        </w:rPr>
        <w:t>47.26万元</w:t>
      </w:r>
      <w:r>
        <w:rPr>
          <w:rFonts w:hint="eastAsia" w:ascii="仿宋" w:hAnsi="仿宋" w:eastAsia="仿宋"/>
          <w:sz w:val="32"/>
          <w:szCs w:val="32"/>
          <w:highlight w:val="none"/>
        </w:rPr>
        <w:t>、住房公积金</w:t>
      </w:r>
      <w:r>
        <w:rPr>
          <w:rFonts w:hint="eastAsia" w:ascii="仿宋" w:hAnsi="仿宋" w:eastAsia="仿宋"/>
          <w:sz w:val="32"/>
          <w:szCs w:val="32"/>
          <w:highlight w:val="none"/>
          <w:lang w:val="en-US" w:eastAsia="zh-CN"/>
        </w:rPr>
        <w:t>45.94万元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职工基本医疗保险缴费13.48万元</w:t>
      </w:r>
      <w:r>
        <w:rPr>
          <w:rFonts w:hint="eastAsia" w:ascii="仿宋" w:hAnsi="仿宋" w:eastAsia="仿宋"/>
          <w:sz w:val="32"/>
          <w:szCs w:val="32"/>
          <w:highlight w:val="none"/>
        </w:rPr>
        <w:t>等。</w:t>
      </w:r>
      <w:r>
        <w:rPr>
          <w:rFonts w:ascii="仿宋" w:hAnsi="仿宋" w:eastAsia="仿宋"/>
          <w:sz w:val="32"/>
          <w:szCs w:val="32"/>
          <w:highlight w:val="none"/>
        </w:rPr>
        <w:br w:type="textWrapping"/>
      </w:r>
      <w:r>
        <w:rPr>
          <w:rFonts w:hint="eastAsia" w:ascii="仿宋" w:hAnsi="仿宋" w:eastAsia="仿宋"/>
          <w:sz w:val="32"/>
          <w:szCs w:val="32"/>
          <w:highlight w:val="none"/>
        </w:rPr>
        <w:t>　　公用经费</w:t>
      </w:r>
      <w:r>
        <w:rPr>
          <w:rFonts w:hint="eastAsia" w:ascii="仿宋" w:hAnsi="仿宋" w:eastAsia="仿宋"/>
          <w:b/>
          <w:sz w:val="32"/>
          <w:szCs w:val="32"/>
          <w:highlight w:val="none"/>
          <w:lang w:val="en-US" w:eastAsia="zh-CN"/>
        </w:rPr>
        <w:t>83.86</w:t>
      </w:r>
      <w:r>
        <w:rPr>
          <w:rFonts w:hint="eastAsia" w:ascii="仿宋" w:hAnsi="仿宋" w:eastAsia="仿宋"/>
          <w:sz w:val="32"/>
          <w:szCs w:val="32"/>
          <w:highlight w:val="none"/>
        </w:rPr>
        <w:t>万元，主要包括：办公费</w:t>
      </w:r>
      <w:r>
        <w:rPr>
          <w:rFonts w:hint="eastAsia" w:ascii="仿宋" w:hAnsi="仿宋" w:eastAsia="仿宋"/>
          <w:sz w:val="32"/>
          <w:szCs w:val="32"/>
          <w:highlight w:val="none"/>
          <w:lang w:val="en-US" w:eastAsia="zh-CN"/>
        </w:rPr>
        <w:t>0.42万元</w:t>
      </w:r>
      <w:r>
        <w:rPr>
          <w:rFonts w:hint="eastAsia" w:ascii="仿宋" w:hAnsi="仿宋" w:eastAsia="仿宋"/>
          <w:sz w:val="32"/>
          <w:szCs w:val="32"/>
          <w:highlight w:val="none"/>
        </w:rPr>
        <w:t>、水费</w:t>
      </w:r>
      <w:r>
        <w:rPr>
          <w:rFonts w:hint="eastAsia" w:ascii="仿宋" w:hAnsi="仿宋" w:eastAsia="仿宋"/>
          <w:sz w:val="32"/>
          <w:szCs w:val="32"/>
          <w:highlight w:val="none"/>
          <w:lang w:val="en-US" w:eastAsia="zh-CN"/>
        </w:rPr>
        <w:t>0.35万元</w:t>
      </w:r>
      <w:r>
        <w:rPr>
          <w:rFonts w:hint="eastAsia" w:ascii="仿宋" w:hAnsi="仿宋" w:eastAsia="仿宋"/>
          <w:sz w:val="32"/>
          <w:szCs w:val="32"/>
          <w:highlight w:val="none"/>
        </w:rPr>
        <w:t>、差旅费</w:t>
      </w:r>
      <w:r>
        <w:rPr>
          <w:rFonts w:hint="eastAsia" w:ascii="仿宋" w:hAnsi="仿宋" w:eastAsia="仿宋"/>
          <w:sz w:val="32"/>
          <w:szCs w:val="32"/>
          <w:highlight w:val="none"/>
          <w:lang w:val="en-US" w:eastAsia="zh-CN"/>
        </w:rPr>
        <w:t>4.51万元</w:t>
      </w:r>
      <w:r>
        <w:rPr>
          <w:rFonts w:hint="eastAsia" w:ascii="仿宋" w:hAnsi="仿宋" w:eastAsia="仿宋"/>
          <w:sz w:val="32"/>
          <w:szCs w:val="32"/>
          <w:highlight w:val="none"/>
        </w:rPr>
        <w:t>、维修（护）费</w:t>
      </w:r>
      <w:r>
        <w:rPr>
          <w:rFonts w:hint="eastAsia" w:ascii="仿宋" w:hAnsi="仿宋" w:eastAsia="仿宋"/>
          <w:sz w:val="32"/>
          <w:szCs w:val="32"/>
          <w:highlight w:val="none"/>
          <w:lang w:val="en-US" w:eastAsia="zh-CN"/>
        </w:rPr>
        <w:t>47.55万元</w:t>
      </w:r>
      <w:r>
        <w:rPr>
          <w:rFonts w:hint="eastAsia" w:ascii="仿宋" w:hAnsi="仿宋" w:eastAsia="仿宋"/>
          <w:sz w:val="32"/>
          <w:szCs w:val="32"/>
          <w:highlight w:val="none"/>
        </w:rPr>
        <w:t>、会议费</w:t>
      </w:r>
      <w:r>
        <w:rPr>
          <w:rFonts w:hint="eastAsia" w:ascii="仿宋" w:hAnsi="仿宋" w:eastAsia="仿宋"/>
          <w:sz w:val="32"/>
          <w:szCs w:val="32"/>
          <w:highlight w:val="none"/>
          <w:lang w:val="en-US" w:eastAsia="zh-CN"/>
        </w:rPr>
        <w:t>3.59万元</w:t>
      </w:r>
      <w:r>
        <w:rPr>
          <w:rFonts w:hint="eastAsia" w:ascii="仿宋" w:hAnsi="仿宋" w:eastAsia="仿宋"/>
          <w:sz w:val="32"/>
          <w:szCs w:val="32"/>
          <w:highlight w:val="none"/>
        </w:rPr>
        <w:t>、劳务费</w:t>
      </w:r>
      <w:r>
        <w:rPr>
          <w:rFonts w:hint="eastAsia" w:ascii="仿宋" w:hAnsi="仿宋" w:eastAsia="仿宋"/>
          <w:sz w:val="32"/>
          <w:szCs w:val="32"/>
          <w:highlight w:val="none"/>
          <w:lang w:val="en-US" w:eastAsia="zh-CN"/>
        </w:rPr>
        <w:t>0.14万元</w:t>
      </w:r>
      <w:r>
        <w:rPr>
          <w:rFonts w:hint="eastAsia" w:ascii="仿宋" w:hAnsi="仿宋" w:eastAsia="仿宋"/>
          <w:sz w:val="32"/>
          <w:szCs w:val="32"/>
          <w:highlight w:val="none"/>
        </w:rPr>
        <w:t>、工会经费</w:t>
      </w:r>
      <w:r>
        <w:rPr>
          <w:rFonts w:hint="eastAsia" w:ascii="仿宋" w:hAnsi="仿宋" w:eastAsia="仿宋"/>
          <w:sz w:val="32"/>
          <w:szCs w:val="32"/>
          <w:highlight w:val="none"/>
          <w:lang w:val="en-US" w:eastAsia="zh-CN"/>
        </w:rPr>
        <w:t>7.71万元</w:t>
      </w:r>
      <w:r>
        <w:rPr>
          <w:rFonts w:hint="eastAsia" w:ascii="仿宋" w:hAnsi="仿宋" w:eastAsia="仿宋"/>
          <w:sz w:val="32"/>
          <w:szCs w:val="32"/>
          <w:highlight w:val="none"/>
        </w:rPr>
        <w:t>、福利费</w:t>
      </w:r>
      <w:r>
        <w:rPr>
          <w:rFonts w:hint="eastAsia" w:ascii="仿宋" w:hAnsi="仿宋" w:eastAsia="仿宋"/>
          <w:sz w:val="32"/>
          <w:szCs w:val="32"/>
          <w:highlight w:val="none"/>
          <w:lang w:val="en-US" w:eastAsia="zh-CN"/>
        </w:rPr>
        <w:t>6.39万元</w:t>
      </w:r>
      <w:r>
        <w:rPr>
          <w:rFonts w:hint="eastAsia" w:ascii="仿宋" w:hAnsi="仿宋" w:eastAsia="仿宋"/>
          <w:sz w:val="32"/>
          <w:szCs w:val="32"/>
          <w:highlight w:val="none"/>
        </w:rPr>
        <w:t>、其他商品和服务支出</w:t>
      </w:r>
      <w:r>
        <w:rPr>
          <w:rFonts w:hint="eastAsia" w:ascii="仿宋" w:hAnsi="仿宋" w:eastAsia="仿宋"/>
          <w:sz w:val="32"/>
          <w:szCs w:val="32"/>
          <w:highlight w:val="none"/>
          <w:lang w:val="en-US" w:eastAsia="zh-CN"/>
        </w:rPr>
        <w:t>13.19万元</w:t>
      </w:r>
      <w:r>
        <w:rPr>
          <w:rFonts w:hint="eastAsia" w:ascii="仿宋" w:hAnsi="仿宋" w:eastAsia="仿宋"/>
          <w:sz w:val="32"/>
          <w:szCs w:val="32"/>
          <w:highlight w:val="none"/>
        </w:rPr>
        <w:t>等。</w:t>
      </w:r>
    </w:p>
    <w:p w14:paraId="22D3E3F2">
      <w:pPr>
        <w:spacing w:line="600" w:lineRule="exact"/>
        <w:ind w:firstLine="640"/>
        <w:outlineLvl w:val="1"/>
        <w:rPr>
          <w:rStyle w:val="28"/>
          <w:rFonts w:ascii="黑体" w:hAnsi="黑体" w:eastAsia="黑体"/>
          <w:b w:val="0"/>
          <w:highlight w:val="none"/>
        </w:rPr>
      </w:pPr>
      <w:bookmarkStart w:id="38" w:name="_Toc15396609"/>
      <w:bookmarkStart w:id="39" w:name="_Toc15377215"/>
      <w:r>
        <w:rPr>
          <w:rFonts w:hint="eastAsia" w:ascii="黑体" w:eastAsia="黑体"/>
          <w:sz w:val="32"/>
          <w:szCs w:val="32"/>
          <w:highlight w:val="none"/>
        </w:rPr>
        <w:t>七、</w:t>
      </w:r>
      <w:r>
        <w:rPr>
          <w:rStyle w:val="28"/>
          <w:rFonts w:hint="eastAsia" w:ascii="黑体" w:hAnsi="黑体" w:eastAsia="黑体"/>
          <w:b w:val="0"/>
          <w:highlight w:val="none"/>
        </w:rPr>
        <w:t>财政拨款</w:t>
      </w:r>
      <w:r>
        <w:rPr>
          <w:rStyle w:val="28"/>
          <w:rFonts w:hint="eastAsia" w:ascii="黑体" w:hAnsi="黑体" w:eastAsia="黑体"/>
          <w:highlight w:val="none"/>
        </w:rPr>
        <w:t>“</w:t>
      </w:r>
      <w:r>
        <w:rPr>
          <w:rStyle w:val="28"/>
          <w:rFonts w:hint="eastAsia" w:ascii="黑体" w:hAnsi="黑体" w:eastAsia="黑体"/>
          <w:b w:val="0"/>
          <w:highlight w:val="none"/>
        </w:rPr>
        <w:t>三公”经费支出决算情况说明</w:t>
      </w:r>
      <w:bookmarkEnd w:id="38"/>
      <w:bookmarkEnd w:id="39"/>
    </w:p>
    <w:p w14:paraId="350B5C65">
      <w:pPr>
        <w:spacing w:line="600" w:lineRule="exact"/>
        <w:ind w:firstLine="640"/>
        <w:outlineLvl w:val="2"/>
        <w:rPr>
          <w:rFonts w:ascii="仿宋" w:hAnsi="仿宋" w:eastAsia="仿宋"/>
          <w:b/>
          <w:sz w:val="32"/>
          <w:szCs w:val="32"/>
          <w:highlight w:val="none"/>
        </w:rPr>
      </w:pPr>
      <w:bookmarkStart w:id="40" w:name="_Toc15377216"/>
      <w:r>
        <w:rPr>
          <w:rFonts w:hint="eastAsia" w:ascii="仿宋" w:hAnsi="仿宋" w:eastAsia="仿宋"/>
          <w:b/>
          <w:sz w:val="32"/>
          <w:szCs w:val="32"/>
          <w:highlight w:val="none"/>
        </w:rPr>
        <w:t>（一）“三公”经费财政拨款支出决算总体情况说明</w:t>
      </w:r>
      <w:bookmarkEnd w:id="40"/>
    </w:p>
    <w:p w14:paraId="39AC13E7">
      <w:pPr>
        <w:spacing w:line="600" w:lineRule="exact"/>
        <w:ind w:firstLine="640"/>
        <w:rPr>
          <w:rFonts w:hint="eastAsia" w:ascii="仿宋" w:hAnsi="仿宋" w:eastAsia="仿宋"/>
          <w:b/>
          <w:sz w:val="32"/>
          <w:szCs w:val="32"/>
          <w:highlight w:val="none"/>
          <w:lang w:val="en-US" w:eastAsia="zh-CN"/>
        </w:rPr>
      </w:pPr>
      <w:r>
        <w:rPr>
          <w:rFonts w:hint="eastAsia" w:ascii="仿宋" w:hAnsi="仿宋" w:eastAsia="仿宋"/>
          <w:sz w:val="32"/>
          <w:szCs w:val="32"/>
          <w:highlight w:val="none"/>
        </w:rPr>
        <w:t>2023年度“三公”经费财政拨款支出决算为</w:t>
      </w:r>
      <w:r>
        <w:rPr>
          <w:rFonts w:hint="eastAsia" w:ascii="仿宋" w:hAnsi="仿宋" w:eastAsia="仿宋"/>
          <w:b/>
          <w:sz w:val="32"/>
          <w:szCs w:val="32"/>
          <w:highlight w:val="none"/>
          <w:lang w:val="en-US" w:eastAsia="zh-CN"/>
        </w:rPr>
        <w:t>0</w:t>
      </w:r>
      <w:r>
        <w:rPr>
          <w:rFonts w:hint="eastAsia" w:ascii="仿宋" w:hAnsi="仿宋" w:eastAsia="仿宋"/>
          <w:sz w:val="32"/>
          <w:szCs w:val="32"/>
          <w:highlight w:val="none"/>
        </w:rPr>
        <w:t>万元，完成预算</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w:t>
      </w:r>
    </w:p>
    <w:p w14:paraId="299DA041">
      <w:pPr>
        <w:spacing w:line="600" w:lineRule="exact"/>
        <w:ind w:firstLine="640"/>
        <w:outlineLvl w:val="2"/>
        <w:rPr>
          <w:rFonts w:ascii="仿宋" w:hAnsi="仿宋" w:eastAsia="仿宋"/>
          <w:b/>
          <w:sz w:val="32"/>
          <w:szCs w:val="32"/>
          <w:highlight w:val="none"/>
        </w:rPr>
      </w:pPr>
      <w:bookmarkStart w:id="41" w:name="_Toc15377217"/>
      <w:r>
        <w:rPr>
          <w:rFonts w:hint="eastAsia" w:ascii="仿宋" w:hAnsi="仿宋" w:eastAsia="仿宋"/>
          <w:b/>
          <w:sz w:val="32"/>
          <w:szCs w:val="32"/>
          <w:highlight w:val="none"/>
        </w:rPr>
        <w:t>（二）“三公”经费财政拨款支出决算具体情况说明</w:t>
      </w:r>
      <w:bookmarkEnd w:id="41"/>
    </w:p>
    <w:p w14:paraId="0AC32A0A">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2023年度“三公”经费财政拨款支出决算中，因公出国（境）费支出决算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；公务用车购置及运行维护费支出决算</w:t>
      </w:r>
      <w:r>
        <w:rPr>
          <w:rFonts w:ascii="仿宋" w:hAnsi="仿宋" w:eastAsia="仿宋"/>
          <w:b/>
          <w:sz w:val="32"/>
          <w:szCs w:val="32"/>
          <w:highlight w:val="none"/>
        </w:rPr>
        <w:t>0</w:t>
      </w:r>
      <w:r>
        <w:rPr>
          <w:rFonts w:hint="eastAsia" w:ascii="仿宋" w:hAnsi="仿宋" w:eastAsia="仿宋"/>
          <w:sz w:val="32"/>
          <w:szCs w:val="32"/>
          <w:highlight w:val="none"/>
        </w:rPr>
        <w:t>万元，占</w:t>
      </w:r>
      <w:r>
        <w:rPr>
          <w:rFonts w:ascii="仿宋" w:hAnsi="仿宋" w:eastAsia="仿宋"/>
          <w:b/>
          <w:sz w:val="32"/>
          <w:szCs w:val="32"/>
          <w:highlight w:val="none"/>
        </w:rPr>
        <w:t>0</w:t>
      </w:r>
      <w:r>
        <w:rPr>
          <w:rFonts w:ascii="仿宋" w:hAnsi="仿宋" w:eastAsia="仿宋"/>
          <w:sz w:val="32"/>
          <w:szCs w:val="32"/>
          <w:highlight w:val="none"/>
        </w:rPr>
        <w:t>%</w:t>
      </w:r>
      <w:r>
        <w:rPr>
          <w:rFonts w:hint="eastAsia" w:ascii="仿宋" w:hAnsi="仿宋" w:eastAsia="仿宋"/>
          <w:sz w:val="32"/>
          <w:szCs w:val="32"/>
          <w:highlight w:val="none"/>
        </w:rPr>
        <w:t>；公务接待费支出决算</w:t>
      </w:r>
      <w:r>
        <w:rPr>
          <w:rFonts w:hint="eastAsia" w:ascii="仿宋" w:hAnsi="仿宋" w:eastAsia="仿宋"/>
          <w:b/>
          <w:sz w:val="32"/>
          <w:szCs w:val="32"/>
          <w:highlight w:val="none"/>
          <w:lang w:val="en-US" w:eastAsia="zh-CN"/>
        </w:rPr>
        <w:t>0</w:t>
      </w:r>
      <w:r>
        <w:rPr>
          <w:rFonts w:hint="eastAsia" w:ascii="仿宋" w:hAnsi="仿宋" w:eastAsia="仿宋"/>
          <w:sz w:val="32"/>
          <w:szCs w:val="32"/>
          <w:highlight w:val="none"/>
        </w:rPr>
        <w:t>万元。</w:t>
      </w:r>
    </w:p>
    <w:p w14:paraId="4B6C64D0">
      <w:pPr>
        <w:spacing w:line="600" w:lineRule="exact"/>
        <w:ind w:firstLine="640"/>
        <w:rPr>
          <w:rFonts w:ascii="仿宋_GB2312" w:eastAsia="仿宋_GB2312"/>
          <w:sz w:val="32"/>
          <w:szCs w:val="32"/>
          <w:highlight w:val="none"/>
        </w:rPr>
      </w:pPr>
      <w:bookmarkStart w:id="42" w:name="_Toc15396610"/>
      <w:bookmarkStart w:id="43" w:name="_Toc15377218"/>
      <w:r>
        <w:rPr>
          <w:rFonts w:ascii="仿宋_GB2312" w:eastAsia="仿宋_GB2312"/>
          <w:b/>
          <w:sz w:val="32"/>
          <w:szCs w:val="32"/>
          <w:highlight w:val="none"/>
        </w:rPr>
        <w:t>1.</w:t>
      </w:r>
      <w:r>
        <w:rPr>
          <w:rFonts w:hint="eastAsia" w:ascii="仿宋_GB2312" w:eastAsia="仿宋_GB2312"/>
          <w:b/>
          <w:sz w:val="32"/>
          <w:szCs w:val="32"/>
          <w:highlight w:val="none"/>
        </w:rPr>
        <w:t>因公出国（境）经费支出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全年安排因公出国（境）团组</w:t>
      </w:r>
      <w:r>
        <w:rPr>
          <w:rFonts w:ascii="仿宋_GB2312" w:eastAsia="仿宋_GB2312"/>
          <w:b/>
          <w:sz w:val="32"/>
          <w:szCs w:val="32"/>
          <w:highlight w:val="none"/>
        </w:rPr>
        <w:t>0</w:t>
      </w:r>
      <w:r>
        <w:rPr>
          <w:rFonts w:hint="eastAsia" w:ascii="仿宋_GB2312" w:eastAsia="仿宋_GB2312"/>
          <w:sz w:val="32"/>
          <w:szCs w:val="32"/>
          <w:highlight w:val="none"/>
        </w:rPr>
        <w:t>次，出国（境）</w:t>
      </w:r>
      <w:r>
        <w:rPr>
          <w:rFonts w:ascii="仿宋_GB2312" w:eastAsia="仿宋_GB2312"/>
          <w:b/>
          <w:sz w:val="32"/>
          <w:szCs w:val="32"/>
          <w:highlight w:val="none"/>
        </w:rPr>
        <w:t>0</w:t>
      </w:r>
      <w:r>
        <w:rPr>
          <w:rFonts w:hint="eastAsia" w:ascii="仿宋_GB2312" w:eastAsia="仿宋_GB2312"/>
          <w:sz w:val="32"/>
          <w:szCs w:val="32"/>
          <w:highlight w:val="none"/>
        </w:rPr>
        <w:t>人。</w:t>
      </w:r>
    </w:p>
    <w:p w14:paraId="7FAD52B4">
      <w:pPr>
        <w:spacing w:line="600" w:lineRule="exact"/>
        <w:ind w:firstLine="640"/>
        <w:rPr>
          <w:rFonts w:ascii="仿宋_GB2312" w:eastAsia="仿宋_GB2312"/>
          <w:b/>
          <w:sz w:val="32"/>
          <w:szCs w:val="32"/>
          <w:highlight w:val="none"/>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Cs/>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130A37E9">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470EF1D5">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75CA87A0">
      <w:pPr>
        <w:numPr>
          <w:ilvl w:val="0"/>
          <w:numId w:val="0"/>
        </w:numPr>
        <w:spacing w:line="600" w:lineRule="exact"/>
        <w:ind w:leftChars="200" w:firstLine="321" w:firstLineChars="100"/>
        <w:rPr>
          <w:rStyle w:val="16"/>
          <w:rFonts w:hint="eastAsia" w:ascii="仿宋" w:hAnsi="仿宋" w:eastAsia="仿宋"/>
          <w:b w:val="0"/>
          <w:bCs/>
          <w:sz w:val="32"/>
          <w:szCs w:val="32"/>
          <w:highlight w:val="none"/>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公务接待费支出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Style w:val="16"/>
          <w:rFonts w:ascii="仿宋" w:hAnsi="仿宋" w:eastAsia="仿宋"/>
          <w:b w:val="0"/>
          <w:bCs/>
          <w:sz w:val="32"/>
          <w:szCs w:val="32"/>
          <w:highlight w:val="none"/>
        </w:rPr>
        <w:t>0%</w:t>
      </w:r>
      <w:r>
        <w:rPr>
          <w:rStyle w:val="16"/>
          <w:rFonts w:hint="eastAsia" w:ascii="仿宋" w:hAnsi="仿宋" w:eastAsia="仿宋"/>
          <w:b w:val="0"/>
          <w:bCs/>
          <w:sz w:val="32"/>
          <w:szCs w:val="32"/>
          <w:highlight w:val="none"/>
        </w:rPr>
        <w:t>。</w:t>
      </w:r>
    </w:p>
    <w:p w14:paraId="1948B679">
      <w:pPr>
        <w:numPr>
          <w:ilvl w:val="0"/>
          <w:numId w:val="0"/>
        </w:numPr>
        <w:spacing w:line="600" w:lineRule="exact"/>
        <w:ind w:leftChars="200" w:firstLine="321" w:firstLineChars="100"/>
        <w:rPr>
          <w:rFonts w:ascii="仿宋_GB2312" w:eastAsia="仿宋_GB2312"/>
          <w:sz w:val="32"/>
          <w:szCs w:val="32"/>
          <w:highlight w:val="none"/>
        </w:rPr>
      </w:pPr>
      <w:r>
        <w:rPr>
          <w:rFonts w:hint="eastAsia" w:ascii="仿宋" w:hAnsi="仿宋" w:eastAsia="仿宋"/>
          <w:b/>
          <w:sz w:val="32"/>
          <w:szCs w:val="32"/>
          <w:highlight w:val="none"/>
          <w:lang w:val="en-US" w:eastAsia="zh-CN"/>
        </w:rPr>
        <w:t>4.</w:t>
      </w: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w:t>
      </w:r>
    </w:p>
    <w:p w14:paraId="13FB0441">
      <w:pPr>
        <w:spacing w:line="600" w:lineRule="exact"/>
        <w:ind w:firstLine="643" w:firstLineChars="200"/>
        <w:rPr>
          <w:rFonts w:ascii="黑体" w:eastAsia="黑体"/>
          <w:sz w:val="32"/>
          <w:szCs w:val="32"/>
          <w:highlight w:val="none"/>
        </w:rPr>
      </w:pPr>
      <w:r>
        <w:rPr>
          <w:rFonts w:hint="eastAsia" w:ascii="仿宋" w:hAnsi="仿宋" w:eastAsia="仿宋"/>
          <w:b/>
          <w:sz w:val="32"/>
          <w:szCs w:val="32"/>
          <w:highlight w:val="none"/>
          <w:lang w:val="en-US" w:eastAsia="zh-CN"/>
        </w:rPr>
        <w:t>5.</w:t>
      </w:r>
      <w:r>
        <w:rPr>
          <w:rFonts w:hint="eastAsia" w:ascii="仿宋" w:hAnsi="仿宋" w:eastAsia="仿宋"/>
          <w:b/>
          <w:sz w:val="32"/>
          <w:szCs w:val="32"/>
          <w:highlight w:val="none"/>
        </w:rPr>
        <w:t>外事接待支出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5C041C47">
      <w:pPr>
        <w:spacing w:line="600" w:lineRule="exact"/>
        <w:ind w:firstLine="640"/>
        <w:outlineLvl w:val="1"/>
        <w:rPr>
          <w:rStyle w:val="28"/>
          <w:rFonts w:ascii="黑体" w:hAnsi="黑体" w:eastAsia="黑体"/>
          <w:highlight w:val="none"/>
        </w:rPr>
      </w:pPr>
      <w:r>
        <w:rPr>
          <w:rFonts w:hint="eastAsia" w:ascii="黑体" w:eastAsia="黑体"/>
          <w:sz w:val="32"/>
          <w:szCs w:val="32"/>
          <w:highlight w:val="none"/>
        </w:rPr>
        <w:t>八、</w:t>
      </w:r>
      <w:r>
        <w:rPr>
          <w:rStyle w:val="28"/>
          <w:rFonts w:hint="eastAsia" w:ascii="黑体" w:hAnsi="黑体" w:eastAsia="黑体"/>
          <w:b w:val="0"/>
          <w:highlight w:val="none"/>
        </w:rPr>
        <w:t>政府性基金预算支出决算情况说明</w:t>
      </w:r>
      <w:bookmarkEnd w:id="42"/>
      <w:bookmarkEnd w:id="43"/>
    </w:p>
    <w:p w14:paraId="77291E0F">
      <w:pPr>
        <w:spacing w:line="600" w:lineRule="exact"/>
        <w:ind w:firstLine="640"/>
        <w:rPr>
          <w:rFonts w:ascii="仿宋_GB2312" w:eastAsia="仿宋_GB2312"/>
          <w:sz w:val="32"/>
          <w:szCs w:val="32"/>
          <w:highlight w:val="none"/>
        </w:rPr>
      </w:pPr>
      <w:r>
        <w:rPr>
          <w:rFonts w:hint="eastAsia" w:ascii="仿宋_GB2312" w:eastAsia="仿宋_GB2312"/>
          <w:sz w:val="32"/>
          <w:szCs w:val="32"/>
          <w:highlight w:val="none"/>
        </w:rPr>
        <w:t>2023年度政府性基金预算财政拨款支出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54BD78E8">
      <w:pPr>
        <w:numPr>
          <w:ilvl w:val="0"/>
          <w:numId w:val="3"/>
        </w:numPr>
        <w:spacing w:line="600" w:lineRule="exact"/>
        <w:ind w:firstLine="640"/>
        <w:outlineLvl w:val="1"/>
        <w:rPr>
          <w:rStyle w:val="28"/>
          <w:rFonts w:ascii="黑体" w:hAnsi="黑体" w:eastAsia="黑体"/>
          <w:b w:val="0"/>
          <w:highlight w:val="none"/>
        </w:rPr>
      </w:pPr>
      <w:bookmarkStart w:id="44" w:name="_Toc15377219"/>
      <w:bookmarkStart w:id="45" w:name="_Toc15396611"/>
      <w:r>
        <w:rPr>
          <w:rStyle w:val="28"/>
          <w:rFonts w:hint="eastAsia" w:ascii="黑体" w:hAnsi="黑体" w:eastAsia="黑体"/>
          <w:b w:val="0"/>
          <w:highlight w:val="none"/>
        </w:rPr>
        <w:t>国有资本经营预算支出决算情况说明</w:t>
      </w:r>
      <w:bookmarkEnd w:id="44"/>
      <w:bookmarkEnd w:id="45"/>
    </w:p>
    <w:p w14:paraId="632C0206">
      <w:pPr>
        <w:spacing w:line="600" w:lineRule="exact"/>
        <w:ind w:firstLine="640"/>
        <w:rPr>
          <w:rFonts w:ascii="方正小标宋简体" w:hAnsi="方正小标宋简体" w:eastAsia="方正小标宋简体" w:cs="方正小标宋简体"/>
          <w:sz w:val="44"/>
          <w:szCs w:val="44"/>
          <w:highlight w:val="none"/>
        </w:rPr>
      </w:pPr>
      <w:r>
        <w:rPr>
          <w:rFonts w:hint="eastAsia" w:ascii="仿宋_GB2312" w:eastAsia="仿宋_GB2312"/>
          <w:sz w:val="32"/>
          <w:szCs w:val="32"/>
          <w:highlight w:val="none"/>
        </w:rPr>
        <w:t>2023年度国有资本经营预算财政拨款支出</w:t>
      </w:r>
      <w:r>
        <w:rPr>
          <w:rFonts w:ascii="仿宋" w:hAnsi="仿宋" w:eastAsia="仿宋"/>
          <w:b/>
          <w:sz w:val="32"/>
          <w:szCs w:val="32"/>
          <w:highlight w:val="none"/>
        </w:rPr>
        <w:t>0</w:t>
      </w:r>
      <w:r>
        <w:rPr>
          <w:rFonts w:hint="eastAsia" w:ascii="仿宋_GB2312" w:eastAsia="仿宋_GB2312"/>
          <w:sz w:val="32"/>
          <w:szCs w:val="32"/>
          <w:highlight w:val="none"/>
        </w:rPr>
        <w:t>万元。</w:t>
      </w:r>
    </w:p>
    <w:p w14:paraId="29D7475D">
      <w:pPr>
        <w:numPr>
          <w:ilvl w:val="0"/>
          <w:numId w:val="3"/>
        </w:numPr>
        <w:spacing w:line="600" w:lineRule="exact"/>
        <w:ind w:firstLine="640"/>
        <w:outlineLvl w:val="1"/>
        <w:rPr>
          <w:rStyle w:val="28"/>
          <w:rFonts w:ascii="黑体" w:hAnsi="黑体" w:eastAsia="黑体"/>
          <w:b w:val="0"/>
          <w:highlight w:val="none"/>
        </w:rPr>
      </w:pPr>
      <w:bookmarkStart w:id="46" w:name="_Toc15396612"/>
      <w:bookmarkStart w:id="47" w:name="_Toc15377221"/>
      <w:r>
        <w:rPr>
          <w:rStyle w:val="28"/>
          <w:rFonts w:hint="eastAsia" w:ascii="黑体" w:hAnsi="黑体" w:eastAsia="黑体"/>
          <w:b w:val="0"/>
          <w:highlight w:val="none"/>
        </w:rPr>
        <w:t>其他重要事项的情况说明</w:t>
      </w:r>
      <w:bookmarkEnd w:id="46"/>
      <w:bookmarkEnd w:id="47"/>
    </w:p>
    <w:p w14:paraId="55013CC2">
      <w:pPr>
        <w:spacing w:line="600" w:lineRule="exact"/>
        <w:ind w:firstLine="643" w:firstLineChars="200"/>
        <w:outlineLvl w:val="2"/>
        <w:rPr>
          <w:rFonts w:ascii="仿宋" w:hAnsi="仿宋" w:eastAsia="仿宋"/>
          <w:sz w:val="32"/>
          <w:szCs w:val="32"/>
          <w:highlight w:val="none"/>
        </w:rPr>
      </w:pPr>
      <w:bookmarkStart w:id="48" w:name="_Toc15377222"/>
      <w:r>
        <w:rPr>
          <w:rFonts w:hint="eastAsia" w:ascii="仿宋" w:hAnsi="仿宋" w:eastAsia="仿宋"/>
          <w:b/>
          <w:sz w:val="32"/>
          <w:szCs w:val="32"/>
          <w:highlight w:val="none"/>
        </w:rPr>
        <w:t>（一）机关运行经费支出情况</w:t>
      </w:r>
      <w:bookmarkEnd w:id="48"/>
    </w:p>
    <w:p w14:paraId="562BB11B">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highlight w:val="none"/>
        </w:rPr>
        <w:t>我单位为事业单位（学校），执行政府会计制度，无机关运行经费。</w:t>
      </w:r>
    </w:p>
    <w:p w14:paraId="41B0E403">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bookmarkStart w:id="49" w:name="_Toc15377223"/>
      <w:r>
        <w:rPr>
          <w:rFonts w:hint="eastAsia" w:ascii="仿宋" w:hAnsi="仿宋" w:eastAsia="仿宋"/>
          <w:b/>
          <w:sz w:val="32"/>
          <w:szCs w:val="32"/>
          <w:highlight w:val="none"/>
        </w:rPr>
        <w:t>（二）政府采购支出情况</w:t>
      </w:r>
      <w:bookmarkEnd w:id="49"/>
    </w:p>
    <w:p w14:paraId="0084D9F0">
      <w:pPr>
        <w:spacing w:line="600" w:lineRule="exact"/>
        <w:ind w:firstLine="640" w:firstLineChars="200"/>
        <w:rPr>
          <w:rFonts w:ascii="仿宋_GB2312" w:eastAsia="仿宋_GB2312"/>
          <w:color w:val="auto"/>
          <w:sz w:val="32"/>
          <w:szCs w:val="32"/>
          <w:highlight w:val="none"/>
        </w:rPr>
      </w:pPr>
      <w:bookmarkStart w:id="50" w:name="_Toc15377224"/>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大竹县观音镇第二中心小学</w:t>
      </w:r>
      <w:r>
        <w:rPr>
          <w:rFonts w:hint="eastAsia" w:ascii="仿宋_GB2312" w:eastAsia="仿宋_GB2312"/>
          <w:color w:val="auto"/>
          <w:sz w:val="32"/>
          <w:szCs w:val="32"/>
          <w:highlight w:val="none"/>
        </w:rPr>
        <w:t>政府采购支出总额</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w:t>
      </w:r>
    </w:p>
    <w:p w14:paraId="30E9FB7C">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（三）国有资产占有使用情况</w:t>
      </w:r>
      <w:bookmarkEnd w:id="50"/>
    </w:p>
    <w:p w14:paraId="3D3DF0E9">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大竹县观音镇第二中心小学</w:t>
      </w:r>
      <w:r>
        <w:rPr>
          <w:rFonts w:hint="eastAsia" w:ascii="仿宋_GB2312" w:eastAsia="仿宋_GB2312"/>
          <w:color w:val="auto"/>
          <w:sz w:val="32"/>
          <w:szCs w:val="32"/>
          <w:highlight w:val="none"/>
        </w:rPr>
        <w:t>共有车辆</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辆，其中：主要领导干部用车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辆、机要通信用车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辆、应急保障用车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辆、其他用车</w:t>
      </w:r>
      <w:r>
        <w:rPr>
          <w:rFonts w:ascii="仿宋_GB2312" w:eastAsia="仿宋_GB2312"/>
          <w:color w:val="auto"/>
          <w:sz w:val="32"/>
          <w:szCs w:val="32"/>
          <w:highlight w:val="none"/>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台（套）。</w:t>
      </w:r>
    </w:p>
    <w:p w14:paraId="649B3D52">
      <w:pPr>
        <w:autoSpaceDE w:val="0"/>
        <w:autoSpaceDN w:val="0"/>
        <w:adjustRightInd w:val="0"/>
        <w:spacing w:line="600" w:lineRule="exact"/>
        <w:ind w:firstLine="643" w:firstLineChars="200"/>
        <w:jc w:val="left"/>
        <w:outlineLvl w:val="2"/>
        <w:rPr>
          <w:rFonts w:ascii="仿宋" w:hAnsi="仿宋" w:eastAsia="仿宋"/>
          <w:b/>
          <w:sz w:val="32"/>
          <w:szCs w:val="32"/>
          <w:highlight w:val="none"/>
        </w:rPr>
      </w:pPr>
      <w:r>
        <w:rPr>
          <w:rFonts w:hint="eastAsia" w:ascii="仿宋" w:hAnsi="仿宋" w:eastAsia="仿宋"/>
          <w:b/>
          <w:sz w:val="32"/>
          <w:szCs w:val="32"/>
          <w:highlight w:val="none"/>
        </w:rPr>
        <w:t>（四）预算绩效管理情况</w:t>
      </w:r>
    </w:p>
    <w:p w14:paraId="1DE4F206">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根据预算绩效管理要求，本单位在2022年度预算编制阶段，组织对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个项目开展绩效监控，组织对</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项目开展绩效自评，绩效自评表详见第四部分附件。</w:t>
      </w:r>
    </w:p>
    <w:p w14:paraId="24FFD34A">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br w:type="page"/>
      </w:r>
    </w:p>
    <w:p w14:paraId="0101C4D4">
      <w:pPr>
        <w:numPr>
          <w:ilvl w:val="0"/>
          <w:numId w:val="4"/>
        </w:numPr>
        <w:spacing w:line="600" w:lineRule="exact"/>
        <w:ind w:firstLine="660" w:firstLineChars="150"/>
        <w:jc w:val="center"/>
        <w:outlineLvl w:val="0"/>
        <w:rPr>
          <w:rStyle w:val="27"/>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7"/>
          <w:rFonts w:hint="eastAsia" w:ascii="黑体" w:hAnsi="黑体" w:eastAsia="黑体"/>
          <w:b w:val="0"/>
        </w:rPr>
        <w:t>词解释</w:t>
      </w:r>
      <w:bookmarkEnd w:id="51"/>
      <w:bookmarkEnd w:id="52"/>
    </w:p>
    <w:p w14:paraId="16F35369">
      <w:pPr>
        <w:spacing w:line="600" w:lineRule="exact"/>
        <w:jc w:val="left"/>
        <w:rPr>
          <w:rFonts w:ascii="宋体"/>
          <w:b/>
          <w:sz w:val="44"/>
          <w:szCs w:val="44"/>
        </w:rPr>
      </w:pPr>
    </w:p>
    <w:p w14:paraId="53A00D9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2A9A052">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63F9177C">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5B3D533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0BC00603">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5F83DF4E">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AAF54F0">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36B065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7AD781C1">
      <w:pPr>
        <w:ind w:firstLine="640" w:firstLineChars="200"/>
        <w:rPr>
          <w:highlight w:val="none"/>
        </w:rPr>
      </w:pPr>
      <w:r>
        <w:rPr>
          <w:rFonts w:hint="eastAsia" w:ascii="仿宋_GB2312" w:eastAsia="仿宋_GB2312"/>
          <w:sz w:val="32"/>
          <w:szCs w:val="32"/>
          <w:highlight w:val="none"/>
          <w:lang w:val="en-US" w:eastAsia="zh-CN"/>
        </w:rPr>
        <w:t>9.</w:t>
      </w:r>
      <w:r>
        <w:rPr>
          <w:rFonts w:hint="eastAsia" w:ascii="仿宋_GB2312" w:hAnsi="Calibri" w:eastAsia="仿宋_GB2312" w:cs="仿宋"/>
          <w:color w:val="auto"/>
          <w:kern w:val="0"/>
          <w:sz w:val="32"/>
          <w:szCs w:val="32"/>
          <w:highlight w:val="none"/>
        </w:rPr>
        <w:t>教育（205）基础教育（02）</w:t>
      </w:r>
      <w:r>
        <w:rPr>
          <w:rFonts w:hint="eastAsia" w:ascii="仿宋_GB2312" w:hAnsi="Calibri" w:eastAsia="仿宋_GB2312" w:cs="仿宋"/>
          <w:color w:val="auto"/>
          <w:kern w:val="0"/>
          <w:sz w:val="32"/>
          <w:szCs w:val="32"/>
          <w:highlight w:val="none"/>
          <w:lang w:val="en-US" w:eastAsia="zh-CN"/>
        </w:rPr>
        <w:t>学前</w:t>
      </w:r>
      <w:r>
        <w:rPr>
          <w:rFonts w:hint="eastAsia" w:ascii="仿宋_GB2312" w:hAnsi="Calibri" w:eastAsia="仿宋_GB2312" w:cs="仿宋"/>
          <w:color w:val="auto"/>
          <w:kern w:val="0"/>
          <w:sz w:val="32"/>
          <w:szCs w:val="32"/>
          <w:highlight w:val="none"/>
        </w:rPr>
        <w:t>教育（0</w:t>
      </w:r>
      <w:r>
        <w:rPr>
          <w:rFonts w:hint="eastAsia" w:ascii="仿宋_GB2312" w:hAnsi="Calibri" w:eastAsia="仿宋_GB2312" w:cs="仿宋"/>
          <w:color w:val="auto"/>
          <w:kern w:val="0"/>
          <w:sz w:val="32"/>
          <w:szCs w:val="32"/>
          <w:highlight w:val="none"/>
          <w:lang w:val="en-US" w:eastAsia="zh-CN"/>
        </w:rPr>
        <w:t>1</w:t>
      </w:r>
      <w:r>
        <w:rPr>
          <w:rFonts w:hint="eastAsia" w:ascii="仿宋_GB2312" w:hAnsi="Calibri" w:eastAsia="仿宋_GB2312" w:cs="仿宋"/>
          <w:color w:val="auto"/>
          <w:kern w:val="0"/>
          <w:sz w:val="32"/>
          <w:szCs w:val="32"/>
          <w:highlight w:val="none"/>
        </w:rPr>
        <w:t>）：</w:t>
      </w:r>
      <w:r>
        <w:rPr>
          <w:rFonts w:hint="eastAsia" w:ascii="仿宋_GB2312" w:hAnsi="Calibri" w:eastAsia="仿宋_GB2312" w:cs="仿宋"/>
          <w:color w:val="auto"/>
          <w:kern w:val="0"/>
          <w:sz w:val="32"/>
          <w:szCs w:val="32"/>
          <w:highlight w:val="none"/>
          <w:lang w:val="en-US" w:eastAsia="zh-CN"/>
        </w:rPr>
        <w:t>反映各部门举办的学前教育支出</w:t>
      </w:r>
      <w:r>
        <w:rPr>
          <w:rFonts w:hint="eastAsia" w:ascii="仿宋_GB2312" w:hAnsi="Calibri" w:eastAsia="仿宋_GB2312" w:cs="仿宋"/>
          <w:color w:val="auto"/>
          <w:kern w:val="0"/>
          <w:sz w:val="32"/>
          <w:szCs w:val="32"/>
          <w:highlight w:val="none"/>
        </w:rPr>
        <w:t>。</w:t>
      </w:r>
      <w:r>
        <w:rPr>
          <w:rFonts w:hint="eastAsia" w:ascii="仿宋_GB2312" w:hAnsi="Calibri" w:eastAsia="仿宋_GB2312" w:cs="仿宋"/>
          <w:color w:val="auto"/>
          <w:kern w:val="0"/>
          <w:sz w:val="32"/>
          <w:szCs w:val="32"/>
          <w:highlight w:val="none"/>
          <w:lang w:val="en-US" w:eastAsia="zh-CN"/>
        </w:rPr>
        <w:t>政府各部门对社会组织等举办的幼儿园的资助，如捐赠、补贴等，也在本科目中反映。</w:t>
      </w:r>
    </w:p>
    <w:p w14:paraId="735D07F3">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eastAsia="仿宋_GB2312"/>
          <w:sz w:val="32"/>
          <w:szCs w:val="32"/>
          <w:highlight w:val="none"/>
          <w:lang w:val="en-US" w:eastAsia="zh-CN"/>
        </w:rPr>
        <w:t>10.</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19000031">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xml:space="preserve">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1579FB76">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1129E70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7DF61E5C">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395A1F3C">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78CB17B7">
      <w:pPr>
        <w:ind w:firstLine="640" w:firstLineChars="200"/>
        <w:rPr>
          <w:rFonts w:ascii="仿宋_GB2312" w:eastAsia="仿宋_GB2312"/>
          <w:sz w:val="32"/>
          <w:szCs w:val="32"/>
          <w:highlight w:val="yellow"/>
        </w:rPr>
      </w:pPr>
      <w:r>
        <w:rPr>
          <w:rFonts w:hint="eastAsia" w:ascii="仿宋_GB2312" w:hAnsi="Calibri" w:eastAsia="仿宋_GB2312" w:cs="仿宋"/>
          <w:color w:val="auto"/>
          <w:kern w:val="0"/>
          <w:sz w:val="32"/>
          <w:szCs w:val="32"/>
          <w:lang w:val="en-US" w:eastAsia="zh-CN"/>
        </w:rPr>
        <w:t>16</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750C164E">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AC65372">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9DBC856">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ED83E9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w:t>
      </w:r>
      <w:r>
        <w:rPr>
          <w:rFonts w:hint="eastAsia" w:ascii="仿宋_GB2312" w:eastAsia="仿宋_GB2312"/>
          <w:color w:val="auto"/>
          <w:sz w:val="32"/>
          <w:szCs w:val="32"/>
          <w:lang w:val="en-US" w:eastAsia="zh-CN"/>
        </w:rPr>
        <w:t>单位按照相关</w:t>
      </w:r>
      <w:r>
        <w:rPr>
          <w:rFonts w:hint="eastAsia" w:ascii="仿宋_GB2312" w:eastAsia="仿宋_GB2312"/>
          <w:color w:val="auto"/>
          <w:sz w:val="32"/>
          <w:szCs w:val="32"/>
          <w:lang w:eastAsia="zh-CN"/>
        </w:rPr>
        <w:t>规定</w:t>
      </w:r>
      <w:r>
        <w:rPr>
          <w:rFonts w:hint="eastAsia" w:ascii="仿宋_GB2312" w:eastAsia="仿宋_GB2312"/>
          <w:color w:val="auto"/>
          <w:sz w:val="32"/>
          <w:szCs w:val="32"/>
        </w:rPr>
        <w:t>开支的各类公务接待（含外宾接待）支出。</w:t>
      </w:r>
    </w:p>
    <w:p w14:paraId="17257443">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C11B7C">
      <w:pPr>
        <w:rPr>
          <w:rFonts w:ascii="仿宋" w:hAnsi="仿宋" w:eastAsia="仿宋"/>
          <w:b/>
          <w:sz w:val="32"/>
          <w:szCs w:val="32"/>
        </w:rPr>
      </w:pPr>
    </w:p>
    <w:p w14:paraId="3B400B34">
      <w:pPr>
        <w:spacing w:line="600" w:lineRule="exact"/>
        <w:jc w:val="center"/>
        <w:outlineLvl w:val="0"/>
        <w:rPr>
          <w:rStyle w:val="27"/>
          <w:rFonts w:ascii="黑体" w:hAnsi="黑体" w:eastAsia="黑体"/>
          <w:b w:val="0"/>
        </w:rPr>
      </w:pPr>
      <w:bookmarkStart w:id="53" w:name="_Toc15377226"/>
      <w:r>
        <w:rPr>
          <w:rFonts w:ascii="宋体"/>
          <w:b/>
          <w:sz w:val="44"/>
          <w:szCs w:val="44"/>
        </w:rPr>
        <w:br w:type="page"/>
      </w:r>
      <w:bookmarkStart w:id="54" w:name="_Toc15396614"/>
      <w:r>
        <w:rPr>
          <w:rFonts w:hint="eastAsia" w:ascii="黑体" w:hAnsi="黑体" w:eastAsia="黑体"/>
          <w:sz w:val="44"/>
          <w:szCs w:val="44"/>
        </w:rPr>
        <w:t>第</w:t>
      </w:r>
      <w:r>
        <w:rPr>
          <w:rStyle w:val="27"/>
          <w:rFonts w:hint="eastAsia" w:ascii="黑体" w:hAnsi="黑体" w:eastAsia="黑体"/>
          <w:b w:val="0"/>
        </w:rPr>
        <w:t>四部分 附件</w:t>
      </w:r>
      <w:bookmarkEnd w:id="54"/>
    </w:p>
    <w:p w14:paraId="511CF197">
      <w:pPr>
        <w:spacing w:line="572" w:lineRule="exact"/>
        <w:jc w:val="left"/>
        <w:outlineLvl w:val="0"/>
        <w:rPr>
          <w:rFonts w:ascii="仿宋_GB2312" w:hAnsi="仿宋_GB2312" w:eastAsia="仿宋_GB2312" w:cs="仿宋_GB2312"/>
          <w:sz w:val="32"/>
          <w:szCs w:val="32"/>
        </w:rPr>
      </w:pPr>
    </w:p>
    <w:tbl>
      <w:tblPr>
        <w:tblStyle w:val="14"/>
        <w:tblW w:w="77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11"/>
        <w:gridCol w:w="811"/>
        <w:gridCol w:w="983"/>
        <w:gridCol w:w="396"/>
        <w:gridCol w:w="717"/>
        <w:gridCol w:w="396"/>
        <w:gridCol w:w="666"/>
        <w:gridCol w:w="486"/>
        <w:gridCol w:w="396"/>
        <w:gridCol w:w="1399"/>
      </w:tblGrid>
      <w:tr w14:paraId="1D0F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09" w:type="dxa"/>
            <w:gridSpan w:val="4"/>
            <w:tcBorders>
              <w:top w:val="nil"/>
              <w:left w:val="nil"/>
              <w:bottom w:val="nil"/>
              <w:right w:val="nil"/>
            </w:tcBorders>
            <w:shd w:val="clear" w:color="auto" w:fill="auto"/>
            <w:vAlign w:val="center"/>
          </w:tcPr>
          <w:p w14:paraId="6E649104">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5" w:name="_Toc15396618"/>
            <w:r>
              <w:rPr>
                <w:rFonts w:ascii="宋体" w:hAnsi="宋体" w:eastAsia="宋体" w:cs="宋体"/>
                <w:i w:val="0"/>
                <w:iCs w:val="0"/>
                <w:color w:val="C0C0C0"/>
                <w:kern w:val="0"/>
                <w:sz w:val="20"/>
                <w:szCs w:val="20"/>
                <w:u w:val="none"/>
                <w:lang w:val="en-US" w:eastAsia="zh-CN" w:bidi="ar"/>
              </w:rPr>
              <w:t>报表编号：510000_0013zp</w:t>
            </w:r>
          </w:p>
        </w:tc>
        <w:tc>
          <w:tcPr>
            <w:tcW w:w="334" w:type="dxa"/>
            <w:tcBorders>
              <w:top w:val="nil"/>
              <w:left w:val="nil"/>
              <w:bottom w:val="nil"/>
              <w:right w:val="nil"/>
            </w:tcBorders>
            <w:shd w:val="clear" w:color="auto" w:fill="auto"/>
            <w:noWrap/>
            <w:vAlign w:val="center"/>
          </w:tcPr>
          <w:p w14:paraId="31B4F363">
            <w:pPr>
              <w:rPr>
                <w:rFonts w:hint="eastAsia" w:ascii="宋体" w:hAnsi="宋体" w:eastAsia="宋体" w:cs="宋体"/>
                <w:i w:val="0"/>
                <w:iCs w:val="0"/>
                <w:color w:val="000000"/>
                <w:sz w:val="22"/>
                <w:szCs w:val="22"/>
                <w:u w:val="none"/>
              </w:rPr>
            </w:pPr>
          </w:p>
        </w:tc>
        <w:tc>
          <w:tcPr>
            <w:tcW w:w="1751" w:type="dxa"/>
            <w:gridSpan w:val="3"/>
            <w:tcBorders>
              <w:top w:val="nil"/>
              <w:left w:val="nil"/>
              <w:bottom w:val="nil"/>
              <w:right w:val="nil"/>
            </w:tcBorders>
            <w:shd w:val="clear" w:color="auto" w:fill="auto"/>
            <w:vAlign w:val="center"/>
          </w:tcPr>
          <w:p w14:paraId="15333327">
            <w:pPr>
              <w:rPr>
                <w:rFonts w:hint="eastAsia" w:ascii="宋体" w:hAnsi="宋体" w:eastAsia="宋体" w:cs="宋体"/>
                <w:i w:val="0"/>
                <w:iCs w:val="0"/>
                <w:color w:val="000000"/>
                <w:sz w:val="20"/>
                <w:szCs w:val="20"/>
                <w:u w:val="none"/>
              </w:rPr>
            </w:pPr>
          </w:p>
        </w:tc>
        <w:tc>
          <w:tcPr>
            <w:tcW w:w="410" w:type="dxa"/>
            <w:tcBorders>
              <w:top w:val="nil"/>
              <w:left w:val="nil"/>
              <w:bottom w:val="nil"/>
              <w:right w:val="nil"/>
            </w:tcBorders>
            <w:shd w:val="clear" w:color="auto" w:fill="auto"/>
            <w:noWrap/>
            <w:vAlign w:val="center"/>
          </w:tcPr>
          <w:p w14:paraId="664340C1">
            <w:pPr>
              <w:rPr>
                <w:rFonts w:hint="eastAsia" w:ascii="宋体" w:hAnsi="宋体" w:eastAsia="宋体" w:cs="宋体"/>
                <w:i w:val="0"/>
                <w:iCs w:val="0"/>
                <w:color w:val="000000"/>
                <w:sz w:val="22"/>
                <w:szCs w:val="22"/>
                <w:u w:val="none"/>
              </w:rPr>
            </w:pPr>
          </w:p>
        </w:tc>
        <w:tc>
          <w:tcPr>
            <w:tcW w:w="334" w:type="dxa"/>
            <w:tcBorders>
              <w:top w:val="nil"/>
              <w:left w:val="nil"/>
              <w:bottom w:val="nil"/>
              <w:right w:val="nil"/>
            </w:tcBorders>
            <w:shd w:val="clear" w:color="auto" w:fill="auto"/>
            <w:noWrap/>
            <w:vAlign w:val="center"/>
          </w:tcPr>
          <w:p w14:paraId="03CC6A91">
            <w:pPr>
              <w:rPr>
                <w:rFonts w:hint="eastAsia" w:ascii="宋体" w:hAnsi="宋体" w:eastAsia="宋体" w:cs="宋体"/>
                <w:i w:val="0"/>
                <w:iCs w:val="0"/>
                <w:color w:val="000000"/>
                <w:sz w:val="22"/>
                <w:szCs w:val="22"/>
                <w:u w:val="none"/>
              </w:rPr>
            </w:pPr>
          </w:p>
        </w:tc>
        <w:tc>
          <w:tcPr>
            <w:tcW w:w="1399" w:type="dxa"/>
            <w:tcBorders>
              <w:top w:val="nil"/>
              <w:left w:val="nil"/>
              <w:bottom w:val="nil"/>
              <w:right w:val="nil"/>
            </w:tcBorders>
            <w:shd w:val="clear" w:color="auto" w:fill="auto"/>
            <w:noWrap/>
            <w:vAlign w:val="center"/>
          </w:tcPr>
          <w:p w14:paraId="11020ADE">
            <w:pPr>
              <w:rPr>
                <w:rFonts w:hint="eastAsia" w:ascii="宋体" w:hAnsi="宋体" w:eastAsia="宋体" w:cs="宋体"/>
                <w:i w:val="0"/>
                <w:iCs w:val="0"/>
                <w:color w:val="000000"/>
                <w:sz w:val="22"/>
                <w:szCs w:val="22"/>
                <w:u w:val="none"/>
              </w:rPr>
            </w:pPr>
          </w:p>
        </w:tc>
      </w:tr>
      <w:tr w14:paraId="2131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7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B6E8D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07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0AF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B93671">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51172422T000005669063-营养餐</w:t>
            </w:r>
          </w:p>
        </w:tc>
      </w:tr>
      <w:tr w14:paraId="78A2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ED6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93D7B">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大竹县观音镇第二中心小学部门</w:t>
            </w:r>
          </w:p>
        </w:tc>
        <w:tc>
          <w:tcPr>
            <w:tcW w:w="594" w:type="dxa"/>
            <w:tcBorders>
              <w:top w:val="nil"/>
              <w:left w:val="nil"/>
              <w:bottom w:val="nil"/>
              <w:right w:val="nil"/>
            </w:tcBorders>
            <w:shd w:val="clear" w:color="auto" w:fill="auto"/>
            <w:vAlign w:val="center"/>
          </w:tcPr>
          <w:p w14:paraId="451A502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17A7">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大竹县观音镇第二中心小学</w:t>
            </w:r>
          </w:p>
        </w:tc>
      </w:tr>
      <w:tr w14:paraId="7D83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FD5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6EE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80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B5DC8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5C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8381">
            <w:pP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462DE">
            <w:pPr>
              <w:rPr>
                <w:rFonts w:hint="eastAsia" w:ascii="宋体" w:hAnsi="宋体" w:eastAsia="宋体" w:cs="宋体"/>
                <w:i w:val="0"/>
                <w:iCs w:val="0"/>
                <w:color w:val="000000"/>
                <w:sz w:val="18"/>
                <w:szCs w:val="18"/>
                <w:u w:val="none"/>
              </w:rPr>
            </w:pPr>
          </w:p>
        </w:tc>
        <w:tc>
          <w:tcPr>
            <w:tcW w:w="3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6FC624">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w:t>
            </w:r>
            <w:r>
              <w:rPr>
                <w:rFonts w:hint="eastAsia" w:ascii="宋体" w:hAnsi="宋体" w:cs="宋体"/>
                <w:i w:val="0"/>
                <w:iCs w:val="0"/>
                <w:color w:val="000000"/>
                <w:kern w:val="0"/>
                <w:sz w:val="18"/>
                <w:szCs w:val="18"/>
                <w:u w:val="none"/>
                <w:lang w:val="en-US" w:eastAsia="zh-CN" w:bidi="ar"/>
              </w:rPr>
              <w:t>阶段</w:t>
            </w:r>
            <w:r>
              <w:rPr>
                <w:rFonts w:hint="eastAsia" w:ascii="宋体" w:hAnsi="宋体" w:eastAsia="宋体" w:cs="宋体"/>
                <w:i w:val="0"/>
                <w:iCs w:val="0"/>
                <w:color w:val="000000"/>
                <w:kern w:val="0"/>
                <w:sz w:val="18"/>
                <w:szCs w:val="18"/>
                <w:u w:val="none"/>
                <w:lang w:val="en-US" w:eastAsia="zh-CN" w:bidi="ar"/>
              </w:rPr>
              <w:t>学生享受营养餐，提升学生生活营养</w:t>
            </w:r>
          </w:p>
        </w:tc>
        <w:tc>
          <w:tcPr>
            <w:tcW w:w="2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24D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w:t>
            </w:r>
            <w:r>
              <w:rPr>
                <w:rFonts w:hint="eastAsia" w:ascii="宋体" w:hAnsi="宋体" w:cs="宋体"/>
                <w:i w:val="0"/>
                <w:iCs w:val="0"/>
                <w:color w:val="000000"/>
                <w:kern w:val="0"/>
                <w:sz w:val="18"/>
                <w:szCs w:val="18"/>
                <w:u w:val="none"/>
                <w:lang w:val="en-US" w:eastAsia="zh-CN" w:bidi="ar"/>
              </w:rPr>
              <w:t>阶段</w:t>
            </w:r>
            <w:r>
              <w:rPr>
                <w:rFonts w:hint="eastAsia" w:ascii="宋体" w:hAnsi="宋体" w:eastAsia="宋体" w:cs="宋体"/>
                <w:i w:val="0"/>
                <w:iCs w:val="0"/>
                <w:color w:val="000000"/>
                <w:kern w:val="0"/>
                <w:sz w:val="18"/>
                <w:szCs w:val="18"/>
                <w:u w:val="none"/>
                <w:lang w:val="en-US" w:eastAsia="zh-CN" w:bidi="ar"/>
              </w:rPr>
              <w:t>学生享受营养餐，提升学生生活营养</w:t>
            </w:r>
          </w:p>
        </w:tc>
      </w:tr>
      <w:tr w14:paraId="595D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C2FA">
            <w:pP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06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23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84915D">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让义务教育</w:t>
            </w:r>
            <w:r>
              <w:rPr>
                <w:rFonts w:hint="eastAsia" w:ascii="宋体" w:hAnsi="宋体" w:cs="宋体"/>
                <w:i w:val="0"/>
                <w:iCs w:val="0"/>
                <w:color w:val="000000"/>
                <w:kern w:val="0"/>
                <w:sz w:val="18"/>
                <w:szCs w:val="18"/>
                <w:u w:val="none"/>
                <w:lang w:val="en-US" w:eastAsia="zh-CN" w:bidi="ar"/>
              </w:rPr>
              <w:t>阶段</w:t>
            </w:r>
            <w:r>
              <w:rPr>
                <w:rFonts w:hint="eastAsia" w:ascii="宋体" w:hAnsi="宋体" w:eastAsia="宋体" w:cs="宋体"/>
                <w:i w:val="0"/>
                <w:iCs w:val="0"/>
                <w:color w:val="000000"/>
                <w:kern w:val="0"/>
                <w:sz w:val="18"/>
                <w:szCs w:val="18"/>
                <w:u w:val="none"/>
                <w:lang w:val="en-US" w:eastAsia="zh-CN" w:bidi="ar"/>
              </w:rPr>
              <w:t>学生享受营养餐，提升学生生活营养</w:t>
            </w:r>
          </w:p>
        </w:tc>
      </w:tr>
      <w:tr w14:paraId="5CF2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F8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B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F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8F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1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B31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D731">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E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4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18C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1.64</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55EC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0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423">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0AD4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05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A0DC">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4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771D">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1.64</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E688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1.64</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8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2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7434">
            <w:pPr>
              <w:rPr>
                <w:rFonts w:hint="eastAsia" w:ascii="黑体" w:hAnsi="黑体" w:eastAsia="黑体" w:cs="黑体"/>
                <w:i/>
                <w:iCs/>
                <w:color w:val="000000"/>
                <w:sz w:val="18"/>
                <w:szCs w:val="18"/>
                <w:u w:val="none"/>
              </w:rPr>
            </w:pPr>
          </w:p>
        </w:tc>
      </w:tr>
      <w:tr w14:paraId="3ECD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440E">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F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w:t>
            </w:r>
            <w:r>
              <w:rPr>
                <w:rFonts w:hint="eastAsia" w:ascii="宋体" w:hAnsi="宋体" w:cs="宋体"/>
                <w:i w:val="0"/>
                <w:iCs w:val="0"/>
                <w:color w:val="000000"/>
                <w:kern w:val="0"/>
                <w:sz w:val="18"/>
                <w:szCs w:val="18"/>
                <w:u w:val="none"/>
                <w:lang w:val="en-US" w:eastAsia="zh-CN" w:bidi="ar"/>
              </w:rPr>
              <w:t>管理</w:t>
            </w:r>
            <w:r>
              <w:rPr>
                <w:rFonts w:ascii="宋体" w:hAnsi="宋体" w:eastAsia="宋体" w:cs="宋体"/>
                <w:i w:val="0"/>
                <w:iCs w:val="0"/>
                <w:color w:val="000000"/>
                <w:kern w:val="0"/>
                <w:sz w:val="18"/>
                <w:szCs w:val="18"/>
                <w:u w:val="none"/>
                <w:lang w:val="en-US" w:eastAsia="zh-CN" w:bidi="ar"/>
              </w:rPr>
              <w:t>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5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6E1">
            <w:pPr>
              <w:jc w:val="center"/>
              <w:rPr>
                <w:rFonts w:hint="eastAsia" w:ascii="宋体" w:hAnsi="宋体" w:eastAsia="宋体" w:cs="宋体"/>
                <w:i w:val="0"/>
                <w:iCs w:val="0"/>
                <w:color w:val="000000"/>
                <w:sz w:val="18"/>
                <w:szCs w:val="18"/>
                <w:u w:val="none"/>
              </w:rPr>
            </w:pP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265BB">
            <w:pPr>
              <w:jc w:val="center"/>
              <w:rPr>
                <w:rFonts w:hint="eastAsia" w:ascii="宋体" w:hAnsi="宋体" w:eastAsia="宋体" w:cs="宋体"/>
                <w:i w:val="0"/>
                <w:iCs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1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5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BF81">
            <w:pPr>
              <w:rPr>
                <w:rFonts w:hint="eastAsia" w:ascii="黑体" w:hAnsi="黑体" w:eastAsia="黑体" w:cs="黑体"/>
                <w:i/>
                <w:iCs/>
                <w:color w:val="000000"/>
                <w:sz w:val="18"/>
                <w:szCs w:val="18"/>
                <w:u w:val="none"/>
              </w:rPr>
            </w:pPr>
          </w:p>
        </w:tc>
      </w:tr>
      <w:tr w14:paraId="1527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1ED9">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A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C21">
            <w:pPr>
              <w:jc w:val="center"/>
              <w:rPr>
                <w:rFonts w:hint="eastAsia" w:ascii="宋体" w:hAnsi="宋体" w:eastAsia="宋体" w:cs="宋体"/>
                <w:i w:val="0"/>
                <w:iCs w:val="0"/>
                <w:color w:val="000000"/>
                <w:sz w:val="18"/>
                <w:szCs w:val="18"/>
                <w:u w:val="none"/>
              </w:rPr>
            </w:pP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9988A1">
            <w:pPr>
              <w:jc w:val="center"/>
              <w:rPr>
                <w:rFonts w:hint="eastAsia" w:ascii="宋体" w:hAnsi="宋体" w:eastAsia="宋体" w:cs="宋体"/>
                <w:i w:val="0"/>
                <w:iCs w:val="0"/>
                <w:color w:val="000000"/>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9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9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B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9F94">
            <w:pPr>
              <w:rPr>
                <w:rFonts w:hint="eastAsia" w:ascii="黑体" w:hAnsi="黑体" w:eastAsia="黑体" w:cs="黑体"/>
                <w:i/>
                <w:iCs/>
                <w:color w:val="000000"/>
                <w:sz w:val="18"/>
                <w:szCs w:val="18"/>
                <w:u w:val="none"/>
              </w:rPr>
            </w:pPr>
          </w:p>
        </w:tc>
      </w:tr>
      <w:tr w14:paraId="61DF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00E6">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8AA9">
            <w:pPr>
              <w:jc w:val="center"/>
              <w:rPr>
                <w:rFonts w:hint="eastAsia" w:ascii="微软雅黑" w:hAnsi="微软雅黑" w:eastAsia="微软雅黑" w:cs="微软雅黑"/>
                <w:i/>
                <w:iCs/>
                <w:color w:val="000000"/>
                <w:sz w:val="16"/>
                <w:szCs w:val="16"/>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501">
            <w:pPr>
              <w:jc w:val="center"/>
              <w:rPr>
                <w:rFonts w:hint="eastAsia" w:ascii="微软雅黑" w:hAnsi="微软雅黑" w:eastAsia="微软雅黑" w:cs="微软雅黑"/>
                <w:i/>
                <w:iCs/>
                <w:color w:val="000000"/>
                <w:sz w:val="16"/>
                <w:szCs w:val="16"/>
                <w:u w:val="none"/>
              </w:rPr>
            </w:pP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EC34A">
            <w:pPr>
              <w:jc w:val="center"/>
              <w:rPr>
                <w:rFonts w:hint="eastAsia" w:ascii="微软雅黑" w:hAnsi="微软雅黑" w:eastAsia="微软雅黑" w:cs="微软雅黑"/>
                <w:i/>
                <w:iCs/>
                <w:color w:val="000000"/>
                <w:sz w:val="16"/>
                <w:szCs w:val="16"/>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531B">
            <w:pPr>
              <w:jc w:val="center"/>
              <w:rPr>
                <w:rFonts w:hint="eastAsia" w:ascii="微软雅黑" w:hAnsi="微软雅黑" w:eastAsia="微软雅黑" w:cs="微软雅黑"/>
                <w:i/>
                <w:iCs/>
                <w:color w:val="000000"/>
                <w:sz w:val="16"/>
                <w:szCs w:val="16"/>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B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3ADFD">
            <w:pPr>
              <w:rPr>
                <w:rFonts w:hint="eastAsia" w:ascii="黑体" w:hAnsi="黑体" w:eastAsia="黑体" w:cs="黑体"/>
                <w:i/>
                <w:iCs/>
                <w:color w:val="000000"/>
                <w:sz w:val="18"/>
                <w:szCs w:val="18"/>
                <w:u w:val="none"/>
              </w:rPr>
            </w:pPr>
          </w:p>
        </w:tc>
      </w:tr>
      <w:tr w14:paraId="7CE0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5C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D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8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E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D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7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6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2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4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0F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56C1">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171A">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效益指标</w:t>
            </w:r>
          </w:p>
          <w:p w14:paraId="28365599">
            <w:pPr>
              <w:jc w:val="center"/>
              <w:rPr>
                <w:rFonts w:hint="eastAsia" w:ascii="宋体" w:hAnsi="宋体" w:eastAsia="宋体" w:cs="宋体"/>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842">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967">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学生、家长及社会满意度</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1336">
            <w:pPr>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58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95</w:t>
            </w:r>
          </w:p>
        </w:tc>
        <w:tc>
          <w:tcPr>
            <w:tcW w:w="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D46">
            <w:pPr>
              <w:jc w:val="center"/>
              <w:rPr>
                <w:rFonts w:hint="eastAsia" w:ascii="宋体" w:hAnsi="宋体" w:eastAsia="宋体" w:cs="宋体"/>
                <w:i w:val="0"/>
                <w:iCs w:val="0"/>
                <w:color w:val="000000"/>
                <w:sz w:val="18"/>
                <w:szCs w:val="18"/>
                <w:u w:val="none"/>
              </w:rPr>
            </w:pPr>
            <w:bookmarkStart w:id="69" w:name="_GoBack"/>
            <w:bookmarkEnd w:id="69"/>
            <w:r>
              <w:rPr>
                <w:rFonts w:ascii="宋体" w:hAnsi="宋体" w:eastAsia="宋体" w:cs="宋体"/>
                <w:i w:val="0"/>
                <w:iCs w:val="0"/>
                <w:color w:val="000000"/>
                <w:kern w:val="0"/>
                <w:sz w:val="18"/>
                <w:szCs w:val="18"/>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2F92">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DF0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CEBA">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2959">
            <w:pPr>
              <w:jc w:val="center"/>
              <w:rPr>
                <w:rFonts w:hint="eastAsia" w:ascii="微软雅黑" w:hAnsi="微软雅黑" w:eastAsia="微软雅黑" w:cs="微软雅黑"/>
                <w:i/>
                <w:iCs/>
                <w:color w:val="000000"/>
                <w:sz w:val="16"/>
                <w:szCs w:val="16"/>
                <w:u w:val="none"/>
              </w:rPr>
            </w:pPr>
          </w:p>
        </w:tc>
      </w:tr>
      <w:tr w14:paraId="2AC5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168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B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ADF">
            <w:pPr>
              <w:rPr>
                <w:rFonts w:hint="eastAsia" w:ascii="宋体" w:hAnsi="宋体" w:eastAsia="宋体" w:cs="宋体"/>
                <w:i w:val="0"/>
                <w:iCs w:val="0"/>
                <w:color w:val="000000"/>
                <w:sz w:val="18"/>
                <w:szCs w:val="18"/>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B7D">
            <w:pPr>
              <w:rPr>
                <w:rFonts w:hint="eastAsia" w:ascii="宋体" w:hAnsi="宋体" w:eastAsia="宋体" w:cs="宋体"/>
                <w:i w:val="0"/>
                <w:iCs w:val="0"/>
                <w:color w:val="000000"/>
                <w:sz w:val="18"/>
                <w:szCs w:val="18"/>
                <w:u w:val="none"/>
              </w:rPr>
            </w:pPr>
          </w:p>
        </w:tc>
      </w:tr>
      <w:tr w14:paraId="567F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5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2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FD589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结合自评情况，说明项目自评总分，说明项目实施取得的成效或成果。（200字以内）</w:t>
            </w:r>
          </w:p>
        </w:tc>
      </w:tr>
      <w:tr w14:paraId="6165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75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2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2064F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结合自评情况，分析存在的问题及原因。（200字以内）</w:t>
            </w:r>
          </w:p>
        </w:tc>
      </w:tr>
      <w:tr w14:paraId="6CD2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2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7AB071">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针对项目自评中发现的问题，提出下一步改进完善的意见及有关政策性建议。（200字以内）</w:t>
            </w:r>
          </w:p>
        </w:tc>
      </w:tr>
      <w:tr w14:paraId="140F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1D0E1">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项目负责人：刘广国</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4F064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财务负责人：李兴林</w:t>
            </w:r>
          </w:p>
        </w:tc>
      </w:tr>
      <w:tr w14:paraId="089B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 w:type="dxa"/>
            <w:tcBorders>
              <w:top w:val="nil"/>
              <w:left w:val="nil"/>
              <w:bottom w:val="nil"/>
              <w:right w:val="nil"/>
            </w:tcBorders>
            <w:shd w:val="clear" w:color="auto" w:fill="auto"/>
            <w:vAlign w:val="center"/>
          </w:tcPr>
          <w:p w14:paraId="284BE972">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vAlign w:val="center"/>
          </w:tcPr>
          <w:p w14:paraId="5B5AEE21">
            <w:pPr>
              <w:rPr>
                <w:rFonts w:hint="eastAsia" w:ascii="宋体" w:hAnsi="宋体" w:eastAsia="宋体" w:cs="宋体"/>
                <w:i w:val="0"/>
                <w:iCs w:val="0"/>
                <w:color w:val="000000"/>
                <w:sz w:val="18"/>
                <w:szCs w:val="18"/>
                <w:u w:val="none"/>
              </w:rPr>
            </w:pPr>
          </w:p>
        </w:tc>
        <w:tc>
          <w:tcPr>
            <w:tcW w:w="888" w:type="dxa"/>
            <w:tcBorders>
              <w:top w:val="nil"/>
              <w:left w:val="nil"/>
              <w:bottom w:val="nil"/>
              <w:right w:val="nil"/>
            </w:tcBorders>
            <w:shd w:val="clear" w:color="auto" w:fill="auto"/>
            <w:vAlign w:val="center"/>
          </w:tcPr>
          <w:p w14:paraId="12A8EA12">
            <w:pPr>
              <w:rPr>
                <w:rFonts w:hint="eastAsia" w:ascii="宋体" w:hAnsi="宋体" w:eastAsia="宋体" w:cs="宋体"/>
                <w:i w:val="0"/>
                <w:iCs w:val="0"/>
                <w:color w:val="000000"/>
                <w:sz w:val="18"/>
                <w:szCs w:val="18"/>
                <w:u w:val="none"/>
              </w:rPr>
            </w:pPr>
          </w:p>
        </w:tc>
        <w:tc>
          <w:tcPr>
            <w:tcW w:w="1115" w:type="dxa"/>
            <w:tcBorders>
              <w:top w:val="nil"/>
              <w:left w:val="nil"/>
              <w:bottom w:val="nil"/>
              <w:right w:val="nil"/>
            </w:tcBorders>
            <w:shd w:val="clear" w:color="auto" w:fill="auto"/>
            <w:vAlign w:val="center"/>
          </w:tcPr>
          <w:p w14:paraId="4B97906B">
            <w:pPr>
              <w:rPr>
                <w:rFonts w:hint="eastAsia" w:ascii="宋体" w:hAnsi="宋体" w:eastAsia="宋体" w:cs="宋体"/>
                <w:i w:val="0"/>
                <w:iCs w:val="0"/>
                <w:color w:val="000000"/>
                <w:sz w:val="18"/>
                <w:szCs w:val="18"/>
                <w:u w:val="none"/>
              </w:rPr>
            </w:pPr>
          </w:p>
        </w:tc>
        <w:tc>
          <w:tcPr>
            <w:tcW w:w="334" w:type="dxa"/>
            <w:tcBorders>
              <w:top w:val="nil"/>
              <w:left w:val="nil"/>
              <w:bottom w:val="nil"/>
              <w:right w:val="nil"/>
            </w:tcBorders>
            <w:shd w:val="clear" w:color="auto" w:fill="auto"/>
            <w:vAlign w:val="center"/>
          </w:tcPr>
          <w:p w14:paraId="011B419E">
            <w:pPr>
              <w:rPr>
                <w:rFonts w:hint="eastAsia" w:ascii="宋体" w:hAnsi="宋体" w:eastAsia="宋体" w:cs="宋体"/>
                <w:i w:val="0"/>
                <w:iCs w:val="0"/>
                <w:color w:val="000000"/>
                <w:sz w:val="18"/>
                <w:szCs w:val="18"/>
                <w:u w:val="none"/>
              </w:rPr>
            </w:pPr>
          </w:p>
        </w:tc>
        <w:tc>
          <w:tcPr>
            <w:tcW w:w="822" w:type="dxa"/>
            <w:tcBorders>
              <w:top w:val="nil"/>
              <w:left w:val="nil"/>
              <w:bottom w:val="nil"/>
              <w:right w:val="nil"/>
            </w:tcBorders>
            <w:shd w:val="clear" w:color="auto" w:fill="auto"/>
            <w:vAlign w:val="center"/>
          </w:tcPr>
          <w:p w14:paraId="48C54A2F">
            <w:pPr>
              <w:rPr>
                <w:rFonts w:hint="eastAsia" w:ascii="宋体" w:hAnsi="宋体" w:eastAsia="宋体" w:cs="宋体"/>
                <w:i w:val="0"/>
                <w:iCs w:val="0"/>
                <w:color w:val="000000"/>
                <w:sz w:val="18"/>
                <w:szCs w:val="18"/>
                <w:u w:val="none"/>
              </w:rPr>
            </w:pPr>
          </w:p>
        </w:tc>
        <w:tc>
          <w:tcPr>
            <w:tcW w:w="335" w:type="dxa"/>
            <w:tcBorders>
              <w:top w:val="nil"/>
              <w:left w:val="nil"/>
              <w:bottom w:val="nil"/>
              <w:right w:val="nil"/>
            </w:tcBorders>
            <w:shd w:val="clear" w:color="auto" w:fill="auto"/>
            <w:vAlign w:val="center"/>
          </w:tcPr>
          <w:p w14:paraId="5DF2108F">
            <w:pPr>
              <w:rPr>
                <w:rFonts w:hint="eastAsia" w:ascii="宋体" w:hAnsi="宋体" w:eastAsia="宋体" w:cs="宋体"/>
                <w:i w:val="0"/>
                <w:iCs w:val="0"/>
                <w:color w:val="000000"/>
                <w:sz w:val="18"/>
                <w:szCs w:val="18"/>
                <w:u w:val="none"/>
              </w:rPr>
            </w:pPr>
          </w:p>
        </w:tc>
        <w:tc>
          <w:tcPr>
            <w:tcW w:w="594" w:type="dxa"/>
            <w:tcBorders>
              <w:top w:val="nil"/>
              <w:left w:val="nil"/>
              <w:bottom w:val="nil"/>
              <w:right w:val="nil"/>
            </w:tcBorders>
            <w:shd w:val="clear" w:color="auto" w:fill="auto"/>
            <w:vAlign w:val="center"/>
          </w:tcPr>
          <w:p w14:paraId="03A37DF9">
            <w:pPr>
              <w:rPr>
                <w:rFonts w:hint="eastAsia" w:ascii="宋体" w:hAnsi="宋体" w:eastAsia="宋体" w:cs="宋体"/>
                <w:i w:val="0"/>
                <w:iCs w:val="0"/>
                <w:color w:val="000000"/>
                <w:sz w:val="18"/>
                <w:szCs w:val="18"/>
                <w:u w:val="none"/>
              </w:rPr>
            </w:pPr>
          </w:p>
        </w:tc>
        <w:tc>
          <w:tcPr>
            <w:tcW w:w="410" w:type="dxa"/>
            <w:tcBorders>
              <w:top w:val="nil"/>
              <w:left w:val="nil"/>
              <w:bottom w:val="nil"/>
              <w:right w:val="nil"/>
            </w:tcBorders>
            <w:shd w:val="clear" w:color="auto" w:fill="auto"/>
            <w:vAlign w:val="center"/>
          </w:tcPr>
          <w:p w14:paraId="364609D4">
            <w:pPr>
              <w:rPr>
                <w:rFonts w:hint="eastAsia" w:ascii="宋体" w:hAnsi="宋体" w:eastAsia="宋体" w:cs="宋体"/>
                <w:i w:val="0"/>
                <w:iCs w:val="0"/>
                <w:color w:val="000000"/>
                <w:sz w:val="18"/>
                <w:szCs w:val="18"/>
                <w:u w:val="none"/>
              </w:rPr>
            </w:pPr>
          </w:p>
        </w:tc>
        <w:tc>
          <w:tcPr>
            <w:tcW w:w="334" w:type="dxa"/>
            <w:tcBorders>
              <w:top w:val="nil"/>
              <w:left w:val="nil"/>
              <w:bottom w:val="nil"/>
              <w:right w:val="nil"/>
            </w:tcBorders>
            <w:shd w:val="clear" w:color="auto" w:fill="auto"/>
            <w:vAlign w:val="center"/>
          </w:tcPr>
          <w:p w14:paraId="2535740A">
            <w:pPr>
              <w:rPr>
                <w:rFonts w:hint="eastAsia" w:ascii="宋体" w:hAnsi="宋体" w:eastAsia="宋体" w:cs="宋体"/>
                <w:i w:val="0"/>
                <w:iCs w:val="0"/>
                <w:color w:val="000000"/>
                <w:sz w:val="18"/>
                <w:szCs w:val="18"/>
                <w:u w:val="none"/>
              </w:rPr>
            </w:pPr>
          </w:p>
        </w:tc>
        <w:tc>
          <w:tcPr>
            <w:tcW w:w="1399" w:type="dxa"/>
            <w:tcBorders>
              <w:top w:val="nil"/>
              <w:left w:val="nil"/>
              <w:bottom w:val="nil"/>
              <w:right w:val="nil"/>
            </w:tcBorders>
            <w:shd w:val="clear" w:color="auto" w:fill="auto"/>
            <w:vAlign w:val="center"/>
          </w:tcPr>
          <w:p w14:paraId="391D81CB">
            <w:pPr>
              <w:rPr>
                <w:rFonts w:hint="eastAsia" w:ascii="宋体" w:hAnsi="宋体" w:eastAsia="宋体" w:cs="宋体"/>
                <w:i w:val="0"/>
                <w:iCs w:val="0"/>
                <w:color w:val="000000"/>
                <w:sz w:val="18"/>
                <w:szCs w:val="18"/>
                <w:u w:val="none"/>
              </w:rPr>
            </w:pPr>
          </w:p>
        </w:tc>
      </w:tr>
      <w:tr w14:paraId="4CB0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737" w:type="dxa"/>
            <w:gridSpan w:val="11"/>
            <w:tcBorders>
              <w:top w:val="nil"/>
              <w:left w:val="nil"/>
              <w:bottom w:val="nil"/>
              <w:right w:val="nil"/>
            </w:tcBorders>
            <w:shd w:val="clear" w:color="auto" w:fill="auto"/>
            <w:vAlign w:val="center"/>
          </w:tcPr>
          <w:p w14:paraId="397DD7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6DA5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737" w:type="dxa"/>
            <w:gridSpan w:val="11"/>
            <w:tcBorders>
              <w:top w:val="nil"/>
              <w:left w:val="nil"/>
              <w:bottom w:val="nil"/>
              <w:right w:val="nil"/>
            </w:tcBorders>
            <w:shd w:val="clear" w:color="auto" w:fill="auto"/>
            <w:vAlign w:val="center"/>
          </w:tcPr>
          <w:p w14:paraId="411902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5B91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737" w:type="dxa"/>
            <w:gridSpan w:val="11"/>
            <w:tcBorders>
              <w:top w:val="nil"/>
              <w:left w:val="nil"/>
              <w:bottom w:val="nil"/>
              <w:right w:val="nil"/>
            </w:tcBorders>
            <w:shd w:val="clear" w:color="auto" w:fill="auto"/>
            <w:vAlign w:val="center"/>
          </w:tcPr>
          <w:p w14:paraId="6D6EC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3625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7737" w:type="dxa"/>
            <w:gridSpan w:val="11"/>
            <w:tcBorders>
              <w:top w:val="nil"/>
              <w:left w:val="nil"/>
              <w:bottom w:val="nil"/>
              <w:right w:val="nil"/>
            </w:tcBorders>
            <w:shd w:val="clear" w:color="auto" w:fill="auto"/>
            <w:vAlign w:val="center"/>
          </w:tcPr>
          <w:p w14:paraId="5B856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418DC6B5">
      <w:pPr>
        <w:pStyle w:val="2"/>
        <w:spacing w:before="93"/>
        <w:rPr>
          <w:rFonts w:hAnsi="Calibri" w:cs="仿宋"/>
          <w:sz w:val="32"/>
          <w:szCs w:val="32"/>
        </w:rPr>
      </w:pPr>
    </w:p>
    <w:p w14:paraId="556752DB">
      <w:pPr>
        <w:pStyle w:val="2"/>
        <w:spacing w:before="93"/>
        <w:rPr>
          <w:rFonts w:hAnsi="Calibri" w:cs="仿宋"/>
          <w:sz w:val="32"/>
          <w:szCs w:val="32"/>
        </w:rPr>
      </w:pPr>
    </w:p>
    <w:p w14:paraId="2E41ED52">
      <w:pPr>
        <w:pStyle w:val="2"/>
        <w:spacing w:before="93"/>
        <w:rPr>
          <w:rFonts w:hAnsi="Calibri" w:cs="仿宋"/>
          <w:sz w:val="32"/>
          <w:szCs w:val="32"/>
        </w:rPr>
      </w:pPr>
    </w:p>
    <w:p w14:paraId="7A1B254B">
      <w:pPr>
        <w:pStyle w:val="2"/>
        <w:spacing w:before="93"/>
        <w:rPr>
          <w:rFonts w:hAnsi="Calibri" w:cs="仿宋"/>
          <w:sz w:val="32"/>
          <w:szCs w:val="32"/>
        </w:rPr>
      </w:pPr>
    </w:p>
    <w:p w14:paraId="77DE297D">
      <w:pPr>
        <w:pStyle w:val="2"/>
        <w:spacing w:before="93"/>
        <w:rPr>
          <w:rFonts w:hAnsi="Calibri" w:cs="仿宋"/>
          <w:sz w:val="32"/>
          <w:szCs w:val="32"/>
        </w:rPr>
      </w:pPr>
    </w:p>
    <w:p w14:paraId="0F190D83">
      <w:pPr>
        <w:pStyle w:val="2"/>
        <w:spacing w:before="93"/>
        <w:rPr>
          <w:rFonts w:hAnsi="Calibri" w:cs="仿宋"/>
          <w:sz w:val="32"/>
          <w:szCs w:val="32"/>
        </w:rPr>
      </w:pPr>
    </w:p>
    <w:p w14:paraId="65717A50">
      <w:pPr>
        <w:pStyle w:val="2"/>
        <w:spacing w:before="93"/>
        <w:rPr>
          <w:rFonts w:hAnsi="Calibri" w:cs="仿宋"/>
          <w:sz w:val="32"/>
          <w:szCs w:val="32"/>
        </w:rPr>
      </w:pPr>
    </w:p>
    <w:p w14:paraId="3A43630F">
      <w:pPr>
        <w:pStyle w:val="2"/>
        <w:spacing w:before="93"/>
        <w:rPr>
          <w:rFonts w:hAnsi="Calibri" w:cs="仿宋"/>
          <w:sz w:val="32"/>
          <w:szCs w:val="32"/>
        </w:rPr>
      </w:pPr>
    </w:p>
    <w:p w14:paraId="2B37382F">
      <w:pPr>
        <w:pStyle w:val="2"/>
        <w:spacing w:before="93"/>
        <w:rPr>
          <w:rFonts w:hAnsi="Calibri" w:cs="仿宋"/>
          <w:sz w:val="32"/>
          <w:szCs w:val="32"/>
        </w:rPr>
      </w:pPr>
    </w:p>
    <w:p w14:paraId="39DC42B4">
      <w:pPr>
        <w:pStyle w:val="2"/>
        <w:spacing w:before="93"/>
        <w:rPr>
          <w:rFonts w:hAnsi="Calibri" w:cs="仿宋"/>
          <w:sz w:val="32"/>
          <w:szCs w:val="32"/>
        </w:rPr>
      </w:pPr>
    </w:p>
    <w:p w14:paraId="6E492113">
      <w:pPr>
        <w:pStyle w:val="2"/>
        <w:spacing w:before="93"/>
        <w:rPr>
          <w:rFonts w:hAnsi="Calibri" w:cs="仿宋"/>
          <w:sz w:val="32"/>
          <w:szCs w:val="32"/>
        </w:rPr>
      </w:pPr>
    </w:p>
    <w:p w14:paraId="47BEBA34">
      <w:pPr>
        <w:pStyle w:val="2"/>
        <w:spacing w:before="93"/>
        <w:rPr>
          <w:rFonts w:hAnsi="Calibri" w:cs="仿宋"/>
          <w:sz w:val="32"/>
          <w:szCs w:val="32"/>
        </w:rPr>
      </w:pPr>
    </w:p>
    <w:tbl>
      <w:tblPr>
        <w:tblStyle w:val="14"/>
        <w:tblW w:w="128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4"/>
        <w:gridCol w:w="1329"/>
        <w:gridCol w:w="3320"/>
        <w:gridCol w:w="1055"/>
      </w:tblGrid>
      <w:tr w14:paraId="5592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191" w:type="dxa"/>
            <w:tcBorders>
              <w:top w:val="nil"/>
              <w:left w:val="nil"/>
              <w:bottom w:val="nil"/>
              <w:right w:val="nil"/>
            </w:tcBorders>
            <w:shd w:val="clear" w:color="auto" w:fill="auto"/>
            <w:vAlign w:val="center"/>
          </w:tcPr>
          <w:p w14:paraId="61D6E2C2">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w:t>
            </w:r>
          </w:p>
        </w:tc>
        <w:tc>
          <w:tcPr>
            <w:tcW w:w="1329" w:type="dxa"/>
            <w:tcBorders>
              <w:top w:val="nil"/>
              <w:left w:val="nil"/>
              <w:bottom w:val="nil"/>
              <w:right w:val="nil"/>
            </w:tcBorders>
            <w:shd w:val="clear" w:color="auto" w:fill="auto"/>
            <w:noWrap/>
            <w:vAlign w:val="center"/>
          </w:tcPr>
          <w:p w14:paraId="620665BE">
            <w:pPr>
              <w:rPr>
                <w:rFonts w:hint="eastAsia" w:ascii="宋体" w:hAnsi="宋体" w:eastAsia="宋体" w:cs="宋体"/>
                <w:i w:val="0"/>
                <w:iCs w:val="0"/>
                <w:color w:val="000000"/>
                <w:sz w:val="22"/>
                <w:szCs w:val="22"/>
                <w:u w:val="none"/>
              </w:rPr>
            </w:pPr>
          </w:p>
        </w:tc>
        <w:tc>
          <w:tcPr>
            <w:tcW w:w="3323" w:type="dxa"/>
            <w:tcBorders>
              <w:top w:val="nil"/>
              <w:left w:val="nil"/>
              <w:bottom w:val="nil"/>
              <w:right w:val="nil"/>
            </w:tcBorders>
            <w:shd w:val="clear" w:color="auto" w:fill="auto"/>
            <w:vAlign w:val="center"/>
          </w:tcPr>
          <w:p w14:paraId="795CB9D8">
            <w:pPr>
              <w:rPr>
                <w:rFonts w:hint="eastAsia" w:ascii="宋体" w:hAnsi="宋体" w:eastAsia="宋体" w:cs="宋体"/>
                <w:i w:val="0"/>
                <w:iCs w:val="0"/>
                <w:color w:val="000000"/>
                <w:sz w:val="20"/>
                <w:szCs w:val="20"/>
                <w:u w:val="none"/>
              </w:rPr>
            </w:pPr>
          </w:p>
        </w:tc>
        <w:tc>
          <w:tcPr>
            <w:tcW w:w="1055" w:type="dxa"/>
            <w:tcBorders>
              <w:top w:val="nil"/>
              <w:left w:val="nil"/>
              <w:bottom w:val="nil"/>
              <w:right w:val="nil"/>
            </w:tcBorders>
            <w:shd w:val="clear" w:color="auto" w:fill="auto"/>
            <w:noWrap/>
            <w:vAlign w:val="center"/>
          </w:tcPr>
          <w:p w14:paraId="6C952650">
            <w:pPr>
              <w:rPr>
                <w:rFonts w:hint="eastAsia" w:ascii="宋体" w:hAnsi="宋体" w:eastAsia="宋体" w:cs="宋体"/>
                <w:i w:val="0"/>
                <w:iCs w:val="0"/>
                <w:color w:val="000000"/>
                <w:sz w:val="22"/>
                <w:szCs w:val="22"/>
                <w:u w:val="none"/>
              </w:rPr>
            </w:pPr>
          </w:p>
        </w:tc>
      </w:tr>
    </w:tbl>
    <w:p w14:paraId="25060AF9">
      <w:pPr>
        <w:pStyle w:val="2"/>
        <w:spacing w:before="93"/>
        <w:rPr>
          <w:rFonts w:hAnsi="Calibri" w:cs="仿宋"/>
          <w:sz w:val="32"/>
          <w:szCs w:val="32"/>
        </w:rPr>
      </w:pPr>
    </w:p>
    <w:p w14:paraId="5F25E7E2">
      <w:pPr>
        <w:pStyle w:val="2"/>
        <w:spacing w:before="93"/>
        <w:rPr>
          <w:rFonts w:hAnsi="Calibri" w:cs="仿宋"/>
          <w:sz w:val="32"/>
          <w:szCs w:val="32"/>
        </w:rPr>
      </w:pPr>
    </w:p>
    <w:tbl>
      <w:tblPr>
        <w:tblStyle w:val="14"/>
        <w:tblW w:w="7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956"/>
        <w:gridCol w:w="957"/>
        <w:gridCol w:w="1466"/>
        <w:gridCol w:w="766"/>
        <w:gridCol w:w="895"/>
        <w:gridCol w:w="576"/>
        <w:gridCol w:w="448"/>
        <w:gridCol w:w="657"/>
      </w:tblGrid>
      <w:tr w14:paraId="55A7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7480" w:type="dxa"/>
            <w:gridSpan w:val="9"/>
            <w:tcBorders>
              <w:top w:val="nil"/>
              <w:left w:val="nil"/>
              <w:bottom w:val="nil"/>
              <w:right w:val="nil"/>
            </w:tcBorders>
            <w:shd w:val="clear" w:color="auto" w:fill="auto"/>
            <w:vAlign w:val="center"/>
          </w:tcPr>
          <w:p w14:paraId="29D64CC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部门整体支出绩效目标表完成情况自评表</w:t>
            </w:r>
          </w:p>
        </w:tc>
      </w:tr>
      <w:tr w14:paraId="1742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80" w:type="dxa"/>
            <w:gridSpan w:val="9"/>
            <w:tcBorders>
              <w:top w:val="nil"/>
              <w:left w:val="nil"/>
              <w:bottom w:val="nil"/>
              <w:right w:val="nil"/>
            </w:tcBorders>
            <w:shd w:val="clear" w:color="auto" w:fill="auto"/>
            <w:vAlign w:val="center"/>
          </w:tcPr>
          <w:p w14:paraId="345DF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47B5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80" w:type="dxa"/>
            <w:gridSpan w:val="9"/>
            <w:tcBorders>
              <w:top w:val="nil"/>
              <w:left w:val="nil"/>
              <w:bottom w:val="nil"/>
              <w:right w:val="nil"/>
            </w:tcBorders>
            <w:shd w:val="clear" w:color="auto" w:fill="auto"/>
            <w:vAlign w:val="center"/>
          </w:tcPr>
          <w:p w14:paraId="7CAC92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7674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4A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47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DE1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大竹县观音镇第二中心小学部门</w:t>
            </w:r>
          </w:p>
        </w:tc>
      </w:tr>
      <w:tr w14:paraId="466F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vMerge w:val="restart"/>
            <w:tcBorders>
              <w:top w:val="nil"/>
              <w:left w:val="single" w:color="000000" w:sz="4" w:space="0"/>
              <w:bottom w:val="single" w:color="000000" w:sz="4" w:space="0"/>
              <w:right w:val="single" w:color="000000" w:sz="4" w:space="0"/>
            </w:tcBorders>
            <w:shd w:val="clear" w:color="auto" w:fill="auto"/>
            <w:vAlign w:val="center"/>
          </w:tcPr>
          <w:p w14:paraId="4BBAB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1927" w:type="dxa"/>
            <w:gridSpan w:val="2"/>
            <w:tcBorders>
              <w:top w:val="nil"/>
              <w:left w:val="single" w:color="000000" w:sz="4" w:space="0"/>
              <w:bottom w:val="nil"/>
              <w:right w:val="single" w:color="000000" w:sz="4" w:space="0"/>
            </w:tcBorders>
            <w:shd w:val="clear" w:color="auto" w:fill="auto"/>
            <w:vAlign w:val="center"/>
          </w:tcPr>
          <w:p w14:paraId="2989B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248" w:type="dxa"/>
            <w:gridSpan w:val="2"/>
            <w:tcBorders>
              <w:top w:val="nil"/>
              <w:left w:val="single" w:color="000000" w:sz="4" w:space="0"/>
              <w:bottom w:val="nil"/>
              <w:right w:val="single" w:color="000000" w:sz="4" w:space="0"/>
            </w:tcBorders>
            <w:shd w:val="clear" w:color="auto" w:fill="auto"/>
            <w:vAlign w:val="center"/>
          </w:tcPr>
          <w:p w14:paraId="3EF6F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2541" w:type="dxa"/>
            <w:gridSpan w:val="4"/>
            <w:tcBorders>
              <w:top w:val="nil"/>
              <w:left w:val="single" w:color="000000" w:sz="4" w:space="0"/>
              <w:bottom w:val="nil"/>
              <w:right w:val="single" w:color="000000" w:sz="4" w:space="0"/>
            </w:tcBorders>
            <w:shd w:val="clear" w:color="auto" w:fill="auto"/>
            <w:vAlign w:val="center"/>
          </w:tcPr>
          <w:p w14:paraId="49889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277F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64" w:type="dxa"/>
            <w:vMerge w:val="continue"/>
            <w:tcBorders>
              <w:top w:val="nil"/>
              <w:left w:val="single" w:color="000000" w:sz="4" w:space="0"/>
              <w:bottom w:val="single" w:color="000000" w:sz="4" w:space="0"/>
              <w:right w:val="single" w:color="000000" w:sz="4" w:space="0"/>
            </w:tcBorders>
            <w:shd w:val="clear" w:color="auto" w:fill="auto"/>
            <w:vAlign w:val="center"/>
          </w:tcPr>
          <w:p w14:paraId="21543447">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3A03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467.30</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A83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467.30</w:t>
            </w:r>
          </w:p>
        </w:tc>
        <w:tc>
          <w:tcPr>
            <w:tcW w:w="2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1E1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F73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6716" w:type="dxa"/>
            <w:gridSpan w:val="8"/>
            <w:tcBorders>
              <w:top w:val="nil"/>
              <w:left w:val="single" w:color="000000" w:sz="4" w:space="0"/>
              <w:bottom w:val="single" w:color="000000" w:sz="4" w:space="0"/>
              <w:right w:val="single" w:color="000000" w:sz="4" w:space="0"/>
            </w:tcBorders>
            <w:shd w:val="clear" w:color="auto" w:fill="auto"/>
            <w:vAlign w:val="center"/>
          </w:tcPr>
          <w:p w14:paraId="16E3E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担学龄前儿童的保育和教育工作;全面贯彻执行党和国家的教育方针、政策、法规，组织实施本地区一至六年级义务教育，按照国家课程标准，实施素质教育，提高教育质量，使适龄青少年在德智体美劳等方面全面发展，培养有理想、有道德、有文化、有纪律的社会主义建设者和接班人。;承办县政府和上级部门交办的工作;</w:t>
            </w:r>
          </w:p>
        </w:tc>
      </w:tr>
      <w:tr w14:paraId="3111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2D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1927" w:type="dxa"/>
            <w:gridSpan w:val="2"/>
            <w:tcBorders>
              <w:top w:val="nil"/>
              <w:left w:val="single" w:color="000000" w:sz="4" w:space="0"/>
              <w:bottom w:val="single" w:color="000000" w:sz="4" w:space="0"/>
              <w:right w:val="single" w:color="000000" w:sz="4" w:space="0"/>
            </w:tcBorders>
            <w:shd w:val="clear" w:color="auto" w:fill="auto"/>
            <w:vAlign w:val="center"/>
          </w:tcPr>
          <w:p w14:paraId="24C66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4789" w:type="dxa"/>
            <w:gridSpan w:val="6"/>
            <w:tcBorders>
              <w:top w:val="nil"/>
              <w:left w:val="single" w:color="000000" w:sz="4" w:space="0"/>
              <w:bottom w:val="single" w:color="000000" w:sz="4" w:space="0"/>
              <w:right w:val="single" w:color="000000" w:sz="4" w:space="0"/>
            </w:tcBorders>
            <w:shd w:val="clear" w:color="auto" w:fill="auto"/>
            <w:vAlign w:val="center"/>
          </w:tcPr>
          <w:p w14:paraId="31DDE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41F5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38EC">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262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基本保障任务</w:t>
            </w:r>
          </w:p>
        </w:tc>
        <w:tc>
          <w:tcPr>
            <w:tcW w:w="4789" w:type="dxa"/>
            <w:gridSpan w:val="6"/>
            <w:tcBorders>
              <w:top w:val="nil"/>
              <w:left w:val="single" w:color="000000" w:sz="4" w:space="0"/>
              <w:bottom w:val="single" w:color="000000" w:sz="4" w:space="0"/>
              <w:right w:val="single" w:color="000000" w:sz="4" w:space="0"/>
            </w:tcBorders>
            <w:shd w:val="clear" w:color="auto" w:fill="auto"/>
            <w:vAlign w:val="center"/>
          </w:tcPr>
          <w:p w14:paraId="41B1C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保障2023年本校在职人员24人基本工资的发放，遗属人员7人的生活补助发放，退休在职人员21人工会福利支出，把教职工服务和管理放在首位，提高教师的幸福感。</w:t>
            </w:r>
          </w:p>
        </w:tc>
      </w:tr>
      <w:tr w14:paraId="2601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EFD4B">
            <w:pPr>
              <w:jc w:val="center"/>
              <w:rPr>
                <w:rFonts w:hint="eastAsia" w:ascii="宋体" w:hAnsi="宋体" w:eastAsia="宋体" w:cs="宋体"/>
                <w:i w:val="0"/>
                <w:iCs w:val="0"/>
                <w:color w:val="000000"/>
                <w:sz w:val="18"/>
                <w:szCs w:val="18"/>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143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业务保障任务</w:t>
            </w:r>
          </w:p>
        </w:tc>
        <w:tc>
          <w:tcPr>
            <w:tcW w:w="4789" w:type="dxa"/>
            <w:gridSpan w:val="6"/>
            <w:tcBorders>
              <w:top w:val="nil"/>
              <w:left w:val="single" w:color="000000" w:sz="4" w:space="0"/>
              <w:bottom w:val="single" w:color="000000" w:sz="4" w:space="0"/>
              <w:right w:val="single" w:color="000000" w:sz="4" w:space="0"/>
            </w:tcBorders>
            <w:shd w:val="clear" w:color="auto" w:fill="auto"/>
            <w:vAlign w:val="center"/>
          </w:tcPr>
          <w:p w14:paraId="69C9A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管理好国家的教育资源，改善和优化农村办学条件。</w:t>
            </w:r>
          </w:p>
        </w:tc>
      </w:tr>
      <w:tr w14:paraId="048B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8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F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D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77" w:type="dxa"/>
            <w:tcBorders>
              <w:top w:val="nil"/>
              <w:left w:val="single" w:color="000000" w:sz="4" w:space="0"/>
              <w:bottom w:val="single" w:color="000000" w:sz="4" w:space="0"/>
              <w:right w:val="single" w:color="000000" w:sz="4" w:space="0"/>
            </w:tcBorders>
            <w:shd w:val="clear" w:color="auto" w:fill="auto"/>
            <w:vAlign w:val="center"/>
          </w:tcPr>
          <w:p w14:paraId="21FB8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771" w:type="dxa"/>
            <w:tcBorders>
              <w:top w:val="nil"/>
              <w:left w:val="single" w:color="000000" w:sz="4" w:space="0"/>
              <w:bottom w:val="single" w:color="000000" w:sz="4" w:space="0"/>
              <w:right w:val="single" w:color="000000" w:sz="4" w:space="0"/>
            </w:tcBorders>
            <w:shd w:val="clear" w:color="auto" w:fill="auto"/>
            <w:vAlign w:val="center"/>
          </w:tcPr>
          <w:p w14:paraId="79B29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899" w:type="dxa"/>
            <w:tcBorders>
              <w:top w:val="nil"/>
              <w:left w:val="single" w:color="000000" w:sz="4" w:space="0"/>
              <w:bottom w:val="single" w:color="000000" w:sz="4" w:space="0"/>
              <w:right w:val="single" w:color="000000" w:sz="4" w:space="0"/>
            </w:tcBorders>
            <w:shd w:val="clear" w:color="auto" w:fill="auto"/>
            <w:vAlign w:val="center"/>
          </w:tcPr>
          <w:p w14:paraId="36E130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578" w:type="dxa"/>
            <w:tcBorders>
              <w:top w:val="nil"/>
              <w:left w:val="single" w:color="000000" w:sz="4" w:space="0"/>
              <w:bottom w:val="single" w:color="000000" w:sz="4" w:space="0"/>
              <w:right w:val="single" w:color="000000" w:sz="4" w:space="0"/>
            </w:tcBorders>
            <w:shd w:val="clear" w:color="auto" w:fill="auto"/>
            <w:vAlign w:val="center"/>
          </w:tcPr>
          <w:p w14:paraId="37C1F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449" w:type="dxa"/>
            <w:tcBorders>
              <w:top w:val="nil"/>
              <w:left w:val="single" w:color="000000" w:sz="4" w:space="0"/>
              <w:bottom w:val="single" w:color="000000" w:sz="4" w:space="0"/>
              <w:right w:val="nil"/>
            </w:tcBorders>
            <w:shd w:val="clear" w:color="auto" w:fill="auto"/>
            <w:vAlign w:val="center"/>
          </w:tcPr>
          <w:p w14:paraId="43F3B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5" w:type="dxa"/>
            <w:tcBorders>
              <w:top w:val="nil"/>
              <w:left w:val="single" w:color="000000" w:sz="4" w:space="0"/>
              <w:bottom w:val="single" w:color="000000" w:sz="4" w:space="0"/>
              <w:right w:val="single" w:color="000000" w:sz="4" w:space="0"/>
            </w:tcBorders>
            <w:shd w:val="clear" w:color="auto" w:fill="auto"/>
            <w:vAlign w:val="center"/>
          </w:tcPr>
          <w:p w14:paraId="2613E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44C1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66F6B">
            <w:pPr>
              <w:jc w:val="center"/>
              <w:rPr>
                <w:rFonts w:hint="eastAsia" w:ascii="宋体" w:hAnsi="宋体" w:eastAsia="宋体" w:cs="宋体"/>
                <w:i w:val="0"/>
                <w:iCs w:val="0"/>
                <w:color w:val="000000"/>
                <w:sz w:val="18"/>
                <w:szCs w:val="1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D22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D8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78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学校的教育资源和师资力量可以为多少学生提供良好的教育</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05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5D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3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0CCAB4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B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7AD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6182">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33E40">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75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A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保证辖区内适龄学生辍学率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5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67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7D3121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D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01B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0E9E">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C59A">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5B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7B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本校教师工资发放每月计划完成率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0C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E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368F1C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D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58E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8008">
            <w:pPr>
              <w:jc w:val="center"/>
              <w:rPr>
                <w:rFonts w:hint="eastAsia" w:ascii="宋体" w:hAnsi="宋体" w:eastAsia="宋体" w:cs="宋体"/>
                <w:i w:val="0"/>
                <w:iCs w:val="0"/>
                <w:color w:val="000000"/>
                <w:sz w:val="18"/>
                <w:szCs w:val="1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31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4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A6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教育的发展和创建良好的办学条件，增加学生出身社会的竞争力上升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F8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17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55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768223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C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287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E9B8D">
            <w:pPr>
              <w:jc w:val="center"/>
              <w:rPr>
                <w:rFonts w:hint="eastAsia" w:ascii="宋体" w:hAnsi="宋体" w:eastAsia="宋体" w:cs="宋体"/>
                <w:i w:val="0"/>
                <w:iCs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CD25">
            <w:pPr>
              <w:jc w:val="left"/>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C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E3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保障良好的师资力量对教育行业在未来具有可持续发展促进作用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2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6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EC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0AB802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3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14:paraId="1DC9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DD53">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18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4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25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办学生满意的教育，满意率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52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1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A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50B13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01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39D9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919A">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DD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3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教育的实施对社会发展为促进作用，相反则不产生负面影响</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E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E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37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9" w:type="dxa"/>
            <w:tcBorders>
              <w:top w:val="single" w:color="000000" w:sz="4" w:space="0"/>
              <w:left w:val="single" w:color="000000" w:sz="4" w:space="0"/>
              <w:bottom w:val="single" w:color="000000" w:sz="4" w:space="0"/>
              <w:right w:val="nil"/>
            </w:tcBorders>
            <w:shd w:val="clear" w:color="auto" w:fill="auto"/>
            <w:vAlign w:val="center"/>
          </w:tcPr>
          <w:p w14:paraId="0789C3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0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14:paraId="534B163F">
      <w:pPr>
        <w:pStyle w:val="2"/>
        <w:spacing w:before="93"/>
        <w:rPr>
          <w:rFonts w:hAnsi="Calibri" w:cs="仿宋"/>
          <w:sz w:val="32"/>
          <w:szCs w:val="32"/>
        </w:rPr>
      </w:pPr>
    </w:p>
    <w:p w14:paraId="3DE3AD68">
      <w:pPr>
        <w:pStyle w:val="2"/>
        <w:spacing w:before="93"/>
        <w:rPr>
          <w:rFonts w:hAnsi="Calibri" w:cs="仿宋"/>
          <w:sz w:val="32"/>
          <w:szCs w:val="32"/>
        </w:rPr>
      </w:pPr>
    </w:p>
    <w:p w14:paraId="49F68A47">
      <w:pPr>
        <w:pStyle w:val="2"/>
        <w:spacing w:before="93"/>
        <w:rPr>
          <w:rFonts w:hAnsi="Calibri" w:cs="仿宋"/>
          <w:sz w:val="32"/>
          <w:szCs w:val="32"/>
        </w:rPr>
      </w:pPr>
    </w:p>
    <w:p w14:paraId="761D50D2">
      <w:pPr>
        <w:pStyle w:val="2"/>
        <w:spacing w:before="93"/>
        <w:rPr>
          <w:rFonts w:hAnsi="Calibri" w:cs="仿宋"/>
          <w:sz w:val="32"/>
          <w:szCs w:val="32"/>
        </w:rPr>
      </w:pPr>
    </w:p>
    <w:p w14:paraId="70521676">
      <w:pPr>
        <w:pStyle w:val="2"/>
        <w:spacing w:before="93"/>
        <w:rPr>
          <w:rFonts w:hAnsi="Calibri" w:cs="仿宋"/>
          <w:sz w:val="32"/>
          <w:szCs w:val="32"/>
        </w:rPr>
      </w:pPr>
    </w:p>
    <w:p w14:paraId="4BE3E650">
      <w:pPr>
        <w:pStyle w:val="2"/>
        <w:spacing w:before="93"/>
        <w:rPr>
          <w:rFonts w:hAnsi="Calibri" w:cs="仿宋"/>
          <w:sz w:val="32"/>
          <w:szCs w:val="32"/>
        </w:rPr>
      </w:pPr>
    </w:p>
    <w:p w14:paraId="20AA48BB">
      <w:pPr>
        <w:pStyle w:val="2"/>
        <w:spacing w:before="93"/>
        <w:rPr>
          <w:rFonts w:hAnsi="Calibri" w:cs="仿宋"/>
          <w:sz w:val="32"/>
          <w:szCs w:val="32"/>
        </w:rPr>
      </w:pPr>
    </w:p>
    <w:p w14:paraId="3AF47156">
      <w:pPr>
        <w:pStyle w:val="2"/>
        <w:spacing w:before="93"/>
        <w:rPr>
          <w:rFonts w:hAnsi="Calibri" w:cs="仿宋"/>
          <w:sz w:val="32"/>
          <w:szCs w:val="32"/>
        </w:rPr>
      </w:pPr>
    </w:p>
    <w:p w14:paraId="0DF04FDF">
      <w:pPr>
        <w:pStyle w:val="2"/>
        <w:spacing w:before="93"/>
        <w:rPr>
          <w:rFonts w:hAnsi="Calibri" w:cs="仿宋"/>
          <w:sz w:val="32"/>
          <w:szCs w:val="32"/>
        </w:rPr>
      </w:pPr>
    </w:p>
    <w:p w14:paraId="48B18904">
      <w:pPr>
        <w:pStyle w:val="2"/>
        <w:spacing w:before="93"/>
        <w:rPr>
          <w:rFonts w:hAnsi="Calibri" w:cs="仿宋"/>
          <w:sz w:val="32"/>
          <w:szCs w:val="32"/>
        </w:rPr>
      </w:pPr>
    </w:p>
    <w:p w14:paraId="15AE37C9">
      <w:pPr>
        <w:pStyle w:val="2"/>
        <w:spacing w:before="93"/>
        <w:rPr>
          <w:rFonts w:hAnsi="Calibri" w:cs="仿宋"/>
          <w:sz w:val="32"/>
          <w:szCs w:val="32"/>
        </w:rPr>
      </w:pPr>
    </w:p>
    <w:p w14:paraId="6113D39F">
      <w:pPr>
        <w:pStyle w:val="2"/>
        <w:spacing w:before="93"/>
        <w:rPr>
          <w:rFonts w:hAnsi="Calibri" w:cs="仿宋"/>
          <w:sz w:val="32"/>
          <w:szCs w:val="32"/>
        </w:rPr>
      </w:pPr>
    </w:p>
    <w:p w14:paraId="241622BD">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3"/>
      <w:bookmarkEnd w:id="55"/>
      <w:bookmarkStart w:id="56" w:name="_Toc15396619"/>
    </w:p>
    <w:p w14:paraId="3CD2D9FA">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6"/>
    </w:p>
    <w:p w14:paraId="7708E8C9">
      <w:pPr>
        <w:pStyle w:val="4"/>
        <w:rPr>
          <w:rFonts w:ascii="仿宋" w:hAnsi="仿宋" w:eastAsia="仿宋"/>
        </w:rPr>
      </w:pPr>
      <w:bookmarkStart w:id="57" w:name="_Toc15396620"/>
      <w:r>
        <w:rPr>
          <w:rFonts w:hint="eastAsia" w:ascii="仿宋" w:hAnsi="仿宋" w:eastAsia="仿宋"/>
          <w:b w:val="0"/>
        </w:rPr>
        <w:t>二、收</w:t>
      </w:r>
      <w:r>
        <w:rPr>
          <w:rStyle w:val="28"/>
          <w:rFonts w:hint="eastAsia" w:ascii="仿宋" w:hAnsi="仿宋" w:eastAsia="仿宋"/>
          <w:b w:val="0"/>
          <w:bCs w:val="0"/>
        </w:rPr>
        <w:t>入决算表</w:t>
      </w:r>
      <w:bookmarkEnd w:id="57"/>
    </w:p>
    <w:p w14:paraId="0E1A69E3">
      <w:pPr>
        <w:pStyle w:val="4"/>
        <w:rPr>
          <w:rFonts w:ascii="仿宋" w:hAnsi="仿宋" w:eastAsia="仿宋"/>
        </w:rPr>
      </w:pPr>
      <w:bookmarkStart w:id="58"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8"/>
    </w:p>
    <w:p w14:paraId="5B0BB569">
      <w:pPr>
        <w:pStyle w:val="4"/>
        <w:rPr>
          <w:rFonts w:ascii="仿宋" w:hAnsi="仿宋" w:eastAsia="仿宋"/>
          <w:b w:val="0"/>
        </w:rPr>
      </w:pPr>
      <w:bookmarkStart w:id="59"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9"/>
    </w:p>
    <w:p w14:paraId="739E51AD">
      <w:pPr>
        <w:pStyle w:val="4"/>
        <w:rPr>
          <w:rStyle w:val="28"/>
          <w:rFonts w:ascii="仿宋" w:hAnsi="仿宋" w:eastAsia="仿宋"/>
          <w:b w:val="0"/>
          <w:bCs w:val="0"/>
        </w:rPr>
      </w:pPr>
      <w:bookmarkStart w:id="60"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60"/>
      <w:bookmarkStart w:id="61" w:name="_Toc15396624"/>
    </w:p>
    <w:p w14:paraId="7B1D3698">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61"/>
    </w:p>
    <w:p w14:paraId="4300D2B3">
      <w:pPr>
        <w:pStyle w:val="4"/>
        <w:rPr>
          <w:rFonts w:ascii="仿宋" w:hAnsi="仿宋" w:eastAsia="仿宋"/>
        </w:rPr>
      </w:pPr>
      <w:bookmarkStart w:id="62"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2"/>
    </w:p>
    <w:p w14:paraId="5AC7EE70">
      <w:pPr>
        <w:pStyle w:val="4"/>
        <w:rPr>
          <w:rFonts w:ascii="仿宋" w:hAnsi="仿宋" w:eastAsia="仿宋"/>
        </w:rPr>
      </w:pPr>
      <w:bookmarkStart w:id="63"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3"/>
    </w:p>
    <w:p w14:paraId="7A5155D2">
      <w:pPr>
        <w:pStyle w:val="4"/>
        <w:rPr>
          <w:rFonts w:ascii="仿宋" w:hAnsi="仿宋" w:eastAsia="仿宋"/>
        </w:rPr>
      </w:pPr>
      <w:bookmarkStart w:id="64"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4"/>
    </w:p>
    <w:p w14:paraId="15022A1A">
      <w:pPr>
        <w:pStyle w:val="4"/>
        <w:rPr>
          <w:rFonts w:ascii="仿宋" w:hAnsi="仿宋" w:eastAsia="仿宋"/>
        </w:rPr>
      </w:pPr>
      <w:bookmarkStart w:id="65" w:name="_Toc15396628"/>
      <w:r>
        <w:rPr>
          <w:rStyle w:val="28"/>
          <w:rFonts w:hint="eastAsia" w:ascii="仿宋" w:hAnsi="仿宋" w:eastAsia="仿宋"/>
          <w:b w:val="0"/>
          <w:bCs w:val="0"/>
        </w:rPr>
        <w:t>十、</w:t>
      </w:r>
      <w:bookmarkEnd w:id="65"/>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0188ACE9">
      <w:pPr>
        <w:pStyle w:val="4"/>
        <w:rPr>
          <w:rFonts w:ascii="仿宋" w:hAnsi="仿宋" w:eastAsia="仿宋"/>
        </w:rPr>
      </w:pPr>
      <w:bookmarkStart w:id="66" w:name="_Toc15396629"/>
      <w:r>
        <w:rPr>
          <w:rStyle w:val="28"/>
          <w:rFonts w:hint="eastAsia" w:ascii="仿宋" w:hAnsi="仿宋" w:eastAsia="仿宋"/>
          <w:b w:val="0"/>
          <w:bCs w:val="0"/>
        </w:rPr>
        <w:t>十一、</w:t>
      </w:r>
      <w:bookmarkEnd w:id="66"/>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EB97D4D">
      <w:pPr>
        <w:pStyle w:val="4"/>
        <w:rPr>
          <w:rFonts w:ascii="仿宋" w:hAnsi="仿宋" w:eastAsia="仿宋"/>
        </w:rPr>
      </w:pPr>
      <w:bookmarkStart w:id="67" w:name="_Toc15396630"/>
      <w:r>
        <w:rPr>
          <w:rStyle w:val="28"/>
          <w:rFonts w:hint="eastAsia" w:ascii="仿宋" w:hAnsi="仿宋" w:eastAsia="仿宋"/>
          <w:b w:val="0"/>
          <w:bCs w:val="0"/>
        </w:rPr>
        <w:t>十二、</w:t>
      </w:r>
      <w:bookmarkEnd w:id="67"/>
      <w:r>
        <w:rPr>
          <w:rStyle w:val="28"/>
          <w:rFonts w:hint="eastAsia" w:ascii="仿宋" w:hAnsi="仿宋" w:eastAsia="仿宋"/>
          <w:b w:val="0"/>
          <w:bCs w:val="0"/>
        </w:rPr>
        <w:t>国有资本经营预算财政拨款支出决算表</w:t>
      </w:r>
    </w:p>
    <w:p w14:paraId="3978FCB3">
      <w:pPr>
        <w:pStyle w:val="4"/>
        <w:rPr>
          <w:rFonts w:eastAsia="仿宋"/>
        </w:rPr>
      </w:pPr>
      <w:bookmarkStart w:id="68" w:name="_Toc15396631"/>
      <w:r>
        <w:rPr>
          <w:rStyle w:val="28"/>
          <w:rFonts w:hint="eastAsia" w:ascii="仿宋" w:hAnsi="仿宋" w:eastAsia="仿宋"/>
          <w:b w:val="0"/>
          <w:bCs w:val="0"/>
        </w:rPr>
        <w:t>十三、</w:t>
      </w:r>
      <w:bookmarkEnd w:id="68"/>
      <w:r>
        <w:rPr>
          <w:rStyle w:val="28"/>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97D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68"/>
                          </w:sdtPr>
                          <w:sdtContent>
                            <w:p w14:paraId="2142E8CA">
                              <w:pPr>
                                <w:pStyle w:val="9"/>
                                <w:jc w:val="center"/>
                              </w:pPr>
                              <w:r>
                                <w:fldChar w:fldCharType="begin"/>
                              </w:r>
                              <w:r>
                                <w:instrText xml:space="preserve">PAGE   \* MERGEFORMAT</w:instrText>
                              </w:r>
                              <w:r>
                                <w:fldChar w:fldCharType="separate"/>
                              </w:r>
                              <w:r>
                                <w:rPr>
                                  <w:lang w:val="zh-CN"/>
                                </w:rPr>
                                <w:t>15</w:t>
                              </w:r>
                              <w:r>
                                <w:fldChar w:fldCharType="end"/>
                              </w:r>
                            </w:p>
                          </w:sdtContent>
                        </w:sdt>
                        <w:p w14:paraId="621B405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6168"/>
                    </w:sdtPr>
                    <w:sdtContent>
                      <w:p w14:paraId="2142E8CA">
                        <w:pPr>
                          <w:pStyle w:val="9"/>
                          <w:jc w:val="center"/>
                        </w:pPr>
                        <w:r>
                          <w:fldChar w:fldCharType="begin"/>
                        </w:r>
                        <w:r>
                          <w:instrText xml:space="preserve">PAGE   \* MERGEFORMAT</w:instrText>
                        </w:r>
                        <w:r>
                          <w:fldChar w:fldCharType="separate"/>
                        </w:r>
                        <w:r>
                          <w:rPr>
                            <w:lang w:val="zh-CN"/>
                          </w:rPr>
                          <w:t>15</w:t>
                        </w:r>
                        <w:r>
                          <w:fldChar w:fldCharType="end"/>
                        </w:r>
                      </w:p>
                    </w:sdtContent>
                  </w:sdt>
                  <w:p w14:paraId="621B405F">
                    <w:pPr>
                      <w:pStyle w:val="2"/>
                    </w:pPr>
                  </w:p>
                </w:txbxContent>
              </v:textbox>
            </v:shape>
          </w:pict>
        </mc:Fallback>
      </mc:AlternateContent>
    </w:r>
  </w:p>
  <w:p w14:paraId="3C77B89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2E51">
    <w:pPr>
      <w:pStyle w:val="9"/>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AC63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CAC636">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AD9A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0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552D"/>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D272220"/>
    <w:rsid w:val="0F5FFB2F"/>
    <w:rsid w:val="0FFFCF60"/>
    <w:rsid w:val="10C055FF"/>
    <w:rsid w:val="118107EC"/>
    <w:rsid w:val="11DD6519"/>
    <w:rsid w:val="159C4C35"/>
    <w:rsid w:val="16BB723D"/>
    <w:rsid w:val="17E42975"/>
    <w:rsid w:val="18015F3F"/>
    <w:rsid w:val="1BE8440E"/>
    <w:rsid w:val="1D155CEE"/>
    <w:rsid w:val="1FDBBF84"/>
    <w:rsid w:val="20F57F95"/>
    <w:rsid w:val="240371BF"/>
    <w:rsid w:val="256E67E6"/>
    <w:rsid w:val="25711CC6"/>
    <w:rsid w:val="25A829A2"/>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0F370AB"/>
    <w:rsid w:val="427B20EB"/>
    <w:rsid w:val="42FF6694"/>
    <w:rsid w:val="45814D36"/>
    <w:rsid w:val="45FA50EC"/>
    <w:rsid w:val="48BF60AB"/>
    <w:rsid w:val="493C27E9"/>
    <w:rsid w:val="496F39ED"/>
    <w:rsid w:val="49FF41D3"/>
    <w:rsid w:val="4BE068DB"/>
    <w:rsid w:val="4BF6002B"/>
    <w:rsid w:val="4BFFC6BE"/>
    <w:rsid w:val="4D067C72"/>
    <w:rsid w:val="4ECE2238"/>
    <w:rsid w:val="50D17AA6"/>
    <w:rsid w:val="51DB4B86"/>
    <w:rsid w:val="51F64DB0"/>
    <w:rsid w:val="524122DB"/>
    <w:rsid w:val="55333C3E"/>
    <w:rsid w:val="562E14F6"/>
    <w:rsid w:val="5EB93F26"/>
    <w:rsid w:val="5ED876E8"/>
    <w:rsid w:val="5F67802D"/>
    <w:rsid w:val="5F7DC4F2"/>
    <w:rsid w:val="5FB36814"/>
    <w:rsid w:val="5FBB8E56"/>
    <w:rsid w:val="5FFB5535"/>
    <w:rsid w:val="63DC7925"/>
    <w:rsid w:val="64CA39A1"/>
    <w:rsid w:val="69630ADE"/>
    <w:rsid w:val="69BD5F13"/>
    <w:rsid w:val="69FB0B4B"/>
    <w:rsid w:val="6A0D0135"/>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Documents\WeChat%20Files\wxid_1r8y16316xtq22\FileStorage\File\2024-10\2022&#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Documents\WeChat%20Files\wxid_1r8y16316xtq22\FileStorage\File\2024-10\2022&#2418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Documents\WeChat%20Files\wxid_1r8y16316xtq22\FileStorage\File\2024-10\2022&#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Documents\WeChat%20Files\wxid_1r8y16316xtq22\FileStorage\File\2024-10\2022&#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Documents\WeChat%20Files\wxid_1r8y16316xtq22\FileStorage\File\2024-10\2022&#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Documents\WeChat%20Files\wxid_1r8y16316xtq22\FileStorage\File\2024-10\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a:t>
            </a:r>
            <a:endParaRPr lang="en-US" altLang="zh-CN"/>
          </a:p>
        </c:rich>
      </c:tx>
      <c:layout>
        <c:manualLayout>
          <c:xMode val="edge"/>
          <c:yMode val="edge"/>
          <c:x val="0.294059937800396"/>
          <c:y val="0.00675675675675676"/>
        </c:manualLayout>
      </c:layout>
      <c:overlay val="0"/>
      <c:spPr>
        <a:noFill/>
        <a:ln>
          <a:noFill/>
        </a:ln>
        <a:effectLst/>
      </c:spPr>
    </c:title>
    <c:autoTitleDeleted val="0"/>
    <c:plotArea>
      <c:layout/>
      <c:barChart>
        <c:barDir val="col"/>
        <c:grouping val="clustered"/>
        <c:varyColors val="0"/>
        <c:ser>
          <c:idx val="0"/>
          <c:order val="0"/>
          <c:tx>
            <c:strRef>
              <c:f>[2022年决算公开图表.xlsx]Sheet1!$E$6</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[2022年决算公开图表.xlsx]Sheet1!$F$5:$G$5</c:f>
              <c:numCache>
                <c:formatCode>General</c:formatCode>
                <c:ptCount val="2"/>
                <c:pt idx="0">
                  <c:v>2022</c:v>
                </c:pt>
                <c:pt idx="1">
                  <c:v>2023</c:v>
                </c:pt>
              </c:numCache>
            </c:numRef>
          </c:cat>
          <c:val>
            <c:numRef>
              <c:f>[2022年决算公开图表.xlsx]Sheet1!$F$6:$G$6</c:f>
              <c:numCache>
                <c:formatCode>0.00_ </c:formatCode>
                <c:ptCount val="2"/>
                <c:pt idx="0">
                  <c:v>431.68</c:v>
                </c:pt>
                <c:pt idx="1">
                  <c:v>467.3</c:v>
                </c:pt>
              </c:numCache>
            </c:numRef>
          </c:val>
        </c:ser>
        <c:ser>
          <c:idx val="1"/>
          <c:order val="1"/>
          <c:tx>
            <c:strRef>
              <c:f>[2022年决算公开图表.xlsx]Sheet1!$E$7</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[2022年决算公开图表.xlsx]Sheet1!$F$5:$G$5</c:f>
              <c:numCache>
                <c:formatCode>General</c:formatCode>
                <c:ptCount val="2"/>
                <c:pt idx="0">
                  <c:v>2022</c:v>
                </c:pt>
                <c:pt idx="1">
                  <c:v>2023</c:v>
                </c:pt>
              </c:numCache>
            </c:numRef>
          </c:cat>
          <c:val>
            <c:numRef>
              <c:f>[2022年决算公开图表.xlsx]Sheet1!$F$7:$G$7</c:f>
              <c:numCache>
                <c:formatCode>0.00_ </c:formatCode>
                <c:ptCount val="2"/>
                <c:pt idx="0">
                  <c:v>431.68</c:v>
                </c:pt>
                <c:pt idx="1">
                  <c:v>467.3</c:v>
                </c:pt>
              </c:numCache>
            </c:numRef>
          </c:val>
        </c:ser>
        <c:dLbls>
          <c:showLegendKey val="0"/>
          <c:showVal val="1"/>
          <c:showCatName val="0"/>
          <c:showSerName val="0"/>
          <c:showPercent val="0"/>
          <c:showBubbleSize val="0"/>
        </c:dLbls>
        <c:gapWidth val="219"/>
        <c:overlap val="-27"/>
        <c:axId val="743740413"/>
        <c:axId val="381434503"/>
      </c:barChart>
      <c:catAx>
        <c:axId val="7437404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434503"/>
        <c:crosses val="autoZero"/>
        <c:auto val="1"/>
        <c:lblAlgn val="ctr"/>
        <c:lblOffset val="100"/>
        <c:noMultiLvlLbl val="0"/>
      </c:catAx>
      <c:valAx>
        <c:axId val="38143450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374041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fbf1b25-55b9-4864-81c6-3995a9ad753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ltLang="en-US" b="1">
                <a:solidFill>
                  <a:sysClr val="windowText" lastClr="000000"/>
                </a:solidFill>
              </a:rPr>
              <a:t>收入决算结构图</a:t>
            </a:r>
            <a:endParaRPr lang="en-US" altLang="zh-CN" b="1">
              <a:solidFill>
                <a:sysClr val="windowText" lastClr="000000"/>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[2022年决算公开图表.xlsx]Sheet2!$B$3</c:f>
              <c:strCache>
                <c:ptCount val="1"/>
                <c:pt idx="0">
                  <c:v>一般公共预算财政拨款收入</c:v>
                </c:pt>
              </c:strCache>
            </c:strRef>
          </c:cat>
          <c:val>
            <c:numRef>
              <c:f>[2022年决算公开图表.xlsx]Sheet2!$C$3</c:f>
              <c:numCache>
                <c:formatCode>General</c:formatCode>
                <c:ptCount val="1"/>
                <c:pt idx="0">
                  <c:v>448.78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481d9227-142f-4ebf-9e5f-856623d5584a}"/>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[2022年决算公开图表.xlsx]Sheet3!$C$3:$C$4</c:f>
              <c:strCache>
                <c:ptCount val="2"/>
                <c:pt idx="0">
                  <c:v>基本支出</c:v>
                </c:pt>
                <c:pt idx="1">
                  <c:v>项目支出</c:v>
                </c:pt>
              </c:strCache>
            </c:strRef>
          </c:cat>
          <c:val>
            <c:numRef>
              <c:f>[2022年决算公开图表.xlsx]Sheet3!$D$3:$D$4</c:f>
              <c:numCache>
                <c:formatCode>General</c:formatCode>
                <c:ptCount val="2"/>
                <c:pt idx="0">
                  <c:v>465.66</c:v>
                </c:pt>
                <c:pt idx="1">
                  <c:v>1.64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e4404b3-e126-43aa-b5b6-38e5ce0e8c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[2022年决算公开图表.xlsx]Sheet4!$C$8</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[2022年决算公开图表.xlsx]Sheet4!$D$7:$E$7</c:f>
              <c:numCache>
                <c:formatCode>General</c:formatCode>
                <c:ptCount val="2"/>
                <c:pt idx="0">
                  <c:v>2023</c:v>
                </c:pt>
                <c:pt idx="1">
                  <c:v>2022</c:v>
                </c:pt>
              </c:numCache>
            </c:numRef>
          </c:cat>
          <c:val>
            <c:numRef>
              <c:f>[2022年决算公开图表.xlsx]Sheet4!$D$8:$E$8</c:f>
              <c:numCache>
                <c:formatCode>General</c:formatCode>
                <c:ptCount val="2"/>
                <c:pt idx="0">
                  <c:v>467.3</c:v>
                </c:pt>
                <c:pt idx="1" c:formatCode="0.00_ ">
                  <c:v>431.68</c:v>
                </c:pt>
              </c:numCache>
            </c:numRef>
          </c:val>
        </c:ser>
        <c:ser>
          <c:idx val="1"/>
          <c:order val="1"/>
          <c:tx>
            <c:strRef>
              <c:f>[2022年决算公开图表.xlsx]Sheet4!$C$9</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[2022年决算公开图表.xlsx]Sheet4!$D$7:$E$7</c:f>
              <c:numCache>
                <c:formatCode>General</c:formatCode>
                <c:ptCount val="2"/>
                <c:pt idx="0">
                  <c:v>2023</c:v>
                </c:pt>
                <c:pt idx="1">
                  <c:v>2022</c:v>
                </c:pt>
              </c:numCache>
            </c:numRef>
          </c:cat>
          <c:val>
            <c:numRef>
              <c:f>[2022年决算公开图表.xlsx]Sheet4!$D$9:$E$9</c:f>
              <c:numCache>
                <c:formatCode>General</c:formatCode>
                <c:ptCount val="2"/>
                <c:pt idx="0">
                  <c:v>467.3</c:v>
                </c:pt>
                <c:pt idx="1" c:formatCode="0.00_ ">
                  <c:v>431.68</c:v>
                </c:pt>
              </c:numCache>
            </c:numRef>
          </c:val>
        </c:ser>
        <c:dLbls>
          <c:showLegendKey val="0"/>
          <c:showVal val="1"/>
          <c:showCatName val="0"/>
          <c:showSerName val="0"/>
          <c:showPercent val="0"/>
          <c:showBubbleSize val="0"/>
        </c:dLbls>
        <c:gapWidth val="150"/>
        <c:overlap val="0"/>
        <c:axId val="92033776"/>
        <c:axId val="568120804"/>
      </c:barChart>
      <c:catAx>
        <c:axId val="92033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20804"/>
        <c:crosses val="autoZero"/>
        <c:auto val="1"/>
        <c:lblAlgn val="ctr"/>
        <c:lblOffset val="100"/>
        <c:noMultiLvlLbl val="0"/>
      </c:catAx>
      <c:valAx>
        <c:axId val="5681208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3377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1513503-878b-44a4-9f75-6fbd4ba624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t>一般公共预算财拨款支出决算变动情况</a:t>
            </a:r>
            <a:endParaRPr lang="en-US" altLang="zh-CN" b="1"/>
          </a:p>
        </c:rich>
      </c:tx>
      <c:layout/>
      <c:overlay val="0"/>
      <c:spPr>
        <a:noFill/>
        <a:ln>
          <a:noFill/>
        </a:ln>
        <a:effectLst/>
      </c:spPr>
    </c:title>
    <c:autoTitleDeleted val="0"/>
    <c:plotArea>
      <c:layout>
        <c:manualLayout>
          <c:layoutTarget val="inner"/>
          <c:xMode val="edge"/>
          <c:yMode val="edge"/>
          <c:x val="0.0907777777777778"/>
          <c:y val="0.176388888888889"/>
          <c:w val="0.791166666666667"/>
          <c:h val="0.694074074074074"/>
        </c:manualLayout>
      </c:layout>
      <c:barChart>
        <c:barDir val="col"/>
        <c:grouping val="clustered"/>
        <c:varyColors val="0"/>
        <c:ser>
          <c:idx val="0"/>
          <c:order val="0"/>
          <c:tx>
            <c:strRef>
              <c:f>[2022年决算公开图表.xlsx]Sheet5!$D$5</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[2022年决算公开图表.xlsx]Sheet5!$E$4:$F$4</c:f>
              <c:numCache>
                <c:formatCode>General</c:formatCode>
                <c:ptCount val="2"/>
                <c:pt idx="0">
                  <c:v>2022</c:v>
                </c:pt>
                <c:pt idx="1">
                  <c:v>2023</c:v>
                </c:pt>
              </c:numCache>
            </c:numRef>
          </c:cat>
          <c:val>
            <c:numRef>
              <c:f>[2022年决算公开图表.xlsx]Sheet5!$E$5:$F$5</c:f>
              <c:numCache>
                <c:formatCode>General</c:formatCode>
                <c:ptCount val="2"/>
                <c:pt idx="0">
                  <c:v>431.68</c:v>
                </c:pt>
                <c:pt idx="1" c:formatCode="0.00_ ">
                  <c:v>467.3</c:v>
                </c:pt>
              </c:numCache>
            </c:numRef>
          </c:val>
        </c:ser>
        <c:dLbls>
          <c:showLegendKey val="0"/>
          <c:showVal val="1"/>
          <c:showCatName val="0"/>
          <c:showSerName val="0"/>
          <c:showPercent val="0"/>
          <c:showBubbleSize val="0"/>
        </c:dLbls>
        <c:gapWidth val="150"/>
        <c:overlap val="0"/>
        <c:axId val="15475633"/>
        <c:axId val="30962368"/>
      </c:barChart>
      <c:catAx>
        <c:axId val="154756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62368"/>
        <c:crosses val="autoZero"/>
        <c:auto val="1"/>
        <c:lblAlgn val="ctr"/>
        <c:lblOffset val="100"/>
        <c:noMultiLvlLbl val="0"/>
      </c:catAx>
      <c:valAx>
        <c:axId val="309623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75633"/>
        <c:crosses val="autoZero"/>
        <c:crossBetween val="between"/>
      </c:valAx>
      <c:spPr>
        <a:noFill/>
        <a:ln>
          <a:noFill/>
        </a:ln>
        <a:effectLst/>
      </c:spPr>
    </c:plotArea>
    <c:legend>
      <c:legendPos val="r"/>
      <c:layout>
        <c:manualLayout>
          <c:xMode val="edge"/>
          <c:yMode val="edge"/>
          <c:x val="0.352222222222222"/>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990bf1-95b2-47cc-b06f-072bb555dff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一般公共预算财政拨款支出决算结构图</a:t>
            </a:r>
            <a:endParaRPr lang="en-US" altLang="zh-CN"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[2022年决算公开图表.xlsx]Sheet6!$D$3:$D$6</c:f>
              <c:strCache>
                <c:ptCount val="4"/>
                <c:pt idx="0">
                  <c:v>教育支出</c:v>
                </c:pt>
                <c:pt idx="1">
                  <c:v>社会保障和就业支出</c:v>
                </c:pt>
                <c:pt idx="2">
                  <c:v>卫生健康支出</c:v>
                </c:pt>
                <c:pt idx="3">
                  <c:v>住房保障支出</c:v>
                </c:pt>
              </c:strCache>
            </c:strRef>
          </c:cat>
          <c:val>
            <c:numRef>
              <c:f>[2022年决算公开图表.xlsx]Sheet6!$E$3:$E$6</c:f>
              <c:numCache>
                <c:formatCode>General</c:formatCode>
                <c:ptCount val="4"/>
                <c:pt idx="0">
                  <c:v>336.25</c:v>
                </c:pt>
                <c:pt idx="1">
                  <c:v>71.63</c:v>
                </c:pt>
                <c:pt idx="2">
                  <c:v>13.48</c:v>
                </c:pt>
                <c:pt idx="3">
                  <c:v>45.94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850ebb8-c030-4e68-9eb4-846ee0e6770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4427</Words>
  <Characters>4979</Characters>
  <Lines>54</Lines>
  <Paragraphs>15</Paragraphs>
  <TotalTime>4</TotalTime>
  <ScaleCrop>false</ScaleCrop>
  <LinksUpToDate>false</LinksUpToDate>
  <CharactersWithSpaces>5009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2024-10-29T01:14:21Z</cp:lastPrinted>
  <dcterms:modified xsi:type="dcterms:W3CDTF">2024-10-29T01:19:50Z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D1024069CA0C45E7A0506017D2FC83D4_13</vt:lpwstr>
  </property>
</Properties>
</file>