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36E21">
      <w:pPr>
        <w:spacing w:line="600" w:lineRule="exact"/>
        <w:jc w:val="left"/>
        <w:outlineLvl w:val="0"/>
        <w:rPr>
          <w:rFonts w:ascii="方正小标宋简体" w:hAnsi="宋体" w:eastAsia="方正小标宋简体"/>
          <w:szCs w:val="21"/>
        </w:rPr>
      </w:pPr>
      <w:bookmarkStart w:id="0" w:name="_Toc15306267"/>
    </w:p>
    <w:p w14:paraId="1D332883">
      <w:pPr>
        <w:pStyle w:val="2"/>
        <w:spacing w:before="93"/>
      </w:pPr>
    </w:p>
    <w:p w14:paraId="2BDE3689">
      <w:pPr>
        <w:spacing w:line="600" w:lineRule="exact"/>
        <w:jc w:val="center"/>
        <w:outlineLvl w:val="0"/>
        <w:rPr>
          <w:rFonts w:ascii="方正小标宋简体" w:hAnsi="宋体" w:eastAsia="方正小标宋简体"/>
          <w:sz w:val="72"/>
          <w:szCs w:val="72"/>
        </w:rPr>
      </w:pPr>
    </w:p>
    <w:p w14:paraId="46CFFF68">
      <w:pPr>
        <w:spacing w:line="600" w:lineRule="exact"/>
        <w:jc w:val="center"/>
        <w:outlineLvl w:val="0"/>
        <w:rPr>
          <w:rFonts w:ascii="方正小标宋简体" w:hAnsi="宋体" w:eastAsia="方正小标宋简体"/>
          <w:sz w:val="72"/>
          <w:szCs w:val="72"/>
        </w:rPr>
      </w:pPr>
    </w:p>
    <w:p w14:paraId="615F6B57">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96597"/>
      <w:bookmarkStart w:id="3" w:name="_Toc15396475"/>
      <w:bookmarkStart w:id="4" w:name="_Toc15377193"/>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1D7ED09D">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77426"/>
      <w:bookmarkStart w:id="7" w:name="_Toc15377194"/>
      <w:bookmarkStart w:id="8" w:name="_Toc15306268"/>
      <w:bookmarkStart w:id="9" w:name="_Toc15378442"/>
      <w:bookmarkStart w:id="10" w:name="_Toc15396476"/>
      <w:bookmarkStart w:id="11" w:name="_Toc15396598"/>
      <w:r>
        <w:rPr>
          <w:rFonts w:hint="eastAsia" w:ascii="方正小标宋简体" w:hAnsi="方正小标宋简体" w:eastAsia="方正小标宋简体" w:cs="方正小标宋简体"/>
          <w:color w:val="auto"/>
          <w:sz w:val="72"/>
          <w:szCs w:val="72"/>
          <w:highlight w:val="none"/>
          <w:lang w:eastAsia="zh-CN"/>
        </w:rPr>
        <w:t>大竹县月华镇卫生院</w:t>
      </w:r>
    </w:p>
    <w:p w14:paraId="7CC0326E">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5717E714">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5002820B">
      <w:pPr>
        <w:widowControl/>
        <w:jc w:val="center"/>
        <w:rPr>
          <w:rFonts w:ascii="黑体" w:hAnsi="黑体" w:eastAsia="黑体" w:cstheme="minorBidi"/>
          <w:sz w:val="28"/>
          <w:szCs w:val="28"/>
        </w:rPr>
      </w:pPr>
      <w:bookmarkStart w:id="67" w:name="_GoBack"/>
    </w:p>
    <w:bookmarkEnd w:id="67"/>
    <w:p w14:paraId="1830C34D">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7AFD0E9D"/>
    <w:p w14:paraId="1002AD2B">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tab/>
      </w:r>
      <w:r>
        <w:rPr>
          <w:rFonts w:hint="eastAsia"/>
          <w:lang w:val="en-US" w:eastAsia="zh-CN"/>
        </w:rPr>
        <w:t>4</w:t>
      </w:r>
    </w:p>
    <w:p w14:paraId="6E99D0DB">
      <w:pPr>
        <w:pStyle w:val="12"/>
        <w:adjustRightInd w:val="0"/>
        <w:snapToGrid w:val="0"/>
        <w:spacing w:line="440" w:lineRule="exact"/>
        <w:jc w:val="left"/>
        <w:rPr>
          <w:sz w:val="24"/>
        </w:rPr>
      </w:pPr>
      <w:r>
        <w:rPr>
          <w:rFonts w:hint="eastAsia"/>
          <w:sz w:val="24"/>
        </w:rPr>
        <w:t>一、主要职责</w:t>
      </w:r>
      <w:r>
        <w:tab/>
      </w:r>
      <w:r>
        <w:rPr>
          <w:rFonts w:hint="eastAsia"/>
          <w:lang w:val="en-US" w:eastAsia="zh-CN"/>
        </w:rPr>
        <w:t>4</w:t>
      </w:r>
    </w:p>
    <w:p w14:paraId="18DD65C7">
      <w:pPr>
        <w:pStyle w:val="12"/>
        <w:adjustRightInd w:val="0"/>
        <w:snapToGrid w:val="0"/>
        <w:spacing w:line="440" w:lineRule="exact"/>
        <w:jc w:val="left"/>
      </w:pPr>
      <w:r>
        <w:rPr>
          <w:rFonts w:hint="eastAsia"/>
          <w:sz w:val="24"/>
        </w:rPr>
        <w:t>二、机构设置</w:t>
      </w:r>
      <w:r>
        <w:tab/>
      </w:r>
      <w:r>
        <w:rPr>
          <w:rFonts w:hint="eastAsia"/>
          <w:lang w:val="en-US" w:eastAsia="zh-CN"/>
        </w:rPr>
        <w:t>4</w:t>
      </w:r>
    </w:p>
    <w:p w14:paraId="53C91644">
      <w:pPr>
        <w:pStyle w:val="11"/>
        <w:adjustRightInd w:val="0"/>
        <w:snapToGrid w:val="0"/>
        <w:spacing w:before="0" w:line="440" w:lineRule="exact"/>
        <w:jc w:val="left"/>
        <w:rPr>
          <w:rFonts w:hint="eastAsia" w:eastAsia="仿宋"/>
          <w:sz w:val="24"/>
          <w:szCs w:val="24"/>
          <w:lang w:val="en-US" w:eastAsia="zh-CN"/>
        </w:rPr>
      </w:pPr>
      <w:r>
        <w:rPr>
          <w:rFonts w:hint="eastAsia"/>
          <w:sz w:val="24"/>
        </w:rPr>
        <w:t>第二部分 2023年度单位决算情况说明</w:t>
      </w:r>
      <w:r>
        <w:tab/>
      </w:r>
      <w:r>
        <w:rPr>
          <w:rFonts w:hint="eastAsia"/>
          <w:lang w:val="en-US" w:eastAsia="zh-CN"/>
        </w:rPr>
        <w:t>5</w:t>
      </w:r>
    </w:p>
    <w:p w14:paraId="17DA9DA7">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r>
        <w:tab/>
      </w:r>
      <w:r>
        <w:rPr>
          <w:rFonts w:hint="eastAsia"/>
          <w:lang w:val="en-US" w:eastAsia="zh-CN"/>
        </w:rPr>
        <w:t>5</w:t>
      </w:r>
    </w:p>
    <w:p w14:paraId="1C1C2846">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r>
        <w:tab/>
      </w:r>
      <w:r>
        <w:rPr>
          <w:rFonts w:hint="eastAsia"/>
          <w:lang w:val="en-US" w:eastAsia="zh-CN"/>
        </w:rPr>
        <w:t>5</w:t>
      </w:r>
    </w:p>
    <w:p w14:paraId="18BA0756">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tab/>
      </w:r>
      <w:r>
        <w:rPr>
          <w:rFonts w:hint="eastAsia"/>
          <w:lang w:val="en-US" w:eastAsia="zh-CN"/>
        </w:rPr>
        <w:t>6</w:t>
      </w:r>
    </w:p>
    <w:p w14:paraId="13889E03">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tab/>
      </w:r>
      <w:r>
        <w:rPr>
          <w:rFonts w:hint="eastAsia"/>
          <w:lang w:val="en-US" w:eastAsia="zh-CN"/>
        </w:rPr>
        <w:t>7</w:t>
      </w:r>
    </w:p>
    <w:p w14:paraId="6CD55F60">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tab/>
      </w:r>
      <w:r>
        <w:rPr>
          <w:rFonts w:hint="eastAsia"/>
          <w:lang w:val="en-US" w:eastAsia="zh-CN"/>
        </w:rPr>
        <w:t>8</w:t>
      </w:r>
    </w:p>
    <w:p w14:paraId="45895FF6">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tab/>
      </w:r>
      <w:r>
        <w:rPr>
          <w:rFonts w:hint="eastAsia"/>
          <w:lang w:val="en-US" w:eastAsia="zh-CN"/>
        </w:rPr>
        <w:t>9</w:t>
      </w:r>
    </w:p>
    <w:p w14:paraId="59C37A93">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七、财政拨款“三公”经费支出决算情况说明</w:t>
      </w:r>
      <w:r>
        <w:tab/>
      </w:r>
      <w:r>
        <w:rPr>
          <w:rFonts w:hint="eastAsia"/>
          <w:lang w:val="en-US" w:eastAsia="zh-CN"/>
        </w:rPr>
        <w:t>10</w:t>
      </w:r>
    </w:p>
    <w:p w14:paraId="29918B11">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tab/>
      </w:r>
      <w:r>
        <w:rPr>
          <w:rFonts w:hint="eastAsia"/>
          <w:lang w:val="en-US" w:eastAsia="zh-CN"/>
        </w:rPr>
        <w:t>10</w:t>
      </w:r>
    </w:p>
    <w:p w14:paraId="40211584">
      <w:pPr>
        <w:pStyle w:val="12"/>
        <w:adjustRightInd w:val="0"/>
        <w:snapToGrid w:val="0"/>
        <w:spacing w:line="440" w:lineRule="exact"/>
        <w:jc w:val="left"/>
        <w:rPr>
          <w:sz w:val="24"/>
        </w:rPr>
      </w:pPr>
      <w:r>
        <w:rPr>
          <w:rFonts w:hint="eastAsia"/>
          <w:sz w:val="24"/>
        </w:rPr>
        <w:t>九、国有资本经营预算支出决算情况说明</w:t>
      </w:r>
      <w:r>
        <w:tab/>
      </w:r>
      <w:r>
        <w:rPr>
          <w:rFonts w:hint="eastAsia"/>
          <w:lang w:val="en-US" w:eastAsia="zh-CN"/>
        </w:rPr>
        <w:t>10</w:t>
      </w:r>
    </w:p>
    <w:p w14:paraId="58FD65D5">
      <w:pPr>
        <w:pStyle w:val="12"/>
        <w:adjustRightInd w:val="0"/>
        <w:snapToGrid w:val="0"/>
        <w:spacing w:line="440" w:lineRule="exact"/>
        <w:jc w:val="left"/>
        <w:rPr>
          <w:sz w:val="24"/>
        </w:rPr>
      </w:pPr>
      <w:r>
        <w:rPr>
          <w:rFonts w:hint="eastAsia"/>
          <w:sz w:val="24"/>
        </w:rPr>
        <w:t>十、其他重要事项的情况说明</w:t>
      </w:r>
      <w:r>
        <w:tab/>
      </w:r>
      <w:r>
        <w:rPr>
          <w:rFonts w:hint="eastAsia"/>
          <w:lang w:val="en-US" w:eastAsia="zh-CN"/>
        </w:rPr>
        <w:t>10</w:t>
      </w:r>
    </w:p>
    <w:p w14:paraId="0C06A261">
      <w:pPr>
        <w:pStyle w:val="11"/>
        <w:adjustRightInd w:val="0"/>
        <w:snapToGrid w:val="0"/>
        <w:spacing w:before="0" w:line="440" w:lineRule="exact"/>
        <w:jc w:val="left"/>
        <w:rPr>
          <w:rFonts w:cstheme="minorBidi"/>
          <w:sz w:val="24"/>
          <w:szCs w:val="24"/>
          <w:lang w:val="en-US"/>
        </w:rPr>
      </w:pPr>
      <w:r>
        <w:rPr>
          <w:rFonts w:hint="eastAsia"/>
          <w:sz w:val="24"/>
        </w:rPr>
        <w:t>第三部分</w:t>
      </w:r>
      <w:r>
        <w:rPr>
          <w:sz w:val="24"/>
        </w:rPr>
        <w:t xml:space="preserve"> </w:t>
      </w:r>
      <w:r>
        <w:rPr>
          <w:rFonts w:hint="eastAsia"/>
          <w:sz w:val="24"/>
        </w:rPr>
        <w:t>名词解释</w:t>
      </w:r>
      <w:r>
        <w:tab/>
      </w:r>
      <w:r>
        <w:rPr>
          <w:rFonts w:hint="eastAsia"/>
          <w:lang w:val="en-US" w:eastAsia="zh-CN"/>
        </w:rPr>
        <w:t>12</w:t>
      </w:r>
    </w:p>
    <w:p w14:paraId="6B0FD7AA">
      <w:pPr>
        <w:pStyle w:val="11"/>
        <w:adjustRightInd w:val="0"/>
        <w:snapToGrid w:val="0"/>
        <w:spacing w:before="0" w:line="440" w:lineRule="exact"/>
        <w:jc w:val="left"/>
        <w:rPr>
          <w:rFonts w:cstheme="minorBidi"/>
          <w:sz w:val="24"/>
          <w:szCs w:val="24"/>
          <w:lang w:val="en-US"/>
        </w:rPr>
      </w:pPr>
      <w:r>
        <w:rPr>
          <w:rFonts w:hint="eastAsia"/>
          <w:sz w:val="24"/>
        </w:rPr>
        <w:t>第四部分</w:t>
      </w:r>
      <w:r>
        <w:rPr>
          <w:sz w:val="24"/>
        </w:rPr>
        <w:t xml:space="preserve"> </w:t>
      </w:r>
      <w:r>
        <w:rPr>
          <w:rFonts w:hint="eastAsia"/>
          <w:sz w:val="24"/>
        </w:rPr>
        <w:t>附件</w:t>
      </w:r>
      <w:r>
        <w:tab/>
      </w:r>
      <w:r>
        <w:rPr>
          <w:rFonts w:hint="eastAsia"/>
          <w:lang w:val="en-US" w:eastAsia="zh-CN"/>
        </w:rPr>
        <w:t>14</w:t>
      </w:r>
    </w:p>
    <w:p w14:paraId="1D12C272">
      <w:pPr>
        <w:pStyle w:val="11"/>
        <w:adjustRightInd w:val="0"/>
        <w:snapToGrid w:val="0"/>
        <w:spacing w:before="0" w:line="440" w:lineRule="exact"/>
        <w:jc w:val="left"/>
        <w:rPr>
          <w:rFonts w:cstheme="minorBidi"/>
          <w:sz w:val="24"/>
          <w:szCs w:val="24"/>
          <w:lang w:val="en-US"/>
        </w:rPr>
      </w:pPr>
      <w:r>
        <w:rPr>
          <w:rFonts w:hint="eastAsia"/>
          <w:sz w:val="24"/>
        </w:rPr>
        <w:t>第五部分</w:t>
      </w:r>
      <w:r>
        <w:rPr>
          <w:sz w:val="24"/>
        </w:rPr>
        <w:t xml:space="preserve"> </w:t>
      </w:r>
      <w:r>
        <w:rPr>
          <w:rFonts w:hint="eastAsia"/>
          <w:sz w:val="24"/>
        </w:rPr>
        <w:t>附表</w:t>
      </w:r>
      <w:r>
        <w:tab/>
      </w:r>
      <w:r>
        <w:rPr>
          <w:rFonts w:hint="eastAsia"/>
          <w:lang w:val="en-US" w:eastAsia="zh-CN"/>
        </w:rPr>
        <w:t>15</w:t>
      </w:r>
    </w:p>
    <w:p w14:paraId="5BBD0DF9">
      <w:pPr>
        <w:pStyle w:val="12"/>
        <w:adjustRightInd w:val="0"/>
        <w:snapToGrid w:val="0"/>
        <w:spacing w:line="440" w:lineRule="exact"/>
        <w:jc w:val="left"/>
        <w:rPr>
          <w:sz w:val="24"/>
        </w:rPr>
      </w:pPr>
      <w:r>
        <w:rPr>
          <w:rFonts w:hint="eastAsia"/>
          <w:sz w:val="24"/>
        </w:rPr>
        <w:t>一、收入支出决算总表</w:t>
      </w:r>
      <w:r>
        <w:tab/>
      </w:r>
      <w:r>
        <w:rPr>
          <w:rFonts w:hint="eastAsia"/>
          <w:lang w:val="en-US" w:eastAsia="zh-CN"/>
        </w:rPr>
        <w:t>15</w:t>
      </w:r>
    </w:p>
    <w:p w14:paraId="4FB3A163">
      <w:pPr>
        <w:pStyle w:val="12"/>
        <w:adjustRightInd w:val="0"/>
        <w:snapToGrid w:val="0"/>
        <w:spacing w:line="440" w:lineRule="exact"/>
        <w:jc w:val="left"/>
        <w:rPr>
          <w:sz w:val="24"/>
        </w:rPr>
      </w:pPr>
      <w:r>
        <w:rPr>
          <w:rFonts w:hint="eastAsia"/>
          <w:sz w:val="24"/>
        </w:rPr>
        <w:t>二、收入决算表</w:t>
      </w:r>
      <w:r>
        <w:tab/>
      </w:r>
      <w:r>
        <w:rPr>
          <w:rFonts w:hint="eastAsia"/>
          <w:lang w:val="en-US" w:eastAsia="zh-CN"/>
        </w:rPr>
        <w:t>15</w:t>
      </w:r>
    </w:p>
    <w:p w14:paraId="47626DFE">
      <w:pPr>
        <w:pStyle w:val="12"/>
        <w:adjustRightInd w:val="0"/>
        <w:snapToGrid w:val="0"/>
        <w:spacing w:line="440" w:lineRule="exact"/>
        <w:jc w:val="left"/>
        <w:rPr>
          <w:sz w:val="24"/>
        </w:rPr>
      </w:pPr>
      <w:r>
        <w:rPr>
          <w:rFonts w:hint="eastAsia"/>
          <w:sz w:val="24"/>
        </w:rPr>
        <w:t>三、支出决算表</w:t>
      </w:r>
      <w:r>
        <w:tab/>
      </w:r>
      <w:r>
        <w:rPr>
          <w:rFonts w:hint="eastAsia"/>
          <w:lang w:val="en-US" w:eastAsia="zh-CN"/>
        </w:rPr>
        <w:t>15</w:t>
      </w:r>
    </w:p>
    <w:p w14:paraId="6FD16B3C">
      <w:pPr>
        <w:pStyle w:val="12"/>
        <w:adjustRightInd w:val="0"/>
        <w:snapToGrid w:val="0"/>
        <w:spacing w:line="440" w:lineRule="exact"/>
        <w:jc w:val="left"/>
        <w:rPr>
          <w:sz w:val="24"/>
        </w:rPr>
      </w:pPr>
      <w:r>
        <w:rPr>
          <w:rFonts w:hint="eastAsia"/>
          <w:sz w:val="24"/>
        </w:rPr>
        <w:t>四、财政拨款收入支出决算总表</w:t>
      </w:r>
      <w:r>
        <w:tab/>
      </w:r>
      <w:r>
        <w:rPr>
          <w:rFonts w:hint="eastAsia"/>
          <w:lang w:val="en-US" w:eastAsia="zh-CN"/>
        </w:rPr>
        <w:t>15</w:t>
      </w:r>
    </w:p>
    <w:p w14:paraId="76A45C25">
      <w:pPr>
        <w:pStyle w:val="12"/>
        <w:adjustRightInd w:val="0"/>
        <w:snapToGrid w:val="0"/>
        <w:spacing w:line="440" w:lineRule="exact"/>
        <w:jc w:val="left"/>
        <w:rPr>
          <w:sz w:val="24"/>
        </w:rPr>
      </w:pPr>
      <w:r>
        <w:rPr>
          <w:rFonts w:hint="eastAsia"/>
          <w:sz w:val="24"/>
        </w:rPr>
        <w:t>五、财政拨款支出决算明细表</w:t>
      </w:r>
      <w:r>
        <w:tab/>
      </w:r>
      <w:r>
        <w:rPr>
          <w:rFonts w:hint="eastAsia"/>
          <w:lang w:val="en-US" w:eastAsia="zh-CN"/>
        </w:rPr>
        <w:t>15</w:t>
      </w:r>
    </w:p>
    <w:p w14:paraId="44686FB3">
      <w:pPr>
        <w:pStyle w:val="12"/>
        <w:adjustRightInd w:val="0"/>
        <w:snapToGrid w:val="0"/>
        <w:spacing w:line="440" w:lineRule="exact"/>
        <w:jc w:val="left"/>
        <w:rPr>
          <w:sz w:val="24"/>
        </w:rPr>
      </w:pPr>
      <w:r>
        <w:rPr>
          <w:rFonts w:hint="eastAsia"/>
          <w:sz w:val="24"/>
        </w:rPr>
        <w:t>六、一般公共预算财政拨款支出决算表</w:t>
      </w:r>
      <w:r>
        <w:tab/>
      </w:r>
      <w:r>
        <w:rPr>
          <w:rFonts w:hint="eastAsia"/>
          <w:lang w:val="en-US" w:eastAsia="zh-CN"/>
        </w:rPr>
        <w:t>15</w:t>
      </w:r>
    </w:p>
    <w:p w14:paraId="2650DBDE">
      <w:pPr>
        <w:pStyle w:val="12"/>
        <w:adjustRightInd w:val="0"/>
        <w:snapToGrid w:val="0"/>
        <w:spacing w:line="440" w:lineRule="exact"/>
        <w:jc w:val="left"/>
        <w:rPr>
          <w:sz w:val="24"/>
        </w:rPr>
      </w:pPr>
      <w:r>
        <w:rPr>
          <w:rFonts w:hint="eastAsia"/>
          <w:sz w:val="24"/>
        </w:rPr>
        <w:t>七、一般公共预算财政拨款支出决算明细表</w:t>
      </w:r>
      <w:r>
        <w:tab/>
      </w:r>
      <w:r>
        <w:rPr>
          <w:rFonts w:hint="eastAsia"/>
          <w:lang w:val="en-US" w:eastAsia="zh-CN"/>
        </w:rPr>
        <w:t>15</w:t>
      </w:r>
    </w:p>
    <w:p w14:paraId="477A9241">
      <w:pPr>
        <w:pStyle w:val="12"/>
        <w:adjustRightInd w:val="0"/>
        <w:snapToGrid w:val="0"/>
        <w:spacing w:line="440" w:lineRule="exact"/>
        <w:jc w:val="left"/>
        <w:rPr>
          <w:sz w:val="24"/>
        </w:rPr>
      </w:pPr>
      <w:r>
        <w:rPr>
          <w:rFonts w:hint="eastAsia"/>
          <w:sz w:val="24"/>
        </w:rPr>
        <w:t>八、一般公共预算财政拨款基本支出决算明细表</w:t>
      </w:r>
      <w:r>
        <w:tab/>
      </w:r>
      <w:r>
        <w:rPr>
          <w:rFonts w:hint="eastAsia"/>
          <w:lang w:val="en-US" w:eastAsia="zh-CN"/>
        </w:rPr>
        <w:t>15</w:t>
      </w:r>
    </w:p>
    <w:p w14:paraId="204F75CC">
      <w:pPr>
        <w:pStyle w:val="12"/>
        <w:adjustRightInd w:val="0"/>
        <w:snapToGrid w:val="0"/>
        <w:spacing w:line="440" w:lineRule="exact"/>
        <w:jc w:val="left"/>
        <w:rPr>
          <w:sz w:val="24"/>
        </w:rPr>
      </w:pPr>
      <w:r>
        <w:rPr>
          <w:rFonts w:hint="eastAsia"/>
          <w:sz w:val="24"/>
        </w:rPr>
        <w:t>九、一般公共预算财政拨款项目支出决算表</w:t>
      </w:r>
      <w:r>
        <w:tab/>
      </w:r>
      <w:r>
        <w:rPr>
          <w:rFonts w:hint="eastAsia"/>
          <w:lang w:val="en-US" w:eastAsia="zh-CN"/>
        </w:rPr>
        <w:t>15</w:t>
      </w:r>
    </w:p>
    <w:p w14:paraId="2460E9CE">
      <w:pPr>
        <w:pStyle w:val="12"/>
        <w:adjustRightInd w:val="0"/>
        <w:snapToGrid w:val="0"/>
        <w:spacing w:line="440" w:lineRule="exact"/>
        <w:jc w:val="left"/>
        <w:rPr>
          <w:sz w:val="24"/>
        </w:rPr>
      </w:pPr>
      <w:r>
        <w:rPr>
          <w:rFonts w:hint="eastAsia"/>
          <w:sz w:val="24"/>
        </w:rPr>
        <w:t>十、政府性基金预算财政拨款收入支出决算表</w:t>
      </w:r>
      <w:r>
        <w:tab/>
      </w:r>
      <w:r>
        <w:rPr>
          <w:rFonts w:hint="eastAsia"/>
          <w:lang w:val="en-US" w:eastAsia="zh-CN"/>
        </w:rPr>
        <w:t>15</w:t>
      </w:r>
    </w:p>
    <w:p w14:paraId="43919308">
      <w:pPr>
        <w:pStyle w:val="12"/>
        <w:adjustRightInd w:val="0"/>
        <w:snapToGrid w:val="0"/>
        <w:spacing w:line="440" w:lineRule="exact"/>
        <w:jc w:val="left"/>
        <w:rPr>
          <w:sz w:val="24"/>
        </w:rPr>
      </w:pPr>
      <w:r>
        <w:rPr>
          <w:rFonts w:hint="eastAsia"/>
          <w:sz w:val="24"/>
        </w:rPr>
        <w:t>十一、国有资本经营预算财政拨款收入支出决算表</w:t>
      </w:r>
      <w:r>
        <w:tab/>
      </w:r>
      <w:r>
        <w:rPr>
          <w:rFonts w:hint="eastAsia"/>
          <w:lang w:val="en-US" w:eastAsia="zh-CN"/>
        </w:rPr>
        <w:t>15</w:t>
      </w:r>
    </w:p>
    <w:p w14:paraId="791881F8">
      <w:pPr>
        <w:pStyle w:val="12"/>
        <w:adjustRightInd w:val="0"/>
        <w:snapToGrid w:val="0"/>
        <w:spacing w:line="440" w:lineRule="exact"/>
        <w:jc w:val="left"/>
        <w:rPr>
          <w:sz w:val="24"/>
        </w:rPr>
      </w:pPr>
      <w:r>
        <w:rPr>
          <w:rFonts w:hint="eastAsia"/>
          <w:sz w:val="24"/>
        </w:rPr>
        <w:t>十二、国有资本经营预算财政拨款支出决算表</w:t>
      </w:r>
      <w:r>
        <w:tab/>
      </w:r>
      <w:r>
        <w:rPr>
          <w:rFonts w:hint="eastAsia"/>
          <w:lang w:val="en-US" w:eastAsia="zh-CN"/>
        </w:rPr>
        <w:t>15</w:t>
      </w:r>
    </w:p>
    <w:p w14:paraId="46AA95E2">
      <w:pPr>
        <w:pStyle w:val="12"/>
        <w:adjustRightInd w:val="0"/>
        <w:snapToGrid w:val="0"/>
        <w:spacing w:line="440" w:lineRule="exact"/>
        <w:jc w:val="left"/>
        <w:rPr>
          <w:rFonts w:ascii="仿宋" w:hAnsi="仿宋" w:eastAsia="仿宋"/>
          <w:bCs/>
          <w:kern w:val="44"/>
          <w:sz w:val="24"/>
        </w:rPr>
      </w:pPr>
      <w:r>
        <w:rPr>
          <w:rFonts w:hint="eastAsia"/>
          <w:sz w:val="24"/>
        </w:rPr>
        <w:t>十三、财政拨款“三公”经费支出决算表</w:t>
      </w:r>
      <w:r>
        <w:tab/>
      </w:r>
      <w:r>
        <w:rPr>
          <w:rFonts w:hint="eastAsia"/>
          <w:lang w:val="en-US" w:eastAsia="zh-CN"/>
        </w:rPr>
        <w:t>15</w:t>
      </w:r>
      <w:bookmarkStart w:id="12" w:name="_Toc15396599"/>
      <w:bookmarkStart w:id="13" w:name="_Toc15377196"/>
      <w:r>
        <w:rPr>
          <w:rFonts w:ascii="仿宋" w:hAnsi="仿宋" w:eastAsia="仿宋"/>
          <w:b/>
          <w:sz w:val="24"/>
        </w:rPr>
        <w:br w:type="page"/>
      </w:r>
    </w:p>
    <w:p w14:paraId="4011A725">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0C6B5728">
      <w:pPr>
        <w:widowControl/>
        <w:jc w:val="left"/>
        <w:rPr>
          <w:rFonts w:ascii="黑体" w:eastAsia="黑体"/>
          <w:sz w:val="32"/>
          <w:szCs w:val="32"/>
        </w:rPr>
      </w:pPr>
    </w:p>
    <w:p w14:paraId="681FADF6">
      <w:pPr>
        <w:pStyle w:val="2"/>
        <w:pageBreakBefore w:val="0"/>
        <w:kinsoku/>
        <w:wordWrap/>
        <w:overflowPunct/>
        <w:topLinePunct w:val="0"/>
        <w:autoSpaceDE/>
        <w:autoSpaceDN/>
        <w:bidi w:val="0"/>
        <w:adjustRightInd w:val="0"/>
        <w:snapToGrid w:val="0"/>
        <w:spacing w:before="93" w:line="578" w:lineRule="exact"/>
        <w:ind w:firstLine="600" w:firstLineChars="200"/>
        <w:textAlignment w:val="auto"/>
        <w:outlineLvl w:val="2"/>
        <w:rPr>
          <w:rStyle w:val="33"/>
          <w:rFonts w:hint="default" w:ascii="Times New Roman" w:hAnsi="Times New Roman" w:eastAsia="黑体" w:cs="Times New Roman"/>
          <w:b w:val="0"/>
          <w:bCs w:val="0"/>
          <w:color w:val="auto"/>
          <w:highlight w:val="none"/>
          <w:lang w:val="en-US" w:eastAsia="zh-CN"/>
        </w:rPr>
      </w:pPr>
      <w:bookmarkStart w:id="14" w:name="_Toc15377197"/>
      <w:bookmarkStart w:id="15" w:name="_Toc15396600"/>
      <w:r>
        <w:rPr>
          <w:rFonts w:hint="eastAsia" w:ascii="黑体" w:hAnsi="黑体" w:eastAsia="黑体"/>
          <w:b w:val="0"/>
          <w:color w:val="auto"/>
          <w:highlight w:val="none"/>
          <w:lang w:val="en-US" w:eastAsia="zh-CN"/>
        </w:rPr>
        <w:t>一、</w:t>
      </w:r>
      <w:r>
        <w:rPr>
          <w:rStyle w:val="33"/>
          <w:rFonts w:hint="eastAsia" w:ascii="黑体" w:hAnsi="黑体" w:eastAsia="黑体"/>
          <w:b w:val="0"/>
          <w:bCs w:val="0"/>
          <w:color w:val="auto"/>
          <w:highlight w:val="none"/>
          <w:lang w:eastAsia="zh-CN"/>
        </w:rPr>
        <w:t>主要职责</w:t>
      </w:r>
    </w:p>
    <w:p w14:paraId="4205B72D">
      <w:pPr>
        <w:pStyle w:val="2"/>
        <w:pageBreakBefore w:val="0"/>
        <w:kinsoku/>
        <w:wordWrap/>
        <w:overflowPunct/>
        <w:topLinePunct w:val="0"/>
        <w:autoSpaceDE/>
        <w:autoSpaceDN/>
        <w:bidi w:val="0"/>
        <w:adjustRightInd w:val="0"/>
        <w:snapToGrid w:val="0"/>
        <w:spacing w:before="93" w:line="578" w:lineRule="exact"/>
        <w:ind w:firstLine="640" w:firstLineChars="200"/>
        <w:textAlignment w:val="auto"/>
        <w:outlineLvl w:val="2"/>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贯彻执行党和国家卫生计生工作方针政策和国家法律、法规，履行公共卫生、基本医疗和预防保健服务，承担辖区范围内的公共卫生管理工作，负责对村级卫生组织的管理和技术指导以及乡村医生的培训等。</w:t>
      </w:r>
    </w:p>
    <w:p w14:paraId="681243A7">
      <w:pPr>
        <w:pStyle w:val="2"/>
        <w:pageBreakBefore w:val="0"/>
        <w:kinsoku/>
        <w:wordWrap/>
        <w:overflowPunct/>
        <w:topLinePunct w:val="0"/>
        <w:autoSpaceDE/>
        <w:autoSpaceDN/>
        <w:bidi w:val="0"/>
        <w:adjustRightInd w:val="0"/>
        <w:snapToGrid w:val="0"/>
        <w:spacing w:before="93" w:line="578" w:lineRule="exact"/>
        <w:ind w:firstLine="600" w:firstLineChars="200"/>
        <w:textAlignment w:val="auto"/>
        <w:outlineLvl w:val="2"/>
        <w:rPr>
          <w:rStyle w:val="33"/>
          <w:rFonts w:hint="default" w:ascii="Times New Roman" w:hAnsi="Times New Roman" w:eastAsia="黑体" w:cs="Times New Roman"/>
          <w:b w:val="0"/>
          <w:bCs w:val="0"/>
          <w:color w:val="auto"/>
          <w:highlight w:val="none"/>
          <w:lang w:val="en-US" w:eastAsia="zh-CN"/>
        </w:rPr>
      </w:pPr>
      <w:r>
        <w:rPr>
          <w:rFonts w:hint="eastAsia" w:ascii="黑体" w:hAnsi="黑体" w:eastAsia="黑体"/>
          <w:b w:val="0"/>
          <w:color w:val="auto"/>
          <w:highlight w:val="none"/>
          <w:lang w:val="en-US" w:eastAsia="zh-CN"/>
        </w:rPr>
        <w:t>二、</w:t>
      </w:r>
      <w:r>
        <w:rPr>
          <w:rStyle w:val="33"/>
          <w:rFonts w:hint="eastAsia" w:ascii="Times New Roman" w:hAnsi="Times New Roman" w:eastAsia="黑体" w:cs="Times New Roman"/>
          <w:b w:val="0"/>
          <w:bCs w:val="0"/>
          <w:color w:val="auto"/>
          <w:highlight w:val="none"/>
          <w:lang w:val="en-US" w:eastAsia="zh-CN"/>
        </w:rPr>
        <w:t>机构设置</w:t>
      </w:r>
    </w:p>
    <w:p w14:paraId="45BF710A">
      <w:pPr>
        <w:pStyle w:val="2"/>
        <w:pageBreakBefore w:val="0"/>
        <w:kinsoku/>
        <w:wordWrap/>
        <w:overflowPunct/>
        <w:topLinePunct w:val="0"/>
        <w:autoSpaceDE/>
        <w:autoSpaceDN/>
        <w:bidi w:val="0"/>
        <w:adjustRightInd w:val="0"/>
        <w:snapToGrid w:val="0"/>
        <w:spacing w:before="93" w:line="578" w:lineRule="exact"/>
        <w:ind w:firstLine="672" w:firstLineChars="210"/>
        <w:textAlignment w:val="auto"/>
        <w:rPr>
          <w:rFonts w:hint="default" w:ascii="Times New Roman" w:hAnsi="Times New Roman" w:eastAsia="仿宋_GB2312" w:cs="Times New Roman"/>
          <w:kern w:val="2"/>
          <w:sz w:val="32"/>
          <w:szCs w:val="32"/>
        </w:rPr>
      </w:pPr>
      <w:r>
        <w:rPr>
          <w:rFonts w:hint="eastAsia" w:ascii="Times New Roman" w:hAnsi="Times New Roman" w:cs="Times New Roman"/>
          <w:kern w:val="2"/>
          <w:sz w:val="32"/>
          <w:szCs w:val="32"/>
          <w:lang w:eastAsia="zh-CN"/>
        </w:rPr>
        <w:t>大竹县</w:t>
      </w:r>
      <w:r>
        <w:rPr>
          <w:rFonts w:hint="eastAsia" w:ascii="Times New Roman" w:cs="Times New Roman"/>
          <w:kern w:val="2"/>
          <w:sz w:val="32"/>
          <w:szCs w:val="32"/>
          <w:lang w:eastAsia="zh-CN"/>
        </w:rPr>
        <w:t>月华镇卫生院</w:t>
      </w:r>
      <w:r>
        <w:rPr>
          <w:rFonts w:hint="default" w:ascii="Times New Roman" w:hAnsi="Times New Roman" w:eastAsia="仿宋_GB2312" w:cs="Times New Roman"/>
          <w:kern w:val="2"/>
          <w:sz w:val="32"/>
          <w:szCs w:val="32"/>
        </w:rPr>
        <w:t>下属二级预算单位</w:t>
      </w:r>
      <w:r>
        <w:rPr>
          <w:rFonts w:hint="eastAsia" w:ascii="Times New Roman" w:hAnsi="Times New Roman" w:cs="Times New Roman"/>
          <w:kern w:val="2"/>
          <w:sz w:val="32"/>
          <w:szCs w:val="32"/>
          <w:lang w:val="en-US" w:eastAsia="zh-CN"/>
        </w:rPr>
        <w:t>0</w:t>
      </w:r>
      <w:r>
        <w:rPr>
          <w:rFonts w:hint="default" w:ascii="Times New Roman" w:hAnsi="Times New Roman" w:eastAsia="仿宋_GB2312" w:cs="Times New Roman"/>
          <w:kern w:val="2"/>
          <w:sz w:val="32"/>
          <w:szCs w:val="32"/>
        </w:rPr>
        <w:t>个，其中行政单位</w:t>
      </w:r>
      <w:r>
        <w:rPr>
          <w:rFonts w:hint="eastAsia" w:ascii="Times New Roman" w:hAnsi="Times New Roman" w:cs="Times New Roman"/>
          <w:kern w:val="2"/>
          <w:sz w:val="32"/>
          <w:szCs w:val="32"/>
          <w:lang w:val="en-US" w:eastAsia="zh-CN"/>
        </w:rPr>
        <w:t>0</w:t>
      </w:r>
      <w:r>
        <w:rPr>
          <w:rFonts w:hint="default" w:ascii="Times New Roman" w:hAnsi="Times New Roman" w:eastAsia="仿宋_GB2312" w:cs="Times New Roman"/>
          <w:kern w:val="2"/>
          <w:sz w:val="32"/>
          <w:szCs w:val="32"/>
        </w:rPr>
        <w:t>个，参照公务员法管理的事业单位</w:t>
      </w:r>
      <w:r>
        <w:rPr>
          <w:rFonts w:hint="eastAsia" w:ascii="Times New Roman" w:hAnsi="Times New Roman" w:cs="Times New Roman"/>
          <w:kern w:val="2"/>
          <w:sz w:val="32"/>
          <w:szCs w:val="32"/>
          <w:lang w:val="en-US" w:eastAsia="zh-CN"/>
        </w:rPr>
        <w:t>0</w:t>
      </w:r>
      <w:r>
        <w:rPr>
          <w:rFonts w:hint="default" w:ascii="Times New Roman" w:hAnsi="Times New Roman" w:eastAsia="仿宋_GB2312" w:cs="Times New Roman"/>
          <w:kern w:val="2"/>
          <w:sz w:val="32"/>
          <w:szCs w:val="32"/>
        </w:rPr>
        <w:t>个，其他事业单位</w:t>
      </w:r>
      <w:r>
        <w:rPr>
          <w:rFonts w:hint="eastAsia" w:ascii="Times New Roman" w:hAnsi="Times New Roman" w:cs="Times New Roman"/>
          <w:kern w:val="2"/>
          <w:sz w:val="32"/>
          <w:szCs w:val="32"/>
          <w:lang w:val="en-US" w:eastAsia="zh-CN"/>
        </w:rPr>
        <w:t>0</w:t>
      </w:r>
      <w:r>
        <w:rPr>
          <w:rFonts w:hint="default" w:ascii="Times New Roman" w:hAnsi="Times New Roman" w:eastAsia="仿宋_GB2312" w:cs="Times New Roman"/>
          <w:kern w:val="2"/>
          <w:sz w:val="32"/>
          <w:szCs w:val="32"/>
        </w:rPr>
        <w:t>个。</w:t>
      </w:r>
    </w:p>
    <w:p w14:paraId="5880A732">
      <w:pPr>
        <w:pStyle w:val="2"/>
        <w:pageBreakBefore w:val="0"/>
        <w:kinsoku/>
        <w:wordWrap/>
        <w:overflowPunct/>
        <w:topLinePunct w:val="0"/>
        <w:autoSpaceDE/>
        <w:autoSpaceDN/>
        <w:bidi w:val="0"/>
        <w:adjustRightInd w:val="0"/>
        <w:snapToGrid w:val="0"/>
        <w:spacing w:before="93" w:line="578" w:lineRule="exact"/>
        <w:ind w:firstLine="672" w:firstLineChars="210"/>
        <w:textAlignment w:val="auto"/>
        <w:rPr>
          <w:rFonts w:hint="eastAsia" w:ascii="Times New Roman" w:hAnsi="Times New Roman" w:cs="Times New Roman"/>
          <w:kern w:val="2"/>
          <w:sz w:val="32"/>
          <w:szCs w:val="32"/>
          <w:lang w:eastAsia="zh-CN"/>
        </w:rPr>
      </w:pPr>
      <w:r>
        <w:rPr>
          <w:rFonts w:hint="default" w:ascii="Times New Roman" w:hAnsi="Times New Roman" w:eastAsia="仿宋_GB2312" w:cs="Times New Roman"/>
          <w:kern w:val="2"/>
          <w:sz w:val="32"/>
          <w:szCs w:val="32"/>
        </w:rPr>
        <w:t>纳入</w:t>
      </w:r>
      <w:r>
        <w:rPr>
          <w:rFonts w:hint="eastAsia" w:ascii="Times New Roman" w:hAnsi="Times New Roman" w:cs="Times New Roman"/>
          <w:kern w:val="2"/>
          <w:sz w:val="32"/>
          <w:szCs w:val="32"/>
          <w:lang w:eastAsia="zh-CN"/>
        </w:rPr>
        <w:t>大竹县</w:t>
      </w:r>
      <w:r>
        <w:rPr>
          <w:rFonts w:hint="eastAsia" w:ascii="Times New Roman" w:cs="Times New Roman"/>
          <w:kern w:val="2"/>
          <w:sz w:val="32"/>
          <w:szCs w:val="32"/>
          <w:lang w:eastAsia="zh-CN"/>
        </w:rPr>
        <w:t>月华镇卫生院</w:t>
      </w:r>
      <w:r>
        <w:rPr>
          <w:rFonts w:hint="default" w:ascii="Times New Roman" w:hAnsi="Times New Roman" w:eastAsia="仿宋_GB2312" w:cs="Times New Roman"/>
          <w:kern w:val="2"/>
          <w:sz w:val="32"/>
          <w:szCs w:val="32"/>
        </w:rPr>
        <w:t>202</w:t>
      </w:r>
      <w:r>
        <w:rPr>
          <w:rFonts w:hint="eastAsia" w:ascii="Times New Roman" w:cs="Times New Roman"/>
          <w:kern w:val="2"/>
          <w:sz w:val="32"/>
          <w:szCs w:val="32"/>
          <w:lang w:val="en-US" w:eastAsia="zh-CN"/>
        </w:rPr>
        <w:t>3</w:t>
      </w:r>
      <w:r>
        <w:rPr>
          <w:rFonts w:hint="default" w:ascii="Times New Roman" w:hAnsi="Times New Roman" w:eastAsia="仿宋_GB2312" w:cs="Times New Roman"/>
          <w:kern w:val="2"/>
          <w:sz w:val="32"/>
          <w:szCs w:val="32"/>
        </w:rPr>
        <w:t>年度部门决算编制范围的二级预算单位包括：</w:t>
      </w:r>
      <w:r>
        <w:rPr>
          <w:rFonts w:hint="eastAsia" w:ascii="Times New Roman" w:hAnsi="Times New Roman" w:cs="Times New Roman"/>
          <w:kern w:val="2"/>
          <w:sz w:val="32"/>
          <w:szCs w:val="32"/>
          <w:lang w:eastAsia="zh-CN"/>
        </w:rPr>
        <w:t>无。</w:t>
      </w:r>
    </w:p>
    <w:p w14:paraId="54DF6661">
      <w:pPr>
        <w:pStyle w:val="4"/>
        <w:rPr>
          <w:rFonts w:ascii="黑体" w:hAnsi="黑体" w:eastAsia="黑体"/>
          <w:b w:val="0"/>
        </w:rPr>
      </w:pPr>
    </w:p>
    <w:bookmarkEnd w:id="14"/>
    <w:bookmarkEnd w:id="15"/>
    <w:p w14:paraId="7CDC6C05">
      <w:pPr>
        <w:widowControl/>
        <w:jc w:val="left"/>
        <w:rPr>
          <w:rFonts w:ascii="仿宋" w:hAnsi="仿宋" w:eastAsia="仿宋"/>
          <w:kern w:val="0"/>
          <w:sz w:val="32"/>
          <w:szCs w:val="32"/>
        </w:rPr>
      </w:pPr>
      <w:r>
        <w:rPr>
          <w:rFonts w:ascii="仿宋" w:hAnsi="仿宋" w:eastAsia="仿宋"/>
          <w:sz w:val="32"/>
          <w:szCs w:val="32"/>
        </w:rPr>
        <w:br w:type="page"/>
      </w:r>
    </w:p>
    <w:p w14:paraId="092359FC">
      <w:pPr>
        <w:pStyle w:val="3"/>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70DF9549"/>
    <w:p w14:paraId="00215498">
      <w:pPr>
        <w:pStyle w:val="26"/>
        <w:numPr>
          <w:ilvl w:val="0"/>
          <w:numId w:val="1"/>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61862D52">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年度收入</w:t>
      </w:r>
      <w:r>
        <w:rPr>
          <w:rFonts w:hint="eastAsia" w:ascii="仿宋" w:hAnsi="仿宋" w:eastAsia="仿宋"/>
          <w:sz w:val="32"/>
          <w:szCs w:val="32"/>
          <w:lang w:val="en-US" w:eastAsia="zh-CN"/>
        </w:rPr>
        <w:t>880.49</w:t>
      </w:r>
      <w:r>
        <w:rPr>
          <w:rFonts w:hint="eastAsia" w:ascii="仿宋" w:hAnsi="仿宋" w:eastAsia="仿宋"/>
          <w:sz w:val="32"/>
          <w:szCs w:val="32"/>
        </w:rPr>
        <w:t>万元，支出</w:t>
      </w:r>
      <w:r>
        <w:rPr>
          <w:rFonts w:hint="eastAsia" w:ascii="仿宋" w:hAnsi="仿宋" w:eastAsia="仿宋"/>
          <w:sz w:val="32"/>
          <w:szCs w:val="32"/>
          <w:lang w:val="en-US" w:eastAsia="zh-CN"/>
        </w:rPr>
        <w:t>857</w:t>
      </w:r>
      <w:r>
        <w:rPr>
          <w:rFonts w:hint="eastAsia" w:ascii="仿宋" w:hAnsi="仿宋" w:eastAsia="仿宋"/>
          <w:sz w:val="32"/>
          <w:szCs w:val="32"/>
        </w:rPr>
        <w:t>万元，收支总计</w:t>
      </w:r>
      <w:r>
        <w:rPr>
          <w:rFonts w:hint="eastAsia" w:ascii="仿宋" w:hAnsi="仿宋" w:eastAsia="仿宋"/>
          <w:sz w:val="32"/>
          <w:szCs w:val="32"/>
          <w:lang w:val="en-US" w:eastAsia="zh-CN"/>
        </w:rPr>
        <w:t>913.5</w:t>
      </w:r>
      <w:r>
        <w:rPr>
          <w:rFonts w:hint="eastAsia" w:ascii="仿宋" w:hAnsi="仿宋" w:eastAsia="仿宋"/>
          <w:sz w:val="32"/>
          <w:szCs w:val="32"/>
        </w:rPr>
        <w:t>万元。与202</w:t>
      </w:r>
      <w:r>
        <w:rPr>
          <w:rFonts w:hint="eastAsia" w:ascii="仿宋" w:hAnsi="仿宋" w:eastAsia="仿宋"/>
          <w:sz w:val="32"/>
          <w:szCs w:val="32"/>
          <w:lang w:val="en-US" w:eastAsia="zh-CN"/>
        </w:rPr>
        <w:t>2</w:t>
      </w:r>
      <w:r>
        <w:rPr>
          <w:rFonts w:hint="eastAsia" w:ascii="仿宋" w:hAnsi="仿宋" w:eastAsia="仿宋"/>
          <w:sz w:val="32"/>
          <w:szCs w:val="32"/>
        </w:rPr>
        <w:t>年相比，收入</w:t>
      </w:r>
      <w:r>
        <w:rPr>
          <w:rFonts w:hint="eastAsia" w:ascii="仿宋" w:hAnsi="仿宋" w:eastAsia="仿宋"/>
          <w:sz w:val="32"/>
          <w:szCs w:val="32"/>
          <w:lang w:eastAsia="zh-CN"/>
        </w:rPr>
        <w:t>增加</w:t>
      </w:r>
      <w:r>
        <w:rPr>
          <w:rFonts w:hint="eastAsia" w:ascii="仿宋" w:hAnsi="仿宋" w:eastAsia="仿宋"/>
          <w:sz w:val="32"/>
          <w:szCs w:val="32"/>
          <w:lang w:val="en-US" w:eastAsia="zh-CN"/>
        </w:rPr>
        <w:t>87.95</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11.1</w:t>
      </w:r>
      <w:r>
        <w:rPr>
          <w:rFonts w:hint="eastAsia" w:ascii="仿宋" w:hAnsi="仿宋" w:eastAsia="仿宋"/>
          <w:sz w:val="32"/>
          <w:szCs w:val="32"/>
        </w:rPr>
        <w:t>%；支出</w:t>
      </w:r>
      <w:r>
        <w:rPr>
          <w:rFonts w:hint="eastAsia" w:ascii="仿宋" w:hAnsi="仿宋" w:eastAsia="仿宋"/>
          <w:sz w:val="32"/>
          <w:szCs w:val="32"/>
          <w:lang w:eastAsia="zh-CN"/>
        </w:rPr>
        <w:t>增加</w:t>
      </w:r>
      <w:r>
        <w:rPr>
          <w:rFonts w:hint="eastAsia" w:ascii="仿宋" w:hAnsi="仿宋" w:eastAsia="仿宋"/>
          <w:sz w:val="32"/>
          <w:szCs w:val="32"/>
          <w:lang w:val="en-US" w:eastAsia="zh-CN"/>
        </w:rPr>
        <w:t>95.61</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12.56</w:t>
      </w:r>
      <w:r>
        <w:rPr>
          <w:rFonts w:hint="eastAsia" w:ascii="仿宋" w:hAnsi="仿宋" w:eastAsia="仿宋"/>
          <w:sz w:val="32"/>
          <w:szCs w:val="32"/>
        </w:rPr>
        <w:t>%；收支总计</w:t>
      </w:r>
      <w:r>
        <w:rPr>
          <w:rFonts w:hint="eastAsia" w:ascii="仿宋" w:hAnsi="仿宋" w:eastAsia="仿宋"/>
          <w:sz w:val="32"/>
          <w:szCs w:val="32"/>
          <w:lang w:eastAsia="zh-CN"/>
        </w:rPr>
        <w:t>增加</w:t>
      </w:r>
      <w:r>
        <w:rPr>
          <w:rFonts w:hint="eastAsia" w:ascii="仿宋" w:hAnsi="仿宋" w:eastAsia="仿宋"/>
          <w:sz w:val="32"/>
          <w:szCs w:val="32"/>
          <w:lang w:val="en-US" w:eastAsia="zh-CN"/>
        </w:rPr>
        <w:t>120.96</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15.26</w:t>
      </w:r>
      <w:r>
        <w:rPr>
          <w:rFonts w:hint="eastAsia" w:ascii="仿宋" w:hAnsi="仿宋" w:eastAsia="仿宋"/>
          <w:sz w:val="32"/>
          <w:szCs w:val="32"/>
        </w:rPr>
        <w:t>%。主要变动原因：</w:t>
      </w:r>
      <w:r>
        <w:rPr>
          <w:rFonts w:hint="eastAsia" w:ascii="仿宋" w:hAnsi="仿宋" w:eastAsia="仿宋"/>
          <w:color w:val="auto"/>
          <w:sz w:val="32"/>
          <w:szCs w:val="32"/>
          <w:highlight w:val="none"/>
          <w:lang w:val="en-US" w:eastAsia="zh-CN"/>
        </w:rPr>
        <w:t>2023年的疫情防控工作变成常态化工作后，医务人员全身心投入医疗业务工作，医疗收入有所增加。</w:t>
      </w:r>
    </w:p>
    <w:p w14:paraId="6DAC68CB">
      <w:pPr>
        <w:spacing w:line="600" w:lineRule="exact"/>
        <w:ind w:firstLine="420" w:firstLineChars="200"/>
        <w:rPr>
          <w:rFonts w:ascii="仿宋_GB2312" w:eastAsia="仿宋_GB2312"/>
          <w:sz w:val="32"/>
          <w:szCs w:val="32"/>
        </w:rPr>
      </w:pPr>
      <w:r>
        <w:drawing>
          <wp:anchor distT="0" distB="0" distL="114300" distR="114300" simplePos="0" relativeHeight="251659264" behindDoc="1" locked="0" layoutInCell="1" allowOverlap="1">
            <wp:simplePos x="0" y="0"/>
            <wp:positionH relativeFrom="column">
              <wp:posOffset>309245</wp:posOffset>
            </wp:positionH>
            <wp:positionV relativeFrom="paragraph">
              <wp:posOffset>118745</wp:posOffset>
            </wp:positionV>
            <wp:extent cx="4572000" cy="2743200"/>
            <wp:effectExtent l="4445" t="4445" r="14605" b="14605"/>
            <wp:wrapTight wrapText="bothSides">
              <wp:wrapPolygon>
                <wp:start x="-21" y="-35"/>
                <wp:lineTo x="-21" y="21565"/>
                <wp:lineTo x="21579" y="21565"/>
                <wp:lineTo x="21579" y="-35"/>
                <wp:lineTo x="-21" y="-35"/>
              </wp:wrapPolygon>
            </wp:wrapTight>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1248E388">
      <w:pPr>
        <w:pStyle w:val="26"/>
        <w:numPr>
          <w:ilvl w:val="0"/>
          <w:numId w:val="1"/>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0EE2A9EB">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880.49</w:t>
      </w:r>
      <w:r>
        <w:rPr>
          <w:rFonts w:hint="eastAsia" w:ascii="仿宋" w:hAnsi="仿宋" w:eastAsia="仿宋"/>
          <w:sz w:val="32"/>
          <w:szCs w:val="32"/>
        </w:rPr>
        <w:t>万元，其中：一般公共预算财政拨款收入</w:t>
      </w:r>
      <w:r>
        <w:rPr>
          <w:rFonts w:ascii="仿宋" w:hAnsi="仿宋" w:eastAsia="仿宋"/>
          <w:b/>
          <w:sz w:val="32"/>
          <w:szCs w:val="32"/>
        </w:rPr>
        <w:t>74.56</w:t>
      </w:r>
      <w:r>
        <w:rPr>
          <w:rFonts w:hint="eastAsia" w:ascii="仿宋" w:hAnsi="仿宋" w:eastAsia="仿宋"/>
          <w:sz w:val="32"/>
          <w:szCs w:val="32"/>
        </w:rPr>
        <w:t>万元，占</w:t>
      </w:r>
      <w:r>
        <w:rPr>
          <w:rFonts w:ascii="仿宋" w:hAnsi="仿宋" w:eastAsia="仿宋"/>
          <w:b/>
          <w:sz w:val="32"/>
          <w:szCs w:val="32"/>
        </w:rPr>
        <w:t>8.46%</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799.26</w:t>
      </w:r>
      <w:r>
        <w:rPr>
          <w:rFonts w:hint="eastAsia" w:ascii="仿宋" w:hAnsi="仿宋" w:eastAsia="仿宋"/>
          <w:sz w:val="32"/>
          <w:szCs w:val="32"/>
        </w:rPr>
        <w:t>万元，占</w:t>
      </w:r>
      <w:r>
        <w:rPr>
          <w:rFonts w:ascii="仿宋" w:hAnsi="仿宋" w:eastAsia="仿宋"/>
          <w:b/>
          <w:sz w:val="32"/>
          <w:szCs w:val="32"/>
        </w:rPr>
        <w:t>90.77</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6.66</w:t>
      </w:r>
      <w:r>
        <w:rPr>
          <w:rFonts w:hint="eastAsia" w:ascii="仿宋" w:hAnsi="仿宋" w:eastAsia="仿宋"/>
          <w:sz w:val="32"/>
          <w:szCs w:val="32"/>
        </w:rPr>
        <w:t>万元，占</w:t>
      </w:r>
      <w:r>
        <w:rPr>
          <w:rFonts w:ascii="仿宋" w:hAnsi="仿宋" w:eastAsia="仿宋"/>
          <w:b/>
          <w:sz w:val="32"/>
          <w:szCs w:val="32"/>
        </w:rPr>
        <w:t>0.75</w:t>
      </w:r>
      <w:r>
        <w:rPr>
          <w:rFonts w:ascii="仿宋" w:hAnsi="仿宋" w:eastAsia="仿宋"/>
          <w:sz w:val="32"/>
          <w:szCs w:val="32"/>
        </w:rPr>
        <w:t>%</w:t>
      </w:r>
    </w:p>
    <w:p w14:paraId="682C75B9">
      <w:pPr>
        <w:spacing w:line="600" w:lineRule="exact"/>
        <w:ind w:firstLine="420" w:firstLineChars="200"/>
        <w:jc w:val="center"/>
        <w:rPr>
          <w:rFonts w:ascii="仿宋_GB2312" w:eastAsia="仿宋_GB2312"/>
          <w:sz w:val="32"/>
          <w:szCs w:val="32"/>
        </w:rPr>
      </w:pPr>
      <w:r>
        <w:drawing>
          <wp:anchor distT="0" distB="0" distL="114300" distR="114300" simplePos="0" relativeHeight="251660288" behindDoc="1" locked="0" layoutInCell="1" allowOverlap="1">
            <wp:simplePos x="0" y="0"/>
            <wp:positionH relativeFrom="column">
              <wp:posOffset>356870</wp:posOffset>
            </wp:positionH>
            <wp:positionV relativeFrom="paragraph">
              <wp:posOffset>156845</wp:posOffset>
            </wp:positionV>
            <wp:extent cx="4572000" cy="2743200"/>
            <wp:effectExtent l="4445" t="4445" r="14605" b="14605"/>
            <wp:wrapTight wrapText="bothSides">
              <wp:wrapPolygon>
                <wp:start x="-21" y="-35"/>
                <wp:lineTo x="-21" y="21565"/>
                <wp:lineTo x="21579" y="21565"/>
                <wp:lineTo x="21579" y="-35"/>
                <wp:lineTo x="-21" y="-35"/>
              </wp:wrapPolygon>
            </wp:wrapTight>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（图2：收入决算结构图）（饼状图）</w:t>
      </w:r>
    </w:p>
    <w:p w14:paraId="08C26CA5">
      <w:pPr>
        <w:pStyle w:val="26"/>
        <w:numPr>
          <w:ilvl w:val="0"/>
          <w:numId w:val="1"/>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175BB09C">
      <w:pPr>
        <w:spacing w:line="600" w:lineRule="exact"/>
        <w:ind w:firstLine="420" w:firstLineChars="200"/>
        <w:outlineLvl w:val="1"/>
        <w:rPr>
          <w:rFonts w:ascii="仿宋" w:hAnsi="仿宋" w:eastAsia="仿宋"/>
          <w:sz w:val="32"/>
          <w:szCs w:val="32"/>
        </w:rPr>
      </w:pPr>
      <w:r>
        <w:drawing>
          <wp:anchor distT="0" distB="0" distL="114300" distR="114300" simplePos="0" relativeHeight="251661312" behindDoc="1" locked="0" layoutInCell="1" allowOverlap="1">
            <wp:simplePos x="0" y="0"/>
            <wp:positionH relativeFrom="column">
              <wp:posOffset>585470</wp:posOffset>
            </wp:positionH>
            <wp:positionV relativeFrom="paragraph">
              <wp:posOffset>1551305</wp:posOffset>
            </wp:positionV>
            <wp:extent cx="4162425" cy="2286635"/>
            <wp:effectExtent l="4445" t="4445" r="5080" b="13970"/>
            <wp:wrapTight wrapText="bothSides">
              <wp:wrapPolygon>
                <wp:start x="-23" y="-42"/>
                <wp:lineTo x="-23" y="21552"/>
                <wp:lineTo x="21528" y="21552"/>
                <wp:lineTo x="21528" y="-42"/>
                <wp:lineTo x="-23" y="-42"/>
              </wp:wrapPolygon>
            </wp:wrapTight>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2023年度本年支出合计</w:t>
      </w:r>
      <w:r>
        <w:rPr>
          <w:rFonts w:ascii="仿宋" w:hAnsi="仿宋" w:eastAsia="仿宋"/>
          <w:b/>
          <w:sz w:val="32"/>
          <w:szCs w:val="32"/>
        </w:rPr>
        <w:t>857</w:t>
      </w:r>
      <w:r>
        <w:rPr>
          <w:rFonts w:hint="eastAsia" w:ascii="仿宋" w:hAnsi="仿宋" w:eastAsia="仿宋"/>
          <w:sz w:val="32"/>
          <w:szCs w:val="32"/>
        </w:rPr>
        <w:t>万元，其中：基本支出</w:t>
      </w:r>
      <w:r>
        <w:rPr>
          <w:rFonts w:ascii="仿宋" w:hAnsi="仿宋" w:eastAsia="仿宋"/>
          <w:b/>
          <w:sz w:val="32"/>
          <w:szCs w:val="32"/>
        </w:rPr>
        <w:t>857</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7CFA4EBE">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（图3：支出决算结构图）（饼状图）</w:t>
      </w:r>
    </w:p>
    <w:p w14:paraId="31FA8899">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5B2451C1">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2023年度财政拨款收、支总计均为</w:t>
      </w:r>
      <w:r>
        <w:rPr>
          <w:rFonts w:ascii="仿宋" w:hAnsi="仿宋" w:eastAsia="仿宋"/>
          <w:b/>
          <w:sz w:val="32"/>
          <w:szCs w:val="32"/>
        </w:rPr>
        <w:t>74.56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与2022年度相比，财政拨款收、支总计各增加</w:t>
      </w:r>
      <w:r>
        <w:rPr>
          <w:rFonts w:ascii="仿宋" w:hAnsi="仿宋" w:eastAsia="仿宋"/>
          <w:b/>
          <w:sz w:val="32"/>
          <w:szCs w:val="32"/>
        </w:rPr>
        <w:t>74.56</w:t>
      </w:r>
      <w:r>
        <w:rPr>
          <w:rFonts w:hint="eastAsia" w:ascii="仿宋" w:hAnsi="仿宋" w:eastAsia="仿宋"/>
          <w:sz w:val="32"/>
          <w:szCs w:val="32"/>
        </w:rPr>
        <w:t>万元，增长</w:t>
      </w:r>
      <w:r>
        <w:rPr>
          <w:rFonts w:hint="eastAsia" w:ascii="仿宋" w:hAnsi="仿宋" w:eastAsia="仿宋" w:cs="Times New Roman"/>
          <w:b/>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今年在编人员的基础绩效奖和退休人员生活补贴由我院在一体化直接申报。</w:t>
      </w:r>
    </w:p>
    <w:p w14:paraId="334E9904">
      <w:pPr>
        <w:spacing w:line="600" w:lineRule="exact"/>
        <w:ind w:firstLine="420" w:firstLineChars="200"/>
        <w:rPr>
          <w:rFonts w:ascii="仿宋" w:hAnsi="仿宋" w:eastAsia="仿宋"/>
          <w:b/>
          <w:sz w:val="32"/>
          <w:szCs w:val="32"/>
        </w:rPr>
      </w:pPr>
      <w:r>
        <w:drawing>
          <wp:anchor distT="0" distB="0" distL="114300" distR="114300" simplePos="0" relativeHeight="251662336" behindDoc="1" locked="0" layoutInCell="1" allowOverlap="1">
            <wp:simplePos x="0" y="0"/>
            <wp:positionH relativeFrom="column">
              <wp:posOffset>480695</wp:posOffset>
            </wp:positionH>
            <wp:positionV relativeFrom="paragraph">
              <wp:posOffset>61595</wp:posOffset>
            </wp:positionV>
            <wp:extent cx="4572000" cy="3028950"/>
            <wp:effectExtent l="4445" t="4445" r="14605" b="14605"/>
            <wp:wrapTight wrapText="bothSides">
              <wp:wrapPolygon>
                <wp:start x="-21" y="-32"/>
                <wp:lineTo x="-21" y="21568"/>
                <wp:lineTo x="21579" y="21568"/>
                <wp:lineTo x="21579" y="-32"/>
                <wp:lineTo x="-21" y="-32"/>
              </wp:wrapPolygon>
            </wp:wrapTight>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（图4：财政拨款收、支决算总计变动情况）（柱状图）</w:t>
      </w:r>
    </w:p>
    <w:p w14:paraId="599F58BB">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087E6157">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19675B10">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74.56</w:t>
      </w:r>
      <w:r>
        <w:rPr>
          <w:rFonts w:hint="eastAsia" w:ascii="仿宋" w:hAnsi="仿宋" w:eastAsia="仿宋"/>
          <w:sz w:val="32"/>
          <w:szCs w:val="32"/>
        </w:rPr>
        <w:t>万元，占本年支出合计的</w:t>
      </w:r>
      <w:r>
        <w:rPr>
          <w:rFonts w:ascii="仿宋" w:hAnsi="仿宋" w:eastAsia="仿宋"/>
          <w:b/>
          <w:sz w:val="32"/>
          <w:szCs w:val="32"/>
        </w:rPr>
        <w:t>8.7</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ascii="仿宋" w:hAnsi="仿宋" w:eastAsia="仿宋"/>
          <w:b/>
          <w:sz w:val="32"/>
          <w:szCs w:val="32"/>
        </w:rPr>
        <w:t>74.56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增长</w:t>
      </w:r>
      <w:r>
        <w:rPr>
          <w:rFonts w:hint="eastAsia" w:ascii="仿宋" w:hAnsi="仿宋" w:eastAsia="仿宋" w:cs="Times New Roman"/>
          <w:b/>
          <w:sz w:val="32"/>
          <w:szCs w:val="32"/>
          <w:lang w:val="en-US" w:eastAsia="zh-CN"/>
        </w:rPr>
        <w:t>100</w:t>
      </w:r>
      <w:r>
        <w:rPr>
          <w:rFonts w:ascii="仿宋" w:hAnsi="仿宋" w:eastAsia="仿宋" w:cs="Times New Roman"/>
          <w:b w:val="0"/>
          <w:bCs/>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是今年在编人员的基础绩效奖和退休人员生活补贴由我院在一体化直接申报。</w:t>
      </w:r>
    </w:p>
    <w:p w14:paraId="2B0A21EC">
      <w:pPr>
        <w:spacing w:line="600" w:lineRule="exact"/>
        <w:ind w:firstLine="640" w:firstLineChars="200"/>
        <w:rPr>
          <w:rFonts w:ascii="仿宋" w:hAnsi="仿宋" w:eastAsia="仿宋"/>
          <w:sz w:val="32"/>
          <w:szCs w:val="32"/>
        </w:rPr>
      </w:pPr>
    </w:p>
    <w:p w14:paraId="3B2B9F9A">
      <w:pPr>
        <w:spacing w:line="600" w:lineRule="exact"/>
        <w:rPr>
          <w:rFonts w:ascii="仿宋" w:hAnsi="仿宋" w:eastAsia="仿宋"/>
          <w:sz w:val="32"/>
          <w:szCs w:val="32"/>
        </w:rPr>
      </w:pPr>
      <w:r>
        <w:drawing>
          <wp:anchor distT="0" distB="0" distL="114300" distR="114300" simplePos="0" relativeHeight="251663360" behindDoc="1" locked="0" layoutInCell="1" allowOverlap="1">
            <wp:simplePos x="0" y="0"/>
            <wp:positionH relativeFrom="column">
              <wp:posOffset>375920</wp:posOffset>
            </wp:positionH>
            <wp:positionV relativeFrom="paragraph">
              <wp:posOffset>204470</wp:posOffset>
            </wp:positionV>
            <wp:extent cx="4572000" cy="2476500"/>
            <wp:effectExtent l="4445" t="4445" r="14605" b="14605"/>
            <wp:wrapTight wrapText="bothSides">
              <wp:wrapPolygon>
                <wp:start x="-21" y="-39"/>
                <wp:lineTo x="-21" y="21561"/>
                <wp:lineTo x="21579" y="21561"/>
                <wp:lineTo x="21579" y="-39"/>
                <wp:lineTo x="-21" y="-39"/>
              </wp:wrapPolygon>
            </wp:wrapTight>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（图5：一般公共预算财政拨款支出决算变动情况）（柱状图）</w:t>
      </w:r>
    </w:p>
    <w:p w14:paraId="06000CA7">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2B7B525C">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74.56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cs="Times New Roman"/>
          <w:b/>
          <w:sz w:val="32"/>
          <w:szCs w:val="32"/>
          <w:lang w:val="en-US" w:eastAsia="zh-CN"/>
        </w:rPr>
        <w:t>18.65</w:t>
      </w:r>
      <w:r>
        <w:rPr>
          <w:rFonts w:hint="eastAsia" w:ascii="仿宋" w:hAnsi="仿宋" w:eastAsia="仿宋"/>
          <w:sz w:val="32"/>
          <w:szCs w:val="32"/>
        </w:rPr>
        <w:t>万元，占</w:t>
      </w:r>
      <w:r>
        <w:rPr>
          <w:rFonts w:hint="eastAsia" w:ascii="仿宋" w:hAnsi="仿宋" w:eastAsia="仿宋" w:cs="Times New Roman"/>
          <w:b/>
          <w:sz w:val="32"/>
          <w:szCs w:val="32"/>
          <w:lang w:val="en-US" w:eastAsia="zh-CN"/>
        </w:rPr>
        <w:t>25.01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cs="Times New Roman"/>
          <w:b/>
          <w:sz w:val="32"/>
          <w:szCs w:val="32"/>
          <w:lang w:val="en-US" w:eastAsia="zh-CN"/>
        </w:rPr>
        <w:t>55.91</w:t>
      </w:r>
      <w:r>
        <w:rPr>
          <w:rFonts w:hint="eastAsia" w:ascii="仿宋" w:hAnsi="仿宋" w:eastAsia="仿宋"/>
          <w:sz w:val="32"/>
          <w:szCs w:val="32"/>
        </w:rPr>
        <w:t>万元，占</w:t>
      </w:r>
      <w:r>
        <w:rPr>
          <w:rFonts w:hint="eastAsia" w:ascii="仿宋" w:hAnsi="仿宋" w:eastAsia="仿宋" w:cs="Times New Roman"/>
          <w:b/>
          <w:sz w:val="32"/>
          <w:szCs w:val="32"/>
          <w:lang w:val="en-US" w:eastAsia="zh-CN"/>
        </w:rPr>
        <w:t>74.99</w:t>
      </w:r>
      <w:r>
        <w:rPr>
          <w:rFonts w:ascii="仿宋" w:hAnsi="仿宋" w:eastAsia="仿宋"/>
          <w:sz w:val="32"/>
          <w:szCs w:val="32"/>
        </w:rPr>
        <w:t>%</w:t>
      </w:r>
      <w:r>
        <w:rPr>
          <w:rFonts w:hint="eastAsia" w:ascii="仿宋" w:hAnsi="仿宋" w:eastAsia="仿宋"/>
          <w:sz w:val="32"/>
          <w:szCs w:val="32"/>
        </w:rPr>
        <w:t>。</w:t>
      </w:r>
    </w:p>
    <w:p w14:paraId="70A99A51">
      <w:pPr>
        <w:spacing w:line="600" w:lineRule="exact"/>
        <w:ind w:firstLine="420" w:firstLineChars="200"/>
        <w:rPr>
          <w:rFonts w:ascii="仿宋" w:hAnsi="仿宋" w:eastAsia="仿宋"/>
          <w:sz w:val="32"/>
          <w:szCs w:val="32"/>
        </w:rPr>
      </w:pPr>
      <w:r>
        <w:drawing>
          <wp:anchor distT="0" distB="0" distL="114300" distR="114300" simplePos="0" relativeHeight="251664384" behindDoc="1" locked="0" layoutInCell="1" allowOverlap="1">
            <wp:simplePos x="0" y="0"/>
            <wp:positionH relativeFrom="column">
              <wp:posOffset>394970</wp:posOffset>
            </wp:positionH>
            <wp:positionV relativeFrom="paragraph">
              <wp:posOffset>8255</wp:posOffset>
            </wp:positionV>
            <wp:extent cx="4572000" cy="2847340"/>
            <wp:effectExtent l="4445" t="4445" r="14605" b="5715"/>
            <wp:wrapTight wrapText="bothSides">
              <wp:wrapPolygon>
                <wp:start x="-21" y="-34"/>
                <wp:lineTo x="-21" y="21499"/>
                <wp:lineTo x="21579" y="21499"/>
                <wp:lineTo x="21579" y="-34"/>
                <wp:lineTo x="-21" y="-34"/>
              </wp:wrapPolygon>
            </wp:wrapTight>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（图6：一般公共预算财政拨款支出决算结构）（饼状图）</w:t>
      </w:r>
    </w:p>
    <w:p w14:paraId="71B4392B">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2F8B4523">
      <w:pPr>
        <w:spacing w:line="600" w:lineRule="exact"/>
        <w:ind w:firstLine="643" w:firstLineChars="200"/>
        <w:outlineLvl w:val="2"/>
        <w:rPr>
          <w:rFonts w:ascii="仿宋" w:hAnsi="仿宋" w:eastAsia="仿宋"/>
          <w:sz w:val="32"/>
          <w:szCs w:val="32"/>
        </w:rPr>
      </w:pPr>
      <w:bookmarkStart w:id="31" w:name="_Toc15377213"/>
      <w:bookmarkStart w:id="32" w:name="_Toc15378460"/>
      <w:bookmarkStart w:id="33" w:name="_Toc15377444"/>
      <w:r>
        <w:rPr>
          <w:rFonts w:hint="eastAsia" w:ascii="仿宋" w:hAnsi="仿宋" w:eastAsia="仿宋"/>
          <w:b/>
          <w:sz w:val="32"/>
          <w:szCs w:val="32"/>
        </w:rPr>
        <w:t>2023年度一般公共预算支出决算数为</w:t>
      </w:r>
      <w:r>
        <w:rPr>
          <w:rFonts w:ascii="仿宋" w:hAnsi="仿宋" w:eastAsia="仿宋"/>
          <w:b/>
          <w:sz w:val="32"/>
          <w:szCs w:val="32"/>
        </w:rPr>
        <w:t>74.56</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14:paraId="446A3E05">
      <w:pPr>
        <w:spacing w:line="600" w:lineRule="exact"/>
        <w:ind w:firstLine="643" w:firstLineChars="200"/>
        <w:rPr>
          <w:rStyle w:val="16"/>
          <w:rFonts w:hint="eastAsia" w:ascii="仿宋" w:hAnsi="仿宋" w:eastAsia="仿宋"/>
          <w:b w:val="0"/>
          <w:bCs/>
          <w:sz w:val="32"/>
          <w:szCs w:val="32"/>
        </w:rPr>
      </w:pPr>
      <w:r>
        <w:rPr>
          <w:rStyle w:val="16"/>
          <w:rFonts w:ascii="仿宋" w:hAnsi="仿宋" w:eastAsia="仿宋"/>
          <w:bCs/>
          <w:sz w:val="32"/>
          <w:szCs w:val="32"/>
        </w:rPr>
        <w:t>1.</w:t>
      </w:r>
      <w:r>
        <w:rPr>
          <w:rStyle w:val="16"/>
          <w:rFonts w:hint="eastAsia" w:ascii="仿宋" w:hAnsi="仿宋" w:eastAsia="仿宋"/>
          <w:bCs/>
          <w:sz w:val="32"/>
          <w:szCs w:val="32"/>
        </w:rPr>
        <w:t>社会保障和就业（</w:t>
      </w:r>
      <w:r>
        <w:rPr>
          <w:rStyle w:val="16"/>
          <w:rFonts w:hint="eastAsia" w:ascii="仿宋" w:hAnsi="仿宋" w:eastAsia="仿宋"/>
          <w:bCs/>
          <w:sz w:val="32"/>
          <w:szCs w:val="32"/>
          <w:lang w:val="en-US" w:eastAsia="zh-CN"/>
        </w:rPr>
        <w:t>208</w:t>
      </w:r>
      <w:r>
        <w:rPr>
          <w:rStyle w:val="16"/>
          <w:rFonts w:hint="eastAsia" w:ascii="仿宋" w:hAnsi="仿宋" w:eastAsia="仿宋"/>
          <w:bCs/>
          <w:sz w:val="32"/>
          <w:szCs w:val="32"/>
        </w:rPr>
        <w:t>类）行政事业单位养老支出（</w:t>
      </w:r>
      <w:r>
        <w:rPr>
          <w:rStyle w:val="16"/>
          <w:rFonts w:hint="eastAsia" w:ascii="仿宋" w:hAnsi="仿宋" w:eastAsia="仿宋"/>
          <w:bCs/>
          <w:sz w:val="32"/>
          <w:szCs w:val="32"/>
          <w:lang w:val="en-US" w:eastAsia="zh-CN"/>
        </w:rPr>
        <w:t>05</w:t>
      </w:r>
      <w:r>
        <w:rPr>
          <w:rStyle w:val="16"/>
          <w:rFonts w:hint="eastAsia" w:ascii="仿宋" w:hAnsi="仿宋" w:eastAsia="仿宋"/>
          <w:bCs/>
          <w:sz w:val="32"/>
          <w:szCs w:val="32"/>
        </w:rPr>
        <w:t>款）其他行政事业单位养老支出（</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Fonts w:hint="eastAsia" w:ascii="仿宋" w:hAnsi="仿宋" w:eastAsia="仿宋" w:cs="Times New Roman"/>
          <w:b/>
          <w:sz w:val="32"/>
          <w:szCs w:val="32"/>
          <w:lang w:val="en-US" w:eastAsia="zh-CN"/>
        </w:rPr>
        <w:t>18.65</w:t>
      </w:r>
      <w:r>
        <w:rPr>
          <w:rStyle w:val="16"/>
          <w:rFonts w:hint="eastAsia" w:ascii="仿宋" w:hAnsi="仿宋" w:eastAsia="仿宋"/>
          <w:b w:val="0"/>
          <w:bCs/>
          <w:sz w:val="32"/>
          <w:szCs w:val="32"/>
        </w:rPr>
        <w:t>万元，完成预算</w:t>
      </w:r>
      <w:r>
        <w:rPr>
          <w:rFonts w:hint="eastAsia" w:ascii="仿宋" w:hAnsi="仿宋" w:eastAsia="仿宋" w:cs="Times New Roman"/>
          <w:b/>
          <w:sz w:val="32"/>
          <w:szCs w:val="32"/>
          <w:lang w:val="en-US" w:eastAsia="zh-CN"/>
        </w:rPr>
        <w:t>25.01</w:t>
      </w:r>
      <w:r>
        <w:rPr>
          <w:rStyle w:val="16"/>
          <w:rFonts w:ascii="仿宋" w:hAnsi="仿宋" w:eastAsia="仿宋"/>
          <w:b w:val="0"/>
          <w:bCs/>
          <w:sz w:val="32"/>
          <w:szCs w:val="32"/>
        </w:rPr>
        <w:t>%</w:t>
      </w:r>
      <w:r>
        <w:rPr>
          <w:rStyle w:val="16"/>
          <w:rFonts w:hint="default" w:ascii="Times New Roman" w:hAnsi="Times New Roman" w:eastAsia="仿宋_GB2312" w:cs="Times New Roman"/>
          <w:b w:val="0"/>
          <w:bCs/>
          <w:color w:val="000000"/>
          <w:sz w:val="32"/>
          <w:szCs w:val="32"/>
          <w:highlight w:val="none"/>
        </w:rPr>
        <w:t>，</w:t>
      </w:r>
      <w:r>
        <w:rPr>
          <w:rFonts w:hint="default" w:ascii="Times New Roman" w:hAnsi="Times New Roman" w:eastAsia="仿宋_GB2312" w:cs="Times New Roman"/>
          <w:sz w:val="32"/>
          <w:szCs w:val="32"/>
          <w:highlight w:val="none"/>
        </w:rPr>
        <w:t>决算数</w:t>
      </w:r>
      <w:r>
        <w:rPr>
          <w:rFonts w:hint="default" w:ascii="Times New Roman" w:hAnsi="Times New Roman" w:eastAsia="仿宋_GB2312" w:cs="Times New Roman"/>
          <w:sz w:val="32"/>
          <w:szCs w:val="32"/>
          <w:highlight w:val="none"/>
          <w:lang w:eastAsia="zh-CN"/>
        </w:rPr>
        <w:t>与</w:t>
      </w:r>
      <w:r>
        <w:rPr>
          <w:rFonts w:hint="default" w:ascii="Times New Roman" w:hAnsi="Times New Roman" w:eastAsia="仿宋_GB2312" w:cs="Times New Roman"/>
          <w:sz w:val="32"/>
          <w:szCs w:val="32"/>
          <w:highlight w:val="none"/>
        </w:rPr>
        <w:t>预算数</w:t>
      </w:r>
      <w:r>
        <w:rPr>
          <w:rFonts w:hint="default" w:ascii="Times New Roman" w:hAnsi="Times New Roman" w:eastAsia="仿宋_GB2312" w:cs="Times New Roman"/>
          <w:sz w:val="32"/>
          <w:szCs w:val="32"/>
          <w:highlight w:val="none"/>
          <w:lang w:eastAsia="zh-CN"/>
        </w:rPr>
        <w:t>持平</w:t>
      </w:r>
      <w:r>
        <w:rPr>
          <w:rStyle w:val="16"/>
          <w:rFonts w:hint="eastAsia" w:ascii="仿宋" w:hAnsi="仿宋" w:eastAsia="仿宋"/>
          <w:b w:val="0"/>
          <w:bCs/>
          <w:sz w:val="32"/>
          <w:szCs w:val="32"/>
        </w:rPr>
        <w:t>。</w:t>
      </w:r>
    </w:p>
    <w:p w14:paraId="3F53EB9E">
      <w:pPr>
        <w:spacing w:line="600" w:lineRule="exact"/>
        <w:ind w:firstLine="643" w:firstLineChars="200"/>
        <w:rPr>
          <w:rFonts w:ascii="仿宋" w:hAnsi="仿宋" w:eastAsia="仿宋"/>
          <w:b/>
          <w:sz w:val="32"/>
          <w:szCs w:val="32"/>
        </w:rPr>
      </w:pPr>
      <w:r>
        <w:rPr>
          <w:rStyle w:val="16"/>
          <w:rFonts w:ascii="仿宋" w:hAnsi="仿宋" w:eastAsia="仿宋"/>
          <w:bCs/>
          <w:sz w:val="32"/>
          <w:szCs w:val="32"/>
        </w:rPr>
        <w:t>2.</w:t>
      </w:r>
      <w:r>
        <w:rPr>
          <w:rFonts w:hint="eastAsia" w:ascii="仿宋" w:hAnsi="仿宋" w:eastAsia="仿宋"/>
          <w:b/>
          <w:bCs/>
          <w:sz w:val="32"/>
          <w:szCs w:val="32"/>
        </w:rPr>
        <w:t>卫生健康</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210</w:t>
      </w:r>
      <w:r>
        <w:rPr>
          <w:rStyle w:val="16"/>
          <w:rFonts w:hint="eastAsia" w:ascii="仿宋" w:hAnsi="仿宋" w:eastAsia="仿宋"/>
          <w:bCs/>
          <w:sz w:val="32"/>
          <w:szCs w:val="32"/>
        </w:rPr>
        <w:t>类）基层医疗卫生机构（</w:t>
      </w:r>
      <w:r>
        <w:rPr>
          <w:rStyle w:val="16"/>
          <w:rFonts w:hint="eastAsia" w:ascii="仿宋" w:hAnsi="仿宋" w:eastAsia="仿宋"/>
          <w:bCs/>
          <w:sz w:val="32"/>
          <w:szCs w:val="32"/>
          <w:lang w:val="en-US" w:eastAsia="zh-CN"/>
        </w:rPr>
        <w:t>03</w:t>
      </w:r>
      <w:r>
        <w:rPr>
          <w:rStyle w:val="16"/>
          <w:rFonts w:hint="eastAsia" w:ascii="仿宋" w:hAnsi="仿宋" w:eastAsia="仿宋"/>
          <w:bCs/>
          <w:sz w:val="32"/>
          <w:szCs w:val="32"/>
        </w:rPr>
        <w:t>款）乡镇卫生院（</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Fonts w:hint="eastAsia" w:ascii="仿宋" w:hAnsi="仿宋" w:eastAsia="仿宋" w:cs="Times New Roman"/>
          <w:b/>
          <w:sz w:val="32"/>
          <w:szCs w:val="32"/>
          <w:lang w:val="en-US" w:eastAsia="zh-CN"/>
        </w:rPr>
        <w:t>55.91</w:t>
      </w:r>
      <w:r>
        <w:rPr>
          <w:rStyle w:val="16"/>
          <w:rFonts w:hint="eastAsia" w:ascii="仿宋" w:hAnsi="仿宋" w:eastAsia="仿宋"/>
          <w:b w:val="0"/>
          <w:bCs/>
          <w:sz w:val="32"/>
          <w:szCs w:val="32"/>
        </w:rPr>
        <w:t>万元，完成预算</w:t>
      </w:r>
      <w:r>
        <w:rPr>
          <w:rFonts w:hint="eastAsia" w:ascii="仿宋" w:hAnsi="仿宋" w:eastAsia="仿宋" w:cs="Times New Roman"/>
          <w:b/>
          <w:sz w:val="32"/>
          <w:szCs w:val="32"/>
          <w:lang w:val="en-US" w:eastAsia="zh-CN"/>
        </w:rPr>
        <w:t>74.99</w:t>
      </w:r>
      <w:r>
        <w:rPr>
          <w:rStyle w:val="16"/>
          <w:rFonts w:ascii="仿宋" w:hAnsi="仿宋" w:eastAsia="仿宋"/>
          <w:b w:val="0"/>
          <w:bCs/>
          <w:sz w:val="32"/>
          <w:szCs w:val="32"/>
        </w:rPr>
        <w:t>%</w:t>
      </w:r>
      <w:r>
        <w:rPr>
          <w:rStyle w:val="16"/>
          <w:rFonts w:hint="eastAsia" w:ascii="仿宋" w:hAnsi="仿宋" w:eastAsia="仿宋"/>
          <w:b w:val="0"/>
          <w:bCs/>
          <w:sz w:val="32"/>
          <w:szCs w:val="32"/>
        </w:rPr>
        <w:t>，</w:t>
      </w:r>
      <w:r>
        <w:rPr>
          <w:rStyle w:val="16"/>
          <w:rFonts w:hint="default" w:ascii="Times New Roman" w:hAnsi="Times New Roman" w:eastAsia="仿宋_GB2312" w:cs="Times New Roman"/>
          <w:b w:val="0"/>
          <w:bCs/>
          <w:color w:val="000000"/>
          <w:sz w:val="32"/>
          <w:szCs w:val="32"/>
          <w:highlight w:val="none"/>
        </w:rPr>
        <w:t>，</w:t>
      </w:r>
      <w:r>
        <w:rPr>
          <w:rFonts w:hint="default" w:ascii="Times New Roman" w:hAnsi="Times New Roman" w:eastAsia="仿宋_GB2312" w:cs="Times New Roman"/>
          <w:sz w:val="32"/>
          <w:szCs w:val="32"/>
          <w:highlight w:val="none"/>
        </w:rPr>
        <w:t>决算数</w:t>
      </w:r>
      <w:r>
        <w:rPr>
          <w:rFonts w:hint="default" w:ascii="Times New Roman" w:hAnsi="Times New Roman" w:eastAsia="仿宋_GB2312" w:cs="Times New Roman"/>
          <w:sz w:val="32"/>
          <w:szCs w:val="32"/>
          <w:highlight w:val="none"/>
          <w:lang w:eastAsia="zh-CN"/>
        </w:rPr>
        <w:t>与</w:t>
      </w:r>
      <w:r>
        <w:rPr>
          <w:rFonts w:hint="default" w:ascii="Times New Roman" w:hAnsi="Times New Roman" w:eastAsia="仿宋_GB2312" w:cs="Times New Roman"/>
          <w:sz w:val="32"/>
          <w:szCs w:val="32"/>
          <w:highlight w:val="none"/>
        </w:rPr>
        <w:t>预算数</w:t>
      </w:r>
      <w:r>
        <w:rPr>
          <w:rFonts w:hint="default" w:ascii="Times New Roman" w:hAnsi="Times New Roman" w:eastAsia="仿宋_GB2312" w:cs="Times New Roman"/>
          <w:sz w:val="32"/>
          <w:szCs w:val="32"/>
          <w:highlight w:val="none"/>
          <w:lang w:eastAsia="zh-CN"/>
        </w:rPr>
        <w:t>持平</w:t>
      </w:r>
      <w:r>
        <w:rPr>
          <w:rStyle w:val="16"/>
          <w:rFonts w:hint="eastAsia" w:ascii="仿宋" w:hAnsi="仿宋" w:eastAsia="仿宋"/>
          <w:b w:val="0"/>
          <w:bCs/>
          <w:sz w:val="32"/>
          <w:szCs w:val="32"/>
        </w:rPr>
        <w:t>。</w:t>
      </w:r>
    </w:p>
    <w:p w14:paraId="09A8CFBF">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031A7C88">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74.56</w:t>
      </w:r>
      <w:r>
        <w:rPr>
          <w:rFonts w:hint="eastAsia" w:ascii="仿宋" w:hAnsi="仿宋" w:eastAsia="仿宋"/>
          <w:sz w:val="32"/>
          <w:szCs w:val="32"/>
        </w:rPr>
        <w:t>万元，其中：</w:t>
      </w:r>
    </w:p>
    <w:p w14:paraId="6ED04351">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ascii="仿宋" w:hAnsi="仿宋" w:eastAsia="仿宋"/>
          <w:b/>
          <w:sz w:val="32"/>
          <w:szCs w:val="32"/>
        </w:rPr>
        <w:t>74.56</w:t>
      </w:r>
      <w:r>
        <w:rPr>
          <w:rFonts w:hint="eastAsia" w:ascii="仿宋" w:hAnsi="仿宋" w:eastAsia="仿宋"/>
          <w:sz w:val="32"/>
          <w:szCs w:val="32"/>
        </w:rPr>
        <w:t>万元，主要包括：基本工资</w:t>
      </w:r>
      <w:r>
        <w:rPr>
          <w:rFonts w:hint="eastAsia" w:ascii="仿宋" w:hAnsi="仿宋" w:eastAsia="仿宋"/>
          <w:b/>
          <w:bCs/>
          <w:sz w:val="32"/>
          <w:szCs w:val="32"/>
          <w:lang w:val="en-US" w:eastAsia="zh-CN"/>
        </w:rPr>
        <w:t>53.34</w:t>
      </w:r>
      <w:r>
        <w:rPr>
          <w:rFonts w:hint="eastAsia" w:ascii="仿宋" w:hAnsi="仿宋" w:eastAsia="仿宋"/>
          <w:sz w:val="32"/>
          <w:szCs w:val="32"/>
        </w:rPr>
        <w:t>万元、津贴补贴、奖金、伙食补助费、绩效工资、机关事业单位基本养老保险缴费、职业年金缴费、其他社会保障缴费、其他工资福利支出、离休费、退休费、抚恤金、生活补助</w:t>
      </w:r>
      <w:r>
        <w:rPr>
          <w:rFonts w:hint="eastAsia" w:ascii="仿宋" w:hAnsi="仿宋" w:eastAsia="仿宋"/>
          <w:b/>
          <w:bCs/>
          <w:sz w:val="32"/>
          <w:szCs w:val="32"/>
          <w:lang w:val="en-US" w:eastAsia="zh-CN"/>
        </w:rPr>
        <w:t>21.22</w:t>
      </w:r>
      <w:r>
        <w:rPr>
          <w:rFonts w:hint="eastAsia" w:ascii="仿宋" w:hAnsi="仿宋" w:eastAsia="仿宋"/>
          <w:sz w:val="32"/>
          <w:szCs w:val="32"/>
        </w:rPr>
        <w:t>万元、医疗费补助、奖励金、住房公积金、其他对个人和家庭的补助支出等。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0</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230B1395">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686D0F1C">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499B34C8">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w:t>
      </w:r>
    </w:p>
    <w:p w14:paraId="384D7BD4">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27DBEE84">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40ACBB8F">
      <w:pPr>
        <w:spacing w:line="600" w:lineRule="exact"/>
        <w:ind w:firstLine="640"/>
        <w:rPr>
          <w:rFonts w:ascii="仿宋_GB2312" w:eastAsia="仿宋_GB2312"/>
          <w:sz w:val="32"/>
          <w:szCs w:val="32"/>
        </w:rPr>
      </w:pPr>
      <w:bookmarkStart w:id="40" w:name="_Toc15377218"/>
      <w:bookmarkStart w:id="41"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p>
    <w:p w14:paraId="25867669">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p>
    <w:p w14:paraId="36E498C3">
      <w:pPr>
        <w:spacing w:line="600" w:lineRule="exact"/>
        <w:ind w:firstLine="643" w:firstLineChars="200"/>
        <w:rPr>
          <w:rFonts w:ascii="黑体" w:eastAsia="黑体"/>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p>
    <w:p w14:paraId="48EA87EE">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12FFEA9B">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257390CD">
      <w:pPr>
        <w:numPr>
          <w:ilvl w:val="0"/>
          <w:numId w:val="2"/>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14:paraId="5E07B576">
      <w:pPr>
        <w:spacing w:line="600" w:lineRule="exact"/>
        <w:ind w:firstLine="640"/>
        <w:rPr>
          <w:rFonts w:hint="eastAsia" w:ascii="方正小标宋简体" w:hAnsi="方正小标宋简体" w:eastAsia="仿宋_GB2312" w:cs="方正小标宋简体"/>
          <w:sz w:val="44"/>
          <w:szCs w:val="44"/>
          <w:lang w:val="en-US" w:eastAsia="zh-CN"/>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p>
    <w:p w14:paraId="532138FC">
      <w:pPr>
        <w:numPr>
          <w:ilvl w:val="0"/>
          <w:numId w:val="2"/>
        </w:numPr>
        <w:spacing w:line="600" w:lineRule="exact"/>
        <w:ind w:firstLine="640"/>
        <w:outlineLvl w:val="1"/>
        <w:rPr>
          <w:rStyle w:val="28"/>
          <w:rFonts w:ascii="黑体" w:hAnsi="黑体" w:eastAsia="黑体"/>
          <w:b w:val="0"/>
        </w:rPr>
      </w:pPr>
      <w:bookmarkStart w:id="44" w:name="_Toc15396612"/>
      <w:bookmarkStart w:id="45" w:name="_Toc15377221"/>
      <w:r>
        <w:rPr>
          <w:rStyle w:val="28"/>
          <w:rFonts w:hint="eastAsia" w:ascii="黑体" w:hAnsi="黑体" w:eastAsia="黑体"/>
          <w:b w:val="0"/>
        </w:rPr>
        <w:t>其他重要事项的情况说明</w:t>
      </w:r>
      <w:bookmarkEnd w:id="44"/>
      <w:bookmarkEnd w:id="45"/>
    </w:p>
    <w:p w14:paraId="70D23257">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5ABA5F48">
      <w:pPr>
        <w:spacing w:line="600" w:lineRule="exact"/>
        <w:ind w:firstLine="640" w:firstLineChars="200"/>
        <w:rPr>
          <w:rFonts w:ascii="仿宋" w:hAnsi="仿宋" w:eastAsia="仿宋"/>
          <w:b/>
          <w:sz w:val="32"/>
          <w:szCs w:val="32"/>
        </w:rPr>
      </w:pPr>
      <w:r>
        <w:rPr>
          <w:rFonts w:hint="eastAsia" w:ascii="仿宋_GB2312" w:eastAsia="仿宋_GB2312"/>
          <w:sz w:val="32"/>
          <w:szCs w:val="32"/>
        </w:rPr>
        <w:t>2023年度，</w:t>
      </w:r>
      <w:r>
        <w:rPr>
          <w:rFonts w:ascii="仿宋_GB2312" w:eastAsia="仿宋_GB2312"/>
          <w:b/>
          <w:sz w:val="32"/>
          <w:szCs w:val="32"/>
        </w:rPr>
        <w:t>大竹县月华镇卫生院</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p>
    <w:p w14:paraId="7BB866F4">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3F080D63">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大竹县月华镇卫生院</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w:t>
      </w:r>
    </w:p>
    <w:p w14:paraId="094F1D47">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12B875A1">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大竹县月华镇卫生院</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w:t>
      </w:r>
    </w:p>
    <w:p w14:paraId="2F7CA974">
      <w:pPr>
        <w:autoSpaceDE w:val="0"/>
        <w:autoSpaceDN w:val="0"/>
        <w:adjustRightInd w:val="0"/>
        <w:spacing w:line="600" w:lineRule="exact"/>
        <w:ind w:firstLine="643" w:firstLineChars="200"/>
        <w:jc w:val="left"/>
        <w:outlineLvl w:val="2"/>
        <w:rPr>
          <w:rFonts w:ascii="仿宋_GB2312" w:eastAsia="仿宋_GB2312"/>
          <w:sz w:val="32"/>
          <w:szCs w:val="32"/>
        </w:rPr>
      </w:pPr>
      <w:r>
        <w:rPr>
          <w:rFonts w:hint="eastAsia" w:ascii="仿宋" w:hAnsi="仿宋" w:eastAsia="仿宋"/>
          <w:b/>
          <w:sz w:val="32"/>
          <w:szCs w:val="32"/>
        </w:rPr>
        <w:t>（四）预算绩效管理情况</w:t>
      </w:r>
      <w:r>
        <w:rPr>
          <w:rFonts w:hint="eastAsia" w:ascii="仿宋" w:hAnsi="仿宋" w:eastAsia="仿宋"/>
          <w:b/>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w:t>
      </w:r>
      <w:r>
        <w:rPr>
          <w:rFonts w:hint="eastAsia" w:ascii="仿宋_GB2312" w:eastAsia="仿宋_GB2312"/>
          <w:sz w:val="32"/>
          <w:szCs w:val="32"/>
        </w:rPr>
        <w:br w:type="page"/>
      </w:r>
    </w:p>
    <w:p w14:paraId="0D455BD4">
      <w:pPr>
        <w:numPr>
          <w:ilvl w:val="0"/>
          <w:numId w:val="3"/>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385B597A">
      <w:pPr>
        <w:spacing w:line="600" w:lineRule="exact"/>
        <w:jc w:val="left"/>
        <w:rPr>
          <w:rFonts w:ascii="宋体"/>
          <w:b/>
          <w:sz w:val="44"/>
          <w:szCs w:val="44"/>
        </w:rPr>
      </w:pPr>
    </w:p>
    <w:p w14:paraId="5473B012">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0D601AE4">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38E231FB">
      <w:pPr>
        <w:pStyle w:val="25"/>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72F2C4A1">
      <w:pPr>
        <w:pStyle w:val="25"/>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14:paraId="67BF576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4E1B426B">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316512DF">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607A879B">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189ECB3B">
      <w:pPr>
        <w:ind w:firstLine="640" w:firstLineChars="200"/>
        <w:rPr>
          <w:rFonts w:ascii="仿宋_GB2312" w:eastAsia="仿宋_GB2312"/>
          <w:sz w:val="32"/>
          <w:szCs w:val="32"/>
        </w:rPr>
      </w:pPr>
      <w:r>
        <w:rPr>
          <w:rFonts w:ascii="仿宋_GB2312" w:eastAsia="仿宋_GB2312"/>
          <w:sz w:val="32"/>
          <w:szCs w:val="32"/>
        </w:rPr>
        <w:t>9.</w:t>
      </w:r>
      <w:r>
        <w:rPr>
          <w:rStyle w:val="16"/>
          <w:rFonts w:hint="default" w:ascii="Times New Roman" w:hAnsi="Times New Roman" w:eastAsia="仿宋_GB2312" w:cs="Times New Roman"/>
          <w:b w:val="0"/>
          <w:bCs w:val="0"/>
          <w:color w:val="000000"/>
          <w:sz w:val="32"/>
          <w:szCs w:val="32"/>
        </w:rPr>
        <w:t>社会保障和就业支出（</w:t>
      </w:r>
      <w:r>
        <w:rPr>
          <w:rStyle w:val="16"/>
          <w:rFonts w:hint="default" w:ascii="Times New Roman" w:hAnsi="Times New Roman" w:eastAsia="仿宋_GB2312" w:cs="Times New Roman"/>
          <w:b w:val="0"/>
          <w:bCs w:val="0"/>
          <w:color w:val="000000"/>
          <w:sz w:val="32"/>
          <w:szCs w:val="32"/>
          <w:lang w:val="en-US" w:eastAsia="zh-CN"/>
        </w:rPr>
        <w:t>208</w:t>
      </w:r>
      <w:r>
        <w:rPr>
          <w:rStyle w:val="16"/>
          <w:rFonts w:hint="default" w:ascii="Times New Roman" w:hAnsi="Times New Roman" w:eastAsia="仿宋_GB2312" w:cs="Times New Roman"/>
          <w:b w:val="0"/>
          <w:bCs w:val="0"/>
          <w:color w:val="000000"/>
          <w:sz w:val="32"/>
          <w:szCs w:val="32"/>
        </w:rPr>
        <w:t>类）</w:t>
      </w:r>
      <w:r>
        <w:rPr>
          <w:rStyle w:val="16"/>
          <w:rFonts w:hint="default" w:ascii="Times New Roman" w:hAnsi="Times New Roman" w:eastAsia="仿宋_GB2312" w:cs="Times New Roman"/>
          <w:b w:val="0"/>
          <w:bCs w:val="0"/>
          <w:color w:val="000000"/>
          <w:sz w:val="32"/>
          <w:szCs w:val="32"/>
          <w:lang w:eastAsia="zh-CN"/>
        </w:rPr>
        <w:t>行政事业单位离退休（</w:t>
      </w:r>
      <w:r>
        <w:rPr>
          <w:rStyle w:val="16"/>
          <w:rFonts w:hint="default" w:ascii="Times New Roman" w:hAnsi="Times New Roman" w:eastAsia="仿宋_GB2312" w:cs="Times New Roman"/>
          <w:b w:val="0"/>
          <w:bCs w:val="0"/>
          <w:color w:val="000000"/>
          <w:sz w:val="32"/>
          <w:szCs w:val="32"/>
          <w:lang w:val="en-US" w:eastAsia="zh-CN"/>
        </w:rPr>
        <w:t>05</w:t>
      </w:r>
      <w:r>
        <w:rPr>
          <w:rStyle w:val="16"/>
          <w:rFonts w:hint="default" w:ascii="Times New Roman" w:hAnsi="Times New Roman" w:eastAsia="仿宋_GB2312" w:cs="Times New Roman"/>
          <w:b w:val="0"/>
          <w:bCs w:val="0"/>
          <w:color w:val="000000"/>
          <w:sz w:val="32"/>
          <w:szCs w:val="32"/>
        </w:rPr>
        <w:t>款）</w:t>
      </w:r>
      <w:r>
        <w:rPr>
          <w:rStyle w:val="16"/>
          <w:rFonts w:hint="default" w:ascii="Times New Roman" w:hAnsi="Times New Roman" w:eastAsia="仿宋_GB2312" w:cs="Times New Roman"/>
          <w:b w:val="0"/>
          <w:bCs w:val="0"/>
          <w:color w:val="000000"/>
          <w:sz w:val="32"/>
          <w:szCs w:val="32"/>
          <w:lang w:val="en-US" w:eastAsia="zh-CN"/>
        </w:rPr>
        <w:t>其他行政事业单位离退休支出</w:t>
      </w:r>
      <w:r>
        <w:rPr>
          <w:rStyle w:val="16"/>
          <w:rFonts w:hint="default" w:ascii="Times New Roman" w:hAnsi="Times New Roman" w:eastAsia="仿宋_GB2312" w:cs="Times New Roman"/>
          <w:b w:val="0"/>
          <w:bCs w:val="0"/>
          <w:color w:val="000000"/>
          <w:sz w:val="32"/>
          <w:szCs w:val="32"/>
        </w:rPr>
        <w:t>（</w:t>
      </w:r>
      <w:r>
        <w:rPr>
          <w:rStyle w:val="16"/>
          <w:rFonts w:hint="default" w:ascii="Times New Roman" w:hAnsi="Times New Roman" w:eastAsia="仿宋_GB2312" w:cs="Times New Roman"/>
          <w:b w:val="0"/>
          <w:bCs w:val="0"/>
          <w:color w:val="000000"/>
          <w:sz w:val="32"/>
          <w:szCs w:val="32"/>
          <w:lang w:val="en-US" w:eastAsia="zh-CN"/>
        </w:rPr>
        <w:t>99</w:t>
      </w:r>
      <w:r>
        <w:rPr>
          <w:rStyle w:val="16"/>
          <w:rFonts w:hint="default" w:ascii="Times New Roman" w:hAnsi="Times New Roman" w:eastAsia="仿宋_GB2312" w:cs="Times New Roman"/>
          <w:b w:val="0"/>
          <w:bCs w:val="0"/>
          <w:color w:val="000000"/>
          <w:sz w:val="32"/>
          <w:szCs w:val="32"/>
        </w:rPr>
        <w:t>项）:</w:t>
      </w:r>
      <w:r>
        <w:rPr>
          <w:rStyle w:val="16"/>
          <w:rFonts w:hint="default" w:ascii="Times New Roman" w:hAnsi="Times New Roman" w:eastAsia="仿宋_GB2312" w:cs="Times New Roman"/>
          <w:b w:val="0"/>
          <w:bCs w:val="0"/>
          <w:color w:val="auto"/>
          <w:sz w:val="32"/>
          <w:szCs w:val="32"/>
          <w:lang w:eastAsia="zh-CN"/>
        </w:rPr>
        <w:t>指反映</w:t>
      </w:r>
      <w:r>
        <w:rPr>
          <w:rStyle w:val="16"/>
          <w:rFonts w:hint="default" w:ascii="Times New Roman" w:hAnsi="Times New Roman" w:eastAsia="仿宋_GB2312" w:cs="Times New Roman"/>
          <w:b w:val="0"/>
          <w:bCs w:val="0"/>
          <w:color w:val="auto"/>
          <w:sz w:val="32"/>
          <w:szCs w:val="32"/>
          <w:lang w:val="en-US" w:eastAsia="zh-CN"/>
        </w:rPr>
        <w:t>除上述项目以外其他用于行政事业单位离退休方面的支出</w:t>
      </w:r>
      <w:r>
        <w:rPr>
          <w:rFonts w:hint="eastAsia" w:ascii="仿宋_GB2312" w:eastAsia="仿宋_GB2312"/>
          <w:sz w:val="32"/>
          <w:szCs w:val="32"/>
        </w:rPr>
        <w:t>。</w:t>
      </w:r>
    </w:p>
    <w:p w14:paraId="12DD510C">
      <w:pPr>
        <w:ind w:firstLine="640" w:firstLineChars="200"/>
        <w:rPr>
          <w:rFonts w:ascii="仿宋_GB2312" w:eastAsia="仿宋_GB2312"/>
          <w:sz w:val="32"/>
          <w:szCs w:val="32"/>
        </w:rPr>
      </w:pPr>
      <w:r>
        <w:rPr>
          <w:rFonts w:ascii="仿宋_GB2312" w:eastAsia="仿宋_GB2312"/>
          <w:sz w:val="32"/>
          <w:szCs w:val="32"/>
        </w:rPr>
        <w:t>10.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卫生健康</w:t>
      </w:r>
      <w:r>
        <w:rPr>
          <w:rStyle w:val="16"/>
          <w:rFonts w:hint="default" w:ascii="Times New Roman" w:hAnsi="Times New Roman" w:eastAsia="仿宋_GB2312" w:cs="Times New Roman"/>
          <w:b w:val="0"/>
          <w:bCs w:val="0"/>
          <w:color w:val="000000"/>
          <w:sz w:val="32"/>
          <w:szCs w:val="32"/>
        </w:rPr>
        <w:t>（</w:t>
      </w:r>
      <w:r>
        <w:rPr>
          <w:rStyle w:val="16"/>
          <w:rFonts w:hint="default" w:ascii="Times New Roman" w:hAnsi="Times New Roman" w:eastAsia="仿宋_GB2312" w:cs="Times New Roman"/>
          <w:b w:val="0"/>
          <w:bCs w:val="0"/>
          <w:color w:val="000000"/>
          <w:sz w:val="32"/>
          <w:szCs w:val="32"/>
          <w:lang w:val="en-US" w:eastAsia="zh-CN"/>
        </w:rPr>
        <w:t>210</w:t>
      </w:r>
      <w:r>
        <w:rPr>
          <w:rStyle w:val="16"/>
          <w:rFonts w:hint="default" w:ascii="Times New Roman" w:hAnsi="Times New Roman" w:eastAsia="仿宋_GB2312" w:cs="Times New Roman"/>
          <w:b w:val="0"/>
          <w:bCs w:val="0"/>
          <w:color w:val="000000"/>
          <w:sz w:val="32"/>
          <w:szCs w:val="32"/>
        </w:rPr>
        <w:t>类）基层医疗卫生机构（</w:t>
      </w:r>
      <w:r>
        <w:rPr>
          <w:rStyle w:val="16"/>
          <w:rFonts w:hint="default" w:ascii="Times New Roman" w:hAnsi="Times New Roman" w:eastAsia="仿宋_GB2312" w:cs="Times New Roman"/>
          <w:b w:val="0"/>
          <w:bCs w:val="0"/>
          <w:color w:val="000000"/>
          <w:sz w:val="32"/>
          <w:szCs w:val="32"/>
          <w:lang w:val="en-US" w:eastAsia="zh-CN"/>
        </w:rPr>
        <w:t>03</w:t>
      </w:r>
      <w:r>
        <w:rPr>
          <w:rStyle w:val="16"/>
          <w:rFonts w:hint="default" w:ascii="Times New Roman" w:hAnsi="Times New Roman" w:eastAsia="仿宋_GB2312" w:cs="Times New Roman"/>
          <w:b w:val="0"/>
          <w:bCs w:val="0"/>
          <w:color w:val="000000"/>
          <w:sz w:val="32"/>
          <w:szCs w:val="32"/>
        </w:rPr>
        <w:t>款）乡镇卫生院（</w:t>
      </w:r>
      <w:r>
        <w:rPr>
          <w:rStyle w:val="16"/>
          <w:rFonts w:hint="default" w:ascii="Times New Roman" w:hAnsi="Times New Roman" w:eastAsia="仿宋_GB2312" w:cs="Times New Roman"/>
          <w:b w:val="0"/>
          <w:bCs w:val="0"/>
          <w:color w:val="000000"/>
          <w:sz w:val="32"/>
          <w:szCs w:val="32"/>
          <w:lang w:val="en-US" w:eastAsia="zh-CN"/>
        </w:rPr>
        <w:t>02</w:t>
      </w:r>
      <w:r>
        <w:rPr>
          <w:rStyle w:val="16"/>
          <w:rFonts w:hint="default" w:ascii="Times New Roman" w:hAnsi="Times New Roman" w:eastAsia="仿宋_GB2312" w:cs="Times New Roman"/>
          <w:b w:val="0"/>
          <w:bCs w:val="0"/>
          <w:color w:val="000000"/>
          <w:sz w:val="32"/>
          <w:szCs w:val="32"/>
        </w:rPr>
        <w:t>项）:</w:t>
      </w:r>
      <w:r>
        <w:rPr>
          <w:rStyle w:val="16"/>
          <w:rFonts w:hint="default" w:ascii="Times New Roman" w:hAnsi="Times New Roman" w:eastAsia="仿宋_GB2312" w:cs="Times New Roman"/>
          <w:b w:val="0"/>
          <w:bCs w:val="0"/>
          <w:color w:val="000000"/>
          <w:sz w:val="32"/>
          <w:szCs w:val="32"/>
          <w:lang w:val="en-US" w:eastAsia="zh-CN"/>
        </w:rPr>
        <w:t>指反映用于乡镇卫生院的支出</w:t>
      </w:r>
      <w:r>
        <w:rPr>
          <w:rFonts w:hint="eastAsia" w:ascii="仿宋_GB2312" w:eastAsia="仿宋_GB2312"/>
          <w:sz w:val="32"/>
          <w:szCs w:val="32"/>
        </w:rPr>
        <w:t>。</w:t>
      </w:r>
    </w:p>
    <w:p w14:paraId="2DAD9DB1">
      <w:pPr>
        <w:ind w:firstLine="640" w:firstLineChars="200"/>
        <w:rPr>
          <w:rFonts w:ascii="仿宋_GB2312" w:eastAsia="仿宋_GB2312"/>
          <w:sz w:val="32"/>
          <w:szCs w:val="32"/>
        </w:rPr>
      </w:pPr>
    </w:p>
    <w:p w14:paraId="0A0EFA71">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基本支出：指为保障机构正常运转、完成日常工作任务而发生的人员支出和公用支出。</w:t>
      </w:r>
    </w:p>
    <w:p w14:paraId="722B64F5">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3BF242D4">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经营支出：指事业单位在专业业务活动及其辅助活动之外开展非独立核算经营活动发生的支出。</w:t>
      </w:r>
    </w:p>
    <w:p w14:paraId="72643D36">
      <w:pPr>
        <w:pStyle w:val="25"/>
        <w:spacing w:line="560" w:lineRule="exact"/>
        <w:ind w:firstLine="640" w:firstLineChars="200"/>
        <w:rPr>
          <w:rFonts w:ascii="仿宋_GB2312" w:eastAsia="仿宋_GB2312"/>
          <w:color w:val="auto"/>
          <w:sz w:val="32"/>
          <w:szCs w:val="32"/>
        </w:rPr>
      </w:pPr>
      <w:r>
        <w:rPr>
          <w:rFonts w:ascii="仿宋_GB2312" w:eastAsia="仿宋_GB2312"/>
          <w:sz w:val="32"/>
          <w:szCs w:val="32"/>
        </w:rPr>
        <w:t>14.</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970CC53">
      <w:pPr>
        <w:ind w:firstLine="640" w:firstLineChars="200"/>
        <w:rPr>
          <w:rFonts w:ascii="仿宋" w:hAnsi="仿宋" w:eastAsia="仿宋"/>
          <w:b/>
          <w:sz w:val="32"/>
          <w:szCs w:val="32"/>
        </w:rPr>
      </w:pPr>
      <w:r>
        <w:rPr>
          <w:rFonts w:ascii="仿宋_GB2312" w:eastAsia="仿宋_GB2312"/>
          <w:sz w:val="32"/>
          <w:szCs w:val="32"/>
        </w:rPr>
        <w:t>15.</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63FA963">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14:paraId="6368ECEC">
      <w:pPr>
        <w:spacing w:line="572" w:lineRule="exact"/>
        <w:jc w:val="left"/>
        <w:outlineLvl w:val="0"/>
        <w:rPr>
          <w:rFonts w:ascii="仿宋_GB2312" w:hAnsi="仿宋_GB2312" w:eastAsia="仿宋_GB2312" w:cs="仿宋_GB2312"/>
          <w:sz w:val="32"/>
          <w:szCs w:val="32"/>
        </w:rPr>
      </w:pPr>
    </w:p>
    <w:p w14:paraId="6AE9984A">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p w14:paraId="40C1A77C">
      <w:pPr>
        <w:pStyle w:val="13"/>
        <w:spacing w:line="560" w:lineRule="exact"/>
        <w:ind w:left="0" w:leftChars="0" w:firstLine="640"/>
        <w:rPr>
          <w:sz w:val="32"/>
        </w:rPr>
      </w:pPr>
    </w:p>
    <w:p w14:paraId="2D471DEB">
      <w:pPr>
        <w:pStyle w:val="13"/>
        <w:spacing w:line="560" w:lineRule="exact"/>
        <w:ind w:left="0" w:leftChars="0" w:firstLine="640"/>
        <w:rPr>
          <w:rFonts w:hAnsi="Calibri" w:eastAsia="仿宋_GB2312" w:cs="仿宋"/>
          <w:sz w:val="32"/>
          <w:lang w:val="zh-CN"/>
        </w:rPr>
      </w:pPr>
      <w:r>
        <w:rPr>
          <w:rFonts w:hint="eastAsia" w:hAnsi="Calibri"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p w14:paraId="35CF6A82">
      <w:pPr>
        <w:pStyle w:val="2"/>
        <w:spacing w:before="93"/>
        <w:rPr>
          <w:rFonts w:hAnsi="Calibri" w:cs="仿宋"/>
          <w:sz w:val="32"/>
          <w:szCs w:val="32"/>
        </w:rPr>
      </w:pPr>
    </w:p>
    <w:p w14:paraId="744EAC91">
      <w:pPr>
        <w:pStyle w:val="2"/>
        <w:spacing w:before="93"/>
        <w:rPr>
          <w:rFonts w:hAnsi="Calibri" w:cs="仿宋"/>
          <w:sz w:val="32"/>
          <w:szCs w:val="32"/>
        </w:rPr>
      </w:pPr>
    </w:p>
    <w:p w14:paraId="598297D2">
      <w:pPr>
        <w:pStyle w:val="2"/>
        <w:spacing w:before="93"/>
        <w:rPr>
          <w:rFonts w:hAnsi="Calibri" w:cs="仿宋"/>
          <w:sz w:val="32"/>
          <w:szCs w:val="32"/>
        </w:rPr>
      </w:pPr>
    </w:p>
    <w:p w14:paraId="291D1BF8">
      <w:pPr>
        <w:pStyle w:val="2"/>
        <w:spacing w:before="93"/>
        <w:rPr>
          <w:rFonts w:hAnsi="Calibri" w:cs="仿宋"/>
          <w:sz w:val="32"/>
          <w:szCs w:val="32"/>
        </w:rPr>
      </w:pPr>
    </w:p>
    <w:p w14:paraId="5AA54C55">
      <w:pPr>
        <w:pStyle w:val="2"/>
        <w:spacing w:before="93"/>
        <w:rPr>
          <w:rFonts w:hAnsi="Calibri" w:cs="仿宋"/>
          <w:sz w:val="32"/>
          <w:szCs w:val="32"/>
        </w:rPr>
      </w:pPr>
    </w:p>
    <w:p w14:paraId="351FD59F">
      <w:pPr>
        <w:pStyle w:val="2"/>
        <w:spacing w:before="93"/>
        <w:rPr>
          <w:rFonts w:hAnsi="Calibri" w:cs="仿宋"/>
          <w:sz w:val="32"/>
          <w:szCs w:val="32"/>
        </w:rPr>
      </w:pPr>
    </w:p>
    <w:p w14:paraId="49912C3D">
      <w:pPr>
        <w:pStyle w:val="2"/>
        <w:spacing w:before="93"/>
        <w:rPr>
          <w:rFonts w:hAnsi="Calibri" w:cs="仿宋"/>
          <w:sz w:val="32"/>
          <w:szCs w:val="32"/>
        </w:rPr>
      </w:pPr>
    </w:p>
    <w:p w14:paraId="67A6DD75">
      <w:pPr>
        <w:pStyle w:val="2"/>
        <w:spacing w:before="93"/>
        <w:rPr>
          <w:rFonts w:hAnsi="Calibri" w:cs="仿宋"/>
          <w:sz w:val="32"/>
          <w:szCs w:val="32"/>
        </w:rPr>
      </w:pPr>
    </w:p>
    <w:p w14:paraId="5D8DCED1">
      <w:pPr>
        <w:pStyle w:val="2"/>
        <w:spacing w:before="93"/>
        <w:rPr>
          <w:rFonts w:hAnsi="Calibri" w:cs="仿宋"/>
          <w:sz w:val="32"/>
          <w:szCs w:val="32"/>
        </w:rPr>
      </w:pPr>
    </w:p>
    <w:p w14:paraId="55C32797">
      <w:pPr>
        <w:pStyle w:val="2"/>
        <w:spacing w:before="93"/>
        <w:rPr>
          <w:rFonts w:hAnsi="Calibri" w:cs="仿宋"/>
          <w:sz w:val="32"/>
          <w:szCs w:val="32"/>
        </w:rPr>
      </w:pPr>
    </w:p>
    <w:p w14:paraId="182AB0E5">
      <w:pPr>
        <w:pStyle w:val="2"/>
        <w:spacing w:before="93"/>
        <w:rPr>
          <w:rFonts w:hAnsi="Calibri" w:cs="仿宋"/>
          <w:sz w:val="32"/>
          <w:szCs w:val="32"/>
        </w:rPr>
      </w:pPr>
    </w:p>
    <w:p w14:paraId="3705E297">
      <w:pPr>
        <w:pStyle w:val="2"/>
        <w:spacing w:before="93"/>
        <w:rPr>
          <w:rFonts w:hAnsi="Calibri" w:cs="仿宋"/>
          <w:sz w:val="32"/>
          <w:szCs w:val="32"/>
        </w:rPr>
      </w:pPr>
    </w:p>
    <w:p w14:paraId="1DD88C57">
      <w:pPr>
        <w:spacing w:line="600" w:lineRule="exact"/>
        <w:jc w:val="center"/>
        <w:outlineLvl w:val="0"/>
        <w:rPr>
          <w:rFonts w:hint="eastAsia" w:ascii="黑体" w:hAnsi="黑体" w:eastAsia="黑体"/>
          <w:sz w:val="44"/>
          <w:szCs w:val="44"/>
        </w:rPr>
      </w:pPr>
    </w:p>
    <w:p w14:paraId="0BA25AD4">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44228CF2">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16AB3FA9">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6D06E6F9">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2298C331">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6731AA3D">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39F1EA77">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21535BE0">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51CD9950">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14DE6218">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45B01B2A">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48BA1564">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2B5C5EDE">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0067BC66">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D1E3E0E">
        <w:pPr>
          <w:pStyle w:val="9"/>
          <w:jc w:val="center"/>
        </w:pPr>
        <w:r>
          <w:fldChar w:fldCharType="begin"/>
        </w:r>
        <w:r>
          <w:instrText xml:space="preserve">PAGE   \* MERGEFORMAT</w:instrText>
        </w:r>
        <w:r>
          <w:fldChar w:fldCharType="separate"/>
        </w:r>
        <w:r>
          <w:rPr>
            <w:lang w:val="zh-CN"/>
          </w:rPr>
          <w:t>15</w:t>
        </w:r>
        <w:r>
          <w:fldChar w:fldCharType="end"/>
        </w:r>
      </w:p>
    </w:sdtContent>
  </w:sdt>
  <w:p w14:paraId="3964F88C">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F6921">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N2E5NjYwMjJkN2M0MGRmOWMyZWU0MTczZDMxZj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A0E067E"/>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C5B77EF"/>
    <w:rsid w:val="4ECE2238"/>
    <w:rsid w:val="51DB4B86"/>
    <w:rsid w:val="51F64DB0"/>
    <w:rsid w:val="55333C3E"/>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2 Char"/>
    <w:basedOn w:val="15"/>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26376;&#21326;\&#24180;&#32456;&#25253;&#34920;\2023&#24180;\&#20915;&#31639;&#20844;&#24320;\&#22823;&#31481;&#21439;&#26376;&#21326;&#38215;&#21355;&#29983;&#38498;2023&#24180;&#20915;&#31639;&#20844;&#24320;&#39292;&#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26376;&#21326;\&#24180;&#32456;&#25253;&#34920;\2023&#24180;\&#20915;&#31639;&#20844;&#24320;\&#22823;&#31481;&#21439;&#26376;&#21326;&#38215;&#21355;&#29983;&#38498;2023&#24180;&#20915;&#31639;&#20844;&#24320;&#39292;&#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26376;&#21326;\&#24180;&#32456;&#25253;&#34920;\2023&#24180;\&#20915;&#31639;&#20844;&#24320;\&#22823;&#31481;&#21439;&#26376;&#21326;&#38215;&#21355;&#29983;&#38498;2023&#24180;&#20915;&#31639;&#20844;&#24320;&#39292;&#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6376;&#21326;\&#24180;&#32456;&#25253;&#34920;\2023&#24180;\&#20915;&#31639;&#20844;&#24320;\&#22823;&#31481;&#21439;&#26376;&#21326;&#38215;&#21355;&#29983;&#38498;2023&#24180;&#20915;&#31639;&#20844;&#24320;&#39292;&#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26376;&#21326;\&#24180;&#32456;&#25253;&#34920;\2023&#24180;\&#20915;&#31639;&#20844;&#24320;\&#22823;&#31481;&#21439;&#26376;&#21326;&#38215;&#21355;&#29983;&#38498;2023&#24180;&#20915;&#31639;&#20844;&#24320;&#39292;&#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26376;&#21326;\&#24180;&#32456;&#25253;&#34920;\2023&#24180;\&#20915;&#31639;&#20844;&#24320;\&#22823;&#31481;&#21439;&#26376;&#21326;&#38215;&#21355;&#29983;&#38498;2023&#24180;&#20915;&#31639;&#20844;&#24320;&#39292;&#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20</a:t>
            </a:r>
            <a:r>
              <a:rPr lang="en-US" altLang="zh-CN" sz="1200"/>
              <a:t>22</a:t>
            </a:r>
            <a:r>
              <a:rPr sz="1200"/>
              <a:t>、202</a:t>
            </a:r>
            <a:r>
              <a:rPr lang="en-US" altLang="zh-CN" sz="1200"/>
              <a:t>3</a:t>
            </a:r>
            <a:r>
              <a:rPr sz="1200"/>
              <a:t>年收支决算总计变动情况图（万元）</a:t>
            </a:r>
            <a:endParaRPr sz="1200"/>
          </a:p>
        </c:rich>
      </c:tx>
      <c:layout>
        <c:manualLayout>
          <c:xMode val="edge"/>
          <c:yMode val="edge"/>
          <c:x val="0.170694444444444"/>
          <c:y val="0.0208333333333334"/>
        </c:manualLayout>
      </c:layout>
      <c:overlay val="0"/>
      <c:spPr>
        <a:noFill/>
        <a:ln>
          <a:noFill/>
        </a:ln>
        <a:effectLst/>
      </c:spPr>
    </c:title>
    <c:autoTitleDeleted val="0"/>
    <c:plotArea>
      <c:layout/>
      <c:barChart>
        <c:barDir val="col"/>
        <c:grouping val="clustered"/>
        <c:varyColors val="0"/>
        <c:ser>
          <c:idx val="0"/>
          <c:order val="0"/>
          <c:tx>
            <c:strRef>
              <c:f>[大竹县月华镇卫生院2023年决算公开饼图.xlsx]Sheet1!$B$2</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[大竹县月华镇卫生院2023年决算公开饼图.xlsx]Sheet1!$A$3:$A$5</c:f>
              <c:strCache>
                <c:ptCount val="3"/>
                <c:pt idx="0">
                  <c:v>收支总计</c:v>
                </c:pt>
                <c:pt idx="1">
                  <c:v>收入</c:v>
                </c:pt>
                <c:pt idx="2">
                  <c:v>支出</c:v>
                </c:pt>
              </c:strCache>
            </c:strRef>
          </c:cat>
          <c:val>
            <c:numRef>
              <c:f>[大竹县月华镇卫生院2023年决算公开饼图.xlsx]Sheet1!$B$3:$B$5</c:f>
              <c:numCache>
                <c:formatCode>General</c:formatCode>
                <c:ptCount val="3"/>
                <c:pt idx="0">
                  <c:v>792.54</c:v>
                </c:pt>
                <c:pt idx="1">
                  <c:v>792.54</c:v>
                </c:pt>
                <c:pt idx="2">
                  <c:v>761.39</c:v>
                </c:pt>
              </c:numCache>
            </c:numRef>
          </c:val>
        </c:ser>
        <c:ser>
          <c:idx val="1"/>
          <c:order val="1"/>
          <c:tx>
            <c:strRef>
              <c:f>[大竹县月华镇卫生院2023年决算公开饼图.xlsx]Sheet1!$C$2</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[大竹县月华镇卫生院2023年决算公开饼图.xlsx]Sheet1!$A$3:$A$5</c:f>
              <c:strCache>
                <c:ptCount val="3"/>
                <c:pt idx="0">
                  <c:v>收支总计</c:v>
                </c:pt>
                <c:pt idx="1">
                  <c:v>收入</c:v>
                </c:pt>
                <c:pt idx="2">
                  <c:v>支出</c:v>
                </c:pt>
              </c:strCache>
            </c:strRef>
          </c:cat>
          <c:val>
            <c:numRef>
              <c:f>[大竹县月华镇卫生院2023年决算公开饼图.xlsx]Sheet1!$C$3:$C$5</c:f>
              <c:numCache>
                <c:formatCode>General</c:formatCode>
                <c:ptCount val="3"/>
                <c:pt idx="0">
                  <c:v>913.5</c:v>
                </c:pt>
                <c:pt idx="1">
                  <c:v>880.49</c:v>
                </c:pt>
                <c:pt idx="2">
                  <c:v>857</c:v>
                </c:pt>
              </c:numCache>
            </c:numRef>
          </c:val>
        </c:ser>
        <c:dLbls>
          <c:showLegendKey val="0"/>
          <c:showVal val="1"/>
          <c:showCatName val="0"/>
          <c:showSerName val="0"/>
          <c:showPercent val="0"/>
          <c:showBubbleSize val="0"/>
        </c:dLbls>
        <c:gapWidth val="219"/>
        <c:overlap val="-27"/>
        <c:axId val="325615211"/>
        <c:axId val="570094884"/>
      </c:barChart>
      <c:catAx>
        <c:axId val="32561521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094884"/>
        <c:crosses val="autoZero"/>
        <c:auto val="1"/>
        <c:lblAlgn val="ctr"/>
        <c:lblOffset val="100"/>
        <c:noMultiLvlLbl val="0"/>
      </c:catAx>
      <c:valAx>
        <c:axId val="5700948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561521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9281bd9-1207-4529-b09f-b30dec6330b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a:t>
            </a:r>
            <a:r>
              <a:t>收入决算结构图（万元）</a:t>
            </a:r>
          </a:p>
        </c:rich>
      </c:tx>
      <c:layout>
        <c:manualLayout>
          <c:xMode val="edge"/>
          <c:yMode val="edge"/>
          <c:x val="0.259027777777778"/>
          <c:y val="0.0520833333333333"/>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explosion val="2"/>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221431797699625"/>
                  <c:y val="0.064081944442627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74.56</a:t>
                    </a:r>
                    <a:r>
                      <a:t>万元，占比</a:t>
                    </a:r>
                    <a:r>
                      <a:rPr lang="en-US" altLang="zh-CN"/>
                      <a:t>8.47%</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292916666666667"/>
                      <c:h val="0.108564814814815"/>
                    </c:manualLayout>
                  </c15:layout>
                </c:ext>
              </c:extLst>
            </c:dLbl>
            <c:dLbl>
              <c:idx val="1"/>
              <c:layout>
                <c:manualLayout>
                  <c:x val="0.0656541614558203"/>
                  <c:y val="-0.22079490740575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799.26</a:t>
                    </a:r>
                    <a:r>
                      <a:t>万元，占比</a:t>
                    </a:r>
                    <a:r>
                      <a:rPr lang="en-US" altLang="zh-CN"/>
                      <a:t>90.77%</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26849516913568"/>
                  <c:y val="0.057029666575958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6.66</a:t>
                    </a:r>
                    <a:r>
                      <a:t>万元，占比</a:t>
                    </a:r>
                    <a:r>
                      <a:rPr lang="en-US" altLang="zh-CN"/>
                      <a:t>0.76</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65138888888889"/>
                      <c:h val="0.0868055555555556"/>
                    </c:manualLayout>
                  </c15:layout>
                </c:ext>
              </c:extLst>
            </c:dLbl>
            <c:spPr>
              <a:noFill/>
              <a:ln>
                <a:solidFill>
                  <a:schemeClr val="bg1">
                    <a:lumMod val="85000"/>
                  </a:schemeClr>
                </a:soli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[大竹县月华镇卫生院2023年决算公开饼图.xlsx]Sheet1!$A$26:$C$26</c:f>
              <c:strCache>
                <c:ptCount val="3"/>
                <c:pt idx="0">
                  <c:v>一般公共预算财政拨款收入</c:v>
                </c:pt>
                <c:pt idx="1">
                  <c:v>事业收入</c:v>
                </c:pt>
                <c:pt idx="2">
                  <c:v>其他收入</c:v>
                </c:pt>
              </c:strCache>
            </c:strRef>
          </c:cat>
          <c:val>
            <c:numRef>
              <c:f>[大竹县月华镇卫生院2023年决算公开饼图.xlsx]Sheet1!$A$27:$C$27</c:f>
              <c:numCache>
                <c:formatCode>General</c:formatCode>
                <c:ptCount val="3"/>
                <c:pt idx="0">
                  <c:v>74.56</c:v>
                </c:pt>
                <c:pt idx="1">
                  <c:v>799.26</c:v>
                </c:pt>
                <c:pt idx="2">
                  <c:v>6.66</c:v>
                </c:pt>
              </c:numCache>
            </c:numRef>
          </c:val>
        </c:ser>
        <c:ser>
          <c:idx val="1"/>
          <c:order val="1"/>
          <c:spPr/>
          <c:explosion val="0"/>
          <c:dPt>
            <c:idx val="0"/>
            <c:bubble3D val="0"/>
            <c:spPr>
              <a:solidFill>
                <a:schemeClr val="accent1"/>
              </a:solidFill>
              <a:ln w="19050">
                <a:solidFill>
                  <a:schemeClr val="lt1"/>
                </a:solidFill>
              </a:ln>
              <a:effectLst/>
            </c:spPr>
          </c:dPt>
          <c:dLbls>
            <c:delete val="1"/>
          </c:dLbls>
          <c:cat>
            <c:strRef>
              <c:f>[大竹县月华镇卫生院2023年决算公开饼图.xlsx]Sheet1!$A$26:$C$26</c:f>
              <c:strCache>
                <c:ptCount val="3"/>
                <c:pt idx="0">
                  <c:v>一般公共预算财政拨款收入</c:v>
                </c:pt>
                <c:pt idx="1">
                  <c:v>事业收入</c:v>
                </c:pt>
                <c:pt idx="2">
                  <c:v>其他收入</c:v>
                </c:pt>
              </c:strCache>
            </c:strRef>
          </c:cat>
          <c:val>
            <c:numRef>
              <c:f>[大竹县月华镇卫生院2023年决算公开饼图.xlsx]Sheet1!#REF!</c:f>
              <c:numCache>
                <c:formatCode>General</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69513888888889"/>
          <c:y val="0.89861111111111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fe2cb11-6767-4304-96ba-957beb61987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2023</a:t>
            </a:r>
            <a:r>
              <a:rPr altLang="en-US"/>
              <a:t>年支出决算结构图（万元）</a:t>
            </a:r>
            <a:endParaRPr altLang="en-US"/>
          </a:p>
        </c:rich>
      </c:tx>
      <c:layout>
        <c:manualLayout>
          <c:xMode val="edge"/>
          <c:yMode val="edge"/>
          <c:x val="0.219444444444444"/>
          <c:y val="0.0451388888888889"/>
        </c:manualLayout>
      </c:layout>
      <c:overlay val="0"/>
      <c:spPr>
        <a:noFill/>
        <a:ln>
          <a:noFill/>
        </a:ln>
        <a:effectLst/>
      </c:spPr>
    </c:title>
    <c:autoTitleDeleted val="0"/>
    <c:plotArea>
      <c:layout/>
      <c:pieChart>
        <c:varyColors val="1"/>
        <c:ser>
          <c:idx val="0"/>
          <c:order val="0"/>
          <c:spPr/>
          <c:explosion val="0"/>
          <c:dPt>
            <c:idx val="0"/>
            <c:bubble3D val="0"/>
            <c:explosion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0480711169474101"/>
                  <c:y val="-0.21327698004337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857</a:t>
                    </a:r>
                    <a:r>
                      <a:t>万元，占比</a:t>
                    </a:r>
                    <a:r>
                      <a:rPr lang="en-US" altLang="zh-CN"/>
                      <a:t>100%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85543898378544"/>
                  <c:y val="0.0086023603898781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a:t>
                    </a:r>
                    <a:r>
                      <a:t>万元，占比</a:t>
                    </a:r>
                    <a:r>
                      <a:rPr lang="en-US" altLang="zh-CN"/>
                      <a:t>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239816933638444"/>
                      <c:h val="0.0933074146070536"/>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[大竹县月华镇卫生院2023年决算公开饼图.xlsx]Sheet1!$A$51:$B$51</c:f>
              <c:strCache>
                <c:ptCount val="2"/>
                <c:pt idx="0">
                  <c:v>基本支出</c:v>
                </c:pt>
                <c:pt idx="1">
                  <c:v>项目支出</c:v>
                </c:pt>
              </c:strCache>
            </c:strRef>
          </c:cat>
          <c:val>
            <c:numRef>
              <c:f>[大竹县月华镇卫生院2023年决算公开饼图.xlsx]Sheet1!$A$52:$B$52</c:f>
              <c:numCache>
                <c:formatCode>General</c:formatCode>
                <c:ptCount val="2"/>
                <c:pt idx="0">
                  <c:v>857</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859e6b1-a315-46cd-add3-5d521437b47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财政拨款收、支决算总计变动情况（万元）</a:t>
            </a:r>
          </a:p>
        </c:rich>
      </c:tx>
      <c:layout/>
      <c:overlay val="0"/>
      <c:spPr>
        <a:noFill/>
        <a:ln>
          <a:noFill/>
        </a:ln>
        <a:effectLst/>
      </c:spPr>
    </c:title>
    <c:autoTitleDeleted val="0"/>
    <c:plotArea>
      <c:layout/>
      <c:barChart>
        <c:barDir val="col"/>
        <c:grouping val="clustered"/>
        <c:varyColors val="0"/>
        <c:ser>
          <c:idx val="0"/>
          <c:order val="0"/>
          <c:tx>
            <c:strRef>
              <c:f>[大竹县月华镇卫生院2023年决算公开饼图.xlsx]Sheet1!$A$74</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[大竹县月华镇卫生院2023年决算公开饼图.xlsx]Sheet1!$B$73:$C$73</c:f>
              <c:strCache>
                <c:ptCount val="2"/>
                <c:pt idx="0">
                  <c:v>2022年</c:v>
                </c:pt>
                <c:pt idx="1">
                  <c:v>2023年</c:v>
                </c:pt>
              </c:strCache>
            </c:strRef>
          </c:cat>
          <c:val>
            <c:numRef>
              <c:f>[大竹县月华镇卫生院2023年决算公开饼图.xlsx]Sheet1!$B$74:$C$74</c:f>
              <c:numCache>
                <c:formatCode>General</c:formatCode>
                <c:ptCount val="2"/>
                <c:pt idx="0">
                  <c:v>0</c:v>
                </c:pt>
                <c:pt idx="1">
                  <c:v>74.56</c:v>
                </c:pt>
              </c:numCache>
            </c:numRef>
          </c:val>
        </c:ser>
        <c:ser>
          <c:idx val="1"/>
          <c:order val="1"/>
          <c:tx>
            <c:strRef>
              <c:f>[大竹县月华镇卫生院2023年决算公开饼图.xlsx]Sheet1!$A$75</c:f>
              <c:strCache>
                <c:ptCount val="1"/>
                <c:pt idx="0">
                  <c:v>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[大竹县月华镇卫生院2023年决算公开饼图.xlsx]Sheet1!$B$73:$C$73</c:f>
              <c:strCache>
                <c:ptCount val="2"/>
                <c:pt idx="0">
                  <c:v>2022年</c:v>
                </c:pt>
                <c:pt idx="1">
                  <c:v>2023年</c:v>
                </c:pt>
              </c:strCache>
            </c:strRef>
          </c:cat>
          <c:val>
            <c:numRef>
              <c:f>[大竹县月华镇卫生院2023年决算公开饼图.xlsx]Sheet1!$B$75:$C$75</c:f>
              <c:numCache>
                <c:formatCode>General</c:formatCode>
                <c:ptCount val="2"/>
                <c:pt idx="0">
                  <c:v>0</c:v>
                </c:pt>
                <c:pt idx="1">
                  <c:v>74.56</c:v>
                </c:pt>
              </c:numCache>
            </c:numRef>
          </c:val>
        </c:ser>
        <c:dLbls>
          <c:showLegendKey val="0"/>
          <c:showVal val="1"/>
          <c:showCatName val="0"/>
          <c:showSerName val="0"/>
          <c:showPercent val="0"/>
          <c:showBubbleSize val="0"/>
        </c:dLbls>
        <c:gapWidth val="219"/>
        <c:overlap val="-27"/>
        <c:axId val="467115520"/>
        <c:axId val="460822490"/>
      </c:barChart>
      <c:catAx>
        <c:axId val="467115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0822490"/>
        <c:crosses val="autoZero"/>
        <c:auto val="1"/>
        <c:lblAlgn val="ctr"/>
        <c:lblOffset val="100"/>
        <c:noMultiLvlLbl val="0"/>
      </c:catAx>
      <c:valAx>
        <c:axId val="4608224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1155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88d1eea-1c2e-4bdd-85ce-0fec5a737f4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一般公共预算财政拨款支出决算变动情况（万元）</a:t>
            </a:r>
            <a:endParaRPr sz="1200"/>
          </a:p>
        </c:rich>
      </c:tx>
      <c:layout>
        <c:manualLayout>
          <c:xMode val="edge"/>
          <c:yMode val="edge"/>
          <c:x val="0.130416666666667"/>
          <c:y val="0.05"/>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[大竹县月华镇卫生院2023年决算公开饼图.xlsx]Sheet1!$B$95:$C$95</c:f>
              <c:strCache>
                <c:ptCount val="2"/>
                <c:pt idx="0">
                  <c:v>2022年</c:v>
                </c:pt>
                <c:pt idx="1">
                  <c:v>2023年</c:v>
                </c:pt>
              </c:strCache>
            </c:strRef>
          </c:cat>
          <c:val>
            <c:numRef>
              <c:f>[大竹县月华镇卫生院2023年决算公开饼图.xlsx]Sheet1!$B$96:$C$96</c:f>
              <c:numCache>
                <c:formatCode>General</c:formatCode>
                <c:ptCount val="2"/>
                <c:pt idx="0">
                  <c:v>0</c:v>
                </c:pt>
                <c:pt idx="1">
                  <c:v>74.56</c:v>
                </c:pt>
              </c:numCache>
            </c:numRef>
          </c:val>
        </c:ser>
        <c:dLbls>
          <c:showLegendKey val="0"/>
          <c:showVal val="1"/>
          <c:showCatName val="0"/>
          <c:showSerName val="0"/>
          <c:showPercent val="0"/>
          <c:showBubbleSize val="0"/>
        </c:dLbls>
        <c:gapWidth val="219"/>
        <c:overlap val="-27"/>
        <c:axId val="82721508"/>
        <c:axId val="452002524"/>
      </c:barChart>
      <c:catAx>
        <c:axId val="827215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2002524"/>
        <c:crosses val="autoZero"/>
        <c:auto val="1"/>
        <c:lblAlgn val="ctr"/>
        <c:lblOffset val="100"/>
        <c:noMultiLvlLbl val="0"/>
      </c:catAx>
      <c:valAx>
        <c:axId val="4520025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721508"/>
        <c:crosses val="autoZero"/>
        <c:crossBetween val="between"/>
      </c:valAx>
      <c:spPr>
        <a:noFill/>
        <a:ln>
          <a:noFill/>
        </a:ln>
        <a:effectLst/>
      </c:spPr>
    </c:plotArea>
    <c:plotVisOnly val="1"/>
    <c:dispBlanksAs val="gap"/>
    <c:showDLblsOverMax val="0"/>
    <c:extLst>
      <c:ext uri="{0b15fc19-7d7d-44ad-8c2d-2c3a37ce22c3}">
        <chartProps xmlns="https://web.wps.cn/et/2018/main" chartId="{b2a94a43-fed4-4c7c-81db-45645d39cfa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一般公共预算财政拨款支出决算结构（万元）</a:t>
            </a:r>
          </a:p>
        </c:rich>
      </c:tx>
      <c:layout>
        <c:manualLayout>
          <c:xMode val="edge"/>
          <c:yMode val="edge"/>
          <c:x val="0.0248611111111113"/>
          <c:y val="0.0344682327287145"/>
        </c:manualLayout>
      </c:layout>
      <c:overlay val="0"/>
      <c:spPr>
        <a:noFill/>
        <a:ln>
          <a:noFill/>
        </a:ln>
        <a:effectLst/>
      </c:spPr>
    </c:title>
    <c:autoTitleDeleted val="0"/>
    <c:plotArea>
      <c:layout>
        <c:manualLayout>
          <c:layoutTarget val="inner"/>
          <c:xMode val="edge"/>
          <c:yMode val="edge"/>
          <c:x val="0.374166666666667"/>
          <c:y val="0.20162037037037"/>
          <c:w val="0.337638888888889"/>
          <c:h val="0.562731481481481"/>
        </c:manualLayout>
      </c:layout>
      <c:pieChart>
        <c:varyColors val="1"/>
        <c:ser>
          <c:idx val="0"/>
          <c:order val="0"/>
          <c:tx>
            <c:strRef>
              <c:f>[大竹县月华镇卫生院2023年决算公开饼图.xlsx]Sheet1!$A$117</c:f>
              <c:strCache>
                <c:ptCount val="1"/>
                <c:pt idx="0">
                  <c:v>一般公共预算财政拨款支出（万元）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466316692862188"/>
                  <c:y val="-0.034014326542025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18.65</a:t>
                    </a:r>
                    <a:r>
                      <a:t>万元，占比</a:t>
                    </a:r>
                    <a:r>
                      <a:rPr lang="en-US" altLang="zh-CN"/>
                      <a:t>25.01</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62083333333333"/>
                      <c:h val="0.15321141837645"/>
                    </c:manualLayout>
                  </c15:layout>
                </c:ext>
              </c:extLst>
            </c:dLbl>
            <c:dLbl>
              <c:idx val="1"/>
              <c:layout>
                <c:manualLayout>
                  <c:x val="-0.089954827100639"/>
                  <c:y val="-0.096848705977434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55.91</a:t>
                    </a:r>
                    <a:r>
                      <a:t>万元，占比</a:t>
                    </a:r>
                    <a:r>
                      <a:rPr lang="en-US" altLang="zh-CN"/>
                      <a:t>74.99</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59444444444444"/>
                      <c:h val="0.142060660124888"/>
                    </c:manualLayout>
                  </c15:layout>
                </c:ext>
              </c:extLst>
            </c:dLbl>
            <c:spPr>
              <a:solidFill>
                <a:schemeClr val="bg1">
                  <a:lumMod val="85000"/>
                </a:schemeClr>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[大竹县月华镇卫生院2023年决算公开饼图.xlsx]Sheet1!$B$115:$C$116</c:f>
              <c:multiLvlStrCache>
                <c:ptCount val="2"/>
                <c:lvl/>
                <c:lvl>
                  <c:pt idx="0">
                    <c:v>社会保障和就业支出</c:v>
                  </c:pt>
                  <c:pt idx="1">
                    <c:v>卫生健康支出</c:v>
                  </c:pt>
                </c:lvl>
              </c:multiLvlStrCache>
            </c:multiLvlStrRef>
          </c:cat>
          <c:val>
            <c:numRef>
              <c:f>[大竹县月华镇卫生院2023年决算公开饼图.xlsx]Sheet1!$B$117:$C$117</c:f>
              <c:numCache>
                <c:formatCode>General</c:formatCode>
                <c:ptCount val="2"/>
                <c:pt idx="0">
                  <c:v>18.65</c:v>
                </c:pt>
                <c:pt idx="1">
                  <c:v>55.91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77df577-8916-4fa2-9b0f-91f8ab5e962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15</Pages>
  <Words>3651</Words>
  <Characters>3968</Characters>
  <Lines>54</Lines>
  <Paragraphs>15</Paragraphs>
  <TotalTime>3</TotalTime>
  <ScaleCrop>false</ScaleCrop>
  <LinksUpToDate>false</LinksUpToDate>
  <CharactersWithSpaces>4014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A薄荷</cp:lastModifiedBy>
  <cp:lastPrinted>2023-08-03T02:35:00Z</cp:lastPrinted>
  <dcterms:modified xsi:type="dcterms:W3CDTF">2024-10-25T06:20:00Z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191A87F878524AB0A0A3DBAE25D3F8D3_12</vt:lpwstr>
  </property>
</Properties>
</file>