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ascii="方正小标宋_GBK" w:hAnsi="宋体" w:eastAsia="方正小标宋_GBK"/>
          <w:color w:val="auto"/>
          <w:sz w:val="72"/>
          <w:szCs w:val="72"/>
          <w:highlight w:val="none"/>
        </w:rPr>
      </w:pPr>
    </w:p>
    <w:p>
      <w:pPr>
        <w:pStyle w:val="2"/>
      </w:pPr>
    </w:p>
    <w:p>
      <w:pPr>
        <w:spacing w:line="600" w:lineRule="exact"/>
        <w:jc w:val="center"/>
        <w:outlineLvl w:val="0"/>
        <w:rPr>
          <w:rFonts w:ascii="方正小标宋_GBK" w:hAnsi="宋体" w:eastAsia="方正小标宋_GBK"/>
          <w:color w:val="auto"/>
          <w:sz w:val="72"/>
          <w:szCs w:val="72"/>
          <w:highlight w:val="none"/>
        </w:rPr>
      </w:pPr>
    </w:p>
    <w:p>
      <w:pPr>
        <w:spacing w:line="600" w:lineRule="exact"/>
        <w:jc w:val="center"/>
        <w:outlineLvl w:val="0"/>
        <w:rPr>
          <w:rFonts w:ascii="方正小标宋_GBK" w:hAnsi="宋体" w:eastAsia="方正小标宋_GBK"/>
          <w:color w:val="auto"/>
          <w:sz w:val="72"/>
          <w:szCs w:val="72"/>
          <w:highlight w:val="none"/>
        </w:rPr>
      </w:pPr>
    </w:p>
    <w:p>
      <w:pPr>
        <w:adjustRightInd w:val="0"/>
        <w:snapToGrid w:val="0"/>
        <w:spacing w:line="360" w:lineRule="auto"/>
        <w:jc w:val="center"/>
        <w:outlineLvl w:val="0"/>
        <w:rPr>
          <w:rFonts w:hint="eastAsia" w:ascii="方正小标宋_GBK" w:hAnsi="方正小标宋_GBK" w:eastAsia="方正小标宋_GBK" w:cs="方正小标宋_GBK"/>
          <w:color w:val="auto"/>
          <w:sz w:val="72"/>
          <w:szCs w:val="72"/>
          <w:highlight w:val="none"/>
        </w:rPr>
      </w:pPr>
      <w:bookmarkStart w:id="0" w:name="_Toc15396597"/>
      <w:bookmarkStart w:id="1" w:name="_Toc15396475"/>
      <w:bookmarkStart w:id="2" w:name="_Toc15378441"/>
      <w:r>
        <w:rPr>
          <w:rFonts w:hint="eastAsia" w:ascii="方正小标宋_GBK" w:hAnsi="方正小标宋_GBK" w:eastAsia="方正小标宋_GBK" w:cs="方正小标宋_GBK"/>
          <w:color w:val="auto"/>
          <w:sz w:val="72"/>
          <w:szCs w:val="72"/>
          <w:highlight w:val="none"/>
        </w:rPr>
        <w:t>20</w:t>
      </w:r>
      <w:r>
        <w:rPr>
          <w:rFonts w:hint="eastAsia" w:ascii="方正小标宋_GBK" w:hAnsi="方正小标宋_GBK" w:eastAsia="方正小标宋_GBK" w:cs="方正小标宋_GBK"/>
          <w:color w:val="auto"/>
          <w:sz w:val="72"/>
          <w:szCs w:val="72"/>
          <w:highlight w:val="none"/>
          <w:lang w:val="en-US" w:eastAsia="zh-CN"/>
        </w:rPr>
        <w:t>23</w:t>
      </w:r>
      <w:r>
        <w:rPr>
          <w:rFonts w:hint="eastAsia" w:ascii="方正小标宋_GBK" w:hAnsi="方正小标宋_GBK" w:eastAsia="方正小标宋_GBK" w:cs="方正小标宋_GBK"/>
          <w:color w:val="auto"/>
          <w:sz w:val="72"/>
          <w:szCs w:val="72"/>
          <w:highlight w:val="none"/>
        </w:rPr>
        <w:t>年度</w:t>
      </w:r>
      <w:bookmarkEnd w:id="0"/>
      <w:bookmarkEnd w:id="1"/>
      <w:bookmarkEnd w:id="2"/>
    </w:p>
    <w:p>
      <w:pPr>
        <w:adjustRightInd w:val="0"/>
        <w:snapToGrid w:val="0"/>
        <w:spacing w:line="360" w:lineRule="auto"/>
        <w:jc w:val="center"/>
        <w:outlineLvl w:val="0"/>
        <w:rPr>
          <w:rFonts w:hint="eastAsia" w:ascii="方正小标宋_GBK" w:hAnsi="方正小标宋_GBK" w:eastAsia="方正小标宋_GBK" w:cs="方正小标宋_GBK"/>
          <w:color w:val="auto"/>
          <w:sz w:val="72"/>
          <w:szCs w:val="72"/>
          <w:highlight w:val="none"/>
          <w:lang w:eastAsia="zh-CN"/>
        </w:rPr>
      </w:pPr>
      <w:bookmarkStart w:id="3" w:name="_Toc15396598"/>
      <w:bookmarkStart w:id="4" w:name="_Toc15396476"/>
      <w:r>
        <w:rPr>
          <w:rFonts w:hint="eastAsia" w:ascii="方正小标宋_GBK" w:hAnsi="方正小标宋_GBK" w:eastAsia="方正小标宋_GBK" w:cs="方正小标宋_GBK"/>
          <w:color w:val="auto"/>
          <w:sz w:val="72"/>
          <w:szCs w:val="72"/>
          <w:highlight w:val="none"/>
          <w:lang w:eastAsia="zh-CN"/>
        </w:rPr>
        <w:t>达州市大竹生态环境局</w:t>
      </w:r>
    </w:p>
    <w:p>
      <w:pPr>
        <w:adjustRightInd w:val="0"/>
        <w:snapToGrid w:val="0"/>
        <w:spacing w:line="360" w:lineRule="auto"/>
        <w:jc w:val="center"/>
        <w:outlineLvl w:val="0"/>
        <w:rPr>
          <w:rFonts w:hint="eastAsia" w:ascii="方正小标宋_GBK" w:hAnsi="方正小标宋_GBK" w:eastAsia="方正小标宋_GBK" w:cs="方正小标宋_GBK"/>
          <w:color w:val="auto"/>
          <w:sz w:val="72"/>
          <w:szCs w:val="72"/>
          <w:highlight w:val="none"/>
        </w:rPr>
      </w:pPr>
      <w:r>
        <w:rPr>
          <w:rFonts w:hint="eastAsia" w:ascii="方正小标宋_GBK" w:hAnsi="方正小标宋_GBK" w:eastAsia="方正小标宋_GBK" w:cs="方正小标宋_GBK"/>
          <w:color w:val="auto"/>
          <w:sz w:val="72"/>
          <w:szCs w:val="72"/>
          <w:highlight w:val="none"/>
          <w:lang w:val="en-US" w:eastAsia="zh-CN"/>
        </w:rPr>
        <w:t>部门</w:t>
      </w:r>
      <w:r>
        <w:rPr>
          <w:rFonts w:hint="eastAsia" w:ascii="方正小标宋_GBK" w:hAnsi="方正小标宋_GBK" w:eastAsia="方正小标宋_GBK" w:cs="方正小标宋_GBK"/>
          <w:color w:val="auto"/>
          <w:sz w:val="72"/>
          <w:szCs w:val="72"/>
          <w:highlight w:val="none"/>
        </w:rPr>
        <w:t>决算</w:t>
      </w:r>
      <w:bookmarkEnd w:id="3"/>
      <w:bookmarkEnd w:id="4"/>
    </w:p>
    <w:p>
      <w:pPr>
        <w:widowControl/>
        <w:jc w:val="center"/>
        <w:rPr>
          <w:rFonts w:hint="eastAsia" w:ascii="黑体" w:hAnsi="黑体" w:eastAsia="黑体"/>
          <w:color w:val="auto"/>
          <w:sz w:val="48"/>
          <w:szCs w:val="48"/>
          <w:highlight w:val="none"/>
        </w:rPr>
        <w:sectPr>
          <w:headerReference r:id="rId3" w:type="default"/>
          <w:footerReference r:id="rId4" w:type="default"/>
          <w:pgSz w:w="11906" w:h="16838"/>
          <w:pgMar w:top="1440" w:right="1800" w:bottom="1440" w:left="1800" w:header="851" w:footer="992" w:gutter="0"/>
          <w:pgNumType w:fmt="decimal" w:start="1"/>
          <w:cols w:space="425" w:num="1"/>
          <w:titlePg/>
          <w:docGrid w:type="lines" w:linePitch="312" w:charSpace="0"/>
        </w:sectPr>
      </w:pPr>
    </w:p>
    <w:p>
      <w:pPr>
        <w:widowControl/>
        <w:jc w:val="center"/>
        <w:rPr>
          <w:rFonts w:ascii="黑体" w:hAnsi="黑体" w:eastAsia="黑体"/>
          <w:color w:val="auto"/>
          <w:sz w:val="48"/>
          <w:szCs w:val="48"/>
          <w:highlight w:val="none"/>
        </w:rPr>
      </w:pPr>
      <w:r>
        <w:rPr>
          <w:rFonts w:hint="eastAsia" w:ascii="黑体" w:hAnsi="黑体" w:eastAsia="黑体"/>
          <w:color w:val="auto"/>
          <w:sz w:val="48"/>
          <w:szCs w:val="48"/>
          <w:highlight w:val="none"/>
        </w:rPr>
        <w:t>目录</w:t>
      </w:r>
    </w:p>
    <w:p>
      <w:pPr>
        <w:pStyle w:val="14"/>
        <w:keepNext w:val="0"/>
        <w:keepLines w:val="0"/>
        <w:pageBreakBefore w:val="0"/>
        <w:widowControl w:val="0"/>
        <w:kinsoku/>
        <w:wordWrap/>
        <w:overflowPunct/>
        <w:topLinePunct w:val="0"/>
        <w:autoSpaceDE/>
        <w:autoSpaceDN/>
        <w:bidi w:val="0"/>
        <w:adjustRightInd w:val="0"/>
        <w:snapToGrid w:val="0"/>
        <w:spacing w:before="0" w:line="400" w:lineRule="exact"/>
        <w:jc w:val="center"/>
        <w:textAlignment w:val="auto"/>
        <w:outlineLvl w:val="9"/>
        <w:rPr>
          <w:rFonts w:hint="eastAsia" w:ascii="仿宋_GB2312" w:hAnsi="仿宋_GB2312" w:eastAsia="仿宋_GB2312" w:cs="仿宋_GB2312"/>
          <w:b w:val="0"/>
          <w:bCs w:val="0"/>
          <w:color w:val="auto"/>
          <w:sz w:val="18"/>
          <w:szCs w:val="20"/>
          <w:highlight w:val="none"/>
          <w:u w:val="none"/>
          <w:lang w:val="en-US" w:eastAsia="zh-CN"/>
        </w:rPr>
      </w:pPr>
    </w:p>
    <w:p>
      <w:pPr>
        <w:pStyle w:val="14"/>
        <w:keepNext w:val="0"/>
        <w:keepLines w:val="0"/>
        <w:pageBreakBefore w:val="0"/>
        <w:widowControl w:val="0"/>
        <w:kinsoku/>
        <w:wordWrap/>
        <w:overflowPunct/>
        <w:topLinePunct w:val="0"/>
        <w:autoSpaceDE/>
        <w:autoSpaceDN/>
        <w:bidi w:val="0"/>
        <w:adjustRightInd w:val="0"/>
        <w:snapToGrid w:val="0"/>
        <w:spacing w:before="0" w:line="400" w:lineRule="exact"/>
        <w:jc w:val="center"/>
        <w:textAlignment w:val="auto"/>
        <w:outlineLvl w:val="9"/>
        <w:rPr>
          <w:rFonts w:hint="eastAsia" w:ascii="仿宋" w:hAnsi="仿宋" w:eastAsia="仿宋" w:cs="仿宋"/>
          <w:b w:val="0"/>
          <w:bCs w:val="0"/>
          <w:color w:val="auto"/>
          <w:sz w:val="28"/>
          <w:szCs w:val="32"/>
          <w:highlight w:val="none"/>
          <w:u w:val="none"/>
          <w:lang w:val="en-US" w:eastAsia="zh-CN"/>
        </w:rPr>
      </w:pPr>
      <w:r>
        <w:rPr>
          <w:rFonts w:hint="eastAsia" w:ascii="仿宋" w:hAnsi="仿宋" w:eastAsia="仿宋" w:cs="仿宋"/>
          <w:b w:val="0"/>
          <w:bCs w:val="0"/>
          <w:color w:val="auto"/>
          <w:sz w:val="28"/>
          <w:szCs w:val="32"/>
          <w:highlight w:val="none"/>
          <w:u w:val="none"/>
          <w:lang w:val="en-US" w:eastAsia="zh-CN"/>
        </w:rPr>
        <w:t>公开时间：202</w:t>
      </w:r>
      <w:r>
        <w:rPr>
          <w:rFonts w:hint="eastAsia" w:cs="仿宋"/>
          <w:b w:val="0"/>
          <w:bCs w:val="0"/>
          <w:color w:val="auto"/>
          <w:sz w:val="28"/>
          <w:szCs w:val="32"/>
          <w:highlight w:val="none"/>
          <w:u w:val="none"/>
          <w:lang w:val="en-US" w:eastAsia="zh-CN"/>
        </w:rPr>
        <w:t>4</w:t>
      </w:r>
      <w:r>
        <w:rPr>
          <w:rFonts w:hint="eastAsia" w:ascii="仿宋" w:hAnsi="仿宋" w:eastAsia="仿宋" w:cs="仿宋"/>
          <w:b w:val="0"/>
          <w:bCs w:val="0"/>
          <w:color w:val="auto"/>
          <w:sz w:val="28"/>
          <w:szCs w:val="32"/>
          <w:highlight w:val="none"/>
          <w:u w:val="none"/>
          <w:lang w:val="en-US" w:eastAsia="zh-CN"/>
        </w:rPr>
        <w:t>年9月2</w:t>
      </w:r>
      <w:r>
        <w:rPr>
          <w:rFonts w:hint="eastAsia" w:cs="仿宋"/>
          <w:b w:val="0"/>
          <w:bCs w:val="0"/>
          <w:color w:val="auto"/>
          <w:sz w:val="28"/>
          <w:szCs w:val="32"/>
          <w:highlight w:val="none"/>
          <w:u w:val="none"/>
          <w:lang w:val="en-US" w:eastAsia="zh-CN"/>
        </w:rPr>
        <w:t>7</w:t>
      </w:r>
      <w:r>
        <w:rPr>
          <w:rFonts w:hint="eastAsia" w:ascii="仿宋" w:hAnsi="仿宋" w:eastAsia="仿宋" w:cs="仿宋"/>
          <w:b w:val="0"/>
          <w:bCs w:val="0"/>
          <w:color w:val="auto"/>
          <w:sz w:val="28"/>
          <w:szCs w:val="32"/>
          <w:highlight w:val="none"/>
          <w:u w:val="none"/>
          <w:lang w:val="en-US" w:eastAsia="zh-CN"/>
        </w:rPr>
        <w:t>日</w:t>
      </w:r>
    </w:p>
    <w:p>
      <w:pPr>
        <w:pStyle w:val="14"/>
        <w:keepNext w:val="0"/>
        <w:keepLines w:val="0"/>
        <w:pageBreakBefore w:val="0"/>
        <w:widowControl w:val="0"/>
        <w:kinsoku/>
        <w:wordWrap/>
        <w:overflowPunct/>
        <w:topLinePunct w:val="0"/>
        <w:autoSpaceDE/>
        <w:autoSpaceDN/>
        <w:bidi w:val="0"/>
        <w:adjustRightInd w:val="0"/>
        <w:snapToGrid w:val="0"/>
        <w:spacing w:before="0" w:line="400" w:lineRule="exact"/>
        <w:jc w:val="left"/>
        <w:textAlignment w:val="auto"/>
        <w:outlineLvl w:val="9"/>
        <w:rPr>
          <w:rFonts w:hint="eastAsia" w:ascii="仿宋_GB2312" w:hAnsi="仿宋_GB2312" w:eastAsia="仿宋_GB2312" w:cs="仿宋_GB2312"/>
          <w:b/>
          <w:bCs/>
          <w:color w:val="auto"/>
          <w:sz w:val="28"/>
          <w:szCs w:val="32"/>
          <w:highlight w:val="none"/>
          <w:u w:val="none"/>
        </w:rPr>
      </w:pPr>
    </w:p>
    <w:p>
      <w:pPr>
        <w:pStyle w:val="14"/>
        <w:keepNext w:val="0"/>
        <w:keepLines w:val="0"/>
        <w:pageBreakBefore w:val="0"/>
        <w:widowControl w:val="0"/>
        <w:kinsoku/>
        <w:wordWrap/>
        <w:overflowPunct/>
        <w:topLinePunct w:val="0"/>
        <w:autoSpaceDE/>
        <w:autoSpaceDN/>
        <w:bidi w:val="0"/>
        <w:adjustRightInd w:val="0"/>
        <w:snapToGrid w:val="0"/>
        <w:spacing w:before="0" w:line="400" w:lineRule="exact"/>
        <w:jc w:val="left"/>
        <w:textAlignment w:val="auto"/>
        <w:outlineLvl w:val="9"/>
        <w:rPr>
          <w:rFonts w:hint="eastAsia" w:ascii="仿宋" w:hAnsi="仿宋" w:eastAsia="仿宋" w:cs="仿宋"/>
          <w:b/>
          <w:bCs/>
          <w:color w:val="auto"/>
          <w:sz w:val="28"/>
          <w:szCs w:val="28"/>
          <w:highlight w:val="none"/>
          <w:u w:val="none"/>
          <w:lang w:val="en-US" w:eastAsia="zh-CN"/>
        </w:rPr>
      </w:pPr>
      <w:r>
        <w:rPr>
          <w:rFonts w:hint="eastAsia" w:ascii="仿宋" w:hAnsi="仿宋" w:eastAsia="仿宋" w:cs="仿宋"/>
          <w:b/>
          <w:bCs/>
          <w:color w:val="auto"/>
          <w:sz w:val="28"/>
          <w:szCs w:val="32"/>
          <w:highlight w:val="none"/>
          <w:u w:val="none"/>
        </w:rPr>
        <w:fldChar w:fldCharType="begin"/>
      </w:r>
      <w:r>
        <w:rPr>
          <w:rFonts w:hint="eastAsia" w:ascii="仿宋" w:hAnsi="仿宋" w:eastAsia="仿宋" w:cs="仿宋"/>
          <w:b/>
          <w:bCs/>
          <w:color w:val="auto"/>
          <w:sz w:val="28"/>
          <w:szCs w:val="32"/>
          <w:highlight w:val="none"/>
          <w:u w:val="none"/>
        </w:rPr>
        <w:instrText xml:space="preserve"> HYPERLINK \l "第一部分单位概况" </w:instrText>
      </w:r>
      <w:r>
        <w:rPr>
          <w:rFonts w:hint="eastAsia" w:ascii="仿宋" w:hAnsi="仿宋" w:eastAsia="仿宋" w:cs="仿宋"/>
          <w:b/>
          <w:bCs/>
          <w:color w:val="auto"/>
          <w:sz w:val="28"/>
          <w:szCs w:val="32"/>
          <w:highlight w:val="none"/>
          <w:u w:val="none"/>
        </w:rPr>
        <w:fldChar w:fldCharType="separate"/>
      </w:r>
      <w:r>
        <w:rPr>
          <w:rStyle w:val="20"/>
          <w:rFonts w:hint="eastAsia" w:ascii="仿宋" w:hAnsi="仿宋" w:eastAsia="仿宋" w:cs="仿宋"/>
          <w:b/>
          <w:bCs/>
          <w:color w:val="auto"/>
          <w:sz w:val="28"/>
          <w:szCs w:val="32"/>
          <w:highlight w:val="none"/>
          <w:u w:val="none"/>
        </w:rPr>
        <w:t xml:space="preserve">第一部分 </w:t>
      </w:r>
      <w:r>
        <w:rPr>
          <w:rStyle w:val="20"/>
          <w:rFonts w:hint="eastAsia" w:ascii="仿宋" w:hAnsi="仿宋" w:eastAsia="仿宋" w:cs="仿宋"/>
          <w:b/>
          <w:bCs/>
          <w:color w:val="auto"/>
          <w:sz w:val="28"/>
          <w:szCs w:val="32"/>
          <w:highlight w:val="none"/>
          <w:u w:val="none"/>
          <w:lang w:val="en-US" w:eastAsia="zh-CN"/>
        </w:rPr>
        <w:t>部门</w:t>
      </w:r>
      <w:r>
        <w:rPr>
          <w:rStyle w:val="20"/>
          <w:rFonts w:hint="eastAsia" w:ascii="仿宋" w:hAnsi="仿宋" w:eastAsia="仿宋" w:cs="仿宋"/>
          <w:b/>
          <w:bCs/>
          <w:color w:val="auto"/>
          <w:sz w:val="28"/>
          <w:szCs w:val="32"/>
          <w:highlight w:val="none"/>
          <w:u w:val="none"/>
        </w:rPr>
        <w:t>概况</w:t>
      </w:r>
      <w:r>
        <w:rPr>
          <w:rFonts w:hint="eastAsia" w:ascii="仿宋" w:hAnsi="仿宋" w:eastAsia="仿宋" w:cs="仿宋"/>
          <w:b/>
          <w:bCs/>
          <w:color w:val="auto"/>
          <w:sz w:val="28"/>
          <w:szCs w:val="32"/>
          <w:highlight w:val="none"/>
          <w:u w:val="none"/>
        </w:rPr>
        <w:fldChar w:fldCharType="end"/>
      </w:r>
      <w:r>
        <w:rPr>
          <w:rFonts w:hint="eastAsia" w:ascii="仿宋" w:hAnsi="仿宋" w:eastAsia="仿宋" w:cs="仿宋"/>
          <w:b/>
          <w:bCs/>
          <w:color w:val="auto"/>
          <w:sz w:val="31"/>
          <w:szCs w:val="31"/>
          <w:u w:val="none"/>
        </w:rPr>
        <w:tab/>
      </w:r>
      <w:r>
        <w:rPr>
          <w:rFonts w:hint="eastAsia" w:ascii="仿宋" w:hAnsi="仿宋" w:eastAsia="仿宋" w:cs="仿宋"/>
          <w:b/>
          <w:bCs/>
          <w:color w:val="auto"/>
          <w:sz w:val="31"/>
          <w:szCs w:val="31"/>
          <w:u w:val="none"/>
          <w:lang w:val="en-US" w:eastAsia="zh-CN"/>
        </w:rPr>
        <w:t>1</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eastAsia"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"一、基本职能及主要工作" </w:instrText>
      </w:r>
      <w:r>
        <w:rPr>
          <w:rFonts w:hint="eastAsia" w:ascii="仿宋" w:hAnsi="仿宋" w:eastAsia="仿宋" w:cs="仿宋"/>
          <w:color w:val="auto"/>
          <w:sz w:val="28"/>
          <w:szCs w:val="28"/>
          <w:highlight w:val="none"/>
          <w:u w:val="none"/>
        </w:rPr>
        <w:fldChar w:fldCharType="separate"/>
      </w:r>
      <w:r>
        <w:rPr>
          <w:rStyle w:val="20"/>
          <w:rFonts w:hint="eastAsia" w:ascii="仿宋" w:hAnsi="仿宋" w:eastAsia="仿宋" w:cs="仿宋"/>
          <w:color w:val="auto"/>
          <w:sz w:val="28"/>
          <w:szCs w:val="28"/>
          <w:highlight w:val="none"/>
          <w:u w:val="none"/>
        </w:rPr>
        <w:t>一、</w:t>
      </w:r>
      <w:r>
        <w:rPr>
          <w:rStyle w:val="20"/>
          <w:rFonts w:hint="eastAsia" w:ascii="仿宋" w:hAnsi="仿宋" w:eastAsia="仿宋" w:cs="仿宋"/>
          <w:color w:val="auto"/>
          <w:sz w:val="28"/>
          <w:szCs w:val="28"/>
          <w:highlight w:val="none"/>
          <w:u w:val="none"/>
          <w:lang w:val="en-US" w:eastAsia="zh-CN"/>
        </w:rPr>
        <w:t>基本职能及主要工作</w:t>
      </w:r>
      <w:r>
        <w:rPr>
          <w:rFonts w:hint="eastAsia" w:ascii="仿宋" w:hAnsi="仿宋" w:eastAsia="仿宋" w:cs="仿宋"/>
          <w:color w:val="auto"/>
          <w:sz w:val="28"/>
          <w:szCs w:val="28"/>
          <w:highlight w:val="none"/>
          <w:u w:val="none"/>
        </w:rPr>
        <w:fldChar w:fldCharType="end"/>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1</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eastAsia"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lang w:eastAsia="zh-CN"/>
        </w:rPr>
        <w:fldChar w:fldCharType="begin"/>
      </w:r>
      <w:r>
        <w:rPr>
          <w:rFonts w:hint="eastAsia" w:ascii="仿宋" w:hAnsi="仿宋" w:eastAsia="仿宋" w:cs="仿宋"/>
          <w:color w:val="auto"/>
          <w:sz w:val="28"/>
          <w:szCs w:val="28"/>
          <w:highlight w:val="none"/>
          <w:u w:val="none"/>
          <w:lang w:eastAsia="zh-CN"/>
        </w:rPr>
        <w:instrText xml:space="preserve"> HYPERLINK \l "二、机构设置" </w:instrText>
      </w:r>
      <w:r>
        <w:rPr>
          <w:rFonts w:hint="eastAsia" w:ascii="仿宋" w:hAnsi="仿宋" w:eastAsia="仿宋" w:cs="仿宋"/>
          <w:color w:val="auto"/>
          <w:sz w:val="28"/>
          <w:szCs w:val="28"/>
          <w:highlight w:val="none"/>
          <w:u w:val="none"/>
          <w:lang w:eastAsia="zh-CN"/>
        </w:rPr>
        <w:fldChar w:fldCharType="separate"/>
      </w:r>
      <w:r>
        <w:rPr>
          <w:rStyle w:val="20"/>
          <w:rFonts w:hint="eastAsia" w:ascii="仿宋" w:hAnsi="仿宋" w:eastAsia="仿宋" w:cs="仿宋"/>
          <w:color w:val="auto"/>
          <w:sz w:val="28"/>
          <w:szCs w:val="28"/>
          <w:highlight w:val="none"/>
          <w:u w:val="none"/>
          <w:lang w:eastAsia="zh-CN"/>
        </w:rPr>
        <w:t>二、</w:t>
      </w:r>
      <w:r>
        <w:rPr>
          <w:rStyle w:val="20"/>
          <w:rFonts w:hint="eastAsia" w:ascii="仿宋" w:hAnsi="仿宋" w:eastAsia="仿宋" w:cs="仿宋"/>
          <w:color w:val="auto"/>
          <w:sz w:val="28"/>
          <w:szCs w:val="28"/>
          <w:highlight w:val="none"/>
          <w:u w:val="none"/>
          <w:lang w:val="en-US" w:eastAsia="zh-CN"/>
        </w:rPr>
        <w:t>机构设置</w:t>
      </w:r>
      <w:r>
        <w:rPr>
          <w:rFonts w:hint="eastAsia" w:ascii="仿宋" w:hAnsi="仿宋" w:eastAsia="仿宋" w:cs="仿宋"/>
          <w:color w:val="auto"/>
          <w:sz w:val="28"/>
          <w:szCs w:val="28"/>
          <w:highlight w:val="none"/>
          <w:u w:val="none"/>
          <w:lang w:eastAsia="zh-CN"/>
        </w:rPr>
        <w:fldChar w:fldCharType="end"/>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5</w:t>
      </w:r>
    </w:p>
    <w:p>
      <w:pPr>
        <w:pStyle w:val="14"/>
        <w:keepNext w:val="0"/>
        <w:keepLines w:val="0"/>
        <w:pageBreakBefore w:val="0"/>
        <w:widowControl w:val="0"/>
        <w:kinsoku/>
        <w:wordWrap/>
        <w:overflowPunct/>
        <w:topLinePunct w:val="0"/>
        <w:autoSpaceDE/>
        <w:autoSpaceDN/>
        <w:bidi w:val="0"/>
        <w:adjustRightInd w:val="0"/>
        <w:snapToGrid w:val="0"/>
        <w:spacing w:before="0" w:line="400" w:lineRule="exact"/>
        <w:jc w:val="left"/>
        <w:textAlignment w:val="auto"/>
        <w:outlineLvl w:val="9"/>
        <w:rPr>
          <w:rFonts w:hint="eastAsia" w:ascii="仿宋" w:hAnsi="仿宋" w:eastAsia="仿宋" w:cs="仿宋"/>
          <w:b/>
          <w:bCs/>
          <w:color w:val="auto"/>
          <w:sz w:val="28"/>
          <w:szCs w:val="28"/>
          <w:highlight w:val="none"/>
          <w:u w:val="none"/>
          <w:lang w:val="en-US" w:eastAsia="zh-CN"/>
        </w:rPr>
      </w:pPr>
      <w:r>
        <w:rPr>
          <w:rFonts w:hint="eastAsia" w:ascii="仿宋" w:hAnsi="仿宋" w:eastAsia="仿宋" w:cs="仿宋"/>
          <w:b/>
          <w:bCs/>
          <w:color w:val="auto"/>
          <w:sz w:val="28"/>
          <w:szCs w:val="32"/>
          <w:highlight w:val="none"/>
          <w:u w:val="none"/>
        </w:rPr>
        <w:fldChar w:fldCharType="begin"/>
      </w:r>
      <w:r>
        <w:rPr>
          <w:rFonts w:hint="eastAsia" w:ascii="仿宋" w:hAnsi="仿宋" w:eastAsia="仿宋" w:cs="仿宋"/>
          <w:b/>
          <w:bCs/>
          <w:color w:val="auto"/>
          <w:sz w:val="28"/>
          <w:szCs w:val="32"/>
          <w:highlight w:val="none"/>
          <w:u w:val="none"/>
        </w:rPr>
        <w:instrText xml:space="preserve"> HYPERLINK \l "第二部分2021年度单位决算情况说明" </w:instrText>
      </w:r>
      <w:r>
        <w:rPr>
          <w:rFonts w:hint="eastAsia" w:ascii="仿宋" w:hAnsi="仿宋" w:eastAsia="仿宋" w:cs="仿宋"/>
          <w:b/>
          <w:bCs/>
          <w:color w:val="auto"/>
          <w:sz w:val="28"/>
          <w:szCs w:val="32"/>
          <w:highlight w:val="none"/>
          <w:u w:val="none"/>
        </w:rPr>
        <w:fldChar w:fldCharType="separate"/>
      </w:r>
      <w:r>
        <w:rPr>
          <w:rStyle w:val="20"/>
          <w:rFonts w:hint="eastAsia" w:ascii="仿宋" w:hAnsi="仿宋" w:eastAsia="仿宋" w:cs="仿宋"/>
          <w:b/>
          <w:bCs/>
          <w:color w:val="auto"/>
          <w:sz w:val="28"/>
          <w:szCs w:val="32"/>
          <w:highlight w:val="none"/>
          <w:u w:val="none"/>
        </w:rPr>
        <w:t>第二部分</w:t>
      </w:r>
      <w:r>
        <w:rPr>
          <w:rStyle w:val="20"/>
          <w:rFonts w:hint="eastAsia" w:ascii="仿宋" w:hAnsi="仿宋" w:eastAsia="仿宋" w:cs="仿宋"/>
          <w:b/>
          <w:bCs/>
          <w:color w:val="auto"/>
          <w:sz w:val="28"/>
          <w:szCs w:val="32"/>
          <w:highlight w:val="none"/>
          <w:u w:val="none"/>
          <w:lang w:val="en-US" w:eastAsia="zh-CN"/>
        </w:rPr>
        <w:t xml:space="preserve"> 202</w:t>
      </w:r>
      <w:r>
        <w:rPr>
          <w:rStyle w:val="20"/>
          <w:rFonts w:hint="eastAsia" w:cs="仿宋"/>
          <w:b/>
          <w:bCs/>
          <w:color w:val="auto"/>
          <w:sz w:val="28"/>
          <w:szCs w:val="32"/>
          <w:highlight w:val="none"/>
          <w:u w:val="none"/>
          <w:lang w:val="en-US" w:eastAsia="zh-CN"/>
        </w:rPr>
        <w:t>3</w:t>
      </w:r>
      <w:r>
        <w:rPr>
          <w:rStyle w:val="20"/>
          <w:rFonts w:hint="eastAsia" w:ascii="仿宋" w:hAnsi="仿宋" w:eastAsia="仿宋" w:cs="仿宋"/>
          <w:b/>
          <w:bCs/>
          <w:color w:val="auto"/>
          <w:sz w:val="28"/>
          <w:szCs w:val="32"/>
          <w:highlight w:val="none"/>
          <w:u w:val="none"/>
          <w:lang w:val="en-US" w:eastAsia="zh-CN"/>
        </w:rPr>
        <w:t>年度部门</w:t>
      </w:r>
      <w:r>
        <w:rPr>
          <w:rStyle w:val="20"/>
          <w:rFonts w:hint="eastAsia" w:ascii="仿宋" w:hAnsi="仿宋" w:eastAsia="仿宋" w:cs="仿宋"/>
          <w:b/>
          <w:bCs/>
          <w:color w:val="auto"/>
          <w:sz w:val="28"/>
          <w:szCs w:val="32"/>
          <w:highlight w:val="none"/>
          <w:u w:val="none"/>
        </w:rPr>
        <w:t>决算情况说明</w:t>
      </w:r>
      <w:r>
        <w:rPr>
          <w:rFonts w:hint="eastAsia" w:ascii="仿宋" w:hAnsi="仿宋" w:eastAsia="仿宋" w:cs="仿宋"/>
          <w:b/>
          <w:bCs/>
          <w:color w:val="auto"/>
          <w:sz w:val="28"/>
          <w:szCs w:val="32"/>
          <w:highlight w:val="none"/>
          <w:u w:val="none"/>
        </w:rPr>
        <w:fldChar w:fldCharType="end"/>
      </w:r>
      <w:r>
        <w:rPr>
          <w:rFonts w:hint="eastAsia" w:ascii="仿宋" w:hAnsi="仿宋" w:eastAsia="仿宋" w:cs="仿宋"/>
          <w:b/>
          <w:bCs/>
          <w:color w:val="auto"/>
          <w:sz w:val="31"/>
          <w:szCs w:val="31"/>
          <w:u w:val="none"/>
        </w:rPr>
        <w:tab/>
      </w:r>
      <w:r>
        <w:rPr>
          <w:rFonts w:hint="eastAsia" w:cs="仿宋"/>
          <w:b/>
          <w:bCs/>
          <w:color w:val="auto"/>
          <w:sz w:val="31"/>
          <w:szCs w:val="31"/>
          <w:u w:val="none"/>
          <w:lang w:val="en-US" w:eastAsia="zh-CN"/>
        </w:rPr>
        <w:t>6</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eastAsia"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"一、收入支出决算总体情况说明" </w:instrText>
      </w:r>
      <w:r>
        <w:rPr>
          <w:rFonts w:hint="eastAsia" w:ascii="仿宋" w:hAnsi="仿宋" w:eastAsia="仿宋" w:cs="仿宋"/>
          <w:color w:val="auto"/>
          <w:sz w:val="28"/>
          <w:szCs w:val="28"/>
          <w:highlight w:val="none"/>
          <w:u w:val="none"/>
        </w:rPr>
        <w:fldChar w:fldCharType="separate"/>
      </w:r>
      <w:r>
        <w:rPr>
          <w:rStyle w:val="20"/>
          <w:rFonts w:hint="eastAsia" w:ascii="仿宋" w:hAnsi="仿宋" w:eastAsia="仿宋" w:cs="仿宋"/>
          <w:color w:val="auto"/>
          <w:sz w:val="28"/>
          <w:szCs w:val="28"/>
          <w:highlight w:val="none"/>
          <w:u w:val="none"/>
        </w:rPr>
        <w:t>一、收入支出决算总体情况说明</w:t>
      </w:r>
      <w:r>
        <w:rPr>
          <w:rFonts w:hint="eastAsia" w:ascii="仿宋" w:hAnsi="仿宋" w:eastAsia="仿宋" w:cs="仿宋"/>
          <w:color w:val="auto"/>
          <w:sz w:val="28"/>
          <w:szCs w:val="28"/>
          <w:highlight w:val="none"/>
          <w:u w:val="none"/>
        </w:rPr>
        <w:fldChar w:fldCharType="end"/>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6</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eastAsia"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"二、收入决算情况说明" </w:instrText>
      </w:r>
      <w:r>
        <w:rPr>
          <w:rFonts w:hint="eastAsia" w:ascii="仿宋" w:hAnsi="仿宋" w:eastAsia="仿宋" w:cs="仿宋"/>
          <w:color w:val="auto"/>
          <w:sz w:val="28"/>
          <w:szCs w:val="28"/>
          <w:highlight w:val="none"/>
          <w:u w:val="none"/>
        </w:rPr>
        <w:fldChar w:fldCharType="separate"/>
      </w:r>
      <w:r>
        <w:rPr>
          <w:rStyle w:val="20"/>
          <w:rFonts w:hint="eastAsia" w:ascii="仿宋" w:hAnsi="仿宋" w:eastAsia="仿宋" w:cs="仿宋"/>
          <w:color w:val="auto"/>
          <w:sz w:val="28"/>
          <w:szCs w:val="28"/>
          <w:highlight w:val="none"/>
          <w:u w:val="none"/>
        </w:rPr>
        <w:t>二、收入决算情况说明</w:t>
      </w:r>
      <w:r>
        <w:rPr>
          <w:rFonts w:hint="eastAsia" w:ascii="仿宋" w:hAnsi="仿宋" w:eastAsia="仿宋" w:cs="仿宋"/>
          <w:color w:val="auto"/>
          <w:sz w:val="28"/>
          <w:szCs w:val="28"/>
          <w:highlight w:val="none"/>
          <w:u w:val="none"/>
        </w:rPr>
        <w:fldChar w:fldCharType="end"/>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6</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eastAsia"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"三、支出决算情况说明" </w:instrText>
      </w:r>
      <w:r>
        <w:rPr>
          <w:rFonts w:hint="eastAsia" w:ascii="仿宋" w:hAnsi="仿宋" w:eastAsia="仿宋" w:cs="仿宋"/>
          <w:color w:val="auto"/>
          <w:sz w:val="28"/>
          <w:szCs w:val="28"/>
          <w:highlight w:val="none"/>
          <w:u w:val="none"/>
        </w:rPr>
        <w:fldChar w:fldCharType="separate"/>
      </w:r>
      <w:r>
        <w:rPr>
          <w:rStyle w:val="20"/>
          <w:rFonts w:hint="eastAsia" w:ascii="仿宋" w:hAnsi="仿宋" w:eastAsia="仿宋" w:cs="仿宋"/>
          <w:color w:val="auto"/>
          <w:sz w:val="28"/>
          <w:szCs w:val="28"/>
          <w:highlight w:val="none"/>
          <w:u w:val="none"/>
        </w:rPr>
        <w:t>三、支出决算情况说明</w:t>
      </w:r>
      <w:r>
        <w:rPr>
          <w:rFonts w:hint="eastAsia" w:ascii="仿宋" w:hAnsi="仿宋" w:eastAsia="仿宋" w:cs="仿宋"/>
          <w:color w:val="auto"/>
          <w:sz w:val="28"/>
          <w:szCs w:val="28"/>
          <w:highlight w:val="none"/>
          <w:u w:val="none"/>
        </w:rPr>
        <w:fldChar w:fldCharType="end"/>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7</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eastAsia"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"四、财政拨款收入支出决算总体情况说明" </w:instrText>
      </w:r>
      <w:r>
        <w:rPr>
          <w:rFonts w:hint="eastAsia" w:ascii="仿宋" w:hAnsi="仿宋" w:eastAsia="仿宋" w:cs="仿宋"/>
          <w:color w:val="auto"/>
          <w:sz w:val="28"/>
          <w:szCs w:val="28"/>
          <w:highlight w:val="none"/>
          <w:u w:val="none"/>
        </w:rPr>
        <w:fldChar w:fldCharType="separate"/>
      </w:r>
      <w:r>
        <w:rPr>
          <w:rStyle w:val="20"/>
          <w:rFonts w:hint="eastAsia" w:ascii="仿宋" w:hAnsi="仿宋" w:eastAsia="仿宋" w:cs="仿宋"/>
          <w:color w:val="auto"/>
          <w:sz w:val="28"/>
          <w:szCs w:val="28"/>
          <w:highlight w:val="none"/>
          <w:u w:val="none"/>
        </w:rPr>
        <w:t>四、财政拨款收入支出决算总体情况说明</w:t>
      </w:r>
      <w:r>
        <w:rPr>
          <w:rFonts w:hint="eastAsia" w:ascii="仿宋" w:hAnsi="仿宋" w:eastAsia="仿宋" w:cs="仿宋"/>
          <w:color w:val="auto"/>
          <w:sz w:val="28"/>
          <w:szCs w:val="28"/>
          <w:highlight w:val="none"/>
          <w:u w:val="none"/>
        </w:rPr>
        <w:fldChar w:fldCharType="end"/>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7</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eastAsia"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"五、一般公共预算财政拨款支出决算情况说明" </w:instrText>
      </w:r>
      <w:r>
        <w:rPr>
          <w:rFonts w:hint="eastAsia" w:ascii="仿宋" w:hAnsi="仿宋" w:eastAsia="仿宋" w:cs="仿宋"/>
          <w:color w:val="auto"/>
          <w:sz w:val="28"/>
          <w:szCs w:val="28"/>
          <w:highlight w:val="none"/>
          <w:u w:val="none"/>
        </w:rPr>
        <w:fldChar w:fldCharType="separate"/>
      </w:r>
      <w:r>
        <w:rPr>
          <w:rStyle w:val="20"/>
          <w:rFonts w:hint="eastAsia" w:ascii="仿宋" w:hAnsi="仿宋" w:eastAsia="仿宋" w:cs="仿宋"/>
          <w:color w:val="auto"/>
          <w:sz w:val="28"/>
          <w:szCs w:val="28"/>
          <w:highlight w:val="none"/>
          <w:u w:val="none"/>
        </w:rPr>
        <w:t>五、一般公共预算财政拨款支出决算情况说明</w:t>
      </w:r>
      <w:r>
        <w:rPr>
          <w:rFonts w:hint="eastAsia" w:ascii="仿宋" w:hAnsi="仿宋" w:eastAsia="仿宋" w:cs="仿宋"/>
          <w:color w:val="auto"/>
          <w:sz w:val="28"/>
          <w:szCs w:val="28"/>
          <w:highlight w:val="none"/>
          <w:u w:val="none"/>
        </w:rPr>
        <w:fldChar w:fldCharType="end"/>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8</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default"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"六、一般公共预算财政拨款基本支出决算情况说明" </w:instrText>
      </w:r>
      <w:r>
        <w:rPr>
          <w:rFonts w:hint="eastAsia" w:ascii="仿宋" w:hAnsi="仿宋" w:eastAsia="仿宋" w:cs="仿宋"/>
          <w:color w:val="auto"/>
          <w:sz w:val="28"/>
          <w:szCs w:val="28"/>
          <w:highlight w:val="none"/>
          <w:u w:val="none"/>
        </w:rPr>
        <w:fldChar w:fldCharType="separate"/>
      </w:r>
      <w:r>
        <w:rPr>
          <w:rStyle w:val="20"/>
          <w:rFonts w:hint="eastAsia" w:ascii="仿宋" w:hAnsi="仿宋" w:eastAsia="仿宋" w:cs="仿宋"/>
          <w:color w:val="auto"/>
          <w:sz w:val="28"/>
          <w:szCs w:val="28"/>
          <w:highlight w:val="none"/>
          <w:u w:val="none"/>
        </w:rPr>
        <w:t>六、一般公共预算财政拨款基本支出决算情况说明</w:t>
      </w:r>
      <w:r>
        <w:rPr>
          <w:rFonts w:hint="eastAsia" w:ascii="仿宋" w:hAnsi="仿宋" w:eastAsia="仿宋" w:cs="仿宋"/>
          <w:color w:val="auto"/>
          <w:sz w:val="28"/>
          <w:szCs w:val="28"/>
          <w:highlight w:val="none"/>
          <w:u w:val="none"/>
        </w:rPr>
        <w:fldChar w:fldCharType="end"/>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11</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default"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"七、\“三公\”经费财政拨款支出决算情况说明" </w:instrText>
      </w:r>
      <w:r>
        <w:rPr>
          <w:rFonts w:hint="eastAsia" w:ascii="仿宋" w:hAnsi="仿宋" w:eastAsia="仿宋" w:cs="仿宋"/>
          <w:color w:val="auto"/>
          <w:sz w:val="28"/>
          <w:szCs w:val="28"/>
          <w:highlight w:val="none"/>
          <w:u w:val="none"/>
        </w:rPr>
        <w:fldChar w:fldCharType="separate"/>
      </w:r>
      <w:r>
        <w:rPr>
          <w:rStyle w:val="20"/>
          <w:rFonts w:hint="eastAsia" w:ascii="仿宋" w:hAnsi="仿宋" w:eastAsia="仿宋" w:cs="仿宋"/>
          <w:color w:val="auto"/>
          <w:sz w:val="28"/>
          <w:szCs w:val="28"/>
          <w:highlight w:val="none"/>
          <w:u w:val="none"/>
        </w:rPr>
        <w:t>七、财政拨款</w:t>
      </w:r>
      <w:r>
        <w:rPr>
          <w:rStyle w:val="20"/>
          <w:rFonts w:hint="eastAsia" w:ascii="仿宋" w:hAnsi="仿宋" w:eastAsia="仿宋" w:cs="仿宋"/>
          <w:color w:val="auto"/>
          <w:sz w:val="28"/>
          <w:szCs w:val="28"/>
          <w:highlight w:val="none"/>
          <w:u w:val="none"/>
          <w:lang w:eastAsia="zh-CN"/>
        </w:rPr>
        <w:t>“</w:t>
      </w:r>
      <w:r>
        <w:rPr>
          <w:rStyle w:val="20"/>
          <w:rFonts w:hint="eastAsia" w:ascii="仿宋" w:hAnsi="仿宋" w:eastAsia="仿宋" w:cs="仿宋"/>
          <w:color w:val="auto"/>
          <w:sz w:val="28"/>
          <w:szCs w:val="28"/>
          <w:highlight w:val="none"/>
          <w:u w:val="none"/>
        </w:rPr>
        <w:t>三公”经费支出决算情况说明</w:t>
      </w:r>
      <w:r>
        <w:rPr>
          <w:rFonts w:hint="eastAsia" w:ascii="仿宋" w:hAnsi="仿宋" w:eastAsia="仿宋" w:cs="仿宋"/>
          <w:color w:val="auto"/>
          <w:sz w:val="28"/>
          <w:szCs w:val="28"/>
          <w:highlight w:val="none"/>
          <w:u w:val="none"/>
        </w:rPr>
        <w:fldChar w:fldCharType="end"/>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11</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eastAsia"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"八、政府性基金预算支出决算情况说明" </w:instrText>
      </w:r>
      <w:r>
        <w:rPr>
          <w:rFonts w:hint="eastAsia" w:ascii="仿宋" w:hAnsi="仿宋" w:eastAsia="仿宋" w:cs="仿宋"/>
          <w:color w:val="auto"/>
          <w:sz w:val="28"/>
          <w:szCs w:val="28"/>
          <w:highlight w:val="none"/>
          <w:u w:val="none"/>
        </w:rPr>
        <w:fldChar w:fldCharType="separate"/>
      </w:r>
      <w:r>
        <w:rPr>
          <w:rStyle w:val="20"/>
          <w:rFonts w:hint="eastAsia" w:ascii="仿宋" w:hAnsi="仿宋" w:eastAsia="仿宋" w:cs="仿宋"/>
          <w:color w:val="auto"/>
          <w:sz w:val="28"/>
          <w:szCs w:val="28"/>
          <w:highlight w:val="none"/>
          <w:u w:val="none"/>
        </w:rPr>
        <w:t>八、政府性基金预算支出决算情况说明</w:t>
      </w:r>
      <w:r>
        <w:rPr>
          <w:rFonts w:hint="eastAsia" w:ascii="仿宋" w:hAnsi="仿宋" w:eastAsia="仿宋" w:cs="仿宋"/>
          <w:color w:val="auto"/>
          <w:sz w:val="28"/>
          <w:szCs w:val="28"/>
          <w:highlight w:val="none"/>
          <w:u w:val="none"/>
        </w:rPr>
        <w:fldChar w:fldCharType="end"/>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13</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eastAsia"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"九、国有资本经营预算支出决算情况说明" </w:instrText>
      </w:r>
      <w:r>
        <w:rPr>
          <w:rFonts w:hint="eastAsia" w:ascii="仿宋" w:hAnsi="仿宋" w:eastAsia="仿宋" w:cs="仿宋"/>
          <w:color w:val="auto"/>
          <w:sz w:val="28"/>
          <w:szCs w:val="28"/>
          <w:highlight w:val="none"/>
          <w:u w:val="none"/>
        </w:rPr>
        <w:fldChar w:fldCharType="separate"/>
      </w:r>
      <w:r>
        <w:rPr>
          <w:rStyle w:val="20"/>
          <w:rFonts w:hint="eastAsia" w:ascii="仿宋" w:hAnsi="仿宋" w:eastAsia="仿宋" w:cs="仿宋"/>
          <w:color w:val="auto"/>
          <w:sz w:val="28"/>
          <w:szCs w:val="28"/>
          <w:highlight w:val="none"/>
          <w:u w:val="none"/>
        </w:rPr>
        <w:t>九、国有资本经营预算支出决算情况说明</w:t>
      </w:r>
      <w:r>
        <w:rPr>
          <w:rFonts w:hint="eastAsia" w:ascii="仿宋" w:hAnsi="仿宋" w:eastAsia="仿宋" w:cs="仿宋"/>
          <w:color w:val="auto"/>
          <w:sz w:val="28"/>
          <w:szCs w:val="28"/>
          <w:highlight w:val="none"/>
          <w:u w:val="none"/>
        </w:rPr>
        <w:fldChar w:fldCharType="end"/>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13</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default"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"十、其他重要事项的情况说明" </w:instrText>
      </w:r>
      <w:r>
        <w:rPr>
          <w:rFonts w:hint="eastAsia" w:ascii="仿宋" w:hAnsi="仿宋" w:eastAsia="仿宋" w:cs="仿宋"/>
          <w:color w:val="auto"/>
          <w:sz w:val="28"/>
          <w:szCs w:val="28"/>
          <w:highlight w:val="none"/>
          <w:u w:val="none"/>
        </w:rPr>
        <w:fldChar w:fldCharType="separate"/>
      </w:r>
      <w:r>
        <w:rPr>
          <w:rStyle w:val="20"/>
          <w:rFonts w:hint="eastAsia" w:ascii="仿宋" w:hAnsi="仿宋" w:eastAsia="仿宋" w:cs="仿宋"/>
          <w:color w:val="auto"/>
          <w:sz w:val="28"/>
          <w:szCs w:val="28"/>
          <w:highlight w:val="none"/>
          <w:u w:val="none"/>
        </w:rPr>
        <w:t>十、其他重要事项的情况说明</w:t>
      </w:r>
      <w:r>
        <w:rPr>
          <w:rFonts w:hint="eastAsia" w:ascii="仿宋" w:hAnsi="仿宋" w:eastAsia="仿宋" w:cs="仿宋"/>
          <w:color w:val="auto"/>
          <w:sz w:val="28"/>
          <w:szCs w:val="28"/>
          <w:highlight w:val="none"/>
          <w:u w:val="none"/>
        </w:rPr>
        <w:fldChar w:fldCharType="end"/>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13</w:t>
      </w:r>
    </w:p>
    <w:p>
      <w:pPr>
        <w:pStyle w:val="14"/>
        <w:keepNext w:val="0"/>
        <w:keepLines w:val="0"/>
        <w:pageBreakBefore w:val="0"/>
        <w:widowControl w:val="0"/>
        <w:kinsoku/>
        <w:wordWrap/>
        <w:overflowPunct/>
        <w:topLinePunct w:val="0"/>
        <w:autoSpaceDE/>
        <w:autoSpaceDN/>
        <w:bidi w:val="0"/>
        <w:adjustRightInd w:val="0"/>
        <w:snapToGrid w:val="0"/>
        <w:spacing w:before="0" w:line="400" w:lineRule="exact"/>
        <w:jc w:val="left"/>
        <w:textAlignment w:val="auto"/>
        <w:outlineLvl w:val="9"/>
        <w:rPr>
          <w:rFonts w:hint="eastAsia" w:ascii="仿宋" w:hAnsi="仿宋" w:eastAsia="仿宋" w:cs="仿宋"/>
          <w:b/>
          <w:bCs/>
          <w:color w:val="auto"/>
          <w:sz w:val="28"/>
          <w:szCs w:val="28"/>
          <w:highlight w:val="none"/>
          <w:u w:val="none"/>
          <w:lang w:val="en-US" w:eastAsia="zh-CN"/>
        </w:rPr>
      </w:pPr>
      <w:r>
        <w:rPr>
          <w:rFonts w:hint="eastAsia" w:ascii="仿宋" w:hAnsi="仿宋" w:eastAsia="仿宋" w:cs="仿宋"/>
          <w:b/>
          <w:bCs/>
          <w:color w:val="auto"/>
          <w:sz w:val="28"/>
          <w:szCs w:val="32"/>
          <w:highlight w:val="none"/>
          <w:u w:val="none"/>
        </w:rPr>
        <w:fldChar w:fldCharType="begin"/>
      </w:r>
      <w:r>
        <w:rPr>
          <w:rFonts w:hint="eastAsia" w:ascii="仿宋" w:hAnsi="仿宋" w:eastAsia="仿宋" w:cs="仿宋"/>
          <w:b/>
          <w:bCs/>
          <w:color w:val="auto"/>
          <w:sz w:val="28"/>
          <w:szCs w:val="32"/>
          <w:highlight w:val="none"/>
          <w:u w:val="none"/>
        </w:rPr>
        <w:instrText xml:space="preserve"> HYPERLINK \l "第三部分名词解释" </w:instrText>
      </w:r>
      <w:r>
        <w:rPr>
          <w:rFonts w:hint="eastAsia" w:ascii="仿宋" w:hAnsi="仿宋" w:eastAsia="仿宋" w:cs="仿宋"/>
          <w:b/>
          <w:bCs/>
          <w:color w:val="auto"/>
          <w:sz w:val="28"/>
          <w:szCs w:val="32"/>
          <w:highlight w:val="none"/>
          <w:u w:val="none"/>
        </w:rPr>
        <w:fldChar w:fldCharType="separate"/>
      </w:r>
      <w:r>
        <w:rPr>
          <w:rStyle w:val="20"/>
          <w:rFonts w:hint="eastAsia" w:ascii="仿宋" w:hAnsi="仿宋" w:eastAsia="仿宋" w:cs="仿宋"/>
          <w:b/>
          <w:bCs/>
          <w:color w:val="auto"/>
          <w:sz w:val="28"/>
          <w:szCs w:val="32"/>
          <w:highlight w:val="none"/>
          <w:u w:val="none"/>
        </w:rPr>
        <w:t>第三部分 名词解释</w:t>
      </w:r>
      <w:r>
        <w:rPr>
          <w:rFonts w:hint="eastAsia" w:ascii="仿宋" w:hAnsi="仿宋" w:eastAsia="仿宋" w:cs="仿宋"/>
          <w:b/>
          <w:bCs/>
          <w:color w:val="auto"/>
          <w:sz w:val="28"/>
          <w:szCs w:val="32"/>
          <w:highlight w:val="none"/>
          <w:u w:val="none"/>
        </w:rPr>
        <w:fldChar w:fldCharType="end"/>
      </w:r>
      <w:r>
        <w:rPr>
          <w:rFonts w:hint="eastAsia" w:ascii="仿宋" w:hAnsi="仿宋" w:eastAsia="仿宋" w:cs="仿宋"/>
          <w:b/>
          <w:bCs/>
          <w:color w:val="auto"/>
          <w:sz w:val="31"/>
          <w:szCs w:val="31"/>
          <w:u w:val="none"/>
        </w:rPr>
        <w:tab/>
      </w:r>
      <w:r>
        <w:rPr>
          <w:rFonts w:hint="eastAsia" w:ascii="仿宋" w:hAnsi="仿宋" w:eastAsia="仿宋" w:cs="仿宋"/>
          <w:b/>
          <w:bCs/>
          <w:color w:val="auto"/>
          <w:sz w:val="31"/>
          <w:szCs w:val="31"/>
          <w:u w:val="none"/>
          <w:lang w:val="en-US" w:eastAsia="zh-CN"/>
        </w:rPr>
        <w:t>1</w:t>
      </w:r>
      <w:r>
        <w:rPr>
          <w:rFonts w:hint="eastAsia" w:cs="仿宋"/>
          <w:b/>
          <w:bCs/>
          <w:color w:val="auto"/>
          <w:sz w:val="31"/>
          <w:szCs w:val="31"/>
          <w:u w:val="none"/>
          <w:lang w:val="en-US" w:eastAsia="zh-CN"/>
        </w:rPr>
        <w:t>6</w:t>
      </w:r>
    </w:p>
    <w:p>
      <w:pPr>
        <w:pStyle w:val="14"/>
        <w:keepNext w:val="0"/>
        <w:keepLines w:val="0"/>
        <w:pageBreakBefore w:val="0"/>
        <w:widowControl w:val="0"/>
        <w:kinsoku/>
        <w:wordWrap/>
        <w:overflowPunct/>
        <w:topLinePunct w:val="0"/>
        <w:autoSpaceDE/>
        <w:autoSpaceDN/>
        <w:bidi w:val="0"/>
        <w:adjustRightInd w:val="0"/>
        <w:snapToGrid w:val="0"/>
        <w:spacing w:before="0" w:line="400" w:lineRule="exact"/>
        <w:jc w:val="left"/>
        <w:textAlignment w:val="auto"/>
        <w:outlineLvl w:val="9"/>
        <w:rPr>
          <w:rFonts w:hint="default" w:ascii="仿宋" w:hAnsi="仿宋" w:eastAsia="仿宋" w:cs="仿宋"/>
          <w:b/>
          <w:bCs/>
          <w:color w:val="auto"/>
          <w:sz w:val="28"/>
          <w:szCs w:val="28"/>
          <w:highlight w:val="none"/>
          <w:u w:val="none"/>
          <w:lang w:val="en-US" w:eastAsia="zh-CN"/>
        </w:rPr>
      </w:pPr>
      <w:r>
        <w:rPr>
          <w:rFonts w:hint="eastAsia" w:ascii="仿宋" w:hAnsi="仿宋" w:eastAsia="仿宋" w:cs="仿宋"/>
          <w:b/>
          <w:bCs/>
          <w:color w:val="auto"/>
          <w:sz w:val="28"/>
          <w:szCs w:val="32"/>
          <w:highlight w:val="none"/>
          <w:u w:val="none"/>
        </w:rPr>
        <w:fldChar w:fldCharType="begin"/>
      </w:r>
      <w:r>
        <w:rPr>
          <w:rFonts w:hint="eastAsia" w:ascii="仿宋" w:hAnsi="仿宋" w:eastAsia="仿宋" w:cs="仿宋"/>
          <w:b/>
          <w:bCs/>
          <w:color w:val="auto"/>
          <w:sz w:val="28"/>
          <w:szCs w:val="32"/>
          <w:highlight w:val="none"/>
          <w:u w:val="none"/>
        </w:rPr>
        <w:instrText xml:space="preserve"> HYPERLINK \l "第四部分附件" </w:instrText>
      </w:r>
      <w:r>
        <w:rPr>
          <w:rFonts w:hint="eastAsia" w:ascii="仿宋" w:hAnsi="仿宋" w:eastAsia="仿宋" w:cs="仿宋"/>
          <w:b/>
          <w:bCs/>
          <w:color w:val="auto"/>
          <w:sz w:val="28"/>
          <w:szCs w:val="32"/>
          <w:highlight w:val="none"/>
          <w:u w:val="none"/>
        </w:rPr>
        <w:fldChar w:fldCharType="separate"/>
      </w:r>
      <w:r>
        <w:rPr>
          <w:rStyle w:val="20"/>
          <w:rFonts w:hint="eastAsia" w:ascii="仿宋" w:hAnsi="仿宋" w:eastAsia="仿宋" w:cs="仿宋"/>
          <w:b/>
          <w:bCs/>
          <w:color w:val="auto"/>
          <w:sz w:val="28"/>
          <w:szCs w:val="32"/>
          <w:highlight w:val="none"/>
          <w:u w:val="none"/>
        </w:rPr>
        <w:t>第四部分 附件</w:t>
      </w:r>
      <w:r>
        <w:rPr>
          <w:rFonts w:hint="eastAsia" w:ascii="仿宋" w:hAnsi="仿宋" w:eastAsia="仿宋" w:cs="仿宋"/>
          <w:b/>
          <w:bCs/>
          <w:color w:val="auto"/>
          <w:sz w:val="28"/>
          <w:szCs w:val="32"/>
          <w:highlight w:val="none"/>
          <w:u w:val="none"/>
        </w:rPr>
        <w:fldChar w:fldCharType="end"/>
      </w:r>
      <w:r>
        <w:rPr>
          <w:rFonts w:hint="eastAsia" w:ascii="仿宋" w:hAnsi="仿宋" w:eastAsia="仿宋" w:cs="仿宋"/>
          <w:b/>
          <w:bCs/>
          <w:color w:val="auto"/>
          <w:sz w:val="31"/>
          <w:szCs w:val="31"/>
          <w:u w:val="none"/>
        </w:rPr>
        <w:tab/>
      </w:r>
      <w:r>
        <w:rPr>
          <w:rFonts w:hint="eastAsia" w:cs="仿宋"/>
          <w:b/>
          <w:bCs/>
          <w:color w:val="auto"/>
          <w:sz w:val="31"/>
          <w:szCs w:val="31"/>
          <w:u w:val="none"/>
          <w:lang w:val="en-US" w:eastAsia="zh-CN"/>
        </w:rPr>
        <w:t>20</w:t>
      </w:r>
    </w:p>
    <w:p>
      <w:pPr>
        <w:pStyle w:val="14"/>
        <w:keepNext w:val="0"/>
        <w:keepLines w:val="0"/>
        <w:pageBreakBefore w:val="0"/>
        <w:widowControl w:val="0"/>
        <w:kinsoku/>
        <w:wordWrap/>
        <w:overflowPunct/>
        <w:topLinePunct w:val="0"/>
        <w:autoSpaceDE/>
        <w:autoSpaceDN/>
        <w:bidi w:val="0"/>
        <w:adjustRightInd w:val="0"/>
        <w:snapToGrid w:val="0"/>
        <w:spacing w:before="0" w:line="400" w:lineRule="exact"/>
        <w:jc w:val="left"/>
        <w:textAlignment w:val="auto"/>
        <w:outlineLvl w:val="9"/>
        <w:rPr>
          <w:rFonts w:hint="default" w:ascii="仿宋_GB2312" w:hAnsi="仿宋_GB2312" w:eastAsia="仿宋" w:cs="仿宋_GB2312"/>
          <w:b/>
          <w:bCs/>
          <w:color w:val="auto"/>
          <w:sz w:val="28"/>
          <w:szCs w:val="28"/>
          <w:highlight w:val="none"/>
          <w:u w:val="none"/>
          <w:lang w:val="en-US" w:eastAsia="zh-CN"/>
        </w:rPr>
      </w:pPr>
      <w:r>
        <w:rPr>
          <w:rFonts w:hint="eastAsia" w:ascii="仿宋" w:hAnsi="仿宋" w:eastAsia="仿宋" w:cs="仿宋"/>
          <w:b/>
          <w:bCs/>
          <w:color w:val="auto"/>
          <w:sz w:val="28"/>
          <w:szCs w:val="32"/>
          <w:highlight w:val="none"/>
          <w:u w:val="none"/>
        </w:rPr>
        <w:fldChar w:fldCharType="begin"/>
      </w:r>
      <w:r>
        <w:rPr>
          <w:rFonts w:hint="eastAsia" w:ascii="仿宋" w:hAnsi="仿宋" w:eastAsia="仿宋" w:cs="仿宋"/>
          <w:b/>
          <w:bCs/>
          <w:color w:val="auto"/>
          <w:sz w:val="28"/>
          <w:szCs w:val="32"/>
          <w:highlight w:val="none"/>
          <w:u w:val="none"/>
        </w:rPr>
        <w:instrText xml:space="preserve"> HYPERLINK \l "第五部分附表" </w:instrText>
      </w:r>
      <w:r>
        <w:rPr>
          <w:rFonts w:hint="eastAsia" w:ascii="仿宋" w:hAnsi="仿宋" w:eastAsia="仿宋" w:cs="仿宋"/>
          <w:b/>
          <w:bCs/>
          <w:color w:val="auto"/>
          <w:sz w:val="28"/>
          <w:szCs w:val="32"/>
          <w:highlight w:val="none"/>
          <w:u w:val="none"/>
        </w:rPr>
        <w:fldChar w:fldCharType="separate"/>
      </w:r>
      <w:r>
        <w:rPr>
          <w:rStyle w:val="20"/>
          <w:rFonts w:hint="eastAsia" w:ascii="仿宋" w:hAnsi="仿宋" w:eastAsia="仿宋" w:cs="仿宋"/>
          <w:b/>
          <w:bCs/>
          <w:color w:val="auto"/>
          <w:sz w:val="28"/>
          <w:szCs w:val="32"/>
          <w:highlight w:val="none"/>
          <w:u w:val="none"/>
        </w:rPr>
        <w:t>第五部分 附表</w:t>
      </w:r>
      <w:r>
        <w:rPr>
          <w:rFonts w:hint="eastAsia" w:ascii="仿宋" w:hAnsi="仿宋" w:eastAsia="仿宋" w:cs="仿宋"/>
          <w:b/>
          <w:bCs/>
          <w:color w:val="auto"/>
          <w:sz w:val="28"/>
          <w:szCs w:val="32"/>
          <w:highlight w:val="none"/>
          <w:u w:val="none"/>
        </w:rPr>
        <w:fldChar w:fldCharType="end"/>
      </w:r>
      <w:r>
        <w:rPr>
          <w:rFonts w:hint="eastAsia" w:ascii="仿宋" w:hAnsi="仿宋" w:eastAsia="仿宋" w:cs="仿宋"/>
          <w:b/>
          <w:bCs/>
          <w:color w:val="auto"/>
          <w:sz w:val="31"/>
          <w:szCs w:val="31"/>
          <w:u w:val="none"/>
        </w:rPr>
        <w:tab/>
      </w:r>
      <w:r>
        <w:rPr>
          <w:rFonts w:hint="eastAsia" w:cs="仿宋"/>
          <w:b/>
          <w:bCs/>
          <w:color w:val="auto"/>
          <w:sz w:val="31"/>
          <w:szCs w:val="31"/>
          <w:u w:val="none"/>
          <w:lang w:val="en-US" w:eastAsia="zh-CN"/>
        </w:rPr>
        <w:t>32</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eastAsia" w:ascii="仿宋" w:hAnsi="仿宋" w:eastAsia="仿宋" w:cs="仿宋"/>
          <w:color w:val="auto"/>
          <w:sz w:val="31"/>
          <w:szCs w:val="31"/>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"一、收入支出决算总表" </w:instrText>
      </w:r>
      <w:r>
        <w:rPr>
          <w:rFonts w:hint="eastAsia" w:ascii="仿宋" w:hAnsi="仿宋" w:eastAsia="仿宋" w:cs="仿宋"/>
          <w:color w:val="auto"/>
          <w:sz w:val="28"/>
          <w:szCs w:val="28"/>
          <w:highlight w:val="none"/>
          <w:u w:val="none"/>
        </w:rPr>
        <w:fldChar w:fldCharType="separate"/>
      </w:r>
      <w:r>
        <w:rPr>
          <w:rStyle w:val="20"/>
          <w:rFonts w:hint="eastAsia" w:ascii="仿宋" w:hAnsi="仿宋" w:eastAsia="仿宋" w:cs="仿宋"/>
          <w:color w:val="auto"/>
          <w:sz w:val="28"/>
          <w:szCs w:val="28"/>
          <w:highlight w:val="none"/>
          <w:u w:val="none"/>
        </w:rPr>
        <w:t>一、收入支出决算总表</w:t>
      </w:r>
      <w:r>
        <w:rPr>
          <w:rFonts w:hint="eastAsia" w:ascii="仿宋" w:hAnsi="仿宋" w:eastAsia="仿宋" w:cs="仿宋"/>
          <w:color w:val="auto"/>
          <w:sz w:val="28"/>
          <w:szCs w:val="28"/>
          <w:highlight w:val="none"/>
          <w:u w:val="none"/>
        </w:rPr>
        <w:fldChar w:fldCharType="end"/>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33</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default" w:ascii="仿宋" w:hAnsi="仿宋" w:eastAsia="仿宋" w:cs="仿宋"/>
          <w:color w:val="auto"/>
          <w:sz w:val="31"/>
          <w:szCs w:val="31"/>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"二、收入决算表" </w:instrText>
      </w:r>
      <w:r>
        <w:rPr>
          <w:rFonts w:hint="eastAsia" w:ascii="仿宋" w:hAnsi="仿宋" w:eastAsia="仿宋" w:cs="仿宋"/>
          <w:color w:val="auto"/>
          <w:sz w:val="28"/>
          <w:szCs w:val="28"/>
          <w:highlight w:val="none"/>
          <w:u w:val="none"/>
        </w:rPr>
        <w:fldChar w:fldCharType="separate"/>
      </w:r>
      <w:r>
        <w:rPr>
          <w:rStyle w:val="21"/>
          <w:rFonts w:hint="eastAsia" w:ascii="仿宋" w:hAnsi="仿宋" w:eastAsia="仿宋" w:cs="仿宋"/>
          <w:color w:val="auto"/>
          <w:sz w:val="28"/>
          <w:szCs w:val="28"/>
          <w:highlight w:val="none"/>
          <w:u w:val="none"/>
        </w:rPr>
        <w:t>二、收入决算表</w:t>
      </w:r>
      <w:r>
        <w:rPr>
          <w:rFonts w:hint="eastAsia" w:ascii="仿宋" w:hAnsi="仿宋" w:eastAsia="仿宋" w:cs="仿宋"/>
          <w:color w:val="auto"/>
          <w:sz w:val="28"/>
          <w:szCs w:val="28"/>
          <w:highlight w:val="none"/>
          <w:u w:val="none"/>
        </w:rPr>
        <w:fldChar w:fldCharType="end"/>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34</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default" w:ascii="仿宋" w:hAnsi="仿宋" w:eastAsia="仿宋" w:cs="仿宋"/>
          <w:color w:val="auto"/>
          <w:sz w:val="31"/>
          <w:szCs w:val="31"/>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"三、支出决算表" </w:instrText>
      </w:r>
      <w:r>
        <w:rPr>
          <w:rFonts w:hint="eastAsia" w:ascii="仿宋" w:hAnsi="仿宋" w:eastAsia="仿宋" w:cs="仿宋"/>
          <w:color w:val="auto"/>
          <w:sz w:val="28"/>
          <w:szCs w:val="28"/>
          <w:highlight w:val="none"/>
          <w:u w:val="none"/>
        </w:rPr>
        <w:fldChar w:fldCharType="separate"/>
      </w:r>
      <w:r>
        <w:rPr>
          <w:rStyle w:val="21"/>
          <w:rFonts w:hint="eastAsia" w:ascii="仿宋" w:hAnsi="仿宋" w:eastAsia="仿宋" w:cs="仿宋"/>
          <w:color w:val="auto"/>
          <w:sz w:val="28"/>
          <w:szCs w:val="28"/>
          <w:highlight w:val="none"/>
          <w:u w:val="none"/>
        </w:rPr>
        <w:t>三、支出决算表</w:t>
      </w:r>
      <w:r>
        <w:rPr>
          <w:rFonts w:hint="eastAsia" w:ascii="仿宋" w:hAnsi="仿宋" w:eastAsia="仿宋" w:cs="仿宋"/>
          <w:color w:val="auto"/>
          <w:sz w:val="28"/>
          <w:szCs w:val="28"/>
          <w:highlight w:val="none"/>
          <w:u w:val="none"/>
        </w:rPr>
        <w:fldChar w:fldCharType="end"/>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35</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default" w:ascii="仿宋" w:hAnsi="仿宋" w:eastAsia="仿宋" w:cs="仿宋"/>
          <w:color w:val="auto"/>
          <w:sz w:val="31"/>
          <w:szCs w:val="31"/>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"四、财政拨款收入支出决算总表" </w:instrText>
      </w:r>
      <w:r>
        <w:rPr>
          <w:rFonts w:hint="eastAsia" w:ascii="仿宋" w:hAnsi="仿宋" w:eastAsia="仿宋" w:cs="仿宋"/>
          <w:color w:val="auto"/>
          <w:sz w:val="28"/>
          <w:szCs w:val="28"/>
          <w:highlight w:val="none"/>
          <w:u w:val="none"/>
        </w:rPr>
        <w:fldChar w:fldCharType="separate"/>
      </w:r>
      <w:r>
        <w:rPr>
          <w:rStyle w:val="21"/>
          <w:rFonts w:hint="eastAsia" w:ascii="仿宋" w:hAnsi="仿宋" w:eastAsia="仿宋" w:cs="仿宋"/>
          <w:color w:val="auto"/>
          <w:sz w:val="28"/>
          <w:szCs w:val="28"/>
          <w:highlight w:val="none"/>
          <w:u w:val="none"/>
        </w:rPr>
        <w:t>四、财政拨款收入支出决算总表</w:t>
      </w:r>
      <w:r>
        <w:rPr>
          <w:rFonts w:hint="eastAsia" w:ascii="仿宋" w:hAnsi="仿宋" w:eastAsia="仿宋" w:cs="仿宋"/>
          <w:color w:val="auto"/>
          <w:sz w:val="28"/>
          <w:szCs w:val="28"/>
          <w:highlight w:val="none"/>
          <w:u w:val="none"/>
        </w:rPr>
        <w:fldChar w:fldCharType="end"/>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36</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default"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"五、财政拨款支出决算明细表" </w:instrText>
      </w:r>
      <w:r>
        <w:rPr>
          <w:rFonts w:hint="eastAsia" w:ascii="仿宋" w:hAnsi="仿宋" w:eastAsia="仿宋" w:cs="仿宋"/>
          <w:color w:val="auto"/>
          <w:sz w:val="28"/>
          <w:szCs w:val="28"/>
          <w:highlight w:val="none"/>
          <w:u w:val="none"/>
        </w:rPr>
        <w:fldChar w:fldCharType="separate"/>
      </w:r>
      <w:r>
        <w:rPr>
          <w:rStyle w:val="21"/>
          <w:rFonts w:hint="eastAsia" w:ascii="仿宋" w:hAnsi="仿宋" w:eastAsia="仿宋" w:cs="仿宋"/>
          <w:color w:val="auto"/>
          <w:sz w:val="28"/>
          <w:szCs w:val="28"/>
          <w:highlight w:val="none"/>
          <w:u w:val="none"/>
        </w:rPr>
        <w:t>五、财政拨款支出决算明细表</w:t>
      </w:r>
      <w:r>
        <w:rPr>
          <w:rFonts w:hint="eastAsia" w:ascii="仿宋" w:hAnsi="仿宋" w:eastAsia="仿宋" w:cs="仿宋"/>
          <w:color w:val="auto"/>
          <w:sz w:val="28"/>
          <w:szCs w:val="28"/>
          <w:highlight w:val="none"/>
          <w:u w:val="none"/>
        </w:rPr>
        <w:fldChar w:fldCharType="end"/>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37</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default"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"六、一般公共预算财政拨款支出决算表" </w:instrText>
      </w:r>
      <w:r>
        <w:rPr>
          <w:rFonts w:hint="eastAsia" w:ascii="仿宋" w:hAnsi="仿宋" w:eastAsia="仿宋" w:cs="仿宋"/>
          <w:color w:val="auto"/>
          <w:sz w:val="28"/>
          <w:szCs w:val="28"/>
          <w:highlight w:val="none"/>
          <w:u w:val="none"/>
        </w:rPr>
        <w:fldChar w:fldCharType="separate"/>
      </w:r>
      <w:r>
        <w:rPr>
          <w:rStyle w:val="21"/>
          <w:rFonts w:hint="eastAsia" w:ascii="仿宋" w:hAnsi="仿宋" w:eastAsia="仿宋" w:cs="仿宋"/>
          <w:color w:val="auto"/>
          <w:sz w:val="28"/>
          <w:szCs w:val="28"/>
          <w:highlight w:val="none"/>
          <w:u w:val="none"/>
        </w:rPr>
        <w:t>六、一般公共预算财政拨款支出决算表</w:t>
      </w:r>
      <w:r>
        <w:rPr>
          <w:rFonts w:hint="eastAsia" w:ascii="仿宋" w:hAnsi="仿宋" w:eastAsia="仿宋" w:cs="仿宋"/>
          <w:color w:val="auto"/>
          <w:sz w:val="28"/>
          <w:szCs w:val="28"/>
          <w:highlight w:val="none"/>
          <w:u w:val="none"/>
        </w:rPr>
        <w:fldChar w:fldCharType="end"/>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38</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default"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"七、一般公共预算财政拨款支出决算明细表" </w:instrText>
      </w:r>
      <w:r>
        <w:rPr>
          <w:rFonts w:hint="eastAsia" w:ascii="仿宋" w:hAnsi="仿宋" w:eastAsia="仿宋" w:cs="仿宋"/>
          <w:color w:val="auto"/>
          <w:sz w:val="28"/>
          <w:szCs w:val="28"/>
          <w:highlight w:val="none"/>
          <w:u w:val="none"/>
        </w:rPr>
        <w:fldChar w:fldCharType="separate"/>
      </w:r>
      <w:r>
        <w:rPr>
          <w:rStyle w:val="21"/>
          <w:rFonts w:hint="eastAsia" w:ascii="仿宋" w:hAnsi="仿宋" w:eastAsia="仿宋" w:cs="仿宋"/>
          <w:color w:val="auto"/>
          <w:sz w:val="28"/>
          <w:szCs w:val="28"/>
          <w:highlight w:val="none"/>
          <w:u w:val="none"/>
        </w:rPr>
        <w:t>七、一般公共预算财政拨款支出决算明细表</w:t>
      </w:r>
      <w:r>
        <w:rPr>
          <w:rFonts w:hint="eastAsia" w:ascii="仿宋" w:hAnsi="仿宋" w:eastAsia="仿宋" w:cs="仿宋"/>
          <w:color w:val="auto"/>
          <w:sz w:val="28"/>
          <w:szCs w:val="28"/>
          <w:highlight w:val="none"/>
          <w:u w:val="none"/>
        </w:rPr>
        <w:fldChar w:fldCharType="end"/>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39</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default"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"八、一般公共预算财政拨款基本支出决算表" </w:instrText>
      </w:r>
      <w:r>
        <w:rPr>
          <w:rFonts w:hint="eastAsia" w:ascii="仿宋" w:hAnsi="仿宋" w:eastAsia="仿宋" w:cs="仿宋"/>
          <w:color w:val="auto"/>
          <w:sz w:val="28"/>
          <w:szCs w:val="28"/>
          <w:highlight w:val="none"/>
          <w:u w:val="none"/>
        </w:rPr>
        <w:fldChar w:fldCharType="separate"/>
      </w:r>
      <w:r>
        <w:rPr>
          <w:rStyle w:val="20"/>
          <w:rFonts w:hint="eastAsia" w:ascii="仿宋" w:hAnsi="仿宋" w:eastAsia="仿宋" w:cs="仿宋"/>
          <w:color w:val="auto"/>
          <w:sz w:val="28"/>
          <w:szCs w:val="28"/>
          <w:highlight w:val="none"/>
          <w:u w:val="none"/>
        </w:rPr>
        <w:t>八、一般公共预算财政拨款基本支出决算</w:t>
      </w:r>
      <w:r>
        <w:rPr>
          <w:rStyle w:val="20"/>
          <w:rFonts w:hint="eastAsia" w:ascii="仿宋" w:hAnsi="仿宋" w:eastAsia="仿宋" w:cs="仿宋"/>
          <w:color w:val="auto"/>
          <w:sz w:val="28"/>
          <w:szCs w:val="28"/>
          <w:highlight w:val="none"/>
          <w:u w:val="none"/>
          <w:lang w:val="en-US" w:eastAsia="zh-CN"/>
        </w:rPr>
        <w:t>明细</w:t>
      </w:r>
      <w:r>
        <w:rPr>
          <w:rStyle w:val="20"/>
          <w:rFonts w:hint="eastAsia" w:ascii="仿宋" w:hAnsi="仿宋" w:eastAsia="仿宋" w:cs="仿宋"/>
          <w:color w:val="auto"/>
          <w:sz w:val="28"/>
          <w:szCs w:val="28"/>
          <w:highlight w:val="none"/>
          <w:u w:val="none"/>
        </w:rPr>
        <w:t>表</w:t>
      </w:r>
      <w:r>
        <w:rPr>
          <w:rFonts w:hint="eastAsia" w:ascii="仿宋" w:hAnsi="仿宋" w:eastAsia="仿宋" w:cs="仿宋"/>
          <w:color w:val="auto"/>
          <w:sz w:val="28"/>
          <w:szCs w:val="28"/>
          <w:highlight w:val="none"/>
          <w:u w:val="none"/>
        </w:rPr>
        <w:fldChar w:fldCharType="end"/>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40</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default"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"九、一般公共预算财政拨款项目支出决算表" </w:instrText>
      </w:r>
      <w:r>
        <w:rPr>
          <w:rFonts w:hint="eastAsia" w:ascii="仿宋" w:hAnsi="仿宋" w:eastAsia="仿宋" w:cs="仿宋"/>
          <w:color w:val="auto"/>
          <w:sz w:val="28"/>
          <w:szCs w:val="28"/>
          <w:highlight w:val="none"/>
          <w:u w:val="none"/>
        </w:rPr>
        <w:fldChar w:fldCharType="separate"/>
      </w:r>
      <w:r>
        <w:rPr>
          <w:rStyle w:val="20"/>
          <w:rFonts w:hint="eastAsia" w:ascii="仿宋" w:hAnsi="仿宋" w:eastAsia="仿宋" w:cs="仿宋"/>
          <w:color w:val="auto"/>
          <w:sz w:val="28"/>
          <w:szCs w:val="28"/>
          <w:highlight w:val="none"/>
          <w:u w:val="none"/>
        </w:rPr>
        <w:t>九、一般公共预算财政拨款项目支出决算</w:t>
      </w:r>
      <w:r>
        <w:rPr>
          <w:rStyle w:val="20"/>
          <w:rFonts w:hint="eastAsia" w:ascii="仿宋" w:hAnsi="仿宋" w:eastAsia="仿宋" w:cs="仿宋"/>
          <w:color w:val="auto"/>
          <w:sz w:val="28"/>
          <w:szCs w:val="28"/>
          <w:highlight w:val="none"/>
          <w:u w:val="none"/>
          <w:lang w:val="en-US" w:eastAsia="zh-CN"/>
        </w:rPr>
        <w:t>明细</w:t>
      </w:r>
      <w:r>
        <w:rPr>
          <w:rStyle w:val="20"/>
          <w:rFonts w:hint="eastAsia" w:ascii="仿宋" w:hAnsi="仿宋" w:eastAsia="仿宋" w:cs="仿宋"/>
          <w:color w:val="auto"/>
          <w:sz w:val="28"/>
          <w:szCs w:val="28"/>
          <w:highlight w:val="none"/>
          <w:u w:val="none"/>
        </w:rPr>
        <w:t>表</w:t>
      </w:r>
      <w:r>
        <w:rPr>
          <w:rFonts w:hint="eastAsia" w:ascii="仿宋" w:hAnsi="仿宋" w:eastAsia="仿宋" w:cs="仿宋"/>
          <w:color w:val="auto"/>
          <w:sz w:val="28"/>
          <w:szCs w:val="28"/>
          <w:highlight w:val="none"/>
          <w:u w:val="none"/>
        </w:rPr>
        <w:fldChar w:fldCharType="end"/>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41</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default"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"十、一般公共预算财政拨款\“三公\”经费支出决算表" </w:instrText>
      </w:r>
      <w:r>
        <w:rPr>
          <w:rFonts w:hint="eastAsia" w:ascii="仿宋" w:hAnsi="仿宋" w:eastAsia="仿宋" w:cs="仿宋"/>
          <w:color w:val="auto"/>
          <w:sz w:val="28"/>
          <w:szCs w:val="28"/>
          <w:highlight w:val="none"/>
          <w:u w:val="none"/>
        </w:rPr>
        <w:fldChar w:fldCharType="separate"/>
      </w:r>
      <w:r>
        <w:rPr>
          <w:rStyle w:val="21"/>
          <w:rFonts w:hint="eastAsia" w:ascii="仿宋" w:hAnsi="仿宋" w:eastAsia="仿宋" w:cs="仿宋"/>
          <w:color w:val="auto"/>
          <w:sz w:val="28"/>
          <w:szCs w:val="28"/>
          <w:highlight w:val="none"/>
          <w:u w:val="none"/>
        </w:rPr>
        <w:t>十、</w:t>
      </w:r>
      <w:r>
        <w:rPr>
          <w:rFonts w:hint="eastAsia" w:ascii="仿宋" w:hAnsi="仿宋" w:eastAsia="仿宋" w:cs="仿宋"/>
          <w:color w:val="auto"/>
          <w:sz w:val="28"/>
          <w:szCs w:val="28"/>
          <w:highlight w:val="none"/>
          <w:u w:val="none"/>
        </w:rPr>
        <w:fldChar w:fldCharType="end"/>
      </w:r>
      <w:r>
        <w:rPr>
          <w:rStyle w:val="21"/>
          <w:rFonts w:hint="eastAsia" w:ascii="仿宋" w:hAnsi="仿宋" w:eastAsia="仿宋" w:cs="仿宋"/>
          <w:color w:val="auto"/>
          <w:sz w:val="28"/>
          <w:szCs w:val="28"/>
          <w:highlight w:val="none"/>
          <w:u w:val="none"/>
        </w:rPr>
        <w:t>政府性基金预算财政拨款收入支出决算表</w:t>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42</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default"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"十一、政府性基金预算财政拨款收入支出决算表" </w:instrText>
      </w:r>
      <w:r>
        <w:rPr>
          <w:rFonts w:hint="eastAsia" w:ascii="仿宋" w:hAnsi="仿宋" w:eastAsia="仿宋" w:cs="仿宋"/>
          <w:color w:val="auto"/>
          <w:sz w:val="28"/>
          <w:szCs w:val="28"/>
          <w:highlight w:val="none"/>
          <w:u w:val="none"/>
        </w:rPr>
        <w:fldChar w:fldCharType="separate"/>
      </w:r>
      <w:r>
        <w:rPr>
          <w:rStyle w:val="21"/>
          <w:rFonts w:hint="eastAsia" w:ascii="仿宋" w:hAnsi="仿宋" w:eastAsia="仿宋" w:cs="仿宋"/>
          <w:color w:val="auto"/>
          <w:sz w:val="28"/>
          <w:szCs w:val="28"/>
          <w:highlight w:val="none"/>
          <w:u w:val="none"/>
        </w:rPr>
        <w:t>十一、</w:t>
      </w:r>
      <w:r>
        <w:rPr>
          <w:rFonts w:hint="eastAsia" w:ascii="仿宋" w:hAnsi="仿宋" w:eastAsia="仿宋" w:cs="仿宋"/>
          <w:color w:val="auto"/>
          <w:sz w:val="28"/>
          <w:szCs w:val="28"/>
          <w:highlight w:val="none"/>
          <w:u w:val="none"/>
        </w:rPr>
        <w:fldChar w:fldCharType="end"/>
      </w:r>
      <w:r>
        <w:rPr>
          <w:rStyle w:val="21"/>
          <w:rFonts w:hint="eastAsia" w:ascii="仿宋" w:hAnsi="仿宋" w:eastAsia="仿宋" w:cs="仿宋"/>
          <w:color w:val="auto"/>
          <w:sz w:val="28"/>
          <w:szCs w:val="28"/>
          <w:highlight w:val="none"/>
          <w:u w:val="none"/>
        </w:rPr>
        <w:t>国有资本经营预算</w:t>
      </w:r>
      <w:r>
        <w:rPr>
          <w:rStyle w:val="21"/>
          <w:rFonts w:hint="eastAsia" w:ascii="仿宋" w:hAnsi="仿宋" w:eastAsia="仿宋" w:cs="仿宋"/>
          <w:color w:val="auto"/>
          <w:sz w:val="28"/>
          <w:szCs w:val="28"/>
          <w:highlight w:val="none"/>
          <w:u w:val="none"/>
          <w:lang w:eastAsia="zh-CN"/>
        </w:rPr>
        <w:t>财政拨款收入</w:t>
      </w:r>
      <w:r>
        <w:rPr>
          <w:rStyle w:val="21"/>
          <w:rFonts w:hint="eastAsia" w:ascii="仿宋" w:hAnsi="仿宋" w:eastAsia="仿宋" w:cs="仿宋"/>
          <w:color w:val="auto"/>
          <w:sz w:val="28"/>
          <w:szCs w:val="28"/>
          <w:highlight w:val="none"/>
          <w:u w:val="none"/>
        </w:rPr>
        <w:t>支出决算表</w:t>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43</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default"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"十二、政府性基金预算财政拨款\“三公\”经费支出决算表" </w:instrText>
      </w:r>
      <w:r>
        <w:rPr>
          <w:rFonts w:hint="eastAsia" w:ascii="仿宋" w:hAnsi="仿宋" w:eastAsia="仿宋" w:cs="仿宋"/>
          <w:color w:val="auto"/>
          <w:sz w:val="28"/>
          <w:szCs w:val="28"/>
          <w:highlight w:val="none"/>
          <w:u w:val="none"/>
        </w:rPr>
        <w:fldChar w:fldCharType="separate"/>
      </w:r>
      <w:r>
        <w:rPr>
          <w:rStyle w:val="21"/>
          <w:rFonts w:hint="eastAsia" w:ascii="仿宋" w:hAnsi="仿宋" w:eastAsia="仿宋" w:cs="仿宋"/>
          <w:color w:val="auto"/>
          <w:sz w:val="28"/>
          <w:szCs w:val="28"/>
          <w:highlight w:val="none"/>
          <w:u w:val="none"/>
        </w:rPr>
        <w:t>十二、</w:t>
      </w:r>
      <w:r>
        <w:rPr>
          <w:rFonts w:hint="eastAsia" w:ascii="仿宋" w:hAnsi="仿宋" w:eastAsia="仿宋" w:cs="仿宋"/>
          <w:color w:val="auto"/>
          <w:sz w:val="28"/>
          <w:szCs w:val="28"/>
          <w:highlight w:val="none"/>
          <w:u w:val="none"/>
        </w:rPr>
        <w:fldChar w:fldCharType="end"/>
      </w:r>
      <w:r>
        <w:rPr>
          <w:rStyle w:val="21"/>
          <w:rFonts w:hint="eastAsia" w:ascii="仿宋" w:hAnsi="仿宋" w:eastAsia="仿宋" w:cs="仿宋"/>
          <w:color w:val="auto"/>
          <w:sz w:val="28"/>
          <w:szCs w:val="28"/>
          <w:highlight w:val="none"/>
          <w:u w:val="none"/>
          <w:lang w:val="en-US" w:eastAsia="zh-CN"/>
        </w:rPr>
        <w:t>国有资本经营预算财政拨款支出决算表</w:t>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44</w:t>
      </w:r>
    </w:p>
    <w:p>
      <w:pPr>
        <w:pStyle w:val="15"/>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9"/>
        <w:rPr>
          <w:rFonts w:hint="default"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rPr>
        <w:fldChar w:fldCharType="begin"/>
      </w:r>
      <w:r>
        <w:rPr>
          <w:rFonts w:hint="eastAsia" w:ascii="仿宋" w:hAnsi="仿宋" w:eastAsia="仿宋" w:cs="仿宋"/>
          <w:color w:val="auto"/>
          <w:sz w:val="28"/>
          <w:szCs w:val="28"/>
          <w:highlight w:val="none"/>
          <w:u w:val="none"/>
        </w:rPr>
        <w:instrText xml:space="preserve"> HYPERLINK \l "十三、国有资本经营预算财政拨款收入支出决算表" </w:instrText>
      </w:r>
      <w:r>
        <w:rPr>
          <w:rFonts w:hint="eastAsia" w:ascii="仿宋" w:hAnsi="仿宋" w:eastAsia="仿宋" w:cs="仿宋"/>
          <w:color w:val="auto"/>
          <w:sz w:val="28"/>
          <w:szCs w:val="28"/>
          <w:highlight w:val="none"/>
          <w:u w:val="none"/>
        </w:rPr>
        <w:fldChar w:fldCharType="separate"/>
      </w:r>
      <w:r>
        <w:rPr>
          <w:rStyle w:val="21"/>
          <w:rFonts w:hint="eastAsia" w:ascii="仿宋" w:hAnsi="仿宋" w:eastAsia="仿宋" w:cs="仿宋"/>
          <w:color w:val="auto"/>
          <w:sz w:val="28"/>
          <w:szCs w:val="28"/>
          <w:highlight w:val="none"/>
          <w:u w:val="none"/>
        </w:rPr>
        <w:t>十三、</w:t>
      </w:r>
      <w:r>
        <w:rPr>
          <w:rFonts w:hint="eastAsia" w:ascii="仿宋" w:hAnsi="仿宋" w:eastAsia="仿宋" w:cs="仿宋"/>
          <w:color w:val="auto"/>
          <w:sz w:val="28"/>
          <w:szCs w:val="28"/>
          <w:highlight w:val="none"/>
          <w:u w:val="none"/>
        </w:rPr>
        <w:fldChar w:fldCharType="end"/>
      </w:r>
      <w:r>
        <w:rPr>
          <w:rFonts w:hint="eastAsia" w:ascii="仿宋" w:hAnsi="仿宋" w:eastAsia="仿宋" w:cs="仿宋"/>
          <w:color w:val="auto"/>
          <w:sz w:val="28"/>
          <w:szCs w:val="28"/>
          <w:highlight w:val="none"/>
          <w:u w:val="none"/>
          <w:lang w:val="en-US" w:eastAsia="zh-CN"/>
        </w:rPr>
        <w:t>财政拨款”三公“经费支出决算表</w:t>
      </w:r>
      <w:r>
        <w:rPr>
          <w:rFonts w:hint="eastAsia" w:ascii="仿宋" w:hAnsi="仿宋" w:eastAsia="仿宋" w:cs="仿宋"/>
          <w:color w:val="auto"/>
          <w:sz w:val="31"/>
          <w:szCs w:val="31"/>
          <w:u w:val="none"/>
        </w:rPr>
        <w:tab/>
      </w:r>
      <w:r>
        <w:rPr>
          <w:rFonts w:hint="eastAsia" w:ascii="仿宋" w:hAnsi="仿宋" w:eastAsia="仿宋" w:cs="仿宋"/>
          <w:color w:val="auto"/>
          <w:sz w:val="31"/>
          <w:szCs w:val="31"/>
          <w:u w:val="none"/>
          <w:lang w:val="en-US" w:eastAsia="zh-CN"/>
        </w:rPr>
        <w:t>45</w:t>
      </w:r>
    </w:p>
    <w:p>
      <w:pPr>
        <w:pStyle w:val="3"/>
        <w:jc w:val="center"/>
        <w:rPr>
          <w:rFonts w:hint="eastAsia" w:ascii="仿宋" w:hAnsi="仿宋" w:eastAsia="仿宋" w:cs="仿宋"/>
          <w:b w:val="0"/>
          <w:color w:val="auto"/>
          <w:highlight w:val="none"/>
        </w:rPr>
        <w:sectPr>
          <w:footerReference r:id="rId6" w:type="first"/>
          <w:footerReference r:id="rId5" w:type="default"/>
          <w:pgSz w:w="11906" w:h="16838"/>
          <w:pgMar w:top="1440" w:right="1800" w:bottom="1440" w:left="1800" w:header="851" w:footer="992" w:gutter="0"/>
          <w:pgNumType w:fmt="decimal" w:start="1"/>
          <w:cols w:space="425" w:num="1"/>
          <w:titlePg/>
          <w:docGrid w:type="lines" w:linePitch="312" w:charSpace="0"/>
        </w:sectPr>
      </w:pPr>
      <w:bookmarkStart w:id="5" w:name="_Toc15396599"/>
      <w:bookmarkStart w:id="6" w:name="第一部分单位概况"/>
    </w:p>
    <w:p>
      <w:pPr>
        <w:pStyle w:val="3"/>
        <w:jc w:val="center"/>
        <w:rPr>
          <w:rStyle w:val="30"/>
          <w:rFonts w:ascii="黑体" w:hAnsi="黑体" w:eastAsia="黑体"/>
          <w:b/>
          <w:bCs w:val="0"/>
          <w:color w:val="auto"/>
          <w:highlight w:val="none"/>
        </w:rPr>
      </w:pPr>
      <w:r>
        <w:rPr>
          <w:rFonts w:hint="eastAsia" w:ascii="黑体" w:hAnsi="黑体" w:eastAsia="黑体"/>
          <w:b w:val="0"/>
          <w:color w:val="auto"/>
          <w:highlight w:val="none"/>
        </w:rPr>
        <w:t xml:space="preserve">第一部分 </w:t>
      </w:r>
      <w:r>
        <w:rPr>
          <w:rFonts w:hint="eastAsia" w:ascii="黑体" w:hAnsi="黑体" w:eastAsia="黑体"/>
          <w:b w:val="0"/>
          <w:color w:val="auto"/>
          <w:highlight w:val="none"/>
          <w:lang w:val="en-US" w:eastAsia="zh-CN"/>
        </w:rPr>
        <w:t>部门</w:t>
      </w:r>
      <w:r>
        <w:rPr>
          <w:rStyle w:val="30"/>
          <w:rFonts w:hint="eastAsia" w:ascii="黑体" w:hAnsi="黑体" w:eastAsia="黑体"/>
          <w:b w:val="0"/>
          <w:bCs w:val="0"/>
          <w:color w:val="auto"/>
          <w:highlight w:val="none"/>
        </w:rPr>
        <w:t>概况</w:t>
      </w:r>
      <w:bookmarkEnd w:id="5"/>
    </w:p>
    <w:bookmarkEnd w:id="6"/>
    <w:p>
      <w:pPr>
        <w:pStyle w:val="4"/>
        <w:ind w:firstLine="640" w:firstLineChars="200"/>
        <w:rPr>
          <w:rStyle w:val="31"/>
          <w:rFonts w:ascii="仿宋" w:hAnsi="仿宋" w:eastAsia="仿宋"/>
          <w:b w:val="0"/>
          <w:bCs w:val="0"/>
          <w:color w:val="auto"/>
          <w:highlight w:val="none"/>
        </w:rPr>
      </w:pPr>
      <w:bookmarkStart w:id="7" w:name="_Toc15377197"/>
      <w:bookmarkStart w:id="8" w:name="一、基本职能及主要工作"/>
      <w:bookmarkStart w:id="9" w:name="_Toc15396600"/>
      <w:r>
        <w:rPr>
          <w:rFonts w:hint="eastAsia" w:ascii="黑体" w:hAnsi="黑体" w:eastAsia="黑体"/>
          <w:b w:val="0"/>
          <w:color w:val="auto"/>
          <w:highlight w:val="none"/>
        </w:rPr>
        <w:t>一、基</w:t>
      </w:r>
      <w:r>
        <w:rPr>
          <w:rStyle w:val="31"/>
          <w:rFonts w:hint="eastAsia" w:ascii="黑体" w:hAnsi="黑体" w:eastAsia="黑体"/>
          <w:b w:val="0"/>
          <w:bCs w:val="0"/>
          <w:color w:val="auto"/>
          <w:highlight w:val="none"/>
        </w:rPr>
        <w:t>本职能及主要工作</w:t>
      </w:r>
      <w:bookmarkEnd w:id="7"/>
    </w:p>
    <w:bookmarkEnd w:id="8"/>
    <w:p>
      <w:pPr>
        <w:pStyle w:val="2"/>
        <w:adjustRightInd w:val="0"/>
        <w:snapToGrid w:val="0"/>
        <w:spacing w:before="93" w:line="600" w:lineRule="exact"/>
        <w:ind w:firstLine="675" w:firstLineChars="210"/>
        <w:outlineLvl w:val="2"/>
        <w:rPr>
          <w:rFonts w:hint="eastAsia" w:ascii="仿宋" w:hAnsi="仿宋" w:eastAsia="仿宋" w:cs="仿宋"/>
          <w:b/>
          <w:bCs w:val="0"/>
          <w:color w:val="auto"/>
          <w:sz w:val="32"/>
          <w:szCs w:val="32"/>
          <w:highlight w:val="none"/>
        </w:rPr>
      </w:pPr>
      <w:r>
        <w:rPr>
          <w:rFonts w:hint="eastAsia" w:ascii="仿宋" w:hAnsi="仿宋" w:eastAsia="仿宋" w:cs="仿宋"/>
          <w:b/>
          <w:bCs w:val="0"/>
          <w:color w:val="auto"/>
          <w:sz w:val="32"/>
          <w:szCs w:val="32"/>
          <w:highlight w:val="none"/>
        </w:rPr>
        <w:t>（一）主要职能。</w:t>
      </w:r>
    </w:p>
    <w:p>
      <w:pPr>
        <w:pStyle w:val="4"/>
        <w:numPr>
          <w:ilvl w:val="0"/>
          <w:numId w:val="0"/>
        </w:numPr>
        <w:ind w:firstLine="640" w:firstLineChars="200"/>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 xml:space="preserve">达州市大竹生态环境局的主要职能是为贯彻国家环境保护的方针、政策和法规，组织实施生态环境监督管理工作计划，承担落实全县污染物减排目标的责任。负责全县环境污染防治的监管工作，负责全县生态环境保护工作，负责调查处理重大环境污染事故和生态破坏事件，负责管理全县环境监察，负责对各类新扩改建项目进行环境影响评价和实施“三同时”管理制度，负责全县核与辐射污染防治的监督管理工作等。 </w:t>
      </w:r>
    </w:p>
    <w:p>
      <w:pPr>
        <w:pStyle w:val="2"/>
        <w:adjustRightInd w:val="0"/>
        <w:snapToGrid w:val="0"/>
        <w:spacing w:before="93" w:line="600" w:lineRule="exact"/>
        <w:ind w:firstLine="675" w:firstLineChars="210"/>
        <w:outlineLvl w:val="2"/>
        <w:rPr>
          <w:rFonts w:hint="eastAsia" w:ascii="仿宋" w:hAnsi="仿宋" w:eastAsia="仿宋" w:cs="仿宋"/>
          <w:b/>
          <w:bCs w:val="0"/>
          <w:color w:val="auto"/>
          <w:sz w:val="32"/>
          <w:szCs w:val="32"/>
          <w:highlight w:val="none"/>
        </w:rPr>
      </w:pPr>
      <w:bookmarkStart w:id="10" w:name="_Toc15378446"/>
      <w:bookmarkStart w:id="11" w:name="_Toc15377199"/>
      <w:r>
        <w:rPr>
          <w:rFonts w:hint="eastAsia" w:ascii="仿宋" w:hAnsi="仿宋" w:eastAsia="仿宋" w:cs="仿宋"/>
          <w:b/>
          <w:bCs w:val="0"/>
          <w:color w:val="auto"/>
          <w:sz w:val="32"/>
          <w:szCs w:val="32"/>
          <w:highlight w:val="none"/>
        </w:rPr>
        <w:t>（二）20</w:t>
      </w:r>
      <w:r>
        <w:rPr>
          <w:rFonts w:hint="eastAsia" w:ascii="仿宋" w:hAnsi="仿宋" w:eastAsia="仿宋" w:cs="仿宋"/>
          <w:b/>
          <w:bCs w:val="0"/>
          <w:color w:val="auto"/>
          <w:sz w:val="32"/>
          <w:szCs w:val="32"/>
          <w:highlight w:val="none"/>
          <w:lang w:val="en-US" w:eastAsia="zh-CN"/>
        </w:rPr>
        <w:t>23</w:t>
      </w:r>
      <w:r>
        <w:rPr>
          <w:rFonts w:hint="eastAsia" w:ascii="仿宋" w:hAnsi="仿宋" w:eastAsia="仿宋" w:cs="仿宋"/>
          <w:b/>
          <w:bCs w:val="0"/>
          <w:color w:val="auto"/>
          <w:sz w:val="32"/>
          <w:szCs w:val="32"/>
          <w:highlight w:val="none"/>
        </w:rPr>
        <w:t>年重点工作完成情况。</w:t>
      </w:r>
      <w:bookmarkEnd w:id="10"/>
      <w:bookmarkEnd w:id="11"/>
    </w:p>
    <w:bookmarkEnd w:id="9"/>
    <w:p>
      <w:pPr>
        <w:pStyle w:val="8"/>
        <w:keepNext w:val="0"/>
        <w:keepLines w:val="0"/>
        <w:pageBreakBefore w:val="0"/>
        <w:widowControl w:val="0"/>
        <w:kinsoku/>
        <w:wordWrap/>
        <w:overflowPunct/>
        <w:topLinePunct w:val="0"/>
        <w:autoSpaceDE/>
        <w:autoSpaceDN/>
        <w:bidi w:val="0"/>
        <w:adjustRightInd/>
        <w:snapToGrid/>
        <w:spacing w:after="0" w:line="578" w:lineRule="exact"/>
        <w:ind w:left="0" w:leftChars="0" w:firstLine="640" w:firstLineChars="200"/>
        <w:jc w:val="both"/>
        <w:textAlignment w:val="auto"/>
        <w:outlineLvl w:val="9"/>
        <w:rPr>
          <w:rFonts w:hint="default" w:ascii="Times New Roman" w:hAnsi="Times New Roman" w:eastAsia="仿宋" w:cs="Times New Roman"/>
          <w:b w:val="0"/>
          <w:bCs w:val="0"/>
          <w:color w:val="000000"/>
          <w:kern w:val="0"/>
          <w:sz w:val="32"/>
          <w:szCs w:val="32"/>
          <w:lang w:val="en-US" w:eastAsia="zh-CN" w:bidi="ar"/>
        </w:rPr>
      </w:pPr>
      <w:bookmarkStart w:id="12" w:name="_Toc15396601"/>
      <w:bookmarkStart w:id="13" w:name="_Toc15377200"/>
      <w:bookmarkStart w:id="14" w:name="二、机构设置"/>
      <w:r>
        <w:rPr>
          <w:rFonts w:hint="default" w:ascii="Times New Roman" w:hAnsi="Times New Roman" w:eastAsia="仿宋" w:cs="Times New Roman"/>
          <w:b w:val="0"/>
          <w:bCs w:val="0"/>
          <w:color w:val="000000"/>
          <w:kern w:val="0"/>
          <w:sz w:val="32"/>
          <w:szCs w:val="32"/>
          <w:lang w:val="en-US" w:eastAsia="zh-CN" w:bidi="ar"/>
        </w:rPr>
        <w:t>2023年，在县委、县政府的正确领导下，召开了大竹县第七、八次生态环境保护委员会和全县生态环境保护大会，有力有序开展生态环境保护“四·五”大会战，完善和提升环境治理能力。2023年全县环境空气质量优良天数为323天,优良比例为88.5%，PM</w:t>
      </w:r>
      <w:r>
        <w:rPr>
          <w:rFonts w:hint="default" w:ascii="Times New Roman" w:hAnsi="Times New Roman" w:eastAsia="仿宋" w:cs="Times New Roman"/>
          <w:b w:val="0"/>
          <w:bCs w:val="0"/>
          <w:color w:val="000000"/>
          <w:kern w:val="0"/>
          <w:sz w:val="32"/>
          <w:szCs w:val="32"/>
          <w:vertAlign w:val="subscript"/>
          <w:lang w:val="en-US" w:eastAsia="zh-CN" w:bidi="ar"/>
        </w:rPr>
        <w:t>2.5</w:t>
      </w:r>
      <w:r>
        <w:rPr>
          <w:rFonts w:hint="default" w:ascii="Times New Roman" w:hAnsi="Times New Roman" w:eastAsia="仿宋" w:cs="Times New Roman"/>
          <w:b w:val="0"/>
          <w:bCs w:val="0"/>
          <w:color w:val="000000"/>
          <w:kern w:val="0"/>
          <w:sz w:val="32"/>
          <w:szCs w:val="32"/>
          <w:lang w:val="en-US" w:eastAsia="zh-CN" w:bidi="ar"/>
        </w:rPr>
        <w:t>平均浓度为36.2ug/m</w:t>
      </w:r>
      <w:r>
        <w:rPr>
          <w:rFonts w:hint="default" w:ascii="Times New Roman" w:hAnsi="Times New Roman" w:eastAsia="仿宋" w:cs="Times New Roman"/>
          <w:b w:val="0"/>
          <w:bCs w:val="0"/>
          <w:color w:val="000000"/>
          <w:kern w:val="0"/>
          <w:sz w:val="32"/>
          <w:szCs w:val="32"/>
          <w:vertAlign w:val="superscript"/>
          <w:lang w:val="en-US" w:eastAsia="zh-CN" w:bidi="ar"/>
        </w:rPr>
        <w:t>3</w:t>
      </w:r>
      <w:r>
        <w:rPr>
          <w:rFonts w:hint="default" w:ascii="Times New Roman" w:hAnsi="Times New Roman" w:eastAsia="仿宋" w:cs="Times New Roman"/>
          <w:b w:val="0"/>
          <w:bCs w:val="0"/>
          <w:color w:val="000000"/>
          <w:kern w:val="0"/>
          <w:sz w:val="32"/>
          <w:szCs w:val="32"/>
          <w:lang w:val="en-US" w:eastAsia="zh-CN" w:bidi="ar"/>
        </w:rPr>
        <w:t>；空气质量综合指数在全省128个县（市）排名第110名、改善幅度排名第103名。全县35个城乡集中式饮用水源水质达标率100%，6个国省考断面水质均值达Ⅲ类，优良率100%。环境风险安全可控，未发生突发环境应急事件，森林覆盖率提升至42.1%，绿化覆盖率提升至44.38%，生态环境质量综合指数保持良好。</w:t>
      </w:r>
    </w:p>
    <w:p>
      <w:pPr>
        <w:pStyle w:val="8"/>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200"/>
        <w:jc w:val="both"/>
        <w:textAlignment w:val="auto"/>
        <w:outlineLvl w:val="9"/>
        <w:rPr>
          <w:rFonts w:hint="default" w:ascii="Times New Roman" w:hAnsi="Times New Roman" w:eastAsia="仿宋" w:cs="Times New Roman"/>
          <w:b w:val="0"/>
          <w:bCs w:val="0"/>
          <w:color w:val="000000"/>
          <w:kern w:val="0"/>
          <w:sz w:val="32"/>
          <w:szCs w:val="32"/>
          <w:lang w:val="en-US" w:eastAsia="zh-CN" w:bidi="ar"/>
        </w:rPr>
      </w:pPr>
      <w:r>
        <w:rPr>
          <w:rFonts w:hint="default" w:ascii="Times New Roman" w:hAnsi="Times New Roman" w:eastAsia="仿宋" w:cs="Times New Roman"/>
          <w:b w:val="0"/>
          <w:bCs w:val="0"/>
          <w:color w:val="000000"/>
          <w:kern w:val="0"/>
          <w:sz w:val="32"/>
          <w:szCs w:val="32"/>
          <w:lang w:val="en-US" w:eastAsia="zh-CN" w:bidi="ar"/>
        </w:rPr>
        <w:t>2023年，顺利通过第三轮第二批省级环保督察。铜钵河（平滩河段）入选四川省首批美丽河湖优秀案例，治理成效被《光明日报》第6版、《四川日报》头版刊登报道。正在与重庆市梁平区合作，力争2024年铜钵河创建为国家级美丽河湖。大气环境质量不断改善，达州市生态环境局通报的2022年度各县（市、区）总量减排核定结果中，我县氮氧化物重点工程累计减排量4225吨，挥发性有机物重点工程累计减排量177吨，均为全市第一。</w:t>
      </w:r>
    </w:p>
    <w:p>
      <w:pPr>
        <w:keepNext w:val="0"/>
        <w:keepLines w:val="0"/>
        <w:pageBreakBefore w:val="0"/>
        <w:kinsoku/>
        <w:wordWrap/>
        <w:overflowPunct/>
        <w:topLinePunct w:val="0"/>
        <w:autoSpaceDE/>
        <w:autoSpaceDN/>
        <w:bidi w:val="0"/>
        <w:adjustRightInd/>
        <w:snapToGrid/>
        <w:spacing w:beforeLines="0" w:afterLines="0" w:line="578" w:lineRule="exact"/>
        <w:ind w:firstLine="640" w:firstLineChars="200"/>
        <w:jc w:val="left"/>
        <w:rPr>
          <w:rFonts w:hint="default" w:ascii="Times New Roman" w:hAnsi="Times New Roman" w:eastAsia="仿宋" w:cs="Times New Roman"/>
          <w:b w:val="0"/>
          <w:bCs w:val="0"/>
          <w:color w:val="000000"/>
          <w:kern w:val="0"/>
          <w:sz w:val="32"/>
          <w:szCs w:val="32"/>
          <w:lang w:val="en-US" w:eastAsia="zh-CN" w:bidi="ar"/>
        </w:rPr>
      </w:pPr>
      <w:r>
        <w:rPr>
          <w:rFonts w:hint="eastAsia" w:ascii="方正楷体_GB2312" w:hAnsi="方正楷体_GB2312" w:eastAsia="方正楷体_GB2312" w:cs="方正楷体_GB2312"/>
          <w:b w:val="0"/>
          <w:bCs w:val="0"/>
          <w:color w:val="000000"/>
          <w:kern w:val="0"/>
          <w:sz w:val="32"/>
          <w:szCs w:val="32"/>
          <w:lang w:val="en-US" w:eastAsia="zh-CN" w:bidi="ar"/>
        </w:rPr>
        <w:t>（一）深入打好污染防治攻坚战。</w:t>
      </w:r>
      <w:r>
        <w:rPr>
          <w:rFonts w:hint="default" w:ascii="Times New Roman" w:hAnsi="Times New Roman" w:eastAsia="仿宋" w:cs="Times New Roman"/>
          <w:b/>
          <w:bCs/>
          <w:color w:val="000000"/>
          <w:kern w:val="0"/>
          <w:sz w:val="32"/>
          <w:szCs w:val="32"/>
          <w:lang w:val="en-US" w:eastAsia="zh-CN" w:bidi="ar"/>
        </w:rPr>
        <w:t>一是打好蓝天保卫战。</w:t>
      </w:r>
      <w:r>
        <w:rPr>
          <w:rFonts w:hint="default" w:ascii="Times New Roman" w:hAnsi="Times New Roman" w:eastAsia="仿宋" w:cs="Times New Roman"/>
          <w:b w:val="0"/>
          <w:bCs w:val="0"/>
          <w:color w:val="000000"/>
          <w:kern w:val="0"/>
          <w:sz w:val="32"/>
          <w:szCs w:val="32"/>
          <w:lang w:val="en-US" w:eastAsia="zh-CN" w:bidi="ar"/>
        </w:rPr>
        <w:t>抓好工业企业、建筑扬尘、道路扬尘、秸秆禁烧、餐饮油烟、臭氧防控、挥发性有机物治理等大气污染防治工作，制定出台了《大竹县大气污染防治预警应急指挥调度规程（修订稿）》。强化冬春季大气污染防治，推动烟花爆竹禁燃禁放，规范腌腊制品熏制行为。强化夏季臭氧污染防治攻坚，今年未出现臭氧污染天。帮扶指导涉气重点企业，指导达州海螺水泥成功创建重污染天气绩效评级A级企业、利森水泥成功创建重污染天气绩效评级B级企业（均为达州唯一）。联合相关部门开展重型柴油货车和非道路移动机械尾气抽检，强化辐射安全监管。</w:t>
      </w:r>
      <w:r>
        <w:rPr>
          <w:rFonts w:hint="default" w:ascii="Times New Roman" w:hAnsi="Times New Roman" w:eastAsia="仿宋" w:cs="Times New Roman"/>
          <w:b/>
          <w:bCs/>
          <w:color w:val="000000"/>
          <w:kern w:val="0"/>
          <w:sz w:val="32"/>
          <w:szCs w:val="32"/>
          <w:lang w:val="en-US" w:eastAsia="zh-CN" w:bidi="ar"/>
        </w:rPr>
        <w:t>二是打好碧水保卫战。</w:t>
      </w:r>
      <w:r>
        <w:rPr>
          <w:rFonts w:hint="default" w:ascii="Times New Roman" w:hAnsi="Times New Roman" w:eastAsia="仿宋" w:cs="Times New Roman"/>
          <w:b w:val="0"/>
          <w:bCs w:val="0"/>
          <w:color w:val="000000"/>
          <w:kern w:val="0"/>
          <w:sz w:val="32"/>
          <w:szCs w:val="32"/>
          <w:lang w:val="en-US" w:eastAsia="zh-CN" w:bidi="ar"/>
        </w:rPr>
        <w:t>加强水质调度，召开梁竹联席水环境质量调研，每月定期发布3座水库、11条主要河流水环境质量。做好河长制工作，坚持常态巡河、联防联控、靶向治理。抓好农村生活污水治理，持续推进农村生活污水治理及千村示范项目建设。强化饮用水水源地保护，在“千吨万人”饮用水源地保护区建设水质在线检测系统9套，视频监控系统30套，实现智能化监管。积极开展项目入库工作，今年新包装、修改6个项目进入中央库，总投资2亿元，拟向上争取资金1.3亿元。做好生态县创建、生物多样性保护、入河排污口排查溯源监测相关工作。</w:t>
      </w:r>
      <w:r>
        <w:rPr>
          <w:rFonts w:hint="default" w:ascii="Times New Roman" w:hAnsi="Times New Roman" w:eastAsia="仿宋" w:cs="Times New Roman"/>
          <w:b/>
          <w:bCs/>
          <w:color w:val="000000"/>
          <w:kern w:val="0"/>
          <w:sz w:val="32"/>
          <w:szCs w:val="32"/>
          <w:lang w:val="en-US" w:eastAsia="zh-CN" w:bidi="ar"/>
        </w:rPr>
        <w:t>三是打好净土保卫战。</w:t>
      </w:r>
      <w:r>
        <w:rPr>
          <w:rFonts w:hint="default" w:ascii="Times New Roman" w:hAnsi="Times New Roman" w:eastAsia="仿宋" w:cs="Times New Roman"/>
          <w:b w:val="0"/>
          <w:bCs w:val="0"/>
          <w:color w:val="000000"/>
          <w:kern w:val="0"/>
          <w:sz w:val="32"/>
          <w:szCs w:val="32"/>
          <w:lang w:val="en-US" w:eastAsia="zh-CN" w:bidi="ar"/>
        </w:rPr>
        <w:t>配合完成我县42个点位风险等级划分，开展农用地土壤镉等重金属污染源头排查整治，对涉及我县的38个重点排查区域进行排查。督促污染地块业主启动了污染地块土壤污染风险管控，完成10个“一住两公”（住宅、公共管理与公共服务用地）地块用途核实，督促周家区域养老服务中心地块完成了土壤污染状况调查。对全县26个非煤矿山开展生态环境工作现场规范指导。开展危险废物申报登记，召开大竹县危险废物全过程物联网建设工作推进会，我县1家重点产废单位和11家简化管理单位完成物联网建设工作。开展化学物质环境信息统计调查工作。完成2023年度危险废物规范化管理评估考核工作，我县抽查考评的15家危险废物产生单位均达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 w:cs="Times New Roman"/>
          <w:b w:val="0"/>
          <w:bCs w:val="0"/>
          <w:color w:val="000000"/>
          <w:kern w:val="0"/>
          <w:sz w:val="32"/>
          <w:szCs w:val="32"/>
          <w:lang w:val="en-US" w:eastAsia="zh-CN" w:bidi="ar"/>
        </w:rPr>
      </w:pPr>
      <w:r>
        <w:rPr>
          <w:rFonts w:hint="eastAsia" w:ascii="方正楷体_GB2312" w:hAnsi="方正楷体_GB2312" w:eastAsia="方正楷体_GB2312" w:cs="方正楷体_GB2312"/>
          <w:b w:val="0"/>
          <w:bCs w:val="0"/>
          <w:color w:val="000000"/>
          <w:kern w:val="0"/>
          <w:sz w:val="32"/>
          <w:szCs w:val="32"/>
          <w:lang w:val="en-US" w:eastAsia="zh-CN" w:bidi="ar"/>
        </w:rPr>
        <w:t>（二）严格生态环境保护监管。</w:t>
      </w:r>
      <w:r>
        <w:rPr>
          <w:rFonts w:hint="default" w:ascii="Times New Roman" w:hAnsi="Times New Roman" w:eastAsia="仿宋" w:cs="Times New Roman"/>
          <w:b w:val="0"/>
          <w:bCs w:val="0"/>
          <w:color w:val="000000"/>
          <w:kern w:val="0"/>
          <w:sz w:val="32"/>
          <w:szCs w:val="32"/>
          <w:lang w:val="en-US" w:eastAsia="zh-CN" w:bidi="ar"/>
        </w:rPr>
        <w:t>坚持统筹保护环境和发展经济两不误两促进，倒逼高质量可持续发展。</w:t>
      </w:r>
      <w:r>
        <w:rPr>
          <w:rFonts w:hint="default" w:ascii="Times New Roman" w:hAnsi="Times New Roman" w:eastAsia="仿宋" w:cs="Times New Roman"/>
          <w:b/>
          <w:bCs/>
          <w:color w:val="000000"/>
          <w:kern w:val="0"/>
          <w:sz w:val="32"/>
          <w:szCs w:val="32"/>
          <w:lang w:val="en-US" w:eastAsia="zh-CN" w:bidi="ar"/>
        </w:rPr>
        <w:t>一是严格环评准入。</w:t>
      </w:r>
      <w:r>
        <w:rPr>
          <w:rFonts w:hint="default" w:ascii="Times New Roman" w:hAnsi="Times New Roman" w:eastAsia="仿宋" w:cs="Times New Roman"/>
          <w:b w:val="0"/>
          <w:bCs w:val="0"/>
          <w:color w:val="000000"/>
          <w:kern w:val="0"/>
          <w:sz w:val="32"/>
          <w:szCs w:val="32"/>
          <w:lang w:val="en-US" w:eastAsia="zh-CN" w:bidi="ar"/>
        </w:rPr>
        <w:t>大力深化“放管服”和“一次办好”改革，全年报告表审批23件，涉及总投资额13.93亿元，审批时限由9个工作日压缩到6个工作日。新办排污许可证5家，现有持证单位127家，排污登记新增44家，市局下发的排污许可前期“双百任务”已全部完成。推进达州市“三线一单”分区管控更新，协助指导大竹经开区规划环评修编，积极配合招商引资，助力县域经济发展。</w:t>
      </w:r>
      <w:r>
        <w:rPr>
          <w:rFonts w:hint="default" w:ascii="Times New Roman" w:hAnsi="Times New Roman" w:eastAsia="仿宋" w:cs="Times New Roman"/>
          <w:b/>
          <w:bCs/>
          <w:color w:val="000000"/>
          <w:kern w:val="0"/>
          <w:sz w:val="32"/>
          <w:szCs w:val="32"/>
          <w:lang w:val="en-US" w:eastAsia="zh-CN" w:bidi="ar"/>
        </w:rPr>
        <w:t>二是强化环境执法。</w:t>
      </w:r>
      <w:r>
        <w:rPr>
          <w:rFonts w:hint="default" w:ascii="Times New Roman" w:hAnsi="Times New Roman" w:eastAsia="仿宋" w:cs="Times New Roman"/>
          <w:b w:val="0"/>
          <w:bCs w:val="0"/>
          <w:color w:val="000000"/>
          <w:kern w:val="0"/>
          <w:sz w:val="32"/>
          <w:szCs w:val="32"/>
          <w:lang w:val="en-US" w:eastAsia="zh-CN" w:bidi="ar"/>
        </w:rPr>
        <w:t>1-12月，行政处罚案件共立案31件，下达处罚决定书25件，处罚款153.74万元。通过移动执法系统按期完成“双随机”任务113件，自发任务137件，指派任务1件。完成47家企业的应急预案备案工作。受理信访投诉156件，目前已全部办结。</w:t>
      </w:r>
      <w:r>
        <w:rPr>
          <w:rFonts w:hint="default" w:ascii="Times New Roman" w:hAnsi="Times New Roman" w:eastAsia="仿宋" w:cs="Times New Roman"/>
          <w:b/>
          <w:bCs/>
          <w:color w:val="000000"/>
          <w:kern w:val="0"/>
          <w:sz w:val="32"/>
          <w:szCs w:val="32"/>
          <w:lang w:val="en-US" w:eastAsia="zh-CN" w:bidi="ar"/>
        </w:rPr>
        <w:t>三是精准环境监测。</w:t>
      </w:r>
      <w:r>
        <w:rPr>
          <w:rFonts w:hint="default" w:ascii="Times New Roman" w:hAnsi="Times New Roman" w:eastAsia="仿宋" w:cs="Times New Roman"/>
          <w:b w:val="0"/>
          <w:bCs w:val="0"/>
          <w:color w:val="000000"/>
          <w:kern w:val="0"/>
          <w:sz w:val="32"/>
          <w:szCs w:val="32"/>
          <w:lang w:val="en-US" w:eastAsia="zh-CN" w:bidi="ar"/>
        </w:rPr>
        <w:t>完成全县环境质量常规监测并发布环境质量信息，开展水质应急加密监测400余次、监督性监测190次、执法“测管协同”监测23次。构建了较完善的环境监测网络，为环境决策提供参考，助力科学治污、精准治污。</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 w:cs="Times New Roman"/>
          <w:b w:val="0"/>
          <w:bCs w:val="0"/>
          <w:color w:val="000000"/>
          <w:kern w:val="0"/>
          <w:sz w:val="32"/>
          <w:szCs w:val="32"/>
          <w:lang w:val="en-US" w:eastAsia="zh-CN" w:bidi="ar"/>
        </w:rPr>
      </w:pPr>
      <w:r>
        <w:rPr>
          <w:rFonts w:hint="eastAsia" w:ascii="方正楷体_GB2312" w:hAnsi="方正楷体_GB2312" w:eastAsia="方正楷体_GB2312" w:cs="方正楷体_GB2312"/>
          <w:b w:val="0"/>
          <w:bCs w:val="0"/>
          <w:color w:val="000000"/>
          <w:kern w:val="0"/>
          <w:sz w:val="32"/>
          <w:szCs w:val="32"/>
          <w:lang w:val="en-US" w:eastAsia="zh-CN" w:bidi="ar"/>
        </w:rPr>
        <w:t>（三）强力推进环境问题整改。</w:t>
      </w:r>
      <w:r>
        <w:rPr>
          <w:rFonts w:hint="default" w:ascii="Times New Roman" w:hAnsi="Times New Roman" w:eastAsia="仿宋" w:cs="Times New Roman"/>
          <w:b w:val="0"/>
          <w:bCs w:val="0"/>
          <w:color w:val="000000"/>
          <w:kern w:val="0"/>
          <w:sz w:val="32"/>
          <w:szCs w:val="32"/>
          <w:lang w:val="en-US" w:eastAsia="zh-CN" w:bidi="ar"/>
        </w:rPr>
        <w:t>坚持大竹县生态环境突出问题双月调度制度。目前，大竹县还在整改中的任务有：2021年四川省贯彻落实第二轮中央生态环境保护督察报告实施方案中，大竹县涉及8项共性问题，已完成7项、剩余1项正在整改中；顺利迎接第三轮第二批省级生态环境保护督察，督察组向我县交办信访案件12件(其中主办件6件，协办件6件)。目前，已办结12件，立案处罚1家，无追责问责。</w:t>
      </w:r>
    </w:p>
    <w:p>
      <w:pPr>
        <w:keepNext w:val="0"/>
        <w:keepLines w:val="0"/>
        <w:pageBreakBefore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 w:cs="Times New Roman"/>
          <w:b w:val="0"/>
          <w:bCs w:val="0"/>
          <w:color w:val="000000"/>
          <w:kern w:val="0"/>
          <w:sz w:val="32"/>
          <w:szCs w:val="32"/>
          <w:lang w:val="en-US" w:eastAsia="zh-CN" w:bidi="ar"/>
        </w:rPr>
      </w:pPr>
      <w:r>
        <w:rPr>
          <w:rFonts w:hint="eastAsia" w:ascii="方正楷体_GB2312" w:hAnsi="方正楷体_GB2312" w:eastAsia="方正楷体_GB2312" w:cs="方正楷体_GB2312"/>
          <w:b w:val="0"/>
          <w:bCs w:val="0"/>
          <w:color w:val="000000"/>
          <w:kern w:val="0"/>
          <w:sz w:val="32"/>
          <w:szCs w:val="32"/>
          <w:lang w:val="en-US" w:eastAsia="zh-CN" w:bidi="ar"/>
        </w:rPr>
        <w:t>（四）持续推进项目建设。</w:t>
      </w:r>
      <w:r>
        <w:rPr>
          <w:rFonts w:hint="default" w:ascii="Times New Roman" w:hAnsi="Times New Roman" w:eastAsia="仿宋" w:cs="Times New Roman"/>
          <w:b w:val="0"/>
          <w:bCs w:val="0"/>
          <w:color w:val="000000"/>
          <w:kern w:val="0"/>
          <w:sz w:val="32"/>
          <w:szCs w:val="32"/>
          <w:lang w:val="en-US" w:eastAsia="zh-CN" w:bidi="ar"/>
        </w:rPr>
        <w:t>一是达州市东柳河生态修复一期项目，项目概算总投资7110万元，现已完成整个项目工程量约76%。二是2023年大竹县农村生活污水治理“千村示范”工程，项目总投资649万元，现已完成建设。三是大竹县铜钵河及东柳河流域水环境监管能力建设项目，是川渝联防联治项目之一，项目总投资约3500万元，现已完成整个项目工程量约70%。</w:t>
      </w:r>
    </w:p>
    <w:p>
      <w:pPr>
        <w:pStyle w:val="4"/>
        <w:ind w:firstLine="640" w:firstLineChars="200"/>
        <w:rPr>
          <w:rStyle w:val="31"/>
          <w:b w:val="0"/>
          <w:bCs w:val="0"/>
          <w:color w:val="auto"/>
          <w:highlight w:val="none"/>
        </w:rPr>
      </w:pPr>
      <w:r>
        <w:rPr>
          <w:rFonts w:hint="eastAsia" w:ascii="黑体" w:eastAsia="黑体"/>
          <w:b w:val="0"/>
          <w:color w:val="auto"/>
          <w:highlight w:val="none"/>
        </w:rPr>
        <w:t>二、</w:t>
      </w:r>
      <w:r>
        <w:rPr>
          <w:rFonts w:hint="eastAsia" w:ascii="黑体" w:hAnsi="黑体" w:eastAsia="黑体"/>
          <w:b w:val="0"/>
          <w:color w:val="auto"/>
          <w:highlight w:val="none"/>
        </w:rPr>
        <w:t>机</w:t>
      </w:r>
      <w:r>
        <w:rPr>
          <w:rStyle w:val="31"/>
          <w:rFonts w:hint="eastAsia" w:ascii="黑体" w:hAnsi="黑体" w:eastAsia="黑体"/>
          <w:b w:val="0"/>
          <w:bCs w:val="0"/>
          <w:color w:val="auto"/>
          <w:highlight w:val="none"/>
        </w:rPr>
        <w:t>构设置</w:t>
      </w:r>
      <w:bookmarkEnd w:id="12"/>
      <w:bookmarkEnd w:id="13"/>
    </w:p>
    <w:bookmarkEnd w:id="14"/>
    <w:p>
      <w:pPr>
        <w:widowControl/>
        <w:ind w:firstLine="640" w:firstLineChars="200"/>
        <w:jc w:val="left"/>
        <w:rPr>
          <w:rFonts w:hint="eastAsia" w:ascii="仿宋" w:hAnsi="仿宋" w:eastAsia="仿宋" w:cs="仿宋"/>
          <w:b w:val="0"/>
          <w:bCs w:val="0"/>
          <w:color w:val="000000"/>
          <w:kern w:val="0"/>
          <w:sz w:val="32"/>
          <w:szCs w:val="32"/>
          <w:lang w:val="zh-CN" w:eastAsia="zh-CN" w:bidi="ar"/>
        </w:rPr>
      </w:pPr>
      <w:r>
        <w:rPr>
          <w:rFonts w:hint="eastAsia" w:ascii="仿宋" w:hAnsi="仿宋" w:eastAsia="仿宋" w:cs="仿宋"/>
          <w:b w:val="0"/>
          <w:bCs w:val="0"/>
          <w:color w:val="000000"/>
          <w:kern w:val="0"/>
          <w:sz w:val="32"/>
          <w:szCs w:val="32"/>
          <w:lang w:val="zh-CN" w:eastAsia="zh-CN" w:bidi="ar"/>
        </w:rPr>
        <w:t>达州市大竹生态环境局属一级预算单位，财政全额拨款。内设办公室、监督检查股（</w:t>
      </w:r>
      <w:r>
        <w:rPr>
          <w:rFonts w:hint="eastAsia" w:ascii="仿宋" w:hAnsi="仿宋" w:eastAsia="仿宋" w:cs="仿宋"/>
          <w:b w:val="0"/>
          <w:bCs w:val="0"/>
          <w:color w:val="000000"/>
          <w:kern w:val="0"/>
          <w:sz w:val="32"/>
          <w:szCs w:val="32"/>
          <w:lang w:val="en-US" w:eastAsia="zh-CN" w:bidi="ar"/>
        </w:rPr>
        <w:t>含</w:t>
      </w:r>
      <w:r>
        <w:rPr>
          <w:rFonts w:hint="eastAsia" w:ascii="仿宋" w:hAnsi="仿宋" w:eastAsia="仿宋" w:cs="仿宋"/>
          <w:b w:val="0"/>
          <w:bCs w:val="0"/>
          <w:color w:val="000000"/>
          <w:kern w:val="0"/>
          <w:sz w:val="32"/>
          <w:szCs w:val="32"/>
          <w:lang w:val="zh-CN" w:eastAsia="zh-CN" w:bidi="ar"/>
        </w:rPr>
        <w:t>达州市大竹生态环境保护综合执法大队）、大气环境与核辐射监管股、水环境管理与生态保护股、土壤环境管理与生态监测股、</w:t>
      </w:r>
      <w:r>
        <w:rPr>
          <w:rFonts w:hint="eastAsia" w:ascii="仿宋" w:hAnsi="仿宋" w:eastAsia="仿宋" w:cs="仿宋"/>
          <w:b w:val="0"/>
          <w:bCs w:val="0"/>
          <w:color w:val="000000"/>
          <w:kern w:val="0"/>
          <w:sz w:val="32"/>
          <w:szCs w:val="32"/>
          <w:lang w:val="en-US" w:eastAsia="zh-CN" w:bidi="ar"/>
        </w:rPr>
        <w:t>行政审批股；下属事业单位</w:t>
      </w:r>
      <w:r>
        <w:rPr>
          <w:rFonts w:hint="eastAsia" w:ascii="仿宋" w:hAnsi="仿宋" w:eastAsia="仿宋" w:cs="仿宋"/>
          <w:b w:val="0"/>
          <w:bCs w:val="0"/>
          <w:color w:val="000000"/>
          <w:kern w:val="0"/>
          <w:sz w:val="32"/>
          <w:szCs w:val="32"/>
          <w:lang w:val="zh-CN" w:eastAsia="zh-CN" w:bidi="ar"/>
        </w:rPr>
        <w:t>达州市大竹生态环境监测站。</w:t>
      </w:r>
    </w:p>
    <w:p>
      <w:pPr>
        <w:rPr>
          <w:rFonts w:hint="eastAsia"/>
          <w:lang w:val="zh-CN" w:eastAsia="zh-CN"/>
        </w:rPr>
      </w:pPr>
      <w:r>
        <w:rPr>
          <w:rFonts w:hint="eastAsia" w:ascii="仿宋" w:hAnsi="仿宋" w:eastAsia="仿宋" w:cs="仿宋"/>
          <w:b w:val="0"/>
          <w:bCs w:val="0"/>
          <w:color w:val="000000"/>
          <w:kern w:val="0"/>
          <w:sz w:val="32"/>
          <w:szCs w:val="32"/>
          <w:lang w:val="zh-CN" w:eastAsia="zh-CN" w:bidi="ar"/>
        </w:rPr>
        <w:br w:type="page"/>
      </w:r>
    </w:p>
    <w:p>
      <w:pPr>
        <w:pStyle w:val="3"/>
        <w:jc w:val="center"/>
        <w:rPr>
          <w:rFonts w:hint="eastAsia" w:ascii="黑体" w:hAnsi="黑体" w:eastAsia="黑体"/>
          <w:b w:val="0"/>
          <w:color w:val="auto"/>
          <w:highlight w:val="none"/>
        </w:rPr>
      </w:pPr>
      <w:bookmarkStart w:id="15" w:name="_Toc15396602"/>
      <w:bookmarkStart w:id="16" w:name="第二部分2021年度单位决算情况说明"/>
      <w:bookmarkStart w:id="17" w:name="_第二部分 2021年度单位决算情况说明"/>
      <w:r>
        <w:rPr>
          <w:rFonts w:hint="eastAsia" w:ascii="黑体" w:hAnsi="黑体" w:eastAsia="黑体"/>
          <w:b w:val="0"/>
          <w:color w:val="auto"/>
          <w:highlight w:val="none"/>
        </w:rPr>
        <w:t xml:space="preserve">第二部分 </w:t>
      </w:r>
      <w:r>
        <w:rPr>
          <w:rFonts w:hint="eastAsia" w:ascii="黑体" w:hAnsi="黑体" w:eastAsia="黑体"/>
          <w:b w:val="0"/>
          <w:color w:val="auto"/>
          <w:highlight w:val="none"/>
          <w:lang w:val="en-US" w:eastAsia="zh-CN"/>
        </w:rPr>
        <w:t>2023年度部门</w:t>
      </w:r>
      <w:r>
        <w:rPr>
          <w:rFonts w:hint="eastAsia" w:ascii="黑体" w:hAnsi="黑体" w:eastAsia="黑体"/>
          <w:b w:val="0"/>
          <w:color w:val="auto"/>
          <w:highlight w:val="none"/>
        </w:rPr>
        <w:t>决算情况说明</w:t>
      </w:r>
      <w:bookmarkEnd w:id="15"/>
    </w:p>
    <w:bookmarkEnd w:id="16"/>
    <w:p>
      <w:pPr>
        <w:rPr>
          <w:rFonts w:hint="eastAsia"/>
        </w:rPr>
      </w:pPr>
    </w:p>
    <w:bookmarkEnd w:id="17"/>
    <w:p>
      <w:pPr>
        <w:pStyle w:val="29"/>
        <w:numPr>
          <w:ilvl w:val="0"/>
          <w:numId w:val="1"/>
        </w:numPr>
        <w:spacing w:line="600" w:lineRule="exact"/>
        <w:ind w:left="1350" w:leftChars="0" w:firstLineChars="0"/>
        <w:outlineLvl w:val="1"/>
        <w:rPr>
          <w:rStyle w:val="31"/>
          <w:rFonts w:ascii="黑体" w:hAnsi="黑体" w:eastAsia="黑体"/>
          <w:b w:val="0"/>
          <w:color w:val="auto"/>
          <w:highlight w:val="none"/>
        </w:rPr>
      </w:pPr>
      <w:bookmarkStart w:id="18" w:name="_Toc15396603"/>
      <w:bookmarkStart w:id="19" w:name="一、收入支出决算总体情况说明"/>
      <w:r>
        <w:rPr>
          <w:rFonts w:hint="eastAsia" w:ascii="黑体" w:hAnsi="黑体" w:eastAsia="黑体"/>
          <w:color w:val="auto"/>
          <w:sz w:val="32"/>
          <w:szCs w:val="32"/>
          <w:highlight w:val="none"/>
        </w:rPr>
        <w:t>收</w:t>
      </w:r>
      <w:r>
        <w:rPr>
          <w:rStyle w:val="31"/>
          <w:rFonts w:hint="eastAsia" w:ascii="黑体" w:hAnsi="黑体" w:eastAsia="黑体"/>
          <w:b w:val="0"/>
          <w:color w:val="auto"/>
          <w:highlight w:val="none"/>
        </w:rPr>
        <w:t>入支出决算总体情况说明</w:t>
      </w:r>
      <w:bookmarkEnd w:id="18"/>
    </w:p>
    <w:bookmarkEnd w:id="19"/>
    <w:p>
      <w:pPr>
        <w:spacing w:line="600" w:lineRule="exact"/>
        <w:ind w:firstLine="640" w:firstLineChars="20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年度收、支总计</w:t>
      </w:r>
      <w:r>
        <w:rPr>
          <w:rFonts w:hint="eastAsia" w:ascii="仿宋" w:hAnsi="仿宋" w:eastAsia="仿宋"/>
          <w:color w:val="auto"/>
          <w:sz w:val="32"/>
          <w:szCs w:val="32"/>
          <w:highlight w:val="none"/>
          <w:lang w:eastAsia="zh-CN"/>
        </w:rPr>
        <w:t>均为</w:t>
      </w:r>
      <w:r>
        <w:rPr>
          <w:rFonts w:hint="eastAsia" w:ascii="仿宋" w:hAnsi="仿宋" w:eastAsia="仿宋"/>
          <w:color w:val="auto"/>
          <w:sz w:val="32"/>
          <w:szCs w:val="32"/>
          <w:highlight w:val="none"/>
          <w:lang w:val="en-US" w:eastAsia="zh-CN"/>
        </w:rPr>
        <w:t>9390.54</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不含年初结转和结余）</w:t>
      </w:r>
      <w:r>
        <w:rPr>
          <w:rFonts w:hint="eastAsia" w:ascii="仿宋" w:hAnsi="仿宋" w:eastAsia="仿宋"/>
          <w:color w:val="auto"/>
          <w:sz w:val="32"/>
          <w:szCs w:val="32"/>
          <w:highlight w:val="none"/>
        </w:rPr>
        <w:t>。与</w:t>
      </w:r>
      <w:r>
        <w:rPr>
          <w:rFonts w:hint="eastAsia" w:ascii="仿宋" w:hAnsi="仿宋" w:eastAsia="仿宋"/>
          <w:color w:val="auto"/>
          <w:sz w:val="32"/>
          <w:szCs w:val="32"/>
          <w:highlight w:val="none"/>
          <w:lang w:eastAsia="zh-CN"/>
        </w:rPr>
        <w:t>2022</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相比，收、支总计各增加</w:t>
      </w:r>
      <w:r>
        <w:rPr>
          <w:rFonts w:hint="eastAsia" w:ascii="仿宋" w:hAnsi="仿宋" w:eastAsia="仿宋"/>
          <w:color w:val="auto"/>
          <w:sz w:val="32"/>
          <w:szCs w:val="32"/>
          <w:highlight w:val="none"/>
          <w:lang w:val="en-US" w:eastAsia="zh-CN"/>
        </w:rPr>
        <w:t>5582.18</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146.58</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按照达州市财政局要求，自2023年起，非同级财政拨款收入支出纳入2023年决算</w:t>
      </w:r>
      <w:r>
        <w:rPr>
          <w:rFonts w:hint="eastAsia" w:ascii="仿宋" w:hAnsi="仿宋" w:eastAsia="仿宋"/>
          <w:color w:val="auto"/>
          <w:sz w:val="32"/>
          <w:szCs w:val="32"/>
          <w:highlight w:val="none"/>
          <w:lang w:eastAsia="zh-CN"/>
        </w:rPr>
        <w:t>。</w:t>
      </w:r>
    </w:p>
    <w:p>
      <w:pPr>
        <w:keepNext w:val="0"/>
        <w:keepLines w:val="0"/>
        <w:widowControl/>
        <w:suppressLineNumbers w:val="0"/>
        <w:jc w:val="left"/>
      </w:pPr>
      <w:r>
        <w:drawing>
          <wp:inline distT="0" distB="0" distL="114300" distR="114300">
            <wp:extent cx="5271135" cy="2683510"/>
            <wp:effectExtent l="0" t="0" r="5715" b="2540"/>
            <wp:docPr id="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29"/>
        <w:numPr>
          <w:ilvl w:val="0"/>
          <w:numId w:val="1"/>
        </w:numPr>
        <w:spacing w:line="600" w:lineRule="exact"/>
        <w:ind w:left="1350" w:leftChars="0" w:firstLineChars="0"/>
        <w:outlineLvl w:val="1"/>
        <w:rPr>
          <w:rStyle w:val="31"/>
          <w:rFonts w:ascii="黑体" w:hAnsi="黑体" w:eastAsia="黑体"/>
          <w:b w:val="0"/>
          <w:color w:val="auto"/>
          <w:highlight w:val="none"/>
        </w:rPr>
      </w:pPr>
      <w:bookmarkStart w:id="20" w:name="_Toc15396604"/>
      <w:bookmarkStart w:id="21" w:name="二、收入决算情况说明"/>
      <w:r>
        <w:rPr>
          <w:rFonts w:hint="eastAsia" w:ascii="黑体" w:hAnsi="黑体" w:eastAsia="黑体"/>
          <w:color w:val="auto"/>
          <w:sz w:val="32"/>
          <w:szCs w:val="32"/>
          <w:highlight w:val="none"/>
        </w:rPr>
        <w:t>收</w:t>
      </w:r>
      <w:r>
        <w:rPr>
          <w:rStyle w:val="31"/>
          <w:rFonts w:hint="eastAsia" w:ascii="黑体" w:hAnsi="黑体" w:eastAsia="黑体"/>
          <w:b w:val="0"/>
          <w:color w:val="auto"/>
          <w:highlight w:val="none"/>
        </w:rPr>
        <w:t>入决算情况说明</w:t>
      </w:r>
      <w:bookmarkEnd w:id="20"/>
    </w:p>
    <w:bookmarkEnd w:id="21"/>
    <w:p>
      <w:pPr>
        <w:keepNext w:val="0"/>
        <w:keepLines w:val="0"/>
        <w:pageBreakBefore w:val="0"/>
        <w:widowControl w:val="0"/>
        <w:kinsoku/>
        <w:wordWrap/>
        <w:overflowPunct/>
        <w:topLinePunct w:val="0"/>
        <w:autoSpaceDE/>
        <w:autoSpaceDN/>
        <w:bidi w:val="0"/>
        <w:adjustRightInd/>
        <w:snapToGrid/>
        <w:spacing w:before="157" w:beforeLines="50" w:line="600" w:lineRule="exact"/>
        <w:ind w:firstLine="640" w:firstLineChars="200"/>
        <w:textAlignment w:val="auto"/>
        <w:outlineLvl w:val="1"/>
        <w:rPr>
          <w:rFonts w:hint="default"/>
          <w:lang w:val="en-US"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年本年收入合计</w:t>
      </w:r>
      <w:r>
        <w:rPr>
          <w:rFonts w:hint="eastAsia" w:ascii="仿宋" w:hAnsi="仿宋" w:eastAsia="仿宋"/>
          <w:color w:val="auto"/>
          <w:sz w:val="32"/>
          <w:szCs w:val="32"/>
          <w:highlight w:val="none"/>
          <w:lang w:val="en-US" w:eastAsia="zh-CN"/>
        </w:rPr>
        <w:t>9390.54</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850.40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9.06%</w:t>
      </w:r>
      <w:r>
        <w:rPr>
          <w:rFonts w:hint="eastAsia" w:ascii="仿宋" w:hAnsi="仿宋" w:eastAsia="仿宋"/>
          <w:color w:val="auto"/>
          <w:sz w:val="32"/>
          <w:szCs w:val="32"/>
          <w:highlight w:val="none"/>
        </w:rPr>
        <w:t>；政府性基金预算财政拨款收入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国有资本经营预算财政拨款收入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；上级补助收入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；事业收入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；经营收入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；附属单位上缴收入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；其他收入</w:t>
      </w:r>
      <w:r>
        <w:rPr>
          <w:rFonts w:hint="eastAsia" w:ascii="仿宋" w:hAnsi="仿宋" w:eastAsia="仿宋"/>
          <w:color w:val="auto"/>
          <w:sz w:val="32"/>
          <w:szCs w:val="32"/>
          <w:highlight w:val="none"/>
          <w:lang w:val="en-US" w:eastAsia="zh-CN"/>
        </w:rPr>
        <w:t>8540.14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90.94</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p>
    <w:p>
      <w:pPr>
        <w:keepNext w:val="0"/>
        <w:keepLines w:val="0"/>
        <w:widowControl/>
        <w:suppressLineNumbers w:val="0"/>
        <w:jc w:val="center"/>
      </w:pPr>
      <w:r>
        <w:drawing>
          <wp:inline distT="0" distB="0" distL="114300" distR="114300">
            <wp:extent cx="5196205" cy="3328670"/>
            <wp:effectExtent l="0" t="0" r="4445" b="5080"/>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29"/>
        <w:numPr>
          <w:ilvl w:val="0"/>
          <w:numId w:val="1"/>
        </w:numPr>
        <w:spacing w:line="600" w:lineRule="exact"/>
        <w:ind w:left="1350" w:leftChars="0" w:firstLineChars="0"/>
        <w:outlineLvl w:val="1"/>
        <w:rPr>
          <w:rStyle w:val="31"/>
          <w:rFonts w:ascii="黑体" w:hAnsi="黑体" w:eastAsia="黑体"/>
          <w:b w:val="0"/>
          <w:color w:val="auto"/>
          <w:highlight w:val="none"/>
        </w:rPr>
      </w:pPr>
      <w:bookmarkStart w:id="22" w:name="_Toc15396605"/>
      <w:bookmarkStart w:id="23" w:name="三、支出决算情况说明"/>
      <w:r>
        <w:rPr>
          <w:rFonts w:hint="eastAsia" w:ascii="黑体" w:hAnsi="黑体" w:eastAsia="黑体"/>
          <w:color w:val="auto"/>
          <w:sz w:val="32"/>
          <w:szCs w:val="32"/>
          <w:highlight w:val="none"/>
        </w:rPr>
        <w:t>支</w:t>
      </w:r>
      <w:r>
        <w:rPr>
          <w:rStyle w:val="31"/>
          <w:rFonts w:hint="eastAsia" w:ascii="黑体" w:hAnsi="黑体" w:eastAsia="黑体"/>
          <w:b w:val="0"/>
          <w:color w:val="auto"/>
          <w:highlight w:val="none"/>
        </w:rPr>
        <w:t>出决算情况说明</w:t>
      </w:r>
      <w:bookmarkEnd w:id="22"/>
    </w:p>
    <w:bookmarkEnd w:id="23"/>
    <w:p>
      <w:pPr>
        <w:spacing w:line="600" w:lineRule="exact"/>
        <w:ind w:firstLine="640" w:firstLineChars="200"/>
        <w:outlineLvl w:val="1"/>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年本年支出合计</w:t>
      </w:r>
      <w:r>
        <w:rPr>
          <w:rFonts w:hint="eastAsia" w:ascii="仿宋" w:hAnsi="仿宋" w:eastAsia="仿宋"/>
          <w:color w:val="auto"/>
          <w:sz w:val="32"/>
          <w:szCs w:val="32"/>
          <w:highlight w:val="none"/>
          <w:lang w:val="en-US" w:eastAsia="zh-CN"/>
        </w:rPr>
        <w:t>9557.94</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766.11</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8.02</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8791.83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91.98</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pPr>
        <w:keepNext w:val="0"/>
        <w:keepLines w:val="0"/>
        <w:widowControl/>
        <w:suppressLineNumbers w:val="0"/>
        <w:jc w:val="center"/>
      </w:pPr>
      <w:r>
        <w:drawing>
          <wp:inline distT="0" distB="0" distL="114300" distR="114300">
            <wp:extent cx="4826000" cy="2785110"/>
            <wp:effectExtent l="0" t="0" r="12700" b="15240"/>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29"/>
        <w:numPr>
          <w:ilvl w:val="0"/>
          <w:numId w:val="1"/>
        </w:numPr>
        <w:spacing w:line="600" w:lineRule="exact"/>
        <w:ind w:left="1350" w:leftChars="0" w:firstLineChars="0"/>
        <w:outlineLvl w:val="1"/>
        <w:rPr>
          <w:rFonts w:hint="eastAsia" w:ascii="黑体" w:hAnsi="黑体" w:eastAsia="黑体"/>
          <w:color w:val="auto"/>
          <w:sz w:val="32"/>
          <w:szCs w:val="32"/>
          <w:highlight w:val="none"/>
        </w:rPr>
      </w:pPr>
      <w:bookmarkStart w:id="24" w:name="_Toc15396606"/>
      <w:bookmarkStart w:id="25" w:name="四、财政拨款收入支出决算总体情况说明"/>
      <w:r>
        <w:rPr>
          <w:rFonts w:hint="eastAsia" w:ascii="黑体" w:hAnsi="黑体" w:eastAsia="黑体"/>
          <w:color w:val="auto"/>
          <w:sz w:val="32"/>
          <w:szCs w:val="32"/>
          <w:highlight w:val="none"/>
        </w:rPr>
        <w:t>财政拨款收入支出决算总体情况说明</w:t>
      </w:r>
      <w:bookmarkEnd w:id="24"/>
      <w:bookmarkEnd w:id="25"/>
    </w:p>
    <w:p>
      <w:pPr>
        <w:spacing w:line="600" w:lineRule="exact"/>
        <w:ind w:firstLine="640" w:firstLineChars="200"/>
        <w:outlineLvl w:val="1"/>
        <w:rPr>
          <w:rFonts w:hint="eastAsia" w:ascii="仿宋" w:hAnsi="仿宋" w:eastAsia="仿宋"/>
          <w:color w:val="auto"/>
          <w:sz w:val="32"/>
          <w:szCs w:val="32"/>
          <w:highlight w:val="none"/>
          <w:lang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年财政拨款收</w:t>
      </w:r>
      <w:r>
        <w:rPr>
          <w:rFonts w:hint="eastAsia" w:ascii="仿宋" w:hAnsi="仿宋" w:eastAsia="仿宋"/>
          <w:color w:val="auto"/>
          <w:sz w:val="32"/>
          <w:szCs w:val="32"/>
          <w:highlight w:val="none"/>
          <w:lang w:eastAsia="zh-CN"/>
        </w:rPr>
        <w:t>入总计</w:t>
      </w:r>
      <w:r>
        <w:rPr>
          <w:rFonts w:hint="eastAsia" w:ascii="仿宋" w:hAnsi="仿宋" w:eastAsia="仿宋"/>
          <w:color w:val="auto"/>
          <w:sz w:val="32"/>
          <w:szCs w:val="32"/>
          <w:highlight w:val="none"/>
          <w:lang w:val="en-US" w:eastAsia="zh-CN"/>
        </w:rPr>
        <w:t>850.40</w:t>
      </w:r>
      <w:r>
        <w:rPr>
          <w:rFonts w:hint="eastAsia" w:ascii="仿宋" w:hAnsi="仿宋" w:eastAsia="仿宋"/>
          <w:color w:val="auto"/>
          <w:sz w:val="32"/>
          <w:szCs w:val="32"/>
          <w:highlight w:val="none"/>
          <w:lang w:eastAsia="zh-CN"/>
        </w:rPr>
        <w:t>万元</w:t>
      </w:r>
      <w:r>
        <w:rPr>
          <w:rFonts w:hint="eastAsia" w:ascii="仿宋" w:hAnsi="仿宋" w:eastAsia="仿宋"/>
          <w:color w:val="auto"/>
          <w:sz w:val="32"/>
          <w:szCs w:val="32"/>
          <w:highlight w:val="none"/>
        </w:rPr>
        <w:t>、支</w:t>
      </w:r>
      <w:r>
        <w:rPr>
          <w:rFonts w:hint="eastAsia" w:ascii="仿宋" w:hAnsi="仿宋" w:eastAsia="仿宋"/>
          <w:color w:val="auto"/>
          <w:sz w:val="32"/>
          <w:szCs w:val="32"/>
          <w:highlight w:val="none"/>
          <w:lang w:eastAsia="zh-CN"/>
        </w:rPr>
        <w:t>出</w:t>
      </w:r>
      <w:r>
        <w:rPr>
          <w:rFonts w:hint="eastAsia" w:ascii="仿宋" w:hAnsi="仿宋" w:eastAsia="仿宋"/>
          <w:color w:val="auto"/>
          <w:sz w:val="32"/>
          <w:szCs w:val="32"/>
          <w:highlight w:val="none"/>
        </w:rPr>
        <w:t>总计</w:t>
      </w:r>
      <w:r>
        <w:rPr>
          <w:rFonts w:hint="eastAsia" w:ascii="仿宋" w:hAnsi="仿宋" w:eastAsia="仿宋"/>
          <w:color w:val="auto"/>
          <w:sz w:val="32"/>
          <w:szCs w:val="32"/>
          <w:highlight w:val="none"/>
          <w:lang w:val="en-US" w:eastAsia="zh-CN"/>
        </w:rPr>
        <w:t>850.40</w:t>
      </w:r>
      <w:r>
        <w:rPr>
          <w:rFonts w:hint="eastAsia" w:ascii="仿宋" w:hAnsi="仿宋" w:eastAsia="仿宋"/>
          <w:color w:val="auto"/>
          <w:sz w:val="32"/>
          <w:szCs w:val="32"/>
          <w:highlight w:val="none"/>
        </w:rPr>
        <w:t>万元。与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年相比，财政拨款收</w:t>
      </w:r>
      <w:r>
        <w:rPr>
          <w:rFonts w:hint="eastAsia" w:ascii="仿宋" w:hAnsi="仿宋" w:eastAsia="仿宋"/>
          <w:color w:val="auto"/>
          <w:sz w:val="32"/>
          <w:szCs w:val="32"/>
          <w:highlight w:val="none"/>
          <w:lang w:eastAsia="zh-CN"/>
        </w:rPr>
        <w:t>入、</w:t>
      </w:r>
      <w:r>
        <w:rPr>
          <w:rFonts w:hint="eastAsia" w:ascii="仿宋" w:hAnsi="仿宋" w:eastAsia="仿宋"/>
          <w:color w:val="auto"/>
          <w:sz w:val="32"/>
          <w:szCs w:val="32"/>
          <w:highlight w:val="none"/>
          <w:lang w:val="en-US" w:eastAsia="zh-CN"/>
        </w:rPr>
        <w:t>支出</w:t>
      </w:r>
      <w:r>
        <w:rPr>
          <w:rFonts w:hint="eastAsia" w:ascii="仿宋" w:hAnsi="仿宋" w:eastAsia="仿宋"/>
          <w:color w:val="auto"/>
          <w:sz w:val="32"/>
          <w:szCs w:val="32"/>
          <w:highlight w:val="none"/>
          <w:lang w:eastAsia="zh-CN"/>
        </w:rPr>
        <w:t>总计</w:t>
      </w:r>
      <w:r>
        <w:rPr>
          <w:rFonts w:hint="eastAsia" w:ascii="仿宋" w:hAnsi="仿宋" w:eastAsia="仿宋"/>
          <w:color w:val="auto"/>
          <w:sz w:val="32"/>
          <w:szCs w:val="32"/>
          <w:highlight w:val="none"/>
          <w:lang w:val="en-US" w:eastAsia="zh-CN"/>
        </w:rPr>
        <w:t>均</w:t>
      </w:r>
      <w:r>
        <w:rPr>
          <w:rFonts w:hint="eastAsia" w:ascii="仿宋" w:hAnsi="仿宋" w:eastAsia="仿宋"/>
          <w:color w:val="auto"/>
          <w:sz w:val="32"/>
          <w:szCs w:val="32"/>
          <w:highlight w:val="none"/>
          <w:lang w:eastAsia="zh-CN"/>
        </w:rPr>
        <w:t>减少</w:t>
      </w:r>
      <w:r>
        <w:rPr>
          <w:rFonts w:hint="eastAsia" w:ascii="仿宋" w:hAnsi="仿宋" w:eastAsia="仿宋"/>
          <w:color w:val="auto"/>
          <w:sz w:val="32"/>
          <w:szCs w:val="32"/>
          <w:highlight w:val="none"/>
          <w:lang w:val="en-US" w:eastAsia="zh-CN"/>
        </w:rPr>
        <w:t>387.08</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收入、</w:t>
      </w:r>
      <w:r>
        <w:rPr>
          <w:rFonts w:hint="eastAsia" w:ascii="仿宋" w:hAnsi="仿宋" w:eastAsia="仿宋"/>
          <w:color w:val="auto"/>
          <w:sz w:val="32"/>
          <w:szCs w:val="32"/>
          <w:highlight w:val="none"/>
          <w:lang w:val="en-US" w:eastAsia="zh-CN"/>
        </w:rPr>
        <w:t>支出均</w:t>
      </w:r>
      <w:r>
        <w:rPr>
          <w:rFonts w:hint="eastAsia" w:ascii="仿宋" w:hAnsi="仿宋" w:eastAsia="仿宋"/>
          <w:color w:val="auto"/>
          <w:sz w:val="32"/>
          <w:szCs w:val="32"/>
          <w:highlight w:val="none"/>
          <w:lang w:eastAsia="zh-CN"/>
        </w:rPr>
        <w:t>下降</w:t>
      </w:r>
      <w:r>
        <w:rPr>
          <w:rFonts w:hint="eastAsia" w:ascii="仿宋" w:hAnsi="仿宋" w:eastAsia="仿宋"/>
          <w:color w:val="auto"/>
          <w:sz w:val="32"/>
          <w:szCs w:val="32"/>
          <w:highlight w:val="none"/>
          <w:lang w:val="en-US" w:eastAsia="zh-CN"/>
        </w:rPr>
        <w:t>31.28%</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按照达州市财政局要求，自2023年起，下属事业单位达州市大竹生态环境监测站独立核算</w:t>
      </w:r>
      <w:r>
        <w:rPr>
          <w:rFonts w:hint="eastAsia" w:ascii="仿宋" w:hAnsi="仿宋" w:eastAsia="仿宋"/>
          <w:color w:val="auto"/>
          <w:sz w:val="32"/>
          <w:szCs w:val="32"/>
          <w:highlight w:val="none"/>
          <w:lang w:eastAsia="zh-CN"/>
        </w:rPr>
        <w:t>。</w:t>
      </w:r>
      <w:bookmarkStart w:id="26" w:name="_Toc15396607"/>
    </w:p>
    <w:p>
      <w:pPr>
        <w:keepNext w:val="0"/>
        <w:keepLines w:val="0"/>
        <w:widowControl/>
        <w:suppressLineNumbers w:val="0"/>
        <w:jc w:val="center"/>
      </w:pPr>
      <w:r>
        <w:drawing>
          <wp:inline distT="0" distB="0" distL="114300" distR="114300">
            <wp:extent cx="5204460" cy="3299460"/>
            <wp:effectExtent l="0" t="0" r="15240" b="15240"/>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29"/>
        <w:numPr>
          <w:ilvl w:val="0"/>
          <w:numId w:val="1"/>
        </w:numPr>
        <w:spacing w:line="600" w:lineRule="exact"/>
        <w:ind w:left="1350" w:leftChars="0" w:firstLineChars="0"/>
        <w:outlineLvl w:val="1"/>
        <w:rPr>
          <w:rFonts w:hint="eastAsia" w:ascii="黑体" w:hAnsi="黑体" w:eastAsia="黑体"/>
          <w:color w:val="auto"/>
          <w:sz w:val="32"/>
          <w:szCs w:val="32"/>
          <w:highlight w:val="none"/>
        </w:rPr>
      </w:pPr>
      <w:bookmarkStart w:id="27" w:name="五、一般公共预算财政拨款支出决算情况说明"/>
      <w:r>
        <w:rPr>
          <w:rFonts w:hint="eastAsia" w:ascii="黑体" w:hAnsi="黑体" w:eastAsia="黑体"/>
          <w:color w:val="auto"/>
          <w:sz w:val="32"/>
          <w:szCs w:val="32"/>
          <w:highlight w:val="none"/>
        </w:rPr>
        <w:t>一般公共预算财政拨款支出决算情况说明</w:t>
      </w:r>
      <w:bookmarkEnd w:id="26"/>
    </w:p>
    <w:bookmarkEnd w:id="27"/>
    <w:p>
      <w:pPr>
        <w:spacing w:line="600" w:lineRule="exact"/>
        <w:ind w:firstLine="643" w:firstLineChars="200"/>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（一）一般公共预算财政拨款支出决算总体情况</w:t>
      </w:r>
    </w:p>
    <w:p>
      <w:pPr>
        <w:spacing w:line="600" w:lineRule="exact"/>
        <w:ind w:firstLine="640" w:firstLineChars="200"/>
        <w:outlineLvl w:val="1"/>
        <w:rPr>
          <w:rFonts w:hint="eastAsia" w:ascii="仿宋" w:hAnsi="仿宋" w:eastAsia="仿宋"/>
          <w:color w:val="auto"/>
          <w:sz w:val="32"/>
          <w:szCs w:val="32"/>
          <w:highlight w:val="none"/>
          <w:lang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850.40</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8.89</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lang w:val="en-US" w:eastAsia="zh-CN"/>
        </w:rPr>
        <w:t>减少387.08</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val="en-US" w:eastAsia="zh-CN"/>
        </w:rPr>
        <w:t>减少31.08%</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按照达州市财政局要求，自2023年起，下属事业单位达州市大竹生态环境监测站独立核算</w:t>
      </w:r>
      <w:r>
        <w:rPr>
          <w:rFonts w:hint="eastAsia" w:ascii="仿宋" w:hAnsi="仿宋" w:eastAsia="仿宋"/>
          <w:color w:val="auto"/>
          <w:sz w:val="32"/>
          <w:szCs w:val="32"/>
          <w:highlight w:val="none"/>
          <w:lang w:eastAsia="zh-CN"/>
        </w:rPr>
        <w:t>。</w:t>
      </w:r>
    </w:p>
    <w:p>
      <w:pPr>
        <w:keepNext w:val="0"/>
        <w:keepLines w:val="0"/>
        <w:widowControl/>
        <w:suppressLineNumbers w:val="0"/>
        <w:jc w:val="center"/>
      </w:pPr>
      <w:r>
        <w:drawing>
          <wp:inline distT="0" distB="0" distL="114300" distR="114300">
            <wp:extent cx="4806950" cy="2908935"/>
            <wp:effectExtent l="0" t="0" r="12700" b="571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spacing w:line="600" w:lineRule="exact"/>
        <w:ind w:firstLine="643" w:firstLineChars="200"/>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（二）一般公共预算财政拨款支出决算结构情况</w:t>
      </w:r>
    </w:p>
    <w:p>
      <w:pPr>
        <w:spacing w:line="600" w:lineRule="exact"/>
        <w:ind w:firstLine="640"/>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850.40</w:t>
      </w:r>
      <w:r>
        <w:rPr>
          <w:rFonts w:hint="eastAsia" w:ascii="仿宋" w:hAnsi="仿宋" w:eastAsia="仿宋"/>
          <w:color w:val="auto"/>
          <w:sz w:val="32"/>
          <w:szCs w:val="32"/>
          <w:highlight w:val="none"/>
        </w:rPr>
        <w:t>万元，主要用于以下方面</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社会保障和就业支出</w:t>
      </w:r>
      <w:r>
        <w:rPr>
          <w:rFonts w:hint="eastAsia" w:ascii="仿宋" w:hAnsi="仿宋" w:eastAsia="仿宋"/>
          <w:color w:val="auto"/>
          <w:sz w:val="32"/>
          <w:szCs w:val="32"/>
          <w:highlight w:val="none"/>
          <w:lang w:val="en-US" w:eastAsia="zh-CN"/>
        </w:rPr>
        <w:t>52.83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6.21</w:t>
      </w:r>
      <w:r>
        <w:rPr>
          <w:rFonts w:hint="eastAsia" w:ascii="仿宋" w:hAnsi="仿宋" w:eastAsia="仿宋"/>
          <w:color w:val="auto"/>
          <w:sz w:val="32"/>
          <w:szCs w:val="32"/>
          <w:highlight w:val="none"/>
        </w:rPr>
        <w:t>%；卫生健康支出</w:t>
      </w:r>
      <w:r>
        <w:rPr>
          <w:rFonts w:hint="eastAsia" w:ascii="仿宋" w:hAnsi="仿宋" w:eastAsia="仿宋"/>
          <w:color w:val="auto"/>
          <w:sz w:val="32"/>
          <w:szCs w:val="32"/>
          <w:highlight w:val="none"/>
          <w:lang w:val="en-US" w:eastAsia="zh-CN"/>
        </w:rPr>
        <w:t>42.35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4.98</w:t>
      </w:r>
      <w:r>
        <w:rPr>
          <w:rFonts w:hint="eastAsia" w:ascii="仿宋" w:hAnsi="仿宋" w:eastAsia="仿宋"/>
          <w:color w:val="auto"/>
          <w:sz w:val="32"/>
          <w:szCs w:val="32"/>
          <w:highlight w:val="none"/>
        </w:rPr>
        <w:t>%；节能环保支出</w:t>
      </w:r>
      <w:r>
        <w:rPr>
          <w:rFonts w:hint="eastAsia" w:ascii="仿宋" w:hAnsi="仿宋" w:eastAsia="仿宋"/>
          <w:color w:val="auto"/>
          <w:sz w:val="32"/>
          <w:szCs w:val="32"/>
          <w:highlight w:val="none"/>
          <w:lang w:val="en-US" w:eastAsia="zh-CN"/>
        </w:rPr>
        <w:t>713.04</w:t>
      </w:r>
      <w:r>
        <w:rPr>
          <w:rFonts w:hint="eastAsia" w:ascii="仿宋" w:hAnsi="仿宋" w:eastAsia="仿宋"/>
          <w:color w:val="auto"/>
          <w:sz w:val="32"/>
          <w:szCs w:val="32"/>
          <w:highlight w:val="none"/>
          <w:lang w:eastAsia="zh-CN"/>
        </w:rPr>
        <w:t>万元，</w:t>
      </w:r>
      <w:r>
        <w:rPr>
          <w:rFonts w:hint="eastAsia" w:ascii="仿宋" w:hAnsi="仿宋" w:eastAsia="仿宋"/>
          <w:color w:val="auto"/>
          <w:sz w:val="32"/>
          <w:szCs w:val="32"/>
          <w:highlight w:val="none"/>
        </w:rPr>
        <w:t>占</w:t>
      </w:r>
      <w:r>
        <w:rPr>
          <w:rFonts w:hint="eastAsia" w:ascii="仿宋" w:hAnsi="仿宋" w:eastAsia="仿宋"/>
          <w:color w:val="auto"/>
          <w:sz w:val="32"/>
          <w:szCs w:val="32"/>
          <w:highlight w:val="none"/>
          <w:lang w:val="en-US" w:eastAsia="zh-CN"/>
        </w:rPr>
        <w:t>83.85</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住房保障支出</w:t>
      </w:r>
      <w:r>
        <w:rPr>
          <w:rFonts w:hint="eastAsia" w:ascii="仿宋" w:hAnsi="仿宋" w:eastAsia="仿宋"/>
          <w:color w:val="auto"/>
          <w:sz w:val="32"/>
          <w:szCs w:val="32"/>
          <w:highlight w:val="none"/>
          <w:lang w:val="en-US" w:eastAsia="zh-CN"/>
        </w:rPr>
        <w:t>42.18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4.96</w:t>
      </w:r>
      <w:r>
        <w:rPr>
          <w:rFonts w:hint="eastAsia" w:ascii="仿宋" w:hAnsi="仿宋" w:eastAsia="仿宋"/>
          <w:color w:val="auto"/>
          <w:sz w:val="32"/>
          <w:szCs w:val="32"/>
          <w:highlight w:val="none"/>
        </w:rPr>
        <w:t>%。</w:t>
      </w:r>
    </w:p>
    <w:p>
      <w:pPr>
        <w:keepNext w:val="0"/>
        <w:keepLines w:val="0"/>
        <w:widowControl/>
        <w:suppressLineNumbers w:val="0"/>
        <w:jc w:val="center"/>
      </w:pPr>
      <w:r>
        <w:drawing>
          <wp:inline distT="0" distB="0" distL="114300" distR="114300">
            <wp:extent cx="4942840" cy="3645535"/>
            <wp:effectExtent l="0" t="0" r="10160" b="12065"/>
            <wp:docPr id="3"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spacing w:line="600" w:lineRule="exact"/>
        <w:ind w:firstLine="643" w:firstLineChars="200"/>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（三）一般公共预算财政拨款支出决算具体情况</w:t>
      </w:r>
    </w:p>
    <w:p>
      <w:pPr>
        <w:spacing w:line="600" w:lineRule="exact"/>
        <w:ind w:firstLine="640" w:firstLineChars="200"/>
        <w:outlineLvl w:val="2"/>
        <w:rPr>
          <w:rFonts w:ascii="仿宋" w:hAnsi="仿宋" w:eastAsia="仿宋"/>
          <w:b w:val="0"/>
          <w:bCs/>
          <w:color w:val="auto"/>
          <w:sz w:val="32"/>
          <w:szCs w:val="32"/>
          <w:highlight w:val="none"/>
        </w:rPr>
      </w:pPr>
      <w:bookmarkStart w:id="28" w:name="_Toc15378460"/>
      <w:r>
        <w:rPr>
          <w:rFonts w:hint="eastAsia" w:ascii="仿宋" w:hAnsi="仿宋" w:eastAsia="仿宋"/>
          <w:b w:val="0"/>
          <w:bCs/>
          <w:color w:val="auto"/>
          <w:sz w:val="32"/>
          <w:szCs w:val="32"/>
          <w:highlight w:val="none"/>
        </w:rPr>
        <w:t>20</w:t>
      </w:r>
      <w:r>
        <w:rPr>
          <w:rFonts w:hint="eastAsia" w:ascii="仿宋" w:hAnsi="仿宋" w:eastAsia="仿宋"/>
          <w:b w:val="0"/>
          <w:bCs/>
          <w:color w:val="auto"/>
          <w:sz w:val="32"/>
          <w:szCs w:val="32"/>
          <w:highlight w:val="none"/>
          <w:lang w:val="en-US" w:eastAsia="zh-CN"/>
        </w:rPr>
        <w:t>23</w:t>
      </w:r>
      <w:r>
        <w:rPr>
          <w:rFonts w:hint="eastAsia" w:ascii="仿宋" w:hAnsi="仿宋" w:eastAsia="仿宋"/>
          <w:b w:val="0"/>
          <w:bCs/>
          <w:color w:val="auto"/>
          <w:sz w:val="32"/>
          <w:szCs w:val="32"/>
          <w:highlight w:val="none"/>
        </w:rPr>
        <w:t>年</w:t>
      </w:r>
      <w:r>
        <w:rPr>
          <w:rFonts w:hint="eastAsia" w:ascii="仿宋" w:hAnsi="仿宋" w:eastAsia="仿宋"/>
          <w:b w:val="0"/>
          <w:bCs/>
          <w:color w:val="auto"/>
          <w:sz w:val="32"/>
          <w:szCs w:val="32"/>
          <w:highlight w:val="none"/>
          <w:lang w:eastAsia="zh-CN"/>
        </w:rPr>
        <w:t>一</w:t>
      </w:r>
      <w:r>
        <w:rPr>
          <w:rFonts w:hint="eastAsia" w:ascii="仿宋" w:hAnsi="仿宋" w:eastAsia="仿宋"/>
          <w:b w:val="0"/>
          <w:bCs/>
          <w:color w:val="auto"/>
          <w:sz w:val="32"/>
          <w:szCs w:val="32"/>
          <w:highlight w:val="none"/>
        </w:rPr>
        <w:t>般公共预算支出决算数为</w:t>
      </w:r>
      <w:r>
        <w:rPr>
          <w:rFonts w:hint="eastAsia" w:ascii="仿宋" w:hAnsi="仿宋" w:eastAsia="仿宋"/>
          <w:b w:val="0"/>
          <w:bCs/>
          <w:color w:val="auto"/>
          <w:sz w:val="32"/>
          <w:szCs w:val="32"/>
          <w:highlight w:val="none"/>
          <w:lang w:val="en-US" w:eastAsia="zh-CN"/>
        </w:rPr>
        <w:t>850.40</w:t>
      </w:r>
      <w:r>
        <w:rPr>
          <w:rFonts w:hint="eastAsia" w:ascii="仿宋" w:hAnsi="仿宋" w:eastAsia="仿宋"/>
          <w:b w:val="0"/>
          <w:bCs/>
          <w:color w:val="auto"/>
          <w:sz w:val="32"/>
          <w:szCs w:val="32"/>
          <w:highlight w:val="none"/>
          <w:lang w:eastAsia="zh-CN"/>
        </w:rPr>
        <w:t>万元</w:t>
      </w:r>
      <w:r>
        <w:rPr>
          <w:rFonts w:hint="eastAsia"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。其中：</w:t>
      </w:r>
      <w:bookmarkEnd w:id="28"/>
    </w:p>
    <w:p>
      <w:pPr>
        <w:spacing w:line="600" w:lineRule="exact"/>
        <w:ind w:firstLine="640" w:firstLineChars="200"/>
        <w:rPr>
          <w:rStyle w:val="19"/>
          <w:rFonts w:hint="eastAsia" w:ascii="仿宋" w:hAnsi="仿宋" w:eastAsia="仿宋"/>
          <w:b w:val="0"/>
          <w:bCs/>
          <w:color w:val="auto"/>
          <w:sz w:val="32"/>
          <w:szCs w:val="32"/>
          <w:highlight w:val="none"/>
        </w:rPr>
      </w:pPr>
      <w:r>
        <w:rPr>
          <w:rStyle w:val="19"/>
          <w:rFonts w:hint="eastAsia" w:ascii="仿宋" w:hAnsi="仿宋" w:eastAsia="仿宋"/>
          <w:b w:val="0"/>
          <w:bCs/>
          <w:color w:val="auto"/>
          <w:sz w:val="32"/>
          <w:szCs w:val="32"/>
          <w:highlight w:val="none"/>
          <w:lang w:val="en-US" w:eastAsia="zh-CN"/>
        </w:rPr>
        <w:t>1</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社会保障和就业</w:t>
      </w:r>
      <w:r>
        <w:rPr>
          <w:rStyle w:val="19"/>
          <w:rFonts w:hint="eastAsia" w:ascii="仿宋" w:hAnsi="仿宋" w:eastAsia="仿宋"/>
          <w:b w:val="0"/>
          <w:bCs/>
          <w:color w:val="auto"/>
          <w:sz w:val="32"/>
          <w:szCs w:val="32"/>
          <w:highlight w:val="none"/>
          <w:lang w:val="en-US" w:eastAsia="zh-CN"/>
        </w:rPr>
        <w:t>支出</w:t>
      </w:r>
      <w:r>
        <w:rPr>
          <w:rStyle w:val="19"/>
          <w:rFonts w:hint="eastAsia" w:ascii="仿宋" w:hAnsi="仿宋" w:eastAsia="仿宋"/>
          <w:b w:val="0"/>
          <w:bCs/>
          <w:color w:val="auto"/>
          <w:sz w:val="32"/>
          <w:szCs w:val="32"/>
          <w:highlight w:val="none"/>
        </w:rPr>
        <w:t>（类）</w:t>
      </w:r>
      <w:r>
        <w:rPr>
          <w:rFonts w:hint="eastAsia" w:ascii="仿宋" w:hAnsi="仿宋" w:eastAsia="仿宋" w:cs="仿宋"/>
          <w:bCs/>
          <w:color w:val="auto"/>
          <w:kern w:val="0"/>
          <w:sz w:val="32"/>
          <w:szCs w:val="32"/>
          <w:lang w:val="en-US" w:eastAsia="zh-CN" w:bidi="ar-SA"/>
        </w:rPr>
        <w:t>行政事业单位养老支出</w:t>
      </w:r>
      <w:r>
        <w:rPr>
          <w:rStyle w:val="19"/>
          <w:rFonts w:hint="eastAsia" w:ascii="仿宋" w:hAnsi="仿宋" w:eastAsia="仿宋"/>
          <w:b w:val="0"/>
          <w:bCs/>
          <w:color w:val="auto"/>
          <w:sz w:val="32"/>
          <w:szCs w:val="32"/>
          <w:highlight w:val="none"/>
        </w:rPr>
        <w:t>（款）机关事业单位基本养老保险缴费支出（项）</w:t>
      </w:r>
      <w:r>
        <w:rPr>
          <w:rStyle w:val="19"/>
          <w:rFonts w:ascii="仿宋" w:hAnsi="仿宋" w:eastAsia="仿宋"/>
          <w:b w:val="0"/>
          <w:bCs/>
          <w:color w:val="auto"/>
          <w:sz w:val="32"/>
          <w:szCs w:val="32"/>
          <w:highlight w:val="none"/>
        </w:rPr>
        <w:t xml:space="preserve">: </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52.83</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pPr>
        <w:spacing w:line="600" w:lineRule="exact"/>
        <w:ind w:firstLine="640" w:firstLineChars="200"/>
        <w:rPr>
          <w:rFonts w:ascii="仿宋" w:hAnsi="仿宋" w:eastAsia="仿宋"/>
          <w:b w:val="0"/>
          <w:bCs/>
          <w:color w:val="auto"/>
          <w:sz w:val="32"/>
          <w:szCs w:val="32"/>
          <w:highlight w:val="none"/>
        </w:rPr>
      </w:pPr>
      <w:r>
        <w:rPr>
          <w:rStyle w:val="19"/>
          <w:rFonts w:hint="eastAsia" w:ascii="仿宋" w:hAnsi="仿宋" w:eastAsia="仿宋"/>
          <w:b w:val="0"/>
          <w:bCs/>
          <w:color w:val="auto"/>
          <w:sz w:val="32"/>
          <w:szCs w:val="32"/>
          <w:highlight w:val="none"/>
          <w:lang w:val="en-US" w:eastAsia="zh-CN"/>
        </w:rPr>
        <w:t>2</w:t>
      </w:r>
      <w:r>
        <w:rPr>
          <w:rStyle w:val="19"/>
          <w:rFonts w:ascii="仿宋" w:hAnsi="仿宋" w:eastAsia="仿宋"/>
          <w:b w:val="0"/>
          <w:bCs/>
          <w:color w:val="auto"/>
          <w:sz w:val="32"/>
          <w:szCs w:val="32"/>
          <w:highlight w:val="none"/>
        </w:rPr>
        <w:t>.</w:t>
      </w:r>
      <w:r>
        <w:rPr>
          <w:rFonts w:hint="eastAsia" w:ascii="仿宋" w:hAnsi="仿宋" w:eastAsia="仿宋"/>
          <w:b w:val="0"/>
          <w:bCs/>
          <w:color w:val="auto"/>
          <w:sz w:val="32"/>
          <w:szCs w:val="32"/>
          <w:highlight w:val="none"/>
        </w:rPr>
        <w:t>卫生健康</w:t>
      </w:r>
      <w:r>
        <w:rPr>
          <w:rFonts w:hint="eastAsia" w:ascii="仿宋" w:hAnsi="仿宋" w:eastAsia="仿宋"/>
          <w:b w:val="0"/>
          <w:bCs/>
          <w:color w:val="auto"/>
          <w:sz w:val="32"/>
          <w:szCs w:val="32"/>
          <w:highlight w:val="none"/>
          <w:lang w:val="en-US" w:eastAsia="zh-CN"/>
        </w:rPr>
        <w:t>支出</w:t>
      </w:r>
      <w:r>
        <w:rPr>
          <w:rStyle w:val="19"/>
          <w:rFonts w:hint="eastAsia" w:ascii="仿宋" w:hAnsi="仿宋" w:eastAsia="仿宋"/>
          <w:b w:val="0"/>
          <w:bCs/>
          <w:color w:val="auto"/>
          <w:sz w:val="32"/>
          <w:szCs w:val="32"/>
          <w:highlight w:val="none"/>
        </w:rPr>
        <w:t>（类）行政事业单位医疗（款）行政单位医疗（项）</w:t>
      </w:r>
      <w:r>
        <w:rPr>
          <w:rStyle w:val="19"/>
          <w:rFonts w:hint="eastAsia" w:ascii="仿宋" w:hAnsi="仿宋" w:eastAsia="仿宋"/>
          <w:b w:val="0"/>
          <w:bCs/>
          <w:color w:val="auto"/>
          <w:sz w:val="32"/>
          <w:szCs w:val="32"/>
          <w:highlight w:val="none"/>
          <w:lang w:eastAsia="zh-CN"/>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35.43</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pPr>
        <w:spacing w:line="600" w:lineRule="exact"/>
        <w:ind w:firstLine="640" w:firstLineChars="200"/>
        <w:rPr>
          <w:rStyle w:val="19"/>
          <w:rFonts w:hint="eastAsia" w:ascii="仿宋" w:hAnsi="仿宋" w:eastAsia="仿宋"/>
          <w:b w:val="0"/>
          <w:bCs/>
          <w:color w:val="auto"/>
          <w:sz w:val="32"/>
          <w:szCs w:val="32"/>
          <w:highlight w:val="none"/>
        </w:rPr>
      </w:pPr>
      <w:r>
        <w:rPr>
          <w:rFonts w:hint="eastAsia" w:ascii="仿宋" w:hAnsi="仿宋" w:eastAsia="仿宋"/>
          <w:color w:val="auto"/>
          <w:sz w:val="32"/>
          <w:szCs w:val="32"/>
          <w:highlight w:val="none"/>
          <w:lang w:val="en-US" w:eastAsia="zh-CN"/>
        </w:rPr>
        <w:t>3.</w:t>
      </w:r>
      <w:r>
        <w:rPr>
          <w:rFonts w:hint="eastAsia" w:ascii="仿宋" w:hAnsi="仿宋" w:eastAsia="仿宋"/>
          <w:b w:val="0"/>
          <w:bCs/>
          <w:color w:val="auto"/>
          <w:sz w:val="32"/>
          <w:szCs w:val="32"/>
          <w:highlight w:val="none"/>
        </w:rPr>
        <w:t>卫生健康</w:t>
      </w:r>
      <w:r>
        <w:rPr>
          <w:rFonts w:hint="eastAsia" w:ascii="仿宋" w:hAnsi="仿宋" w:eastAsia="仿宋"/>
          <w:b w:val="0"/>
          <w:bCs/>
          <w:color w:val="auto"/>
          <w:sz w:val="32"/>
          <w:szCs w:val="32"/>
          <w:highlight w:val="none"/>
          <w:lang w:val="en-US" w:eastAsia="zh-CN"/>
        </w:rPr>
        <w:t>支出</w:t>
      </w:r>
      <w:r>
        <w:rPr>
          <w:rStyle w:val="19"/>
          <w:rFonts w:hint="eastAsia" w:ascii="仿宋" w:hAnsi="仿宋" w:eastAsia="仿宋"/>
          <w:b w:val="0"/>
          <w:bCs/>
          <w:color w:val="auto"/>
          <w:sz w:val="32"/>
          <w:szCs w:val="32"/>
          <w:highlight w:val="none"/>
        </w:rPr>
        <w:t>（类）行政事业单位医疗（款）公务员医疗补助（项）</w:t>
      </w:r>
      <w:r>
        <w:rPr>
          <w:rStyle w:val="19"/>
          <w:rFonts w:hint="eastAsia" w:ascii="仿宋" w:hAnsi="仿宋" w:eastAsia="仿宋"/>
          <w:b w:val="0"/>
          <w:bCs/>
          <w:color w:val="auto"/>
          <w:sz w:val="32"/>
          <w:szCs w:val="32"/>
          <w:highlight w:val="none"/>
          <w:lang w:eastAsia="zh-CN"/>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6.92</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pPr>
        <w:pStyle w:val="2"/>
        <w:ind w:firstLine="640" w:firstLineChars="200"/>
        <w:rPr>
          <w:rStyle w:val="19"/>
          <w:rFonts w:hint="eastAsia" w:ascii="仿宋" w:hAnsi="仿宋" w:eastAsia="仿宋"/>
          <w:b w:val="0"/>
          <w:bCs/>
          <w:color w:val="auto"/>
          <w:sz w:val="32"/>
          <w:szCs w:val="32"/>
          <w:highlight w:val="none"/>
        </w:rPr>
      </w:pPr>
      <w:r>
        <w:rPr>
          <w:rFonts w:hint="eastAsia" w:ascii="仿宋" w:hAnsi="仿宋" w:eastAsia="仿宋" w:cs="Times New Roman"/>
          <w:color w:val="auto"/>
          <w:kern w:val="2"/>
          <w:sz w:val="32"/>
          <w:szCs w:val="32"/>
          <w:highlight w:val="none"/>
          <w:lang w:val="en-US" w:eastAsia="zh-CN" w:bidi="ar-SA"/>
        </w:rPr>
        <w:t>4.节能环保支出</w:t>
      </w:r>
      <w:r>
        <w:rPr>
          <w:rStyle w:val="19"/>
          <w:rFonts w:hint="eastAsia" w:ascii="仿宋" w:hAnsi="仿宋" w:eastAsia="仿宋"/>
          <w:b w:val="0"/>
          <w:bCs/>
          <w:color w:val="auto"/>
          <w:sz w:val="32"/>
          <w:szCs w:val="32"/>
          <w:highlight w:val="none"/>
        </w:rPr>
        <w:t>（类）</w:t>
      </w:r>
      <w:r>
        <w:rPr>
          <w:rStyle w:val="19"/>
          <w:rFonts w:hint="eastAsia" w:ascii="仿宋" w:hAnsi="仿宋" w:eastAsia="仿宋"/>
          <w:b w:val="0"/>
          <w:bCs/>
          <w:color w:val="auto"/>
          <w:sz w:val="32"/>
          <w:szCs w:val="32"/>
          <w:highlight w:val="none"/>
          <w:lang w:val="en-US" w:eastAsia="zh-CN"/>
        </w:rPr>
        <w:t>环境保护管理事务（款）行政运行</w:t>
      </w:r>
      <w:r>
        <w:rPr>
          <w:rStyle w:val="19"/>
          <w:rFonts w:hint="eastAsia" w:ascii="仿宋" w:hAnsi="仿宋" w:eastAsia="仿宋"/>
          <w:b w:val="0"/>
          <w:bCs/>
          <w:color w:val="auto"/>
          <w:sz w:val="32"/>
          <w:szCs w:val="32"/>
          <w:highlight w:val="none"/>
        </w:rPr>
        <w:t>（项）</w:t>
      </w:r>
      <w:r>
        <w:rPr>
          <w:rStyle w:val="19"/>
          <w:rFonts w:hint="eastAsia" w:ascii="仿宋" w:hAnsi="仿宋" w:eastAsia="仿宋"/>
          <w:b w:val="0"/>
          <w:bCs/>
          <w:color w:val="auto"/>
          <w:sz w:val="32"/>
          <w:szCs w:val="32"/>
          <w:highlight w:val="none"/>
          <w:lang w:eastAsia="zh-CN"/>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323.75</w:t>
      </w:r>
      <w:r>
        <w:rPr>
          <w:rStyle w:val="19"/>
          <w:rFonts w:hint="eastAsia" w:ascii="仿宋" w:hAnsi="仿宋" w:eastAsia="仿宋"/>
          <w:b w:val="0"/>
          <w:bCs/>
          <w:color w:val="auto"/>
          <w:sz w:val="32"/>
          <w:szCs w:val="32"/>
          <w:highlight w:val="none"/>
          <w:lang w:eastAsia="zh-CN"/>
        </w:rPr>
        <w:t>万元，</w:t>
      </w:r>
      <w:r>
        <w:rPr>
          <w:rStyle w:val="19"/>
          <w:rFonts w:hint="eastAsia" w:ascii="仿宋" w:hAnsi="仿宋" w:eastAsia="仿宋"/>
          <w:b w:val="0"/>
          <w:bCs/>
          <w:color w:val="auto"/>
          <w:sz w:val="32"/>
          <w:szCs w:val="32"/>
          <w:highlight w:val="none"/>
        </w:rPr>
        <w:t>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pPr>
        <w:pStyle w:val="2"/>
        <w:ind w:firstLine="640" w:firstLineChars="200"/>
        <w:rPr>
          <w:rStyle w:val="19"/>
          <w:rFonts w:hint="eastAsia" w:ascii="仿宋" w:hAnsi="仿宋" w:eastAsia="仿宋"/>
          <w:b w:val="0"/>
          <w:bCs/>
          <w:color w:val="auto"/>
          <w:sz w:val="32"/>
          <w:szCs w:val="32"/>
          <w:highlight w:val="none"/>
        </w:rPr>
      </w:pPr>
      <w:r>
        <w:rPr>
          <w:rStyle w:val="19"/>
          <w:rFonts w:hint="eastAsia" w:ascii="仿宋" w:hAnsi="仿宋" w:eastAsia="仿宋"/>
          <w:b w:val="0"/>
          <w:bCs/>
          <w:color w:val="auto"/>
          <w:sz w:val="32"/>
          <w:szCs w:val="32"/>
          <w:highlight w:val="none"/>
          <w:lang w:val="en-US" w:eastAsia="zh-CN"/>
        </w:rPr>
        <w:t>5.</w:t>
      </w:r>
      <w:r>
        <w:rPr>
          <w:rFonts w:hint="eastAsia" w:ascii="仿宋" w:hAnsi="仿宋" w:eastAsia="仿宋" w:cs="Times New Roman"/>
          <w:color w:val="auto"/>
          <w:kern w:val="2"/>
          <w:sz w:val="32"/>
          <w:szCs w:val="32"/>
          <w:highlight w:val="none"/>
          <w:lang w:val="en-US" w:eastAsia="zh-CN" w:bidi="ar-SA"/>
        </w:rPr>
        <w:t>节能环保支出</w:t>
      </w:r>
      <w:r>
        <w:rPr>
          <w:rStyle w:val="19"/>
          <w:rFonts w:hint="eastAsia" w:ascii="仿宋" w:hAnsi="仿宋" w:eastAsia="仿宋"/>
          <w:b w:val="0"/>
          <w:bCs/>
          <w:color w:val="auto"/>
          <w:sz w:val="32"/>
          <w:szCs w:val="32"/>
          <w:highlight w:val="none"/>
        </w:rPr>
        <w:t>（类）</w:t>
      </w:r>
      <w:r>
        <w:rPr>
          <w:rStyle w:val="19"/>
          <w:rFonts w:hint="eastAsia" w:ascii="仿宋" w:hAnsi="仿宋" w:eastAsia="仿宋"/>
          <w:b w:val="0"/>
          <w:bCs/>
          <w:color w:val="auto"/>
          <w:sz w:val="32"/>
          <w:szCs w:val="32"/>
          <w:highlight w:val="none"/>
          <w:lang w:val="en-US" w:eastAsia="zh-CN"/>
        </w:rPr>
        <w:t>环境保护管理事务（款）一般行政管理事务（</w:t>
      </w:r>
      <w:r>
        <w:rPr>
          <w:rStyle w:val="19"/>
          <w:rFonts w:hint="eastAsia" w:ascii="仿宋" w:hAnsi="仿宋" w:eastAsia="仿宋"/>
          <w:b w:val="0"/>
          <w:bCs/>
          <w:color w:val="auto"/>
          <w:sz w:val="32"/>
          <w:szCs w:val="32"/>
          <w:highlight w:val="none"/>
        </w:rPr>
        <w:t>项）</w:t>
      </w:r>
      <w:r>
        <w:rPr>
          <w:rStyle w:val="19"/>
          <w:rFonts w:hint="eastAsia" w:ascii="仿宋" w:hAnsi="仿宋" w:eastAsia="仿宋"/>
          <w:b w:val="0"/>
          <w:bCs/>
          <w:color w:val="auto"/>
          <w:sz w:val="32"/>
          <w:szCs w:val="32"/>
          <w:highlight w:val="none"/>
          <w:lang w:eastAsia="zh-CN"/>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83.11</w:t>
      </w:r>
      <w:r>
        <w:rPr>
          <w:rStyle w:val="19"/>
          <w:rFonts w:hint="eastAsia" w:ascii="仿宋" w:hAnsi="仿宋" w:eastAsia="仿宋"/>
          <w:b w:val="0"/>
          <w:bCs/>
          <w:color w:val="auto"/>
          <w:sz w:val="32"/>
          <w:szCs w:val="32"/>
          <w:highlight w:val="none"/>
          <w:lang w:eastAsia="zh-CN"/>
        </w:rPr>
        <w:t>万元，</w:t>
      </w:r>
      <w:r>
        <w:rPr>
          <w:rStyle w:val="19"/>
          <w:rFonts w:hint="eastAsia" w:ascii="仿宋" w:hAnsi="仿宋" w:eastAsia="仿宋"/>
          <w:b w:val="0"/>
          <w:bCs/>
          <w:color w:val="auto"/>
          <w:sz w:val="32"/>
          <w:szCs w:val="32"/>
          <w:highlight w:val="none"/>
        </w:rPr>
        <w:t>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pPr>
        <w:pStyle w:val="2"/>
        <w:ind w:firstLine="640" w:firstLineChars="200"/>
        <w:rPr>
          <w:rStyle w:val="19"/>
          <w:rFonts w:hint="eastAsia" w:ascii="仿宋" w:hAnsi="仿宋" w:eastAsia="仿宋"/>
          <w:b w:val="0"/>
          <w:bCs/>
          <w:color w:val="auto"/>
          <w:sz w:val="32"/>
          <w:szCs w:val="32"/>
          <w:highlight w:val="none"/>
        </w:rPr>
      </w:pPr>
      <w:r>
        <w:rPr>
          <w:rStyle w:val="19"/>
          <w:rFonts w:hint="eastAsia" w:ascii="仿宋" w:hAnsi="仿宋" w:eastAsia="仿宋"/>
          <w:b w:val="0"/>
          <w:bCs/>
          <w:color w:val="auto"/>
          <w:sz w:val="32"/>
          <w:szCs w:val="32"/>
          <w:highlight w:val="none"/>
          <w:lang w:val="en-US" w:eastAsia="zh-CN"/>
        </w:rPr>
        <w:t>6.</w:t>
      </w:r>
      <w:r>
        <w:rPr>
          <w:rFonts w:hint="eastAsia" w:ascii="仿宋" w:hAnsi="仿宋" w:eastAsia="仿宋" w:cs="Times New Roman"/>
          <w:color w:val="auto"/>
          <w:kern w:val="2"/>
          <w:sz w:val="32"/>
          <w:szCs w:val="32"/>
          <w:highlight w:val="none"/>
          <w:lang w:val="en-US" w:eastAsia="zh-CN" w:bidi="ar-SA"/>
        </w:rPr>
        <w:t>节能环保支出</w:t>
      </w:r>
      <w:r>
        <w:rPr>
          <w:rStyle w:val="19"/>
          <w:rFonts w:hint="eastAsia" w:ascii="仿宋" w:hAnsi="仿宋" w:eastAsia="仿宋"/>
          <w:b w:val="0"/>
          <w:bCs/>
          <w:color w:val="auto"/>
          <w:sz w:val="32"/>
          <w:szCs w:val="32"/>
          <w:highlight w:val="none"/>
        </w:rPr>
        <w:t>（类）污染防治</w:t>
      </w:r>
      <w:r>
        <w:rPr>
          <w:rStyle w:val="19"/>
          <w:rFonts w:hint="eastAsia" w:ascii="仿宋" w:hAnsi="仿宋" w:eastAsia="仿宋"/>
          <w:b w:val="0"/>
          <w:bCs/>
          <w:color w:val="auto"/>
          <w:sz w:val="32"/>
          <w:szCs w:val="32"/>
          <w:highlight w:val="none"/>
          <w:lang w:val="en-US" w:eastAsia="zh-CN"/>
        </w:rPr>
        <w:t>（款）大气（</w:t>
      </w:r>
      <w:r>
        <w:rPr>
          <w:rStyle w:val="19"/>
          <w:rFonts w:hint="eastAsia" w:ascii="仿宋" w:hAnsi="仿宋" w:eastAsia="仿宋"/>
          <w:b w:val="0"/>
          <w:bCs/>
          <w:color w:val="auto"/>
          <w:sz w:val="32"/>
          <w:szCs w:val="32"/>
          <w:highlight w:val="none"/>
        </w:rPr>
        <w:t>项）</w:t>
      </w:r>
      <w:r>
        <w:rPr>
          <w:rStyle w:val="19"/>
          <w:rFonts w:hint="eastAsia" w:ascii="仿宋" w:hAnsi="仿宋" w:eastAsia="仿宋"/>
          <w:b w:val="0"/>
          <w:bCs/>
          <w:color w:val="auto"/>
          <w:sz w:val="32"/>
          <w:szCs w:val="32"/>
          <w:highlight w:val="none"/>
          <w:lang w:eastAsia="zh-CN"/>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10.00</w:t>
      </w:r>
      <w:r>
        <w:rPr>
          <w:rStyle w:val="19"/>
          <w:rFonts w:hint="eastAsia" w:ascii="仿宋" w:hAnsi="仿宋" w:eastAsia="仿宋"/>
          <w:b w:val="0"/>
          <w:bCs/>
          <w:color w:val="auto"/>
          <w:sz w:val="32"/>
          <w:szCs w:val="32"/>
          <w:highlight w:val="none"/>
          <w:lang w:eastAsia="zh-CN"/>
        </w:rPr>
        <w:t>万元，</w:t>
      </w:r>
      <w:r>
        <w:rPr>
          <w:rStyle w:val="19"/>
          <w:rFonts w:hint="eastAsia" w:ascii="仿宋" w:hAnsi="仿宋" w:eastAsia="仿宋"/>
          <w:b w:val="0"/>
          <w:bCs/>
          <w:color w:val="auto"/>
          <w:sz w:val="32"/>
          <w:szCs w:val="32"/>
          <w:highlight w:val="none"/>
        </w:rPr>
        <w:t>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pPr>
        <w:pStyle w:val="2"/>
        <w:ind w:firstLine="640" w:firstLineChars="200"/>
        <w:rPr>
          <w:rStyle w:val="19"/>
          <w:rFonts w:hint="eastAsia" w:ascii="仿宋" w:hAnsi="仿宋" w:eastAsia="仿宋"/>
          <w:b w:val="0"/>
          <w:bCs/>
          <w:color w:val="auto"/>
          <w:sz w:val="32"/>
          <w:szCs w:val="32"/>
          <w:highlight w:val="none"/>
        </w:rPr>
      </w:pPr>
      <w:r>
        <w:rPr>
          <w:rStyle w:val="19"/>
          <w:rFonts w:hint="eastAsia" w:ascii="仿宋" w:hAnsi="仿宋" w:eastAsia="仿宋"/>
          <w:b w:val="0"/>
          <w:bCs/>
          <w:color w:val="auto"/>
          <w:sz w:val="32"/>
          <w:szCs w:val="32"/>
          <w:highlight w:val="none"/>
          <w:lang w:val="en-US" w:eastAsia="zh-CN"/>
        </w:rPr>
        <w:t>7.</w:t>
      </w:r>
      <w:r>
        <w:rPr>
          <w:rFonts w:hint="eastAsia" w:ascii="仿宋" w:hAnsi="仿宋" w:eastAsia="仿宋" w:cs="Times New Roman"/>
          <w:color w:val="auto"/>
          <w:kern w:val="2"/>
          <w:sz w:val="32"/>
          <w:szCs w:val="32"/>
          <w:highlight w:val="none"/>
          <w:lang w:val="en-US" w:eastAsia="zh-CN" w:bidi="ar-SA"/>
        </w:rPr>
        <w:t>节能环保支出</w:t>
      </w:r>
      <w:r>
        <w:rPr>
          <w:rStyle w:val="19"/>
          <w:rFonts w:hint="eastAsia" w:ascii="仿宋" w:hAnsi="仿宋" w:eastAsia="仿宋"/>
          <w:b w:val="0"/>
          <w:bCs/>
          <w:color w:val="auto"/>
          <w:sz w:val="32"/>
          <w:szCs w:val="32"/>
          <w:highlight w:val="none"/>
        </w:rPr>
        <w:t>（类）污染防治</w:t>
      </w:r>
      <w:r>
        <w:rPr>
          <w:rStyle w:val="19"/>
          <w:rFonts w:hint="eastAsia" w:ascii="仿宋" w:hAnsi="仿宋" w:eastAsia="仿宋"/>
          <w:b w:val="0"/>
          <w:bCs/>
          <w:color w:val="auto"/>
          <w:sz w:val="32"/>
          <w:szCs w:val="32"/>
          <w:highlight w:val="none"/>
          <w:lang w:val="en-US" w:eastAsia="zh-CN"/>
        </w:rPr>
        <w:t>（款）水体（</w:t>
      </w:r>
      <w:r>
        <w:rPr>
          <w:rStyle w:val="19"/>
          <w:rFonts w:hint="eastAsia" w:ascii="仿宋" w:hAnsi="仿宋" w:eastAsia="仿宋"/>
          <w:b w:val="0"/>
          <w:bCs/>
          <w:color w:val="auto"/>
          <w:sz w:val="32"/>
          <w:szCs w:val="32"/>
          <w:highlight w:val="none"/>
        </w:rPr>
        <w:t>项）</w:t>
      </w:r>
      <w:r>
        <w:rPr>
          <w:rStyle w:val="19"/>
          <w:rFonts w:hint="eastAsia" w:ascii="仿宋" w:hAnsi="仿宋" w:eastAsia="仿宋"/>
          <w:b w:val="0"/>
          <w:bCs/>
          <w:color w:val="auto"/>
          <w:sz w:val="32"/>
          <w:szCs w:val="32"/>
          <w:highlight w:val="none"/>
          <w:lang w:eastAsia="zh-CN"/>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30.00</w:t>
      </w:r>
      <w:r>
        <w:rPr>
          <w:rStyle w:val="19"/>
          <w:rFonts w:hint="eastAsia" w:ascii="仿宋" w:hAnsi="仿宋" w:eastAsia="仿宋"/>
          <w:b w:val="0"/>
          <w:bCs/>
          <w:color w:val="auto"/>
          <w:sz w:val="32"/>
          <w:szCs w:val="32"/>
          <w:highlight w:val="none"/>
          <w:lang w:eastAsia="zh-CN"/>
        </w:rPr>
        <w:t>万元，</w:t>
      </w:r>
      <w:r>
        <w:rPr>
          <w:rStyle w:val="19"/>
          <w:rFonts w:hint="eastAsia" w:ascii="仿宋" w:hAnsi="仿宋" w:eastAsia="仿宋"/>
          <w:b w:val="0"/>
          <w:bCs/>
          <w:color w:val="auto"/>
          <w:sz w:val="32"/>
          <w:szCs w:val="32"/>
          <w:highlight w:val="none"/>
        </w:rPr>
        <w:t>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pPr>
        <w:pStyle w:val="2"/>
        <w:ind w:firstLine="640" w:firstLineChars="200"/>
        <w:rPr>
          <w:rStyle w:val="19"/>
          <w:rFonts w:hint="eastAsia" w:ascii="仿宋" w:hAnsi="仿宋" w:eastAsia="仿宋"/>
          <w:b w:val="0"/>
          <w:bCs/>
          <w:color w:val="auto"/>
          <w:sz w:val="32"/>
          <w:szCs w:val="32"/>
          <w:highlight w:val="none"/>
        </w:rPr>
      </w:pPr>
      <w:r>
        <w:rPr>
          <w:rStyle w:val="19"/>
          <w:rFonts w:hint="eastAsia" w:ascii="仿宋" w:hAnsi="仿宋" w:eastAsia="仿宋"/>
          <w:b w:val="0"/>
          <w:bCs/>
          <w:color w:val="auto"/>
          <w:sz w:val="32"/>
          <w:szCs w:val="32"/>
          <w:highlight w:val="none"/>
          <w:lang w:val="en-US" w:eastAsia="zh-CN"/>
        </w:rPr>
        <w:t>8.</w:t>
      </w:r>
      <w:r>
        <w:rPr>
          <w:rFonts w:hint="eastAsia" w:ascii="仿宋" w:hAnsi="仿宋" w:eastAsia="仿宋" w:cs="Times New Roman"/>
          <w:color w:val="auto"/>
          <w:kern w:val="2"/>
          <w:sz w:val="32"/>
          <w:szCs w:val="32"/>
          <w:highlight w:val="none"/>
          <w:lang w:val="en-US" w:eastAsia="zh-CN" w:bidi="ar-SA"/>
        </w:rPr>
        <w:t>节能环保支出</w:t>
      </w:r>
      <w:r>
        <w:rPr>
          <w:rStyle w:val="19"/>
          <w:rFonts w:hint="eastAsia" w:ascii="仿宋" w:hAnsi="仿宋" w:eastAsia="仿宋"/>
          <w:b w:val="0"/>
          <w:bCs/>
          <w:color w:val="auto"/>
          <w:sz w:val="32"/>
          <w:szCs w:val="32"/>
          <w:highlight w:val="none"/>
        </w:rPr>
        <w:t>（类）污染防治</w:t>
      </w:r>
      <w:r>
        <w:rPr>
          <w:rStyle w:val="19"/>
          <w:rFonts w:hint="eastAsia" w:ascii="仿宋" w:hAnsi="仿宋" w:eastAsia="仿宋"/>
          <w:b w:val="0"/>
          <w:bCs/>
          <w:color w:val="auto"/>
          <w:sz w:val="32"/>
          <w:szCs w:val="32"/>
          <w:highlight w:val="none"/>
          <w:lang w:val="en-US" w:eastAsia="zh-CN"/>
        </w:rPr>
        <w:t>（款）其他污染防治支出（</w:t>
      </w:r>
      <w:r>
        <w:rPr>
          <w:rStyle w:val="19"/>
          <w:rFonts w:hint="eastAsia" w:ascii="仿宋" w:hAnsi="仿宋" w:eastAsia="仿宋"/>
          <w:b w:val="0"/>
          <w:bCs/>
          <w:color w:val="auto"/>
          <w:sz w:val="32"/>
          <w:szCs w:val="32"/>
          <w:highlight w:val="none"/>
        </w:rPr>
        <w:t>项）</w:t>
      </w:r>
      <w:r>
        <w:rPr>
          <w:rStyle w:val="19"/>
          <w:rFonts w:hint="eastAsia" w:ascii="仿宋" w:hAnsi="仿宋" w:eastAsia="仿宋"/>
          <w:b w:val="0"/>
          <w:bCs/>
          <w:color w:val="auto"/>
          <w:sz w:val="32"/>
          <w:szCs w:val="32"/>
          <w:highlight w:val="none"/>
          <w:lang w:eastAsia="zh-CN"/>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63.45</w:t>
      </w:r>
      <w:r>
        <w:rPr>
          <w:rStyle w:val="19"/>
          <w:rFonts w:hint="eastAsia" w:ascii="仿宋" w:hAnsi="仿宋" w:eastAsia="仿宋"/>
          <w:b w:val="0"/>
          <w:bCs/>
          <w:color w:val="auto"/>
          <w:sz w:val="32"/>
          <w:szCs w:val="32"/>
          <w:highlight w:val="none"/>
          <w:lang w:eastAsia="zh-CN"/>
        </w:rPr>
        <w:t>万元，</w:t>
      </w:r>
      <w:r>
        <w:rPr>
          <w:rStyle w:val="19"/>
          <w:rFonts w:hint="eastAsia" w:ascii="仿宋" w:hAnsi="仿宋" w:eastAsia="仿宋"/>
          <w:b w:val="0"/>
          <w:bCs/>
          <w:color w:val="auto"/>
          <w:sz w:val="32"/>
          <w:szCs w:val="32"/>
          <w:highlight w:val="none"/>
        </w:rPr>
        <w:t>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pPr>
        <w:pStyle w:val="2"/>
        <w:ind w:firstLine="640" w:firstLineChars="200"/>
        <w:rPr>
          <w:rStyle w:val="19"/>
          <w:rFonts w:hint="eastAsia" w:ascii="仿宋" w:hAnsi="仿宋" w:eastAsia="仿宋"/>
          <w:b w:val="0"/>
          <w:bCs/>
          <w:color w:val="auto"/>
          <w:sz w:val="32"/>
          <w:szCs w:val="32"/>
          <w:highlight w:val="none"/>
        </w:rPr>
      </w:pPr>
      <w:r>
        <w:rPr>
          <w:rStyle w:val="19"/>
          <w:rFonts w:hint="eastAsia" w:ascii="仿宋" w:hAnsi="仿宋" w:eastAsia="仿宋"/>
          <w:b w:val="0"/>
          <w:bCs/>
          <w:color w:val="auto"/>
          <w:sz w:val="32"/>
          <w:szCs w:val="32"/>
          <w:highlight w:val="none"/>
          <w:lang w:val="en-US" w:eastAsia="zh-CN"/>
        </w:rPr>
        <w:t>9.</w:t>
      </w:r>
      <w:r>
        <w:rPr>
          <w:rFonts w:hint="eastAsia" w:ascii="仿宋" w:hAnsi="仿宋" w:eastAsia="仿宋" w:cs="Times New Roman"/>
          <w:color w:val="auto"/>
          <w:kern w:val="2"/>
          <w:sz w:val="32"/>
          <w:szCs w:val="32"/>
          <w:highlight w:val="none"/>
          <w:lang w:val="en-US" w:eastAsia="zh-CN" w:bidi="ar-SA"/>
        </w:rPr>
        <w:t>节能环保支出</w:t>
      </w:r>
      <w:r>
        <w:rPr>
          <w:rStyle w:val="19"/>
          <w:rFonts w:hint="eastAsia" w:ascii="仿宋" w:hAnsi="仿宋" w:eastAsia="仿宋"/>
          <w:b w:val="0"/>
          <w:bCs/>
          <w:color w:val="auto"/>
          <w:sz w:val="32"/>
          <w:szCs w:val="32"/>
          <w:highlight w:val="none"/>
        </w:rPr>
        <w:t>（类）污染减排</w:t>
      </w:r>
      <w:r>
        <w:rPr>
          <w:rStyle w:val="19"/>
          <w:rFonts w:hint="eastAsia" w:ascii="仿宋" w:hAnsi="仿宋" w:eastAsia="仿宋"/>
          <w:b w:val="0"/>
          <w:bCs/>
          <w:color w:val="auto"/>
          <w:sz w:val="32"/>
          <w:szCs w:val="32"/>
          <w:highlight w:val="none"/>
          <w:lang w:val="en-US" w:eastAsia="zh-CN"/>
        </w:rPr>
        <w:t>（款）生态环境监测与信息（</w:t>
      </w:r>
      <w:r>
        <w:rPr>
          <w:rStyle w:val="19"/>
          <w:rFonts w:hint="eastAsia" w:ascii="仿宋" w:hAnsi="仿宋" w:eastAsia="仿宋"/>
          <w:b w:val="0"/>
          <w:bCs/>
          <w:color w:val="auto"/>
          <w:sz w:val="32"/>
          <w:szCs w:val="32"/>
          <w:highlight w:val="none"/>
        </w:rPr>
        <w:t>项）</w:t>
      </w:r>
      <w:r>
        <w:rPr>
          <w:rStyle w:val="19"/>
          <w:rFonts w:hint="eastAsia" w:ascii="仿宋" w:hAnsi="仿宋" w:eastAsia="仿宋"/>
          <w:b w:val="0"/>
          <w:bCs/>
          <w:color w:val="auto"/>
          <w:sz w:val="32"/>
          <w:szCs w:val="32"/>
          <w:highlight w:val="none"/>
          <w:lang w:eastAsia="zh-CN"/>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136</w:t>
      </w:r>
      <w:r>
        <w:rPr>
          <w:rStyle w:val="19"/>
          <w:rFonts w:hint="eastAsia" w:ascii="仿宋" w:hAnsi="仿宋" w:eastAsia="仿宋"/>
          <w:b w:val="0"/>
          <w:bCs/>
          <w:color w:val="auto"/>
          <w:sz w:val="32"/>
          <w:szCs w:val="32"/>
          <w:highlight w:val="none"/>
          <w:lang w:eastAsia="zh-CN"/>
        </w:rPr>
        <w:t>万元，</w:t>
      </w:r>
      <w:r>
        <w:rPr>
          <w:rStyle w:val="19"/>
          <w:rFonts w:hint="eastAsia" w:ascii="仿宋" w:hAnsi="仿宋" w:eastAsia="仿宋"/>
          <w:b w:val="0"/>
          <w:bCs/>
          <w:color w:val="auto"/>
          <w:sz w:val="32"/>
          <w:szCs w:val="32"/>
          <w:highlight w:val="none"/>
        </w:rPr>
        <w:t>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pPr>
        <w:pStyle w:val="2"/>
        <w:ind w:firstLine="640" w:firstLineChars="200"/>
        <w:rPr>
          <w:rStyle w:val="19"/>
          <w:rFonts w:hint="default" w:ascii="仿宋" w:hAnsi="仿宋" w:eastAsia="仿宋"/>
          <w:b w:val="0"/>
          <w:bCs/>
          <w:color w:val="auto"/>
          <w:sz w:val="32"/>
          <w:szCs w:val="32"/>
          <w:highlight w:val="none"/>
          <w:lang w:val="en-US" w:eastAsia="zh-CN"/>
        </w:rPr>
      </w:pPr>
      <w:r>
        <w:rPr>
          <w:rStyle w:val="19"/>
          <w:rFonts w:hint="eastAsia" w:ascii="仿宋" w:hAnsi="仿宋" w:eastAsia="仿宋"/>
          <w:b w:val="0"/>
          <w:bCs/>
          <w:color w:val="auto"/>
          <w:sz w:val="32"/>
          <w:szCs w:val="32"/>
          <w:highlight w:val="none"/>
          <w:lang w:val="en-US" w:eastAsia="zh-CN"/>
        </w:rPr>
        <w:t>10.</w:t>
      </w:r>
      <w:r>
        <w:rPr>
          <w:rFonts w:hint="eastAsia" w:ascii="仿宋" w:hAnsi="仿宋" w:eastAsia="仿宋" w:cs="Times New Roman"/>
          <w:color w:val="auto"/>
          <w:kern w:val="2"/>
          <w:sz w:val="32"/>
          <w:szCs w:val="32"/>
          <w:highlight w:val="none"/>
          <w:lang w:val="en-US" w:eastAsia="zh-CN" w:bidi="ar-SA"/>
        </w:rPr>
        <w:t>节能环保支出</w:t>
      </w:r>
      <w:r>
        <w:rPr>
          <w:rStyle w:val="19"/>
          <w:rFonts w:hint="eastAsia" w:ascii="仿宋" w:hAnsi="仿宋" w:eastAsia="仿宋"/>
          <w:b w:val="0"/>
          <w:bCs/>
          <w:color w:val="auto"/>
          <w:sz w:val="32"/>
          <w:szCs w:val="32"/>
          <w:highlight w:val="none"/>
        </w:rPr>
        <w:t>（类）污染减排</w:t>
      </w:r>
      <w:r>
        <w:rPr>
          <w:rStyle w:val="19"/>
          <w:rFonts w:hint="eastAsia" w:ascii="仿宋" w:hAnsi="仿宋" w:eastAsia="仿宋"/>
          <w:b w:val="0"/>
          <w:bCs/>
          <w:color w:val="auto"/>
          <w:sz w:val="32"/>
          <w:szCs w:val="32"/>
          <w:highlight w:val="none"/>
          <w:lang w:val="en-US" w:eastAsia="zh-CN"/>
        </w:rPr>
        <w:t>（款）生态环境执法监察（</w:t>
      </w:r>
      <w:r>
        <w:rPr>
          <w:rStyle w:val="19"/>
          <w:rFonts w:hint="eastAsia" w:ascii="仿宋" w:hAnsi="仿宋" w:eastAsia="仿宋"/>
          <w:b w:val="0"/>
          <w:bCs/>
          <w:color w:val="auto"/>
          <w:sz w:val="32"/>
          <w:szCs w:val="32"/>
          <w:highlight w:val="none"/>
        </w:rPr>
        <w:t>项）</w:t>
      </w:r>
      <w:r>
        <w:rPr>
          <w:rStyle w:val="19"/>
          <w:rFonts w:hint="eastAsia" w:ascii="仿宋" w:hAnsi="仿宋" w:eastAsia="仿宋"/>
          <w:b w:val="0"/>
          <w:bCs/>
          <w:color w:val="auto"/>
          <w:sz w:val="32"/>
          <w:szCs w:val="32"/>
          <w:highlight w:val="none"/>
          <w:lang w:eastAsia="zh-CN"/>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66.73</w:t>
      </w:r>
      <w:r>
        <w:rPr>
          <w:rStyle w:val="19"/>
          <w:rFonts w:hint="eastAsia" w:ascii="仿宋" w:hAnsi="仿宋" w:eastAsia="仿宋"/>
          <w:b w:val="0"/>
          <w:bCs/>
          <w:color w:val="auto"/>
          <w:sz w:val="32"/>
          <w:szCs w:val="32"/>
          <w:highlight w:val="none"/>
          <w:lang w:eastAsia="zh-CN"/>
        </w:rPr>
        <w:t>万元，</w:t>
      </w:r>
      <w:r>
        <w:rPr>
          <w:rStyle w:val="19"/>
          <w:rFonts w:hint="eastAsia" w:ascii="仿宋" w:hAnsi="仿宋" w:eastAsia="仿宋"/>
          <w:b w:val="0"/>
          <w:bCs/>
          <w:color w:val="auto"/>
          <w:sz w:val="32"/>
          <w:szCs w:val="32"/>
          <w:highlight w:val="none"/>
        </w:rPr>
        <w:t>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pPr>
        <w:pStyle w:val="2"/>
        <w:ind w:firstLine="640" w:firstLineChars="200"/>
        <w:rPr>
          <w:rStyle w:val="19"/>
          <w:rFonts w:hint="eastAsia" w:ascii="仿宋" w:hAnsi="仿宋" w:eastAsia="仿宋"/>
          <w:b w:val="0"/>
          <w:bCs/>
          <w:color w:val="auto"/>
          <w:sz w:val="32"/>
          <w:szCs w:val="32"/>
          <w:highlight w:val="none"/>
        </w:rPr>
      </w:pPr>
      <w:r>
        <w:rPr>
          <w:rStyle w:val="19"/>
          <w:rFonts w:hint="eastAsia" w:ascii="仿宋" w:hAnsi="仿宋" w:eastAsia="仿宋"/>
          <w:b w:val="0"/>
          <w:bCs/>
          <w:color w:val="auto"/>
          <w:sz w:val="32"/>
          <w:szCs w:val="32"/>
          <w:highlight w:val="none"/>
          <w:lang w:val="en-US" w:eastAsia="zh-CN"/>
        </w:rPr>
        <w:t>11.住房保障支出</w:t>
      </w:r>
      <w:r>
        <w:rPr>
          <w:rStyle w:val="19"/>
          <w:rFonts w:hint="eastAsia" w:ascii="仿宋" w:hAnsi="仿宋" w:eastAsia="仿宋"/>
          <w:b w:val="0"/>
          <w:bCs/>
          <w:color w:val="auto"/>
          <w:sz w:val="32"/>
          <w:szCs w:val="32"/>
          <w:highlight w:val="none"/>
        </w:rPr>
        <w:t>（类）</w:t>
      </w:r>
      <w:r>
        <w:rPr>
          <w:rStyle w:val="19"/>
          <w:rFonts w:hint="eastAsia" w:ascii="仿宋" w:hAnsi="仿宋" w:eastAsia="仿宋"/>
          <w:b w:val="0"/>
          <w:bCs/>
          <w:color w:val="auto"/>
          <w:sz w:val="32"/>
          <w:szCs w:val="32"/>
          <w:highlight w:val="none"/>
          <w:lang w:val="en-US" w:eastAsia="zh-CN"/>
        </w:rPr>
        <w:t xml:space="preserve">住房改革支出（款）住房公积金（项）: </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42.18</w:t>
      </w:r>
      <w:r>
        <w:rPr>
          <w:rStyle w:val="19"/>
          <w:rFonts w:hint="eastAsia" w:ascii="仿宋" w:hAnsi="仿宋" w:eastAsia="仿宋"/>
          <w:b w:val="0"/>
          <w:bCs/>
          <w:color w:val="auto"/>
          <w:sz w:val="32"/>
          <w:szCs w:val="32"/>
          <w:highlight w:val="none"/>
          <w:lang w:eastAsia="zh-CN"/>
        </w:rPr>
        <w:t>万元，</w:t>
      </w:r>
      <w:r>
        <w:rPr>
          <w:rStyle w:val="19"/>
          <w:rFonts w:hint="eastAsia" w:ascii="仿宋" w:hAnsi="仿宋" w:eastAsia="仿宋"/>
          <w:b w:val="0"/>
          <w:bCs/>
          <w:color w:val="auto"/>
          <w:sz w:val="32"/>
          <w:szCs w:val="32"/>
          <w:highlight w:val="none"/>
        </w:rPr>
        <w:t>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p>
    <w:p>
      <w:pPr>
        <w:pStyle w:val="29"/>
        <w:numPr>
          <w:ilvl w:val="0"/>
          <w:numId w:val="1"/>
        </w:numPr>
        <w:spacing w:line="600" w:lineRule="exact"/>
        <w:ind w:left="1350" w:leftChars="0" w:firstLineChars="0"/>
        <w:outlineLvl w:val="1"/>
        <w:rPr>
          <w:rFonts w:hint="eastAsia" w:ascii="黑体" w:hAnsi="黑体" w:eastAsia="黑体"/>
          <w:color w:val="auto"/>
          <w:sz w:val="32"/>
          <w:szCs w:val="32"/>
          <w:highlight w:val="none"/>
        </w:rPr>
      </w:pPr>
      <w:bookmarkStart w:id="29" w:name="_Toc15396608"/>
      <w:bookmarkStart w:id="30" w:name="六、一般公共预算财政拨款基本支出决算情况说明"/>
      <w:r>
        <w:rPr>
          <w:rFonts w:hint="eastAsia" w:ascii="黑体" w:hAnsi="黑体" w:eastAsia="黑体"/>
          <w:color w:val="auto"/>
          <w:sz w:val="32"/>
          <w:szCs w:val="32"/>
          <w:highlight w:val="none"/>
        </w:rPr>
        <w:t>一般公共预算财政拨款基本支出决算情况说明</w:t>
      </w:r>
      <w:bookmarkEnd w:id="29"/>
      <w:bookmarkEnd w:id="30"/>
      <w:r>
        <w:rPr>
          <w:rFonts w:hint="eastAsia" w:ascii="黑体" w:hAnsi="黑体" w:eastAsia="黑体"/>
          <w:color w:val="auto"/>
          <w:sz w:val="32"/>
          <w:szCs w:val="32"/>
          <w:highlight w:val="none"/>
        </w:rPr>
        <w:tab/>
      </w:r>
    </w:p>
    <w:p>
      <w:pPr>
        <w:spacing w:line="600" w:lineRule="exact"/>
        <w:ind w:firstLine="645"/>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年一般公共预算财政拨款基本支出</w:t>
      </w:r>
      <w:r>
        <w:rPr>
          <w:rFonts w:hint="eastAsia" w:ascii="仿宋" w:hAnsi="仿宋" w:eastAsia="仿宋"/>
          <w:color w:val="auto"/>
          <w:sz w:val="32"/>
          <w:szCs w:val="32"/>
          <w:highlight w:val="none"/>
          <w:lang w:val="en-US" w:eastAsia="zh-CN"/>
        </w:rPr>
        <w:t>461.11</w:t>
      </w:r>
      <w:r>
        <w:rPr>
          <w:rFonts w:hint="eastAsia" w:ascii="仿宋" w:hAnsi="仿宋" w:eastAsia="仿宋"/>
          <w:color w:val="auto"/>
          <w:sz w:val="32"/>
          <w:szCs w:val="32"/>
          <w:highlight w:val="none"/>
        </w:rPr>
        <w:t>万元，其中：</w:t>
      </w:r>
    </w:p>
    <w:p>
      <w:pPr>
        <w:spacing w:line="600" w:lineRule="exact"/>
        <w:ind w:firstLine="645"/>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378.15</w:t>
      </w:r>
      <w:r>
        <w:rPr>
          <w:rFonts w:hint="eastAsia" w:ascii="仿宋" w:hAnsi="仿宋" w:eastAsia="仿宋"/>
          <w:color w:val="auto"/>
          <w:sz w:val="32"/>
          <w:szCs w:val="32"/>
          <w:highlight w:val="none"/>
        </w:rPr>
        <w:t>万元，主要包括：基本工资、津贴补贴、奖金、机关事业单位基本养老保险缴费、职工基本医疗保险缴费</w:t>
      </w:r>
      <w:r>
        <w:rPr>
          <w:rFonts w:hint="eastAsia" w:ascii="仿宋" w:hAnsi="仿宋" w:eastAsia="仿宋"/>
          <w:color w:val="auto"/>
          <w:sz w:val="32"/>
          <w:szCs w:val="32"/>
          <w:highlight w:val="none"/>
          <w:lang w:eastAsia="zh-CN"/>
        </w:rPr>
        <w:t>、公务员医疗补助缴费、</w:t>
      </w:r>
      <w:r>
        <w:rPr>
          <w:rFonts w:hint="eastAsia" w:ascii="仿宋" w:hAnsi="仿宋" w:eastAsia="仿宋"/>
          <w:color w:val="auto"/>
          <w:sz w:val="32"/>
          <w:szCs w:val="32"/>
          <w:highlight w:val="none"/>
          <w:lang w:val="en-US" w:eastAsia="zh-CN"/>
        </w:rPr>
        <w:t>其他社会保障缴费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住房公积金</w:t>
      </w:r>
      <w:r>
        <w:rPr>
          <w:rFonts w:hint="eastAsia" w:ascii="仿宋" w:hAnsi="仿宋" w:eastAsia="仿宋"/>
          <w:color w:val="auto"/>
          <w:sz w:val="32"/>
          <w:szCs w:val="32"/>
          <w:highlight w:val="none"/>
          <w:lang w:eastAsia="zh-CN"/>
        </w:rPr>
        <w:t>、其他工资福利支出、</w:t>
      </w:r>
      <w:r>
        <w:rPr>
          <w:rFonts w:hint="eastAsia" w:ascii="仿宋" w:hAnsi="仿宋" w:eastAsia="仿宋"/>
          <w:color w:val="auto"/>
          <w:sz w:val="32"/>
          <w:szCs w:val="32"/>
          <w:highlight w:val="none"/>
          <w:lang w:val="en-US" w:eastAsia="zh-CN"/>
        </w:rPr>
        <w:t>抚恤金、</w:t>
      </w:r>
      <w:r>
        <w:rPr>
          <w:rFonts w:hint="eastAsia" w:ascii="仿宋" w:hAnsi="仿宋" w:eastAsia="仿宋"/>
          <w:color w:val="auto"/>
          <w:sz w:val="32"/>
          <w:szCs w:val="32"/>
          <w:highlight w:val="none"/>
        </w:rPr>
        <w:t>生活补助、奖励金。</w:t>
      </w:r>
    </w:p>
    <w:p>
      <w:pPr>
        <w:spacing w:line="600"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rPr>
        <w:t>公用经费</w:t>
      </w:r>
      <w:r>
        <w:rPr>
          <w:rFonts w:hint="eastAsia" w:ascii="仿宋" w:hAnsi="仿宋" w:eastAsia="仿宋"/>
          <w:color w:val="auto"/>
          <w:sz w:val="32"/>
          <w:szCs w:val="32"/>
          <w:highlight w:val="none"/>
          <w:lang w:val="en-US" w:eastAsia="zh-CN"/>
        </w:rPr>
        <w:t>82.96</w:t>
      </w:r>
      <w:r>
        <w:rPr>
          <w:rFonts w:hint="eastAsia" w:ascii="仿宋" w:hAnsi="仿宋" w:eastAsia="仿宋"/>
          <w:color w:val="auto"/>
          <w:sz w:val="32"/>
          <w:szCs w:val="32"/>
          <w:highlight w:val="none"/>
        </w:rPr>
        <w:t>万元，主要包括：办公费、</w:t>
      </w:r>
      <w:r>
        <w:rPr>
          <w:rFonts w:hint="eastAsia" w:ascii="仿宋" w:hAnsi="仿宋" w:eastAsia="仿宋"/>
          <w:color w:val="auto"/>
          <w:sz w:val="32"/>
          <w:szCs w:val="32"/>
          <w:highlight w:val="none"/>
          <w:lang w:val="en-US" w:eastAsia="zh-CN"/>
        </w:rPr>
        <w:t>印刷费、</w:t>
      </w:r>
      <w:r>
        <w:rPr>
          <w:rFonts w:hint="eastAsia" w:ascii="仿宋" w:hAnsi="仿宋" w:eastAsia="仿宋"/>
          <w:color w:val="auto"/>
          <w:sz w:val="32"/>
          <w:szCs w:val="32"/>
          <w:highlight w:val="none"/>
        </w:rPr>
        <w:t>水费、电费、邮电费、差旅费、维修（护）费、</w:t>
      </w:r>
      <w:r>
        <w:rPr>
          <w:rFonts w:hint="eastAsia" w:ascii="仿宋" w:hAnsi="仿宋" w:eastAsia="仿宋"/>
          <w:color w:val="auto"/>
          <w:sz w:val="32"/>
          <w:szCs w:val="32"/>
          <w:highlight w:val="none"/>
          <w:lang w:val="en-US" w:eastAsia="zh-CN"/>
        </w:rPr>
        <w:t>公务接待费、</w:t>
      </w:r>
      <w:r>
        <w:rPr>
          <w:rFonts w:hint="eastAsia" w:ascii="仿宋" w:hAnsi="仿宋" w:eastAsia="仿宋"/>
          <w:color w:val="auto"/>
          <w:sz w:val="32"/>
          <w:szCs w:val="32"/>
          <w:highlight w:val="none"/>
        </w:rPr>
        <w:t>工会经费、福利费、</w:t>
      </w:r>
      <w:r>
        <w:rPr>
          <w:rFonts w:hint="eastAsia" w:ascii="仿宋" w:hAnsi="仿宋" w:eastAsia="仿宋"/>
          <w:color w:val="auto"/>
          <w:sz w:val="32"/>
          <w:szCs w:val="32"/>
          <w:highlight w:val="none"/>
          <w:lang w:val="en-US" w:eastAsia="zh-CN"/>
        </w:rPr>
        <w:t>公务用车运行维护费、</w:t>
      </w:r>
      <w:r>
        <w:rPr>
          <w:rFonts w:hint="eastAsia" w:ascii="仿宋" w:hAnsi="仿宋" w:eastAsia="仿宋"/>
          <w:color w:val="auto"/>
          <w:sz w:val="32"/>
          <w:szCs w:val="32"/>
          <w:highlight w:val="none"/>
        </w:rPr>
        <w:t>其他交通费</w:t>
      </w:r>
      <w:r>
        <w:rPr>
          <w:rFonts w:hint="eastAsia" w:ascii="仿宋" w:hAnsi="仿宋" w:eastAsia="仿宋"/>
          <w:color w:val="auto"/>
          <w:sz w:val="32"/>
          <w:szCs w:val="32"/>
          <w:highlight w:val="none"/>
          <w:lang w:val="en-US" w:eastAsia="zh-CN"/>
        </w:rPr>
        <w:t>用</w:t>
      </w:r>
      <w:r>
        <w:rPr>
          <w:rFonts w:hint="eastAsia" w:ascii="仿宋" w:hAnsi="仿宋" w:eastAsia="仿宋"/>
          <w:color w:val="auto"/>
          <w:sz w:val="32"/>
          <w:szCs w:val="32"/>
          <w:highlight w:val="none"/>
        </w:rPr>
        <w:t>、其他商品和服务支出。</w:t>
      </w:r>
    </w:p>
    <w:p>
      <w:pPr>
        <w:pStyle w:val="29"/>
        <w:numPr>
          <w:ilvl w:val="0"/>
          <w:numId w:val="1"/>
        </w:numPr>
        <w:spacing w:line="600" w:lineRule="exact"/>
        <w:ind w:left="1350" w:leftChars="0" w:firstLineChars="0"/>
        <w:outlineLvl w:val="1"/>
        <w:rPr>
          <w:rFonts w:hint="eastAsia" w:ascii="黑体" w:hAnsi="黑体" w:eastAsia="黑体"/>
          <w:color w:val="auto"/>
          <w:sz w:val="32"/>
          <w:szCs w:val="32"/>
          <w:highlight w:val="none"/>
        </w:rPr>
      </w:pPr>
      <w:bookmarkStart w:id="31" w:name="_Toc15396609"/>
      <w:bookmarkStart w:id="32" w:name="七、“三公”经费财政拨款支出决算情况说明"/>
      <w:r>
        <w:rPr>
          <w:rFonts w:hint="eastAsia" w:ascii="黑体" w:hAnsi="黑体" w:eastAsia="黑体"/>
          <w:color w:val="auto"/>
          <w:sz w:val="32"/>
          <w:szCs w:val="32"/>
          <w:highlight w:val="none"/>
        </w:rPr>
        <w:t>“三公”经费财政拨款支出决算情况说明</w:t>
      </w:r>
      <w:bookmarkEnd w:id="31"/>
    </w:p>
    <w:bookmarkEnd w:id="32"/>
    <w:p>
      <w:pPr>
        <w:spacing w:line="600" w:lineRule="exact"/>
        <w:ind w:firstLine="640"/>
        <w:outlineLvl w:val="2"/>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（一）“三公”经费财政拨款支出决算总体情况说明</w:t>
      </w:r>
    </w:p>
    <w:p>
      <w:pPr>
        <w:spacing w:line="600" w:lineRule="exact"/>
        <w:ind w:firstLine="640"/>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20</w:t>
      </w:r>
      <w:r>
        <w:rPr>
          <w:rFonts w:hint="eastAsia" w:ascii="仿宋" w:hAnsi="仿宋" w:eastAsia="仿宋" w:cs="仿宋"/>
          <w:color w:val="000000" w:themeColor="text1"/>
          <w:sz w:val="32"/>
          <w:szCs w:val="32"/>
          <w:highlight w:val="none"/>
          <w:lang w:val="en-US" w:eastAsia="zh-CN"/>
          <w14:textFill>
            <w14:solidFill>
              <w14:schemeClr w14:val="tx1"/>
            </w14:solidFill>
          </w14:textFill>
        </w:rPr>
        <w:t>23</w:t>
      </w:r>
      <w:r>
        <w:rPr>
          <w:rFonts w:hint="eastAsia" w:ascii="仿宋" w:hAnsi="仿宋" w:eastAsia="仿宋" w:cs="仿宋"/>
          <w:color w:val="000000" w:themeColor="text1"/>
          <w:sz w:val="32"/>
          <w:szCs w:val="32"/>
          <w:highlight w:val="none"/>
          <w14:textFill>
            <w14:solidFill>
              <w14:schemeClr w14:val="tx1"/>
            </w14:solidFill>
          </w14:textFill>
        </w:rPr>
        <w:t>年“三公”经费财政拨款支出决算为</w:t>
      </w:r>
      <w:r>
        <w:rPr>
          <w:rFonts w:hint="eastAsia" w:ascii="仿宋" w:hAnsi="仿宋" w:eastAsia="仿宋" w:cs="仿宋"/>
          <w:color w:val="000000" w:themeColor="text1"/>
          <w:sz w:val="32"/>
          <w:szCs w:val="32"/>
          <w:highlight w:val="none"/>
          <w:lang w:val="en-US" w:eastAsia="zh-CN"/>
          <w14:textFill>
            <w14:solidFill>
              <w14:schemeClr w14:val="tx1"/>
            </w14:solidFill>
          </w14:textFill>
        </w:rPr>
        <w:t>8</w:t>
      </w:r>
      <w:r>
        <w:rPr>
          <w:rFonts w:hint="eastAsia" w:ascii="仿宋" w:hAnsi="仿宋" w:eastAsia="仿宋" w:cs="仿宋"/>
          <w:color w:val="000000" w:themeColor="text1"/>
          <w:sz w:val="32"/>
          <w:szCs w:val="32"/>
          <w:highlight w:val="none"/>
          <w14:textFill>
            <w14:solidFill>
              <w14:schemeClr w14:val="tx1"/>
            </w14:solidFill>
          </w14:textFill>
        </w:rPr>
        <w:t>万元，完成预算</w:t>
      </w:r>
      <w:r>
        <w:rPr>
          <w:rFonts w:hint="eastAsia" w:ascii="仿宋" w:hAnsi="仿宋" w:eastAsia="仿宋" w:cs="仿宋"/>
          <w:color w:val="000000" w:themeColor="text1"/>
          <w:sz w:val="32"/>
          <w:szCs w:val="32"/>
          <w:highlight w:val="none"/>
          <w:lang w:val="en-US" w:eastAsia="zh-CN"/>
          <w14:textFill>
            <w14:solidFill>
              <w14:schemeClr w14:val="tx1"/>
            </w14:solidFill>
          </w14:textFill>
        </w:rPr>
        <w:t>100</w:t>
      </w:r>
      <w:r>
        <w:rPr>
          <w:rFonts w:hint="eastAsia" w:ascii="仿宋" w:hAnsi="仿宋" w:eastAsia="仿宋" w:cs="仿宋"/>
          <w:color w:val="000000" w:themeColor="text1"/>
          <w:sz w:val="32"/>
          <w:szCs w:val="32"/>
          <w:highlight w:val="none"/>
          <w14:textFill>
            <w14:solidFill>
              <w14:schemeClr w14:val="tx1"/>
            </w14:solidFill>
          </w14:textFill>
        </w:rPr>
        <w:t>%。</w:t>
      </w:r>
    </w:p>
    <w:p>
      <w:pPr>
        <w:spacing w:line="600" w:lineRule="exact"/>
        <w:ind w:firstLine="640"/>
        <w:outlineLvl w:val="2"/>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（二）“三公”经费财政拨款支出决算具体情况说明</w:t>
      </w:r>
    </w:p>
    <w:p>
      <w:pPr>
        <w:spacing w:line="600" w:lineRule="exact"/>
        <w:ind w:firstLine="640"/>
        <w:rPr>
          <w:rFonts w:hint="eastAsia" w:ascii="仿宋" w:hAnsi="仿宋" w:eastAsia="仿宋" w:cs="仿宋"/>
          <w:color w:val="FF0000"/>
          <w:sz w:val="32"/>
          <w:szCs w:val="32"/>
          <w:highlight w:val="none"/>
          <w:lang w:eastAsia="zh-CN"/>
        </w:rPr>
      </w:pPr>
      <w:r>
        <w:rPr>
          <w:rFonts w:hint="eastAsia" w:ascii="仿宋" w:hAnsi="仿宋" w:eastAsia="仿宋" w:cs="仿宋"/>
          <w:color w:val="000000" w:themeColor="text1"/>
          <w:sz w:val="32"/>
          <w:szCs w:val="32"/>
          <w:highlight w:val="none"/>
          <w14:textFill>
            <w14:solidFill>
              <w14:schemeClr w14:val="tx1"/>
            </w14:solidFill>
          </w14:textFill>
        </w:rPr>
        <w:t>20</w:t>
      </w:r>
      <w:r>
        <w:rPr>
          <w:rFonts w:hint="eastAsia" w:ascii="仿宋" w:hAnsi="仿宋" w:eastAsia="仿宋" w:cs="仿宋"/>
          <w:color w:val="000000" w:themeColor="text1"/>
          <w:sz w:val="32"/>
          <w:szCs w:val="32"/>
          <w:highlight w:val="none"/>
          <w:lang w:val="en-US" w:eastAsia="zh-CN"/>
          <w14:textFill>
            <w14:solidFill>
              <w14:schemeClr w14:val="tx1"/>
            </w14:solidFill>
          </w14:textFill>
        </w:rPr>
        <w:t>22</w:t>
      </w:r>
      <w:r>
        <w:rPr>
          <w:rFonts w:hint="eastAsia" w:ascii="仿宋" w:hAnsi="仿宋" w:eastAsia="仿宋" w:cs="仿宋"/>
          <w:color w:val="000000" w:themeColor="text1"/>
          <w:sz w:val="32"/>
          <w:szCs w:val="32"/>
          <w:highlight w:val="none"/>
          <w14:textFill>
            <w14:solidFill>
              <w14:schemeClr w14:val="tx1"/>
            </w14:solidFill>
          </w14:textFill>
        </w:rPr>
        <w:t>年“三公”经费财政拨款支出决算中，因公出国（境）费支出决算</w:t>
      </w:r>
      <w:r>
        <w:rPr>
          <w:rFonts w:hint="eastAsia" w:ascii="仿宋" w:hAnsi="仿宋" w:eastAsia="仿宋" w:cs="仿宋"/>
          <w:color w:val="000000" w:themeColor="text1"/>
          <w:sz w:val="32"/>
          <w:szCs w:val="32"/>
          <w:highlight w:val="none"/>
          <w:lang w:val="en-US" w:eastAsia="zh-CN"/>
          <w14:textFill>
            <w14:solidFill>
              <w14:schemeClr w14:val="tx1"/>
            </w14:solidFill>
          </w14:textFill>
        </w:rPr>
        <w:t>0</w:t>
      </w:r>
      <w:r>
        <w:rPr>
          <w:rFonts w:hint="eastAsia" w:ascii="仿宋" w:hAnsi="仿宋" w:eastAsia="仿宋" w:cs="仿宋"/>
          <w:color w:val="000000" w:themeColor="text1"/>
          <w:sz w:val="32"/>
          <w:szCs w:val="32"/>
          <w:highlight w:val="none"/>
          <w14:textFill>
            <w14:solidFill>
              <w14:schemeClr w14:val="tx1"/>
            </w14:solidFill>
          </w14:textFill>
        </w:rPr>
        <w:t>万元，占</w:t>
      </w:r>
      <w:r>
        <w:rPr>
          <w:rFonts w:hint="eastAsia" w:ascii="仿宋" w:hAnsi="仿宋" w:eastAsia="仿宋" w:cs="仿宋"/>
          <w:color w:val="000000" w:themeColor="text1"/>
          <w:sz w:val="32"/>
          <w:szCs w:val="32"/>
          <w:highlight w:val="none"/>
          <w:lang w:val="en-US" w:eastAsia="zh-CN"/>
          <w14:textFill>
            <w14:solidFill>
              <w14:schemeClr w14:val="tx1"/>
            </w14:solidFill>
          </w14:textFill>
        </w:rPr>
        <w:t>0</w:t>
      </w:r>
      <w:r>
        <w:rPr>
          <w:rFonts w:hint="eastAsia" w:ascii="仿宋" w:hAnsi="仿宋" w:eastAsia="仿宋" w:cs="仿宋"/>
          <w:color w:val="000000" w:themeColor="text1"/>
          <w:sz w:val="32"/>
          <w:szCs w:val="32"/>
          <w:highlight w:val="none"/>
          <w14:textFill>
            <w14:solidFill>
              <w14:schemeClr w14:val="tx1"/>
            </w14:solidFill>
          </w14:textFill>
        </w:rPr>
        <w:t>%；公务用车购置及运行维护费支出决算</w:t>
      </w:r>
      <w:r>
        <w:rPr>
          <w:rFonts w:hint="eastAsia" w:ascii="仿宋" w:hAnsi="仿宋" w:eastAsia="仿宋" w:cs="仿宋"/>
          <w:color w:val="000000" w:themeColor="text1"/>
          <w:sz w:val="32"/>
          <w:szCs w:val="32"/>
          <w:highlight w:val="none"/>
          <w:lang w:val="en-US" w:eastAsia="zh-CN"/>
          <w14:textFill>
            <w14:solidFill>
              <w14:schemeClr w14:val="tx1"/>
            </w14:solidFill>
          </w14:textFill>
        </w:rPr>
        <w:t>8.00</w:t>
      </w:r>
      <w:r>
        <w:rPr>
          <w:rFonts w:hint="eastAsia" w:ascii="仿宋" w:hAnsi="仿宋" w:eastAsia="仿宋" w:cs="仿宋"/>
          <w:color w:val="000000" w:themeColor="text1"/>
          <w:sz w:val="32"/>
          <w:szCs w:val="32"/>
          <w:highlight w:val="none"/>
          <w14:textFill>
            <w14:solidFill>
              <w14:schemeClr w14:val="tx1"/>
            </w14:solidFill>
          </w14:textFill>
        </w:rPr>
        <w:t>万元，占</w:t>
      </w:r>
      <w:r>
        <w:rPr>
          <w:rFonts w:hint="eastAsia" w:ascii="仿宋" w:hAnsi="仿宋" w:eastAsia="仿宋" w:cs="仿宋"/>
          <w:color w:val="000000" w:themeColor="text1"/>
          <w:sz w:val="32"/>
          <w:szCs w:val="32"/>
          <w:highlight w:val="none"/>
          <w:lang w:val="en-US" w:eastAsia="zh-CN"/>
          <w14:textFill>
            <w14:solidFill>
              <w14:schemeClr w14:val="tx1"/>
            </w14:solidFill>
          </w14:textFill>
        </w:rPr>
        <w:t>100</w:t>
      </w:r>
      <w:r>
        <w:rPr>
          <w:rFonts w:hint="eastAsia" w:ascii="仿宋" w:hAnsi="仿宋" w:eastAsia="仿宋" w:cs="仿宋"/>
          <w:color w:val="000000" w:themeColor="text1"/>
          <w:sz w:val="32"/>
          <w:szCs w:val="32"/>
          <w:highlight w:val="none"/>
          <w14:textFill>
            <w14:solidFill>
              <w14:schemeClr w14:val="tx1"/>
            </w14:solidFill>
          </w14:textFill>
        </w:rPr>
        <w:t>%；公务接待费支出决算</w:t>
      </w:r>
      <w:r>
        <w:rPr>
          <w:rFonts w:hint="eastAsia" w:ascii="仿宋" w:hAnsi="仿宋" w:eastAsia="仿宋" w:cs="仿宋"/>
          <w:color w:val="000000" w:themeColor="text1"/>
          <w:sz w:val="32"/>
          <w:szCs w:val="32"/>
          <w:highlight w:val="none"/>
          <w:lang w:val="en-US" w:eastAsia="zh-CN"/>
          <w14:textFill>
            <w14:solidFill>
              <w14:schemeClr w14:val="tx1"/>
            </w14:solidFill>
          </w14:textFill>
        </w:rPr>
        <w:t>0</w:t>
      </w:r>
      <w:r>
        <w:rPr>
          <w:rFonts w:hint="eastAsia" w:ascii="仿宋" w:hAnsi="仿宋" w:eastAsia="仿宋" w:cs="仿宋"/>
          <w:color w:val="000000" w:themeColor="text1"/>
          <w:sz w:val="32"/>
          <w:szCs w:val="32"/>
          <w:highlight w:val="none"/>
          <w14:textFill>
            <w14:solidFill>
              <w14:schemeClr w14:val="tx1"/>
            </w14:solidFill>
          </w14:textFill>
        </w:rPr>
        <w:t>万元，占</w:t>
      </w:r>
      <w:r>
        <w:rPr>
          <w:rFonts w:hint="eastAsia" w:ascii="仿宋" w:hAnsi="仿宋" w:eastAsia="仿宋" w:cs="仿宋"/>
          <w:color w:val="000000" w:themeColor="text1"/>
          <w:sz w:val="32"/>
          <w:szCs w:val="32"/>
          <w:highlight w:val="none"/>
          <w:lang w:val="en-US" w:eastAsia="zh-CN"/>
          <w14:textFill>
            <w14:solidFill>
              <w14:schemeClr w14:val="tx1"/>
            </w14:solidFill>
          </w14:textFill>
        </w:rPr>
        <w:t>0</w:t>
      </w:r>
      <w:r>
        <w:rPr>
          <w:rFonts w:hint="eastAsia" w:ascii="仿宋" w:hAnsi="仿宋" w:eastAsia="仿宋" w:cs="仿宋"/>
          <w:color w:val="000000" w:themeColor="text1"/>
          <w:sz w:val="32"/>
          <w:szCs w:val="32"/>
          <w:highlight w:val="none"/>
          <w14:textFill>
            <w14:solidFill>
              <w14:schemeClr w14:val="tx1"/>
            </w14:solidFill>
          </w14:textFill>
        </w:rPr>
        <w:t>%。具体情况如下：</w:t>
      </w:r>
    </w:p>
    <w:p>
      <w:pPr>
        <w:keepNext w:val="0"/>
        <w:keepLines w:val="0"/>
        <w:widowControl/>
        <w:suppressLineNumbers w:val="0"/>
        <w:jc w:val="center"/>
      </w:pPr>
    </w:p>
    <w:p>
      <w:pPr>
        <w:keepNext w:val="0"/>
        <w:keepLines w:val="0"/>
        <w:widowControl/>
        <w:suppressLineNumbers w:val="0"/>
        <w:jc w:val="center"/>
        <w:rPr>
          <w:rFonts w:hint="eastAsia" w:ascii="仿宋" w:hAnsi="仿宋" w:eastAsia="仿宋" w:cs="仿宋"/>
        </w:rPr>
      </w:pPr>
      <w:r>
        <w:drawing>
          <wp:inline distT="0" distB="0" distL="114300" distR="114300">
            <wp:extent cx="4853940" cy="2912110"/>
            <wp:effectExtent l="0" t="0" r="3810" b="2540"/>
            <wp:docPr id="1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spacing w:line="600" w:lineRule="exact"/>
        <w:ind w:firstLine="640"/>
        <w:rPr>
          <w:rFonts w:hint="eastAsia" w:ascii="仿宋" w:hAnsi="仿宋" w:eastAsia="仿宋" w:cs="仿宋"/>
          <w:b w:val="0"/>
          <w:bCs/>
          <w:color w:val="auto"/>
          <w:sz w:val="32"/>
          <w:szCs w:val="32"/>
          <w:highlight w:val="none"/>
        </w:rPr>
      </w:pPr>
      <w:r>
        <w:rPr>
          <w:rFonts w:hint="eastAsia" w:ascii="仿宋" w:hAnsi="仿宋" w:eastAsia="仿宋" w:cs="仿宋"/>
          <w:b w:val="0"/>
          <w:bCs/>
          <w:color w:val="auto"/>
          <w:sz w:val="32"/>
          <w:szCs w:val="32"/>
          <w:highlight w:val="none"/>
        </w:rPr>
        <w:t>1.因公出国（境）经费支出</w:t>
      </w:r>
      <w:r>
        <w:rPr>
          <w:rFonts w:hint="eastAsia" w:ascii="仿宋" w:hAnsi="仿宋" w:eastAsia="仿宋" w:cs="仿宋"/>
          <w:b w:val="0"/>
          <w:bCs/>
          <w:color w:val="auto"/>
          <w:sz w:val="32"/>
          <w:szCs w:val="32"/>
          <w:highlight w:val="none"/>
          <w:lang w:val="en-US" w:eastAsia="zh-CN"/>
        </w:rPr>
        <w:t>0</w:t>
      </w:r>
      <w:r>
        <w:rPr>
          <w:rFonts w:hint="eastAsia" w:ascii="仿宋" w:hAnsi="仿宋" w:eastAsia="仿宋" w:cs="仿宋"/>
          <w:b w:val="0"/>
          <w:bCs/>
          <w:color w:val="auto"/>
          <w:sz w:val="32"/>
          <w:szCs w:val="32"/>
          <w:highlight w:val="none"/>
        </w:rPr>
        <w:t>万元，</w:t>
      </w:r>
      <w:r>
        <w:rPr>
          <w:rStyle w:val="19"/>
          <w:rFonts w:hint="eastAsia" w:ascii="仿宋" w:hAnsi="仿宋" w:eastAsia="仿宋" w:cs="仿宋"/>
          <w:b w:val="0"/>
          <w:bCs/>
          <w:color w:val="auto"/>
          <w:sz w:val="32"/>
          <w:szCs w:val="32"/>
          <w:highlight w:val="none"/>
        </w:rPr>
        <w:t>完成预算</w:t>
      </w:r>
      <w:r>
        <w:rPr>
          <w:rStyle w:val="19"/>
          <w:rFonts w:hint="eastAsia" w:ascii="仿宋" w:hAnsi="仿宋" w:eastAsia="仿宋" w:cs="仿宋"/>
          <w:b w:val="0"/>
          <w:bCs/>
          <w:color w:val="auto"/>
          <w:sz w:val="32"/>
          <w:szCs w:val="32"/>
          <w:highlight w:val="none"/>
          <w:lang w:val="en-US" w:eastAsia="zh-CN"/>
        </w:rPr>
        <w:t>0</w:t>
      </w:r>
      <w:r>
        <w:rPr>
          <w:rStyle w:val="19"/>
          <w:rFonts w:hint="eastAsia" w:ascii="仿宋" w:hAnsi="仿宋" w:eastAsia="仿宋" w:cs="仿宋"/>
          <w:b w:val="0"/>
          <w:bCs/>
          <w:color w:val="auto"/>
          <w:sz w:val="32"/>
          <w:szCs w:val="32"/>
          <w:highlight w:val="none"/>
        </w:rPr>
        <w:t>%。</w:t>
      </w:r>
      <w:r>
        <w:rPr>
          <w:rFonts w:hint="eastAsia" w:ascii="仿宋" w:hAnsi="仿宋" w:eastAsia="仿宋" w:cs="仿宋"/>
          <w:b w:val="0"/>
          <w:bCs/>
          <w:color w:val="auto"/>
          <w:sz w:val="32"/>
          <w:szCs w:val="32"/>
          <w:highlight w:val="none"/>
        </w:rPr>
        <w:t>全年安排因公出国（境）团组</w:t>
      </w:r>
      <w:r>
        <w:rPr>
          <w:rFonts w:hint="eastAsia" w:ascii="仿宋" w:hAnsi="仿宋" w:eastAsia="仿宋" w:cs="仿宋"/>
          <w:b w:val="0"/>
          <w:bCs/>
          <w:color w:val="auto"/>
          <w:sz w:val="32"/>
          <w:szCs w:val="32"/>
          <w:highlight w:val="none"/>
          <w:lang w:val="en-US" w:eastAsia="zh-CN"/>
        </w:rPr>
        <w:t>0</w:t>
      </w:r>
      <w:r>
        <w:rPr>
          <w:rFonts w:hint="eastAsia" w:ascii="仿宋" w:hAnsi="仿宋" w:eastAsia="仿宋" w:cs="仿宋"/>
          <w:b w:val="0"/>
          <w:bCs/>
          <w:color w:val="auto"/>
          <w:sz w:val="32"/>
          <w:szCs w:val="32"/>
          <w:highlight w:val="none"/>
        </w:rPr>
        <w:t>次，出国（境）</w:t>
      </w:r>
      <w:r>
        <w:rPr>
          <w:rFonts w:hint="eastAsia" w:ascii="仿宋" w:hAnsi="仿宋" w:eastAsia="仿宋" w:cs="仿宋"/>
          <w:b w:val="0"/>
          <w:bCs/>
          <w:color w:val="auto"/>
          <w:sz w:val="32"/>
          <w:szCs w:val="32"/>
          <w:highlight w:val="none"/>
          <w:lang w:val="en-US" w:eastAsia="zh-CN"/>
        </w:rPr>
        <w:t>0</w:t>
      </w:r>
      <w:r>
        <w:rPr>
          <w:rFonts w:hint="eastAsia" w:ascii="仿宋" w:hAnsi="仿宋" w:eastAsia="仿宋" w:cs="仿宋"/>
          <w:b w:val="0"/>
          <w:bCs/>
          <w:color w:val="auto"/>
          <w:sz w:val="32"/>
          <w:szCs w:val="32"/>
          <w:highlight w:val="none"/>
        </w:rPr>
        <w:t>人。因公出国（境）支出决算比20</w:t>
      </w:r>
      <w:r>
        <w:rPr>
          <w:rFonts w:hint="eastAsia" w:ascii="仿宋" w:hAnsi="仿宋" w:eastAsia="仿宋" w:cs="仿宋"/>
          <w:b w:val="0"/>
          <w:bCs/>
          <w:color w:val="auto"/>
          <w:sz w:val="32"/>
          <w:szCs w:val="32"/>
          <w:highlight w:val="none"/>
          <w:lang w:val="en-US" w:eastAsia="zh-CN"/>
        </w:rPr>
        <w:t>22</w:t>
      </w:r>
      <w:r>
        <w:rPr>
          <w:rFonts w:hint="eastAsia" w:ascii="仿宋" w:hAnsi="仿宋" w:eastAsia="仿宋" w:cs="仿宋"/>
          <w:b w:val="0"/>
          <w:bCs/>
          <w:color w:val="auto"/>
          <w:sz w:val="32"/>
          <w:szCs w:val="32"/>
          <w:highlight w:val="none"/>
        </w:rPr>
        <w:t>年增加/减少</w:t>
      </w:r>
      <w:r>
        <w:rPr>
          <w:rFonts w:hint="eastAsia" w:ascii="仿宋" w:hAnsi="仿宋" w:eastAsia="仿宋" w:cs="仿宋"/>
          <w:b w:val="0"/>
          <w:bCs/>
          <w:color w:val="auto"/>
          <w:sz w:val="32"/>
          <w:szCs w:val="32"/>
          <w:highlight w:val="none"/>
          <w:lang w:val="en-US" w:eastAsia="zh-CN"/>
        </w:rPr>
        <w:t>0</w:t>
      </w:r>
      <w:r>
        <w:rPr>
          <w:rFonts w:hint="eastAsia" w:ascii="仿宋" w:hAnsi="仿宋" w:eastAsia="仿宋" w:cs="仿宋"/>
          <w:b w:val="0"/>
          <w:bCs/>
          <w:color w:val="auto"/>
          <w:sz w:val="32"/>
          <w:szCs w:val="32"/>
          <w:highlight w:val="none"/>
        </w:rPr>
        <w:t>万元，增长/下降</w:t>
      </w:r>
      <w:r>
        <w:rPr>
          <w:rFonts w:hint="eastAsia" w:ascii="仿宋" w:hAnsi="仿宋" w:eastAsia="仿宋" w:cs="仿宋"/>
          <w:b w:val="0"/>
          <w:bCs/>
          <w:color w:val="auto"/>
          <w:sz w:val="32"/>
          <w:szCs w:val="32"/>
          <w:highlight w:val="none"/>
          <w:lang w:val="en-US" w:eastAsia="zh-CN"/>
        </w:rPr>
        <w:t>0</w:t>
      </w:r>
      <w:r>
        <w:rPr>
          <w:rFonts w:hint="eastAsia" w:ascii="仿宋" w:hAnsi="仿宋" w:eastAsia="仿宋" w:cs="仿宋"/>
          <w:b w:val="0"/>
          <w:bCs/>
          <w:color w:val="auto"/>
          <w:sz w:val="32"/>
          <w:szCs w:val="32"/>
          <w:highlight w:val="none"/>
        </w:rPr>
        <w:t>%。</w:t>
      </w:r>
    </w:p>
    <w:p>
      <w:pPr>
        <w:spacing w:line="600" w:lineRule="exact"/>
        <w:ind w:firstLine="640"/>
        <w:rPr>
          <w:rFonts w:hint="eastAsia" w:ascii="仿宋" w:hAnsi="仿宋" w:eastAsia="仿宋" w:cs="仿宋"/>
          <w:b w:val="0"/>
          <w:bCs/>
          <w:color w:val="auto"/>
          <w:sz w:val="32"/>
          <w:szCs w:val="32"/>
          <w:highlight w:val="none"/>
        </w:rPr>
      </w:pPr>
      <w:r>
        <w:rPr>
          <w:rFonts w:hint="eastAsia" w:ascii="仿宋" w:hAnsi="仿宋" w:eastAsia="仿宋" w:cs="仿宋"/>
          <w:b w:val="0"/>
          <w:bCs/>
          <w:color w:val="auto"/>
          <w:sz w:val="32"/>
          <w:szCs w:val="32"/>
          <w:highlight w:val="none"/>
        </w:rPr>
        <w:t>2.公务用车购置及运行维护费支出</w:t>
      </w:r>
      <w:r>
        <w:rPr>
          <w:rFonts w:hint="eastAsia" w:ascii="仿宋" w:hAnsi="仿宋" w:eastAsia="仿宋" w:cs="仿宋"/>
          <w:b w:val="0"/>
          <w:bCs/>
          <w:color w:val="auto"/>
          <w:sz w:val="32"/>
          <w:szCs w:val="32"/>
          <w:highlight w:val="none"/>
          <w:lang w:val="en-US" w:eastAsia="zh-CN"/>
        </w:rPr>
        <w:t>8.00</w:t>
      </w:r>
      <w:r>
        <w:rPr>
          <w:rFonts w:hint="eastAsia" w:ascii="仿宋" w:hAnsi="仿宋" w:eastAsia="仿宋" w:cs="仿宋"/>
          <w:b w:val="0"/>
          <w:bCs/>
          <w:color w:val="auto"/>
          <w:sz w:val="32"/>
          <w:szCs w:val="32"/>
          <w:highlight w:val="none"/>
        </w:rPr>
        <w:t>万元</w:t>
      </w:r>
      <w:r>
        <w:rPr>
          <w:rFonts w:hint="eastAsia" w:ascii="仿宋" w:hAnsi="仿宋" w:eastAsia="仿宋" w:cs="仿宋"/>
          <w:b w:val="0"/>
          <w:bCs/>
          <w:color w:val="auto"/>
          <w:sz w:val="32"/>
          <w:szCs w:val="32"/>
          <w:highlight w:val="none"/>
          <w:lang w:eastAsia="zh-CN"/>
        </w:rPr>
        <w:t>，</w:t>
      </w:r>
      <w:r>
        <w:rPr>
          <w:rStyle w:val="19"/>
          <w:rFonts w:hint="eastAsia" w:ascii="仿宋" w:hAnsi="仿宋" w:eastAsia="仿宋" w:cs="仿宋"/>
          <w:b w:val="0"/>
          <w:bCs/>
          <w:color w:val="auto"/>
          <w:sz w:val="32"/>
          <w:szCs w:val="32"/>
          <w:highlight w:val="none"/>
        </w:rPr>
        <w:t>完成预算</w:t>
      </w:r>
      <w:r>
        <w:rPr>
          <w:rStyle w:val="19"/>
          <w:rFonts w:hint="eastAsia" w:ascii="仿宋" w:hAnsi="仿宋" w:eastAsia="仿宋" w:cs="仿宋"/>
          <w:b w:val="0"/>
          <w:bCs/>
          <w:color w:val="auto"/>
          <w:sz w:val="32"/>
          <w:szCs w:val="32"/>
          <w:highlight w:val="none"/>
          <w:lang w:val="en-US" w:eastAsia="zh-CN"/>
        </w:rPr>
        <w:t>100</w:t>
      </w:r>
      <w:r>
        <w:rPr>
          <w:rStyle w:val="19"/>
          <w:rFonts w:hint="eastAsia" w:ascii="仿宋" w:hAnsi="仿宋" w:eastAsia="仿宋" w:cs="仿宋"/>
          <w:b w:val="0"/>
          <w:bCs/>
          <w:color w:val="auto"/>
          <w:sz w:val="32"/>
          <w:szCs w:val="32"/>
          <w:highlight w:val="none"/>
        </w:rPr>
        <w:t>%。</w:t>
      </w:r>
      <w:r>
        <w:rPr>
          <w:rFonts w:hint="eastAsia" w:ascii="仿宋" w:hAnsi="仿宋" w:eastAsia="仿宋" w:cs="仿宋"/>
          <w:b w:val="0"/>
          <w:bCs/>
          <w:color w:val="auto"/>
          <w:sz w:val="32"/>
          <w:szCs w:val="32"/>
          <w:highlight w:val="none"/>
        </w:rPr>
        <w:t>公务用车购置及运行维护费支出决算比20</w:t>
      </w:r>
      <w:r>
        <w:rPr>
          <w:rFonts w:hint="eastAsia" w:ascii="仿宋" w:hAnsi="仿宋" w:eastAsia="仿宋" w:cs="仿宋"/>
          <w:b w:val="0"/>
          <w:bCs/>
          <w:color w:val="auto"/>
          <w:sz w:val="32"/>
          <w:szCs w:val="32"/>
          <w:highlight w:val="none"/>
          <w:lang w:val="en-US" w:eastAsia="zh-CN"/>
        </w:rPr>
        <w:t>22</w:t>
      </w:r>
      <w:r>
        <w:rPr>
          <w:rFonts w:hint="eastAsia" w:ascii="仿宋" w:hAnsi="仿宋" w:eastAsia="仿宋" w:cs="仿宋"/>
          <w:b w:val="0"/>
          <w:bCs/>
          <w:color w:val="auto"/>
          <w:sz w:val="32"/>
          <w:szCs w:val="32"/>
          <w:highlight w:val="none"/>
        </w:rPr>
        <w:t>年</w:t>
      </w:r>
      <w:r>
        <w:rPr>
          <w:rFonts w:hint="eastAsia" w:ascii="仿宋" w:hAnsi="仿宋" w:eastAsia="仿宋" w:cs="仿宋"/>
          <w:b w:val="0"/>
          <w:bCs/>
          <w:color w:val="auto"/>
          <w:sz w:val="32"/>
          <w:szCs w:val="32"/>
          <w:highlight w:val="none"/>
          <w:lang w:val="en-US" w:eastAsia="zh-CN"/>
        </w:rPr>
        <w:t>减少4.00</w:t>
      </w:r>
      <w:r>
        <w:rPr>
          <w:rFonts w:hint="eastAsia" w:ascii="仿宋" w:hAnsi="仿宋" w:eastAsia="仿宋" w:cs="仿宋"/>
          <w:b w:val="0"/>
          <w:bCs/>
          <w:color w:val="auto"/>
          <w:sz w:val="32"/>
          <w:szCs w:val="32"/>
          <w:highlight w:val="none"/>
        </w:rPr>
        <w:t>万元，</w:t>
      </w:r>
      <w:r>
        <w:rPr>
          <w:rFonts w:hint="eastAsia" w:ascii="仿宋" w:hAnsi="仿宋" w:eastAsia="仿宋" w:cs="仿宋"/>
          <w:b w:val="0"/>
          <w:bCs/>
          <w:color w:val="auto"/>
          <w:sz w:val="32"/>
          <w:szCs w:val="32"/>
          <w:highlight w:val="none"/>
          <w:lang w:val="en-US" w:eastAsia="zh-CN"/>
        </w:rPr>
        <w:t>减少33.33</w:t>
      </w:r>
      <w:r>
        <w:rPr>
          <w:rFonts w:hint="eastAsia" w:ascii="仿宋" w:hAnsi="仿宋" w:eastAsia="仿宋" w:cs="仿宋"/>
          <w:b w:val="0"/>
          <w:bCs/>
          <w:color w:val="auto"/>
          <w:sz w:val="32"/>
          <w:szCs w:val="32"/>
          <w:highlight w:val="none"/>
        </w:rPr>
        <w:t>%。主要原因是</w:t>
      </w:r>
      <w:r>
        <w:rPr>
          <w:rFonts w:hint="eastAsia" w:ascii="仿宋" w:hAnsi="仿宋" w:eastAsia="仿宋"/>
          <w:color w:val="auto"/>
          <w:sz w:val="32"/>
          <w:szCs w:val="32"/>
          <w:highlight w:val="none"/>
          <w:lang w:val="en-US" w:eastAsia="zh-CN"/>
        </w:rPr>
        <w:t>按照达州市财政局要求，自2023年起，下属事业单位达州市大竹生态环境监测站独立核算，局机关车辆减少一辆</w:t>
      </w:r>
      <w:r>
        <w:rPr>
          <w:rFonts w:hint="eastAsia" w:ascii="仿宋" w:hAnsi="仿宋" w:eastAsia="仿宋" w:cs="仿宋"/>
          <w:b w:val="0"/>
          <w:bCs/>
          <w:color w:val="auto"/>
          <w:sz w:val="32"/>
          <w:szCs w:val="32"/>
          <w:highlight w:val="none"/>
        </w:rPr>
        <w:t>。</w:t>
      </w:r>
    </w:p>
    <w:p>
      <w:pPr>
        <w:spacing w:line="600" w:lineRule="exact"/>
        <w:ind w:firstLine="640" w:firstLineChars="200"/>
        <w:rPr>
          <w:rFonts w:hint="eastAsia" w:ascii="仿宋" w:hAnsi="仿宋" w:eastAsia="仿宋" w:cs="仿宋"/>
          <w:b w:val="0"/>
          <w:bCs/>
          <w:color w:val="auto"/>
          <w:sz w:val="32"/>
          <w:szCs w:val="32"/>
          <w:highlight w:val="none"/>
        </w:rPr>
      </w:pPr>
      <w:r>
        <w:rPr>
          <w:rFonts w:hint="eastAsia" w:ascii="仿宋" w:hAnsi="仿宋" w:eastAsia="仿宋" w:cs="仿宋"/>
          <w:b w:val="0"/>
          <w:bCs/>
          <w:color w:val="auto"/>
          <w:sz w:val="32"/>
          <w:szCs w:val="32"/>
          <w:highlight w:val="none"/>
        </w:rPr>
        <w:t>其中：公务用车购置支出</w:t>
      </w:r>
      <w:r>
        <w:rPr>
          <w:rFonts w:hint="eastAsia" w:ascii="仿宋" w:hAnsi="仿宋" w:eastAsia="仿宋" w:cs="仿宋"/>
          <w:b w:val="0"/>
          <w:bCs/>
          <w:color w:val="auto"/>
          <w:sz w:val="32"/>
          <w:szCs w:val="32"/>
          <w:highlight w:val="none"/>
          <w:lang w:val="en-US" w:eastAsia="zh-CN"/>
        </w:rPr>
        <w:t>0</w:t>
      </w:r>
      <w:r>
        <w:rPr>
          <w:rFonts w:hint="eastAsia" w:ascii="仿宋" w:hAnsi="仿宋" w:eastAsia="仿宋" w:cs="仿宋"/>
          <w:b w:val="0"/>
          <w:bCs/>
          <w:color w:val="auto"/>
          <w:sz w:val="32"/>
          <w:szCs w:val="32"/>
          <w:highlight w:val="none"/>
        </w:rPr>
        <w:t>万元。全年按规定更新购置公务用车</w:t>
      </w:r>
      <w:r>
        <w:rPr>
          <w:rFonts w:hint="eastAsia" w:ascii="仿宋" w:hAnsi="仿宋" w:eastAsia="仿宋" w:cs="仿宋"/>
          <w:b w:val="0"/>
          <w:bCs/>
          <w:color w:val="auto"/>
          <w:sz w:val="32"/>
          <w:szCs w:val="32"/>
          <w:highlight w:val="none"/>
          <w:lang w:val="en-US" w:eastAsia="zh-CN"/>
        </w:rPr>
        <w:t>0</w:t>
      </w:r>
      <w:r>
        <w:rPr>
          <w:rFonts w:hint="eastAsia" w:ascii="仿宋" w:hAnsi="仿宋" w:eastAsia="仿宋" w:cs="仿宋"/>
          <w:b w:val="0"/>
          <w:bCs/>
          <w:color w:val="auto"/>
          <w:sz w:val="32"/>
          <w:szCs w:val="32"/>
          <w:highlight w:val="none"/>
        </w:rPr>
        <w:t>辆，其中：轿车</w:t>
      </w:r>
      <w:r>
        <w:rPr>
          <w:rFonts w:hint="eastAsia" w:ascii="仿宋" w:hAnsi="仿宋" w:eastAsia="仿宋" w:cs="仿宋"/>
          <w:b w:val="0"/>
          <w:bCs/>
          <w:color w:val="auto"/>
          <w:sz w:val="32"/>
          <w:szCs w:val="32"/>
          <w:highlight w:val="none"/>
          <w:lang w:val="en-US" w:eastAsia="zh-CN"/>
        </w:rPr>
        <w:t>0</w:t>
      </w:r>
      <w:r>
        <w:rPr>
          <w:rFonts w:hint="eastAsia" w:ascii="仿宋" w:hAnsi="仿宋" w:eastAsia="仿宋" w:cs="仿宋"/>
          <w:b w:val="0"/>
          <w:bCs/>
          <w:color w:val="auto"/>
          <w:sz w:val="32"/>
          <w:szCs w:val="32"/>
          <w:highlight w:val="none"/>
        </w:rPr>
        <w:t>辆、金额</w:t>
      </w:r>
      <w:r>
        <w:rPr>
          <w:rFonts w:hint="eastAsia" w:ascii="仿宋" w:hAnsi="仿宋" w:eastAsia="仿宋" w:cs="仿宋"/>
          <w:b w:val="0"/>
          <w:bCs/>
          <w:color w:val="auto"/>
          <w:sz w:val="32"/>
          <w:szCs w:val="32"/>
          <w:highlight w:val="none"/>
          <w:lang w:val="en-US" w:eastAsia="zh-CN"/>
        </w:rPr>
        <w:t>0</w:t>
      </w:r>
      <w:r>
        <w:rPr>
          <w:rFonts w:hint="eastAsia" w:ascii="仿宋" w:hAnsi="仿宋" w:eastAsia="仿宋" w:cs="仿宋"/>
          <w:b w:val="0"/>
          <w:bCs/>
          <w:color w:val="auto"/>
          <w:sz w:val="32"/>
          <w:szCs w:val="32"/>
          <w:highlight w:val="none"/>
        </w:rPr>
        <w:t>万元，越野车</w:t>
      </w:r>
      <w:r>
        <w:rPr>
          <w:rFonts w:hint="eastAsia" w:ascii="仿宋" w:hAnsi="仿宋" w:eastAsia="仿宋" w:cs="仿宋"/>
          <w:b w:val="0"/>
          <w:bCs/>
          <w:color w:val="auto"/>
          <w:sz w:val="32"/>
          <w:szCs w:val="32"/>
          <w:highlight w:val="none"/>
          <w:lang w:val="en-US" w:eastAsia="zh-CN"/>
        </w:rPr>
        <w:t>0</w:t>
      </w:r>
      <w:r>
        <w:rPr>
          <w:rFonts w:hint="eastAsia" w:ascii="仿宋" w:hAnsi="仿宋" w:eastAsia="仿宋" w:cs="仿宋"/>
          <w:b w:val="0"/>
          <w:bCs/>
          <w:color w:val="auto"/>
          <w:sz w:val="32"/>
          <w:szCs w:val="32"/>
          <w:highlight w:val="none"/>
        </w:rPr>
        <w:t>辆、金额</w:t>
      </w:r>
      <w:r>
        <w:rPr>
          <w:rFonts w:hint="eastAsia" w:ascii="仿宋" w:hAnsi="仿宋" w:eastAsia="仿宋" w:cs="仿宋"/>
          <w:b w:val="0"/>
          <w:bCs/>
          <w:color w:val="auto"/>
          <w:sz w:val="32"/>
          <w:szCs w:val="32"/>
          <w:highlight w:val="none"/>
          <w:lang w:val="en-US" w:eastAsia="zh-CN"/>
        </w:rPr>
        <w:t>0</w:t>
      </w:r>
      <w:r>
        <w:rPr>
          <w:rFonts w:hint="eastAsia" w:ascii="仿宋" w:hAnsi="仿宋" w:eastAsia="仿宋" w:cs="仿宋"/>
          <w:b w:val="0"/>
          <w:bCs/>
          <w:color w:val="auto"/>
          <w:sz w:val="32"/>
          <w:szCs w:val="32"/>
          <w:highlight w:val="none"/>
        </w:rPr>
        <w:t>万元，载客汽车</w:t>
      </w:r>
      <w:r>
        <w:rPr>
          <w:rFonts w:hint="eastAsia" w:ascii="仿宋" w:hAnsi="仿宋" w:eastAsia="仿宋" w:cs="仿宋"/>
          <w:b w:val="0"/>
          <w:bCs/>
          <w:color w:val="auto"/>
          <w:sz w:val="32"/>
          <w:szCs w:val="32"/>
          <w:highlight w:val="none"/>
          <w:lang w:val="en-US" w:eastAsia="zh-CN"/>
        </w:rPr>
        <w:t>0</w:t>
      </w:r>
      <w:r>
        <w:rPr>
          <w:rFonts w:hint="eastAsia" w:ascii="仿宋" w:hAnsi="仿宋" w:eastAsia="仿宋" w:cs="仿宋"/>
          <w:b w:val="0"/>
          <w:bCs/>
          <w:color w:val="auto"/>
          <w:sz w:val="32"/>
          <w:szCs w:val="32"/>
          <w:highlight w:val="none"/>
        </w:rPr>
        <w:t>辆、金额</w:t>
      </w:r>
      <w:r>
        <w:rPr>
          <w:rFonts w:hint="eastAsia" w:ascii="仿宋" w:hAnsi="仿宋" w:eastAsia="仿宋" w:cs="仿宋"/>
          <w:b w:val="0"/>
          <w:bCs/>
          <w:color w:val="auto"/>
          <w:sz w:val="32"/>
          <w:szCs w:val="32"/>
          <w:highlight w:val="none"/>
          <w:lang w:val="en-US" w:eastAsia="zh-CN"/>
        </w:rPr>
        <w:t>0</w:t>
      </w:r>
      <w:r>
        <w:rPr>
          <w:rFonts w:hint="eastAsia" w:ascii="仿宋" w:hAnsi="仿宋" w:eastAsia="仿宋" w:cs="仿宋"/>
          <w:b w:val="0"/>
          <w:bCs/>
          <w:color w:val="auto"/>
          <w:sz w:val="32"/>
          <w:szCs w:val="32"/>
          <w:highlight w:val="none"/>
        </w:rPr>
        <w:t>万元</w:t>
      </w:r>
      <w:r>
        <w:rPr>
          <w:rFonts w:hint="eastAsia" w:ascii="仿宋" w:hAnsi="仿宋" w:eastAsia="仿宋" w:cs="仿宋"/>
          <w:b w:val="0"/>
          <w:bCs/>
          <w:color w:val="auto"/>
          <w:sz w:val="32"/>
          <w:szCs w:val="32"/>
          <w:highlight w:val="none"/>
          <w:lang w:eastAsia="zh-CN"/>
        </w:rPr>
        <w:t>。</w:t>
      </w:r>
      <w:r>
        <w:rPr>
          <w:rFonts w:hint="eastAsia" w:ascii="仿宋" w:hAnsi="仿宋" w:eastAsia="仿宋" w:cs="仿宋"/>
          <w:b w:val="0"/>
          <w:bCs/>
          <w:color w:val="auto"/>
          <w:sz w:val="32"/>
          <w:szCs w:val="32"/>
          <w:highlight w:val="none"/>
        </w:rPr>
        <w:t>截至20</w:t>
      </w:r>
      <w:r>
        <w:rPr>
          <w:rFonts w:hint="eastAsia" w:ascii="仿宋" w:hAnsi="仿宋" w:eastAsia="仿宋" w:cs="仿宋"/>
          <w:b w:val="0"/>
          <w:bCs/>
          <w:color w:val="auto"/>
          <w:sz w:val="32"/>
          <w:szCs w:val="32"/>
          <w:highlight w:val="none"/>
          <w:lang w:val="en-US" w:eastAsia="zh-CN"/>
        </w:rPr>
        <w:t>23</w:t>
      </w:r>
      <w:r>
        <w:rPr>
          <w:rFonts w:hint="eastAsia" w:ascii="仿宋" w:hAnsi="仿宋" w:eastAsia="仿宋" w:cs="仿宋"/>
          <w:b w:val="0"/>
          <w:bCs/>
          <w:color w:val="auto"/>
          <w:sz w:val="32"/>
          <w:szCs w:val="32"/>
          <w:highlight w:val="none"/>
        </w:rPr>
        <w:t>年12月底，单位共有公务用车</w:t>
      </w:r>
      <w:r>
        <w:rPr>
          <w:rFonts w:hint="eastAsia" w:ascii="仿宋" w:hAnsi="仿宋" w:eastAsia="仿宋" w:cs="仿宋"/>
          <w:b w:val="0"/>
          <w:bCs/>
          <w:color w:val="auto"/>
          <w:sz w:val="32"/>
          <w:szCs w:val="32"/>
          <w:highlight w:val="none"/>
          <w:lang w:val="en-US" w:eastAsia="zh-CN"/>
        </w:rPr>
        <w:t>2</w:t>
      </w:r>
      <w:r>
        <w:rPr>
          <w:rFonts w:hint="eastAsia" w:ascii="仿宋" w:hAnsi="仿宋" w:eastAsia="仿宋" w:cs="仿宋"/>
          <w:b w:val="0"/>
          <w:bCs/>
          <w:color w:val="auto"/>
          <w:sz w:val="32"/>
          <w:szCs w:val="32"/>
          <w:highlight w:val="none"/>
        </w:rPr>
        <w:t>辆，其中：</w:t>
      </w:r>
      <w:r>
        <w:rPr>
          <w:rFonts w:hint="eastAsia" w:ascii="仿宋" w:hAnsi="仿宋" w:eastAsia="仿宋" w:cs="仿宋"/>
          <w:b w:val="0"/>
          <w:bCs/>
          <w:color w:val="auto"/>
          <w:sz w:val="32"/>
          <w:szCs w:val="32"/>
          <w:highlight w:val="none"/>
          <w:lang w:val="en-US" w:eastAsia="zh-CN"/>
        </w:rPr>
        <w:t>其他</w:t>
      </w:r>
      <w:r>
        <w:rPr>
          <w:rFonts w:hint="eastAsia" w:ascii="仿宋" w:hAnsi="仿宋" w:eastAsia="仿宋" w:cs="仿宋"/>
          <w:b w:val="0"/>
          <w:bCs/>
          <w:color w:val="auto"/>
          <w:sz w:val="32"/>
          <w:szCs w:val="32"/>
          <w:highlight w:val="none"/>
          <w:lang w:eastAsia="zh-CN"/>
        </w:rPr>
        <w:t>用车</w:t>
      </w:r>
      <w:r>
        <w:rPr>
          <w:rFonts w:hint="eastAsia" w:ascii="仿宋" w:hAnsi="仿宋" w:eastAsia="仿宋" w:cs="仿宋"/>
          <w:b w:val="0"/>
          <w:bCs/>
          <w:color w:val="auto"/>
          <w:sz w:val="32"/>
          <w:szCs w:val="32"/>
          <w:highlight w:val="none"/>
          <w:lang w:val="en-US" w:eastAsia="zh-CN"/>
        </w:rPr>
        <w:t>2</w:t>
      </w:r>
      <w:r>
        <w:rPr>
          <w:rFonts w:hint="eastAsia" w:ascii="仿宋" w:hAnsi="仿宋" w:eastAsia="仿宋" w:cs="仿宋"/>
          <w:b w:val="0"/>
          <w:bCs/>
          <w:color w:val="auto"/>
          <w:sz w:val="32"/>
          <w:szCs w:val="32"/>
          <w:highlight w:val="none"/>
        </w:rPr>
        <w:t>辆。</w:t>
      </w:r>
    </w:p>
    <w:p>
      <w:pPr>
        <w:spacing w:line="600" w:lineRule="exact"/>
        <w:ind w:firstLine="640"/>
        <w:rPr>
          <w:rFonts w:hint="eastAsia" w:ascii="仿宋" w:hAnsi="仿宋" w:eastAsia="仿宋" w:cs="仿宋"/>
          <w:b w:val="0"/>
          <w:bCs/>
          <w:color w:val="auto"/>
          <w:sz w:val="32"/>
          <w:szCs w:val="32"/>
          <w:highlight w:val="none"/>
        </w:rPr>
      </w:pPr>
      <w:r>
        <w:rPr>
          <w:rFonts w:hint="eastAsia" w:ascii="仿宋" w:hAnsi="仿宋" w:eastAsia="仿宋" w:cs="仿宋"/>
          <w:b w:val="0"/>
          <w:bCs/>
          <w:color w:val="auto"/>
          <w:sz w:val="32"/>
          <w:szCs w:val="32"/>
          <w:highlight w:val="none"/>
        </w:rPr>
        <w:t>公务用车运行维护费支出</w:t>
      </w:r>
      <w:r>
        <w:rPr>
          <w:rFonts w:hint="eastAsia" w:ascii="仿宋" w:hAnsi="仿宋" w:eastAsia="仿宋" w:cs="仿宋"/>
          <w:b w:val="0"/>
          <w:bCs/>
          <w:color w:val="auto"/>
          <w:sz w:val="32"/>
          <w:szCs w:val="32"/>
          <w:highlight w:val="none"/>
          <w:lang w:val="en-US" w:eastAsia="zh-CN"/>
        </w:rPr>
        <w:t>12.00</w:t>
      </w:r>
      <w:r>
        <w:rPr>
          <w:rFonts w:hint="eastAsia" w:ascii="仿宋" w:hAnsi="仿宋" w:eastAsia="仿宋" w:cs="仿宋"/>
          <w:b w:val="0"/>
          <w:bCs/>
          <w:color w:val="auto"/>
          <w:sz w:val="32"/>
          <w:szCs w:val="32"/>
          <w:highlight w:val="none"/>
        </w:rPr>
        <w:t>万元。主要用于保障机关及下属单位环境监察执法、环境监测等工作开展所需的公务用车燃料费、维修费、过路过桥费、保险费等支出。</w:t>
      </w:r>
    </w:p>
    <w:p>
      <w:pPr>
        <w:spacing w:line="600" w:lineRule="exact"/>
        <w:ind w:firstLine="640"/>
        <w:rPr>
          <w:rFonts w:hint="eastAsia" w:ascii="仿宋" w:hAnsi="仿宋" w:eastAsia="仿宋" w:cs="仿宋"/>
          <w:b w:val="0"/>
          <w:bCs/>
          <w:color w:val="auto"/>
          <w:sz w:val="32"/>
          <w:szCs w:val="32"/>
          <w:highlight w:val="none"/>
        </w:rPr>
      </w:pPr>
      <w:r>
        <w:rPr>
          <w:rFonts w:hint="eastAsia" w:ascii="仿宋" w:hAnsi="仿宋" w:eastAsia="仿宋" w:cs="仿宋"/>
          <w:b w:val="0"/>
          <w:bCs/>
          <w:color w:val="auto"/>
          <w:sz w:val="32"/>
          <w:szCs w:val="32"/>
          <w:highlight w:val="none"/>
        </w:rPr>
        <w:t>3.公务接待费支出</w:t>
      </w:r>
      <w:r>
        <w:rPr>
          <w:rFonts w:hint="eastAsia" w:ascii="仿宋" w:hAnsi="仿宋" w:eastAsia="仿宋" w:cs="仿宋"/>
          <w:b w:val="0"/>
          <w:bCs/>
          <w:color w:val="auto"/>
          <w:sz w:val="32"/>
          <w:szCs w:val="32"/>
          <w:highlight w:val="none"/>
          <w:lang w:val="en-US" w:eastAsia="zh-CN"/>
        </w:rPr>
        <w:t>0</w:t>
      </w:r>
      <w:r>
        <w:rPr>
          <w:rFonts w:hint="eastAsia" w:ascii="仿宋" w:hAnsi="仿宋" w:eastAsia="仿宋" w:cs="仿宋"/>
          <w:b w:val="0"/>
          <w:bCs/>
          <w:color w:val="auto"/>
          <w:sz w:val="32"/>
          <w:szCs w:val="32"/>
          <w:highlight w:val="none"/>
        </w:rPr>
        <w:t>万元，</w:t>
      </w:r>
      <w:r>
        <w:rPr>
          <w:rStyle w:val="19"/>
          <w:rFonts w:hint="eastAsia" w:ascii="仿宋" w:hAnsi="仿宋" w:eastAsia="仿宋" w:cs="仿宋"/>
          <w:b w:val="0"/>
          <w:bCs/>
          <w:color w:val="auto"/>
          <w:sz w:val="32"/>
          <w:szCs w:val="32"/>
          <w:highlight w:val="none"/>
        </w:rPr>
        <w:t>完成预算</w:t>
      </w:r>
      <w:r>
        <w:rPr>
          <w:rStyle w:val="19"/>
          <w:rFonts w:hint="eastAsia" w:ascii="仿宋" w:hAnsi="仿宋" w:eastAsia="仿宋" w:cs="仿宋"/>
          <w:b w:val="0"/>
          <w:bCs/>
          <w:color w:val="auto"/>
          <w:sz w:val="32"/>
          <w:szCs w:val="32"/>
          <w:highlight w:val="none"/>
          <w:lang w:val="en-US" w:eastAsia="zh-CN"/>
        </w:rPr>
        <w:t>100</w:t>
      </w:r>
      <w:r>
        <w:rPr>
          <w:rStyle w:val="19"/>
          <w:rFonts w:hint="eastAsia" w:ascii="仿宋" w:hAnsi="仿宋" w:eastAsia="仿宋" w:cs="仿宋"/>
          <w:b w:val="0"/>
          <w:bCs/>
          <w:color w:val="auto"/>
          <w:sz w:val="32"/>
          <w:szCs w:val="32"/>
          <w:highlight w:val="none"/>
        </w:rPr>
        <w:t>%。</w:t>
      </w:r>
      <w:r>
        <w:rPr>
          <w:rFonts w:hint="eastAsia" w:ascii="仿宋" w:hAnsi="仿宋" w:eastAsia="仿宋" w:cs="仿宋"/>
          <w:b w:val="0"/>
          <w:bCs/>
          <w:color w:val="auto"/>
          <w:sz w:val="32"/>
          <w:szCs w:val="32"/>
          <w:highlight w:val="none"/>
        </w:rPr>
        <w:t>公务接待费支出决算比20</w:t>
      </w:r>
      <w:r>
        <w:rPr>
          <w:rFonts w:hint="eastAsia" w:ascii="仿宋" w:hAnsi="仿宋" w:eastAsia="仿宋" w:cs="仿宋"/>
          <w:b w:val="0"/>
          <w:bCs/>
          <w:color w:val="auto"/>
          <w:sz w:val="32"/>
          <w:szCs w:val="32"/>
          <w:highlight w:val="none"/>
          <w:lang w:val="en-US" w:eastAsia="zh-CN"/>
        </w:rPr>
        <w:t>22</w:t>
      </w:r>
      <w:r>
        <w:rPr>
          <w:rFonts w:hint="eastAsia" w:ascii="仿宋" w:hAnsi="仿宋" w:eastAsia="仿宋" w:cs="仿宋"/>
          <w:b w:val="0"/>
          <w:bCs/>
          <w:color w:val="auto"/>
          <w:sz w:val="32"/>
          <w:szCs w:val="32"/>
          <w:highlight w:val="none"/>
        </w:rPr>
        <w:t>年减少</w:t>
      </w:r>
      <w:r>
        <w:rPr>
          <w:rFonts w:hint="eastAsia" w:ascii="仿宋" w:hAnsi="仿宋" w:eastAsia="仿宋" w:cs="仿宋"/>
          <w:b w:val="0"/>
          <w:bCs/>
          <w:color w:val="auto"/>
          <w:sz w:val="32"/>
          <w:szCs w:val="32"/>
          <w:highlight w:val="none"/>
          <w:lang w:val="en-US" w:eastAsia="zh-CN"/>
        </w:rPr>
        <w:t>0.34</w:t>
      </w:r>
      <w:r>
        <w:rPr>
          <w:rFonts w:hint="eastAsia" w:ascii="仿宋" w:hAnsi="仿宋" w:eastAsia="仿宋" w:cs="仿宋"/>
          <w:b w:val="0"/>
          <w:bCs/>
          <w:color w:val="auto"/>
          <w:sz w:val="32"/>
          <w:szCs w:val="32"/>
          <w:highlight w:val="none"/>
        </w:rPr>
        <w:t>万元，下降</w:t>
      </w:r>
      <w:r>
        <w:rPr>
          <w:rFonts w:hint="eastAsia" w:ascii="仿宋" w:hAnsi="仿宋" w:eastAsia="仿宋" w:cs="仿宋"/>
          <w:b w:val="0"/>
          <w:bCs/>
          <w:color w:val="auto"/>
          <w:sz w:val="32"/>
          <w:szCs w:val="32"/>
          <w:highlight w:val="none"/>
          <w:lang w:val="en-US" w:eastAsia="zh-CN"/>
        </w:rPr>
        <w:t>100</w:t>
      </w:r>
      <w:r>
        <w:rPr>
          <w:rFonts w:hint="eastAsia" w:ascii="仿宋" w:hAnsi="仿宋" w:eastAsia="仿宋" w:cs="仿宋"/>
          <w:b w:val="0"/>
          <w:bCs/>
          <w:color w:val="auto"/>
          <w:sz w:val="32"/>
          <w:szCs w:val="32"/>
          <w:highlight w:val="none"/>
        </w:rPr>
        <w:t>%。主要</w:t>
      </w:r>
      <w:r>
        <w:rPr>
          <w:rFonts w:hint="eastAsia" w:ascii="仿宋" w:hAnsi="仿宋" w:eastAsia="仿宋" w:cs="仿宋"/>
          <w:b w:val="0"/>
          <w:bCs/>
          <w:color w:val="auto"/>
          <w:sz w:val="32"/>
          <w:szCs w:val="32"/>
          <w:highlight w:val="none"/>
          <w:lang w:val="en-US" w:eastAsia="zh-CN"/>
        </w:rPr>
        <w:t>变动</w:t>
      </w:r>
      <w:r>
        <w:rPr>
          <w:rFonts w:hint="eastAsia" w:ascii="仿宋" w:hAnsi="仿宋" w:eastAsia="仿宋" w:cs="仿宋"/>
          <w:b w:val="0"/>
          <w:bCs/>
          <w:color w:val="auto"/>
          <w:sz w:val="32"/>
          <w:szCs w:val="32"/>
          <w:highlight w:val="none"/>
        </w:rPr>
        <w:t>原因是</w:t>
      </w:r>
      <w:r>
        <w:rPr>
          <w:rFonts w:hint="eastAsia" w:ascii="仿宋" w:hAnsi="仿宋" w:eastAsia="仿宋" w:cs="仿宋"/>
          <w:b w:val="0"/>
          <w:bCs/>
          <w:color w:val="auto"/>
          <w:sz w:val="32"/>
          <w:szCs w:val="32"/>
          <w:highlight w:val="none"/>
          <w:lang w:eastAsia="zh-CN"/>
        </w:rPr>
        <w:t>厉行节约，减少公务活动开支，</w:t>
      </w:r>
      <w:r>
        <w:rPr>
          <w:rFonts w:hint="eastAsia" w:ascii="仿宋" w:hAnsi="仿宋" w:eastAsia="仿宋" w:cs="仿宋"/>
          <w:b w:val="0"/>
          <w:bCs/>
          <w:color w:val="auto"/>
          <w:sz w:val="32"/>
          <w:szCs w:val="32"/>
          <w:highlight w:val="none"/>
          <w:lang w:val="en-US" w:eastAsia="zh-CN"/>
        </w:rPr>
        <w:t>接待均由单位伙食团承担</w:t>
      </w:r>
      <w:r>
        <w:rPr>
          <w:rFonts w:hint="eastAsia" w:ascii="仿宋" w:hAnsi="仿宋" w:eastAsia="仿宋" w:cs="仿宋"/>
          <w:b w:val="0"/>
          <w:bCs/>
          <w:color w:val="auto"/>
          <w:sz w:val="32"/>
          <w:szCs w:val="32"/>
          <w:highlight w:val="none"/>
        </w:rPr>
        <w:t>。其中：</w:t>
      </w:r>
    </w:p>
    <w:p>
      <w:pPr>
        <w:spacing w:line="600" w:lineRule="exact"/>
        <w:ind w:firstLine="640"/>
        <w:rPr>
          <w:rFonts w:hint="eastAsia" w:ascii="仿宋" w:hAnsi="仿宋" w:eastAsia="仿宋" w:cs="仿宋"/>
          <w:b w:val="0"/>
          <w:bCs/>
          <w:color w:val="auto"/>
          <w:sz w:val="32"/>
          <w:szCs w:val="32"/>
          <w:highlight w:val="none"/>
        </w:rPr>
      </w:pPr>
      <w:r>
        <w:rPr>
          <w:rFonts w:hint="eastAsia" w:ascii="仿宋" w:hAnsi="仿宋" w:eastAsia="仿宋" w:cs="仿宋"/>
          <w:b w:val="0"/>
          <w:bCs/>
          <w:color w:val="auto"/>
          <w:sz w:val="32"/>
          <w:szCs w:val="32"/>
          <w:highlight w:val="none"/>
        </w:rPr>
        <w:t>国内公务接待支出</w:t>
      </w:r>
      <w:r>
        <w:rPr>
          <w:rFonts w:hint="eastAsia" w:ascii="仿宋" w:hAnsi="仿宋" w:eastAsia="仿宋" w:cs="仿宋"/>
          <w:b w:val="0"/>
          <w:bCs/>
          <w:color w:val="auto"/>
          <w:sz w:val="32"/>
          <w:szCs w:val="32"/>
          <w:highlight w:val="none"/>
          <w:lang w:val="en-US" w:eastAsia="zh-CN"/>
        </w:rPr>
        <w:t>0</w:t>
      </w:r>
      <w:r>
        <w:rPr>
          <w:rFonts w:hint="eastAsia" w:ascii="仿宋" w:hAnsi="仿宋" w:eastAsia="仿宋" w:cs="仿宋"/>
          <w:b w:val="0"/>
          <w:bCs/>
          <w:color w:val="auto"/>
          <w:sz w:val="32"/>
          <w:szCs w:val="32"/>
          <w:highlight w:val="none"/>
        </w:rPr>
        <w:t>万元，主要用于执行公务、考察调研、检查指导的交通费、住宿费、用餐费等。国内公务接待</w:t>
      </w:r>
      <w:r>
        <w:rPr>
          <w:rFonts w:hint="eastAsia" w:ascii="仿宋" w:hAnsi="仿宋" w:eastAsia="仿宋" w:cs="仿宋"/>
          <w:b w:val="0"/>
          <w:bCs/>
          <w:color w:val="auto"/>
          <w:sz w:val="32"/>
          <w:szCs w:val="32"/>
          <w:highlight w:val="none"/>
          <w:lang w:val="en-US" w:eastAsia="zh-CN"/>
        </w:rPr>
        <w:t>0</w:t>
      </w:r>
      <w:r>
        <w:rPr>
          <w:rFonts w:hint="eastAsia" w:ascii="仿宋" w:hAnsi="仿宋" w:eastAsia="仿宋" w:cs="仿宋"/>
          <w:b w:val="0"/>
          <w:bCs/>
          <w:color w:val="auto"/>
          <w:sz w:val="32"/>
          <w:szCs w:val="32"/>
          <w:highlight w:val="none"/>
        </w:rPr>
        <w:t>批次，</w:t>
      </w:r>
      <w:r>
        <w:rPr>
          <w:rFonts w:hint="eastAsia" w:ascii="仿宋" w:hAnsi="仿宋" w:eastAsia="仿宋" w:cs="仿宋"/>
          <w:b w:val="0"/>
          <w:bCs/>
          <w:color w:val="auto"/>
          <w:sz w:val="32"/>
          <w:szCs w:val="32"/>
          <w:highlight w:val="none"/>
          <w:lang w:val="en-US" w:eastAsia="zh-CN"/>
        </w:rPr>
        <w:t>0</w:t>
      </w:r>
      <w:r>
        <w:rPr>
          <w:rFonts w:hint="eastAsia" w:ascii="仿宋" w:hAnsi="仿宋" w:eastAsia="仿宋" w:cs="仿宋"/>
          <w:b w:val="0"/>
          <w:bCs/>
          <w:color w:val="auto"/>
          <w:sz w:val="32"/>
          <w:szCs w:val="32"/>
          <w:highlight w:val="none"/>
        </w:rPr>
        <w:t>人次（不包括陪同人员），共计支出</w:t>
      </w:r>
      <w:r>
        <w:rPr>
          <w:rFonts w:hint="eastAsia" w:ascii="仿宋" w:hAnsi="仿宋" w:eastAsia="仿宋" w:cs="仿宋"/>
          <w:b w:val="0"/>
          <w:bCs/>
          <w:color w:val="auto"/>
          <w:sz w:val="32"/>
          <w:szCs w:val="32"/>
          <w:highlight w:val="none"/>
          <w:lang w:val="en-US" w:eastAsia="zh-CN"/>
        </w:rPr>
        <w:t>0</w:t>
      </w:r>
      <w:r>
        <w:rPr>
          <w:rFonts w:hint="eastAsia" w:ascii="仿宋" w:hAnsi="仿宋" w:eastAsia="仿宋" w:cs="仿宋"/>
          <w:b w:val="0"/>
          <w:bCs/>
          <w:color w:val="auto"/>
          <w:sz w:val="32"/>
          <w:szCs w:val="32"/>
          <w:highlight w:val="none"/>
        </w:rPr>
        <w:t>万元。</w:t>
      </w:r>
    </w:p>
    <w:p>
      <w:pPr>
        <w:spacing w:line="600" w:lineRule="exact"/>
        <w:ind w:firstLine="640" w:firstLineChars="200"/>
        <w:rPr>
          <w:rFonts w:hint="eastAsia" w:ascii="仿宋" w:hAnsi="仿宋" w:eastAsia="仿宋" w:cs="仿宋"/>
          <w:b w:val="0"/>
          <w:bCs/>
          <w:color w:val="auto"/>
          <w:sz w:val="32"/>
          <w:szCs w:val="32"/>
          <w:highlight w:val="none"/>
        </w:rPr>
      </w:pPr>
      <w:r>
        <w:rPr>
          <w:rFonts w:hint="eastAsia" w:ascii="仿宋" w:hAnsi="仿宋" w:eastAsia="仿宋" w:cs="仿宋"/>
          <w:b w:val="0"/>
          <w:bCs/>
          <w:color w:val="auto"/>
          <w:sz w:val="32"/>
          <w:szCs w:val="32"/>
          <w:highlight w:val="none"/>
        </w:rPr>
        <w:t>外事接待支出</w:t>
      </w:r>
      <w:r>
        <w:rPr>
          <w:rFonts w:hint="eastAsia" w:ascii="仿宋" w:hAnsi="仿宋" w:eastAsia="仿宋" w:cs="仿宋"/>
          <w:b w:val="0"/>
          <w:bCs/>
          <w:color w:val="auto"/>
          <w:sz w:val="32"/>
          <w:szCs w:val="32"/>
          <w:highlight w:val="none"/>
          <w:lang w:val="en-US" w:eastAsia="zh-CN"/>
        </w:rPr>
        <w:t>0</w:t>
      </w:r>
      <w:r>
        <w:rPr>
          <w:rFonts w:hint="eastAsia" w:ascii="仿宋" w:hAnsi="仿宋" w:eastAsia="仿宋" w:cs="仿宋"/>
          <w:b w:val="0"/>
          <w:bCs/>
          <w:color w:val="auto"/>
          <w:sz w:val="32"/>
          <w:szCs w:val="32"/>
          <w:highlight w:val="none"/>
        </w:rPr>
        <w:t>万元，外事接待</w:t>
      </w:r>
      <w:r>
        <w:rPr>
          <w:rFonts w:hint="eastAsia" w:ascii="仿宋" w:hAnsi="仿宋" w:eastAsia="仿宋" w:cs="仿宋"/>
          <w:b w:val="0"/>
          <w:bCs/>
          <w:color w:val="auto"/>
          <w:sz w:val="32"/>
          <w:szCs w:val="32"/>
          <w:highlight w:val="none"/>
          <w:lang w:val="en-US" w:eastAsia="zh-CN"/>
        </w:rPr>
        <w:t>0</w:t>
      </w:r>
      <w:r>
        <w:rPr>
          <w:rFonts w:hint="eastAsia" w:ascii="仿宋" w:hAnsi="仿宋" w:eastAsia="仿宋" w:cs="仿宋"/>
          <w:b w:val="0"/>
          <w:bCs/>
          <w:color w:val="auto"/>
          <w:sz w:val="32"/>
          <w:szCs w:val="32"/>
          <w:highlight w:val="none"/>
        </w:rPr>
        <w:t>批次，</w:t>
      </w:r>
      <w:r>
        <w:rPr>
          <w:rFonts w:hint="eastAsia" w:ascii="仿宋" w:hAnsi="仿宋" w:eastAsia="仿宋" w:cs="仿宋"/>
          <w:b w:val="0"/>
          <w:bCs/>
          <w:color w:val="auto"/>
          <w:sz w:val="32"/>
          <w:szCs w:val="32"/>
          <w:highlight w:val="none"/>
          <w:lang w:val="en-US" w:eastAsia="zh-CN"/>
        </w:rPr>
        <w:t>0</w:t>
      </w:r>
      <w:r>
        <w:rPr>
          <w:rFonts w:hint="eastAsia" w:ascii="仿宋" w:hAnsi="仿宋" w:eastAsia="仿宋" w:cs="仿宋"/>
          <w:b w:val="0"/>
          <w:bCs/>
          <w:color w:val="auto"/>
          <w:sz w:val="32"/>
          <w:szCs w:val="32"/>
          <w:highlight w:val="none"/>
        </w:rPr>
        <w:t>人，共计支出</w:t>
      </w:r>
      <w:r>
        <w:rPr>
          <w:rFonts w:hint="eastAsia" w:ascii="仿宋" w:hAnsi="仿宋" w:eastAsia="仿宋" w:cs="仿宋"/>
          <w:b w:val="0"/>
          <w:bCs/>
          <w:color w:val="auto"/>
          <w:sz w:val="32"/>
          <w:szCs w:val="32"/>
          <w:highlight w:val="none"/>
          <w:lang w:val="en-US" w:eastAsia="zh-CN"/>
        </w:rPr>
        <w:t>0</w:t>
      </w:r>
      <w:r>
        <w:rPr>
          <w:rFonts w:hint="eastAsia" w:ascii="仿宋" w:hAnsi="仿宋" w:eastAsia="仿宋" w:cs="仿宋"/>
          <w:b w:val="0"/>
          <w:bCs/>
          <w:color w:val="auto"/>
          <w:sz w:val="32"/>
          <w:szCs w:val="32"/>
          <w:highlight w:val="none"/>
        </w:rPr>
        <w:t>万元。</w:t>
      </w:r>
    </w:p>
    <w:p>
      <w:pPr>
        <w:numPr>
          <w:ilvl w:val="0"/>
          <w:numId w:val="0"/>
        </w:numPr>
        <w:spacing w:line="600" w:lineRule="exact"/>
        <w:ind w:firstLine="640" w:firstLineChars="200"/>
        <w:outlineLvl w:val="1"/>
        <w:rPr>
          <w:rStyle w:val="31"/>
          <w:rFonts w:hint="eastAsia" w:ascii="黑体" w:hAnsi="黑体" w:eastAsia="黑体"/>
          <w:b w:val="0"/>
          <w:color w:val="auto"/>
          <w:highlight w:val="none"/>
        </w:rPr>
      </w:pPr>
      <w:bookmarkStart w:id="33" w:name="_Toc15396610"/>
      <w:bookmarkStart w:id="34" w:name="八、政府性基金预算支出决算情况说明"/>
      <w:bookmarkStart w:id="35" w:name="_Toc15377218"/>
      <w:r>
        <w:rPr>
          <w:rStyle w:val="31"/>
          <w:rFonts w:hint="eastAsia" w:ascii="黑体" w:hAnsi="黑体" w:eastAsia="黑体"/>
          <w:b w:val="0"/>
          <w:color w:val="auto"/>
          <w:highlight w:val="none"/>
        </w:rPr>
        <w:t>八、政府性基金预算支出决算情况说明</w:t>
      </w:r>
      <w:bookmarkEnd w:id="33"/>
      <w:bookmarkEnd w:id="34"/>
      <w:bookmarkEnd w:id="35"/>
    </w:p>
    <w:p>
      <w:pPr>
        <w:spacing w:line="600" w:lineRule="exact"/>
        <w:ind w:firstLine="64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2023</w:t>
      </w:r>
      <w:r>
        <w:rPr>
          <w:rFonts w:hint="eastAsia" w:ascii="仿宋" w:hAnsi="仿宋" w:eastAsia="仿宋" w:cs="仿宋"/>
          <w:color w:val="auto"/>
          <w:sz w:val="32"/>
          <w:szCs w:val="32"/>
          <w:highlight w:val="none"/>
        </w:rPr>
        <w:t>年政府性基金预算</w:t>
      </w:r>
      <w:r>
        <w:rPr>
          <w:rFonts w:hint="eastAsia" w:ascii="仿宋" w:hAnsi="仿宋" w:eastAsia="仿宋" w:cs="仿宋"/>
          <w:color w:val="auto"/>
          <w:sz w:val="32"/>
          <w:szCs w:val="32"/>
          <w:highlight w:val="none"/>
          <w:lang w:eastAsia="zh-CN"/>
        </w:rPr>
        <w:t>财政</w:t>
      </w:r>
      <w:r>
        <w:rPr>
          <w:rFonts w:hint="eastAsia" w:ascii="仿宋" w:hAnsi="仿宋" w:eastAsia="仿宋" w:cs="仿宋"/>
          <w:color w:val="auto"/>
          <w:sz w:val="32"/>
          <w:szCs w:val="32"/>
          <w:highlight w:val="none"/>
        </w:rPr>
        <w:t>拨款支出</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万元。</w:t>
      </w:r>
    </w:p>
    <w:p>
      <w:pPr>
        <w:numPr>
          <w:ilvl w:val="0"/>
          <w:numId w:val="2"/>
        </w:numPr>
        <w:spacing w:line="600" w:lineRule="exact"/>
        <w:ind w:firstLine="640"/>
        <w:outlineLvl w:val="1"/>
        <w:rPr>
          <w:rStyle w:val="31"/>
          <w:rFonts w:hint="default" w:ascii="Times New Roman" w:hAnsi="Times New Roman" w:eastAsia="黑体" w:cs="Times New Roman"/>
          <w:b w:val="0"/>
          <w:color w:val="auto"/>
          <w:highlight w:val="none"/>
        </w:rPr>
      </w:pPr>
      <w:bookmarkStart w:id="36" w:name="_Toc15396611"/>
      <w:bookmarkStart w:id="37" w:name="_Toc15377219"/>
      <w:bookmarkStart w:id="38" w:name="九、国有资本经营预算支出决算情况说明"/>
      <w:r>
        <w:rPr>
          <w:rStyle w:val="31"/>
          <w:rFonts w:hint="default" w:ascii="Times New Roman" w:hAnsi="Times New Roman" w:eastAsia="黑体" w:cs="Times New Roman"/>
          <w:b w:val="0"/>
          <w:color w:val="auto"/>
          <w:highlight w:val="none"/>
        </w:rPr>
        <w:t>国有资本经营预算支出决算情况说明</w:t>
      </w:r>
      <w:bookmarkEnd w:id="36"/>
      <w:bookmarkEnd w:id="37"/>
    </w:p>
    <w:bookmarkEnd w:id="38"/>
    <w:p>
      <w:pPr>
        <w:spacing w:line="600" w:lineRule="exact"/>
        <w:ind w:firstLine="64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20</w:t>
      </w:r>
      <w:r>
        <w:rPr>
          <w:rFonts w:hint="eastAsia" w:ascii="仿宋" w:hAnsi="仿宋" w:eastAsia="仿宋" w:cs="仿宋"/>
          <w:color w:val="auto"/>
          <w:sz w:val="32"/>
          <w:szCs w:val="32"/>
          <w:highlight w:val="none"/>
          <w:lang w:val="en-US" w:eastAsia="zh-CN"/>
        </w:rPr>
        <w:t>23</w:t>
      </w:r>
      <w:r>
        <w:rPr>
          <w:rFonts w:hint="eastAsia" w:ascii="仿宋" w:hAnsi="仿宋" w:eastAsia="仿宋" w:cs="仿宋"/>
          <w:color w:val="auto"/>
          <w:sz w:val="32"/>
          <w:szCs w:val="32"/>
          <w:highlight w:val="none"/>
        </w:rPr>
        <w:t>年国有资本经营预算</w:t>
      </w:r>
      <w:r>
        <w:rPr>
          <w:rFonts w:hint="eastAsia" w:ascii="仿宋" w:hAnsi="仿宋" w:eastAsia="仿宋" w:cs="仿宋"/>
          <w:color w:val="auto"/>
          <w:sz w:val="32"/>
          <w:szCs w:val="32"/>
          <w:highlight w:val="none"/>
          <w:lang w:eastAsia="zh-CN"/>
        </w:rPr>
        <w:t>财政</w:t>
      </w:r>
      <w:r>
        <w:rPr>
          <w:rFonts w:hint="eastAsia" w:ascii="仿宋" w:hAnsi="仿宋" w:eastAsia="仿宋" w:cs="仿宋"/>
          <w:color w:val="auto"/>
          <w:sz w:val="32"/>
          <w:szCs w:val="32"/>
          <w:highlight w:val="none"/>
        </w:rPr>
        <w:t>拨款支出</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万元。</w:t>
      </w:r>
    </w:p>
    <w:p>
      <w:pPr>
        <w:numPr>
          <w:ilvl w:val="0"/>
          <w:numId w:val="2"/>
        </w:numPr>
        <w:spacing w:line="600" w:lineRule="exact"/>
        <w:ind w:firstLine="640"/>
        <w:outlineLvl w:val="1"/>
        <w:rPr>
          <w:rStyle w:val="31"/>
          <w:rFonts w:hint="default" w:ascii="Times New Roman" w:hAnsi="Times New Roman" w:eastAsia="黑体" w:cs="Times New Roman"/>
          <w:b w:val="0"/>
          <w:color w:val="auto"/>
          <w:highlight w:val="none"/>
        </w:rPr>
      </w:pPr>
      <w:bookmarkStart w:id="39" w:name="_Toc15396612"/>
      <w:bookmarkStart w:id="40" w:name="_Toc15377221"/>
      <w:bookmarkStart w:id="41" w:name="十、其他重要事项的情况说明"/>
      <w:r>
        <w:rPr>
          <w:rStyle w:val="31"/>
          <w:rFonts w:hint="default" w:ascii="Times New Roman" w:hAnsi="Times New Roman" w:eastAsia="黑体" w:cs="Times New Roman"/>
          <w:b w:val="0"/>
          <w:color w:val="auto"/>
          <w:highlight w:val="none"/>
        </w:rPr>
        <w:t>其他重要事项的情况说明</w:t>
      </w:r>
      <w:bookmarkEnd w:id="39"/>
      <w:bookmarkEnd w:id="40"/>
    </w:p>
    <w:bookmarkEnd w:id="41"/>
    <w:p>
      <w:pPr>
        <w:spacing w:line="600" w:lineRule="exact"/>
        <w:ind w:firstLine="643" w:firstLineChars="200"/>
        <w:outlineLvl w:val="2"/>
        <w:rPr>
          <w:rFonts w:hint="eastAsia" w:ascii="仿宋" w:hAnsi="仿宋" w:eastAsia="仿宋" w:cs="仿宋"/>
          <w:color w:val="auto"/>
          <w:sz w:val="32"/>
          <w:szCs w:val="32"/>
          <w:highlight w:val="none"/>
        </w:rPr>
      </w:pPr>
      <w:bookmarkStart w:id="42" w:name="_Toc15377222"/>
      <w:r>
        <w:rPr>
          <w:rFonts w:hint="eastAsia" w:ascii="仿宋" w:hAnsi="仿宋" w:eastAsia="仿宋" w:cs="仿宋"/>
          <w:b/>
          <w:color w:val="auto"/>
          <w:sz w:val="32"/>
          <w:szCs w:val="32"/>
          <w:highlight w:val="none"/>
        </w:rPr>
        <w:t>（一）机关运行经费支出情况</w:t>
      </w:r>
      <w:bookmarkEnd w:id="42"/>
    </w:p>
    <w:p>
      <w:pPr>
        <w:spacing w:line="600" w:lineRule="exact"/>
        <w:ind w:firstLine="640" w:firstLineChars="20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20</w:t>
      </w:r>
      <w:r>
        <w:rPr>
          <w:rFonts w:hint="eastAsia" w:ascii="仿宋" w:hAnsi="仿宋" w:eastAsia="仿宋" w:cs="仿宋"/>
          <w:color w:val="auto"/>
          <w:sz w:val="32"/>
          <w:szCs w:val="32"/>
          <w:highlight w:val="none"/>
          <w:lang w:val="en-US" w:eastAsia="zh-CN"/>
        </w:rPr>
        <w:t>23</w:t>
      </w:r>
      <w:r>
        <w:rPr>
          <w:rFonts w:hint="eastAsia" w:ascii="仿宋" w:hAnsi="仿宋" w:eastAsia="仿宋" w:cs="仿宋"/>
          <w:color w:val="auto"/>
          <w:sz w:val="32"/>
          <w:szCs w:val="32"/>
          <w:highlight w:val="none"/>
        </w:rPr>
        <w:t>年，达州市大竹生态环境局机关运行经费支出</w:t>
      </w:r>
      <w:r>
        <w:rPr>
          <w:rFonts w:hint="eastAsia" w:ascii="仿宋" w:hAnsi="仿宋" w:eastAsia="仿宋" w:cs="仿宋"/>
          <w:color w:val="auto"/>
          <w:sz w:val="32"/>
          <w:szCs w:val="32"/>
          <w:highlight w:val="none"/>
          <w:lang w:val="en-US" w:eastAsia="zh-CN"/>
        </w:rPr>
        <w:t>82.96</w:t>
      </w:r>
      <w:r>
        <w:rPr>
          <w:rFonts w:hint="eastAsia" w:ascii="仿宋" w:hAnsi="仿宋" w:eastAsia="仿宋" w:cs="仿宋"/>
          <w:color w:val="auto"/>
          <w:sz w:val="32"/>
          <w:szCs w:val="32"/>
          <w:highlight w:val="none"/>
        </w:rPr>
        <w:t>万元，比20</w:t>
      </w:r>
      <w:r>
        <w:rPr>
          <w:rFonts w:hint="eastAsia" w:ascii="仿宋" w:hAnsi="仿宋" w:eastAsia="仿宋" w:cs="仿宋"/>
          <w:color w:val="auto"/>
          <w:sz w:val="32"/>
          <w:szCs w:val="32"/>
          <w:highlight w:val="none"/>
          <w:lang w:val="en-US" w:eastAsia="zh-CN"/>
        </w:rPr>
        <w:t>22</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减少13.19</w:t>
      </w:r>
      <w:r>
        <w:rPr>
          <w:rFonts w:hint="eastAsia" w:ascii="仿宋" w:hAnsi="仿宋" w:eastAsia="仿宋" w:cs="仿宋"/>
          <w:color w:val="auto"/>
          <w:sz w:val="32"/>
          <w:szCs w:val="32"/>
          <w:highlight w:val="none"/>
        </w:rPr>
        <w:t>万元，</w:t>
      </w:r>
      <w:r>
        <w:rPr>
          <w:rFonts w:hint="eastAsia" w:ascii="仿宋" w:hAnsi="仿宋" w:eastAsia="仿宋" w:cs="仿宋"/>
          <w:color w:val="auto"/>
          <w:sz w:val="32"/>
          <w:szCs w:val="32"/>
          <w:highlight w:val="none"/>
          <w:lang w:val="en-US" w:eastAsia="zh-CN"/>
        </w:rPr>
        <w:t>减少13.72</w:t>
      </w:r>
      <w:r>
        <w:rPr>
          <w:rFonts w:hint="eastAsia" w:ascii="仿宋" w:hAnsi="仿宋" w:eastAsia="仿宋" w:cs="仿宋"/>
          <w:color w:val="auto"/>
          <w:sz w:val="32"/>
          <w:szCs w:val="32"/>
          <w:highlight w:val="none"/>
        </w:rPr>
        <w:t>%。</w:t>
      </w:r>
      <w:r>
        <w:rPr>
          <w:rFonts w:hint="eastAsia" w:ascii="仿宋" w:hAnsi="仿宋" w:eastAsia="仿宋" w:cs="仿宋"/>
          <w:b w:val="0"/>
          <w:bCs/>
          <w:color w:val="auto"/>
          <w:sz w:val="32"/>
          <w:szCs w:val="32"/>
          <w:highlight w:val="none"/>
        </w:rPr>
        <w:t>主要原因是</w:t>
      </w:r>
      <w:r>
        <w:rPr>
          <w:rFonts w:hint="eastAsia" w:ascii="仿宋" w:hAnsi="仿宋" w:eastAsia="仿宋"/>
          <w:color w:val="auto"/>
          <w:sz w:val="32"/>
          <w:szCs w:val="32"/>
          <w:highlight w:val="none"/>
          <w:lang w:val="en-US" w:eastAsia="zh-CN"/>
        </w:rPr>
        <w:t>按照达州市财政局要求，自2023年起，下属事业单位达州市大竹生态环境监测站独立核算，局机关车辆减少一辆</w:t>
      </w:r>
      <w:r>
        <w:rPr>
          <w:rFonts w:hint="eastAsia" w:ascii="仿宋" w:hAnsi="仿宋" w:eastAsia="仿宋" w:cs="仿宋"/>
          <w:b w:val="0"/>
          <w:bCs/>
          <w:color w:val="auto"/>
          <w:sz w:val="32"/>
          <w:szCs w:val="32"/>
          <w:highlight w:val="none"/>
        </w:rPr>
        <w:t>。</w:t>
      </w:r>
    </w:p>
    <w:p>
      <w:pPr>
        <w:autoSpaceDE w:val="0"/>
        <w:autoSpaceDN w:val="0"/>
        <w:adjustRightInd w:val="0"/>
        <w:spacing w:line="600" w:lineRule="exact"/>
        <w:ind w:firstLine="643" w:firstLineChars="200"/>
        <w:jc w:val="left"/>
        <w:outlineLvl w:val="2"/>
        <w:rPr>
          <w:rFonts w:hint="eastAsia" w:ascii="仿宋" w:hAnsi="仿宋" w:eastAsia="仿宋" w:cs="仿宋"/>
          <w:b/>
          <w:color w:val="auto"/>
          <w:sz w:val="32"/>
          <w:szCs w:val="32"/>
          <w:highlight w:val="none"/>
        </w:rPr>
      </w:pPr>
      <w:bookmarkStart w:id="43" w:name="_Toc15377223"/>
      <w:r>
        <w:rPr>
          <w:rFonts w:hint="eastAsia" w:ascii="仿宋" w:hAnsi="仿宋" w:eastAsia="仿宋" w:cs="仿宋"/>
          <w:b/>
          <w:color w:val="auto"/>
          <w:sz w:val="32"/>
          <w:szCs w:val="32"/>
          <w:highlight w:val="none"/>
        </w:rPr>
        <w:t>（二）政府采购支出情况</w:t>
      </w:r>
      <w:bookmarkEnd w:id="43"/>
    </w:p>
    <w:p>
      <w:pPr>
        <w:spacing w:line="600" w:lineRule="exact"/>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20</w:t>
      </w:r>
      <w:r>
        <w:rPr>
          <w:rFonts w:hint="eastAsia" w:ascii="仿宋" w:hAnsi="仿宋" w:eastAsia="仿宋" w:cs="仿宋"/>
          <w:color w:val="auto"/>
          <w:sz w:val="32"/>
          <w:szCs w:val="32"/>
          <w:highlight w:val="none"/>
          <w:lang w:val="en-US" w:eastAsia="zh-CN"/>
        </w:rPr>
        <w:t>23</w:t>
      </w:r>
      <w:r>
        <w:rPr>
          <w:rFonts w:hint="eastAsia" w:ascii="仿宋" w:hAnsi="仿宋" w:eastAsia="仿宋" w:cs="仿宋"/>
          <w:color w:val="auto"/>
          <w:sz w:val="32"/>
          <w:szCs w:val="32"/>
          <w:highlight w:val="none"/>
        </w:rPr>
        <w:t>年，达州市大竹生态环境局政府采购支出总额</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万元，其中：政府采购货物支出</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万元、政府采购工程支出</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万元、政府采购服务支出</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万元。授予中小企业合同金额</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万元，占政府采购支出总额的</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%，其中：授予小微企业合同金额</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万元，占政府采购支出总额的</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w:t>
      </w:r>
    </w:p>
    <w:p>
      <w:pPr>
        <w:autoSpaceDE w:val="0"/>
        <w:autoSpaceDN w:val="0"/>
        <w:adjustRightInd w:val="0"/>
        <w:spacing w:line="600" w:lineRule="exact"/>
        <w:ind w:firstLine="643" w:firstLineChars="200"/>
        <w:jc w:val="left"/>
        <w:outlineLvl w:val="2"/>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（三）国有资产占有使用情况</w:t>
      </w:r>
    </w:p>
    <w:p>
      <w:pPr>
        <w:keepNext w:val="0"/>
        <w:keepLines w:val="0"/>
        <w:pageBreakBefore w:val="0"/>
        <w:widowControl w:val="0"/>
        <w:kinsoku/>
        <w:wordWrap/>
        <w:overflowPunct/>
        <w:topLinePunct w:val="0"/>
        <w:autoSpaceDE w:val="0"/>
        <w:autoSpaceDN/>
        <w:bidi w:val="0"/>
        <w:adjustRightInd w:val="0"/>
        <w:snapToGrid/>
        <w:spacing w:line="600" w:lineRule="exact"/>
        <w:ind w:firstLine="72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20"/>
          <w:sz w:val="32"/>
          <w:szCs w:val="32"/>
          <w:highlight w:val="none"/>
        </w:rPr>
        <w:t>截至20</w:t>
      </w:r>
      <w:r>
        <w:rPr>
          <w:rFonts w:hint="eastAsia" w:ascii="仿宋" w:hAnsi="仿宋" w:eastAsia="仿宋" w:cs="仿宋"/>
          <w:color w:val="auto"/>
          <w:spacing w:val="20"/>
          <w:sz w:val="32"/>
          <w:szCs w:val="32"/>
          <w:highlight w:val="none"/>
          <w:lang w:val="en-US" w:eastAsia="zh-CN"/>
        </w:rPr>
        <w:t>23</w:t>
      </w:r>
      <w:r>
        <w:rPr>
          <w:rFonts w:hint="eastAsia" w:ascii="仿宋" w:hAnsi="仿宋" w:eastAsia="仿宋" w:cs="仿宋"/>
          <w:color w:val="auto"/>
          <w:spacing w:val="20"/>
          <w:sz w:val="32"/>
          <w:szCs w:val="32"/>
          <w:highlight w:val="none"/>
        </w:rPr>
        <w:t>年12月31日，达州市大竹生态环境局共有</w:t>
      </w:r>
      <w:r>
        <w:rPr>
          <w:rFonts w:hint="eastAsia" w:ascii="仿宋" w:hAnsi="仿宋" w:eastAsia="仿宋" w:cs="仿宋"/>
          <w:color w:val="auto"/>
          <w:sz w:val="32"/>
          <w:szCs w:val="32"/>
          <w:highlight w:val="none"/>
        </w:rPr>
        <w:t>车辆</w:t>
      </w: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辆，其中：主要领导干部用车</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辆、机要通信用车</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辆、应急保障用车</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rPr>
        <w:t>辆、</w:t>
      </w:r>
      <w:r>
        <w:rPr>
          <w:rFonts w:hint="eastAsia" w:ascii="仿宋" w:hAnsi="仿宋" w:eastAsia="仿宋" w:cs="仿宋"/>
          <w:b w:val="0"/>
          <w:bCs/>
          <w:color w:val="auto"/>
          <w:sz w:val="32"/>
          <w:szCs w:val="32"/>
          <w:highlight w:val="none"/>
          <w:lang w:eastAsia="zh-CN"/>
        </w:rPr>
        <w:t>特种专业技术用车</w:t>
      </w:r>
      <w:r>
        <w:rPr>
          <w:rFonts w:hint="eastAsia" w:ascii="仿宋" w:hAnsi="仿宋" w:eastAsia="仿宋" w:cs="仿宋"/>
          <w:b w:val="0"/>
          <w:bCs/>
          <w:color w:val="auto"/>
          <w:sz w:val="32"/>
          <w:szCs w:val="32"/>
          <w:highlight w:val="none"/>
          <w:lang w:val="en-US" w:eastAsia="zh-CN"/>
        </w:rPr>
        <w:t>0</w:t>
      </w:r>
      <w:r>
        <w:rPr>
          <w:rFonts w:hint="eastAsia" w:ascii="仿宋" w:hAnsi="仿宋" w:eastAsia="仿宋" w:cs="仿宋"/>
          <w:b w:val="0"/>
          <w:bCs/>
          <w:color w:val="auto"/>
          <w:sz w:val="32"/>
          <w:szCs w:val="32"/>
          <w:highlight w:val="none"/>
        </w:rPr>
        <w:t>辆</w:t>
      </w:r>
      <w:r>
        <w:rPr>
          <w:rFonts w:hint="eastAsia" w:ascii="仿宋" w:hAnsi="仿宋" w:eastAsia="仿宋" w:cs="仿宋"/>
          <w:b w:val="0"/>
          <w:bCs/>
          <w:color w:val="auto"/>
          <w:sz w:val="32"/>
          <w:szCs w:val="32"/>
          <w:highlight w:val="none"/>
          <w:lang w:eastAsia="zh-CN"/>
        </w:rPr>
        <w:t>、</w:t>
      </w:r>
      <w:r>
        <w:rPr>
          <w:rFonts w:hint="eastAsia" w:ascii="仿宋" w:hAnsi="仿宋" w:eastAsia="仿宋" w:cs="仿宋"/>
          <w:color w:val="auto"/>
          <w:sz w:val="32"/>
          <w:szCs w:val="32"/>
          <w:highlight w:val="none"/>
        </w:rPr>
        <w:t>其他用车</w:t>
      </w: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辆</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单价50万元以上通用设备</w:t>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台（套），单价100万元以上专用设备</w:t>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台（套）。</w:t>
      </w:r>
    </w:p>
    <w:p>
      <w:pPr>
        <w:autoSpaceDE w:val="0"/>
        <w:autoSpaceDN w:val="0"/>
        <w:adjustRightInd w:val="0"/>
        <w:spacing w:line="600" w:lineRule="exact"/>
        <w:ind w:firstLine="643" w:firstLineChars="200"/>
        <w:jc w:val="left"/>
        <w:outlineLvl w:val="2"/>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（四）预算绩效管理情况</w:t>
      </w:r>
    </w:p>
    <w:p>
      <w:pPr>
        <w:spacing w:line="580" w:lineRule="exact"/>
        <w:ind w:firstLine="640" w:firstLineChars="20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根据预算绩效管理要求，本单位在</w:t>
      </w:r>
      <w:r>
        <w:rPr>
          <w:rFonts w:hint="eastAsia" w:ascii="仿宋" w:hAnsi="仿宋" w:eastAsia="仿宋" w:cs="仿宋"/>
          <w:color w:val="auto"/>
          <w:sz w:val="32"/>
          <w:szCs w:val="32"/>
          <w:highlight w:val="none"/>
          <w:lang w:val="en-US" w:eastAsia="zh-CN"/>
        </w:rPr>
        <w:t>2023年度</w:t>
      </w:r>
      <w:r>
        <w:rPr>
          <w:rFonts w:hint="eastAsia" w:ascii="仿宋" w:hAnsi="仿宋" w:eastAsia="仿宋" w:cs="仿宋"/>
          <w:color w:val="auto"/>
          <w:sz w:val="32"/>
          <w:szCs w:val="32"/>
          <w:highlight w:val="none"/>
        </w:rPr>
        <w:t>预算编制阶段，组织对</w:t>
      </w:r>
      <w:r>
        <w:rPr>
          <w:rFonts w:hint="eastAsia" w:ascii="仿宋" w:hAnsi="仿宋" w:eastAsia="仿宋" w:cs="仿宋"/>
          <w:color w:val="auto"/>
          <w:sz w:val="32"/>
          <w:szCs w:val="32"/>
          <w:highlight w:val="none"/>
          <w:lang w:val="en-US" w:eastAsia="zh-CN"/>
        </w:rPr>
        <w:t>生态环境执法工作、生态环境监测工作、污染防治工作、生态环境管理工作、县级环保专项工作经费、灾损补助资金</w:t>
      </w:r>
      <w:r>
        <w:rPr>
          <w:rFonts w:hint="eastAsia" w:ascii="仿宋" w:hAnsi="仿宋" w:eastAsia="仿宋" w:cs="仿宋"/>
          <w:color w:val="auto"/>
          <w:sz w:val="32"/>
          <w:szCs w:val="32"/>
          <w:highlight w:val="none"/>
          <w:lang w:eastAsia="zh-CN"/>
        </w:rPr>
        <w:t>等</w:t>
      </w:r>
      <w:r>
        <w:rPr>
          <w:rFonts w:hint="eastAsia" w:ascii="仿宋" w:hAnsi="仿宋" w:eastAsia="仿宋" w:cs="仿宋"/>
          <w:color w:val="auto"/>
          <w:sz w:val="32"/>
          <w:szCs w:val="32"/>
          <w:highlight w:val="none"/>
          <w:lang w:val="en-US" w:eastAsia="zh-CN"/>
        </w:rPr>
        <w:t>12个项目</w:t>
      </w:r>
      <w:r>
        <w:rPr>
          <w:rFonts w:hint="eastAsia" w:ascii="仿宋" w:hAnsi="仿宋" w:eastAsia="仿宋" w:cs="仿宋"/>
          <w:color w:val="auto"/>
          <w:sz w:val="32"/>
          <w:szCs w:val="32"/>
          <w:highlight w:val="none"/>
        </w:rPr>
        <w:t>开展了预算事前绩效评估，对</w:t>
      </w: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个项目编制了绩效目标，预算执行过程中，选取</w:t>
      </w: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个项目开展绩效监控</w:t>
      </w:r>
      <w:r>
        <w:rPr>
          <w:rFonts w:hint="eastAsia" w:ascii="仿宋" w:hAnsi="仿宋" w:eastAsia="仿宋" w:cs="仿宋"/>
          <w:color w:val="auto"/>
          <w:sz w:val="32"/>
          <w:szCs w:val="32"/>
          <w:highlight w:val="none"/>
          <w:lang w:eastAsia="zh-CN"/>
        </w:rPr>
        <w:t>。</w:t>
      </w:r>
    </w:p>
    <w:p>
      <w:pPr>
        <w:pStyle w:val="6"/>
        <w:ind w:left="0" w:leftChars="0" w:firstLine="640" w:firstLineChars="200"/>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组织对2023年度一般公共预算、政府性基金预算、国有资本经营预算、社会保险基金预算以及资本资产、债券资金等全面开展绩效自评（含监测站），形成大竹生态环境局部门整体（含部门预算项目）绩效自评报告，绩效自评得分为96分；大竹生态环境局专项预算项目绩效自评得分为96分。从评价情况来看单位的预算编制、执行与管理严格遵守相关规定，支出管理较为规范，财务管理制度较完善，资金到位及时，使用得当，综合效益明显。绩效自评报告详见第四部分（附件）。</w:t>
      </w:r>
    </w:p>
    <w:p>
      <w:pP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br w:type="page"/>
      </w:r>
    </w:p>
    <w:p>
      <w:pPr>
        <w:numPr>
          <w:ilvl w:val="0"/>
          <w:numId w:val="3"/>
        </w:numPr>
        <w:spacing w:line="600" w:lineRule="exact"/>
        <w:ind w:firstLine="660" w:firstLineChars="150"/>
        <w:jc w:val="center"/>
        <w:outlineLvl w:val="0"/>
        <w:rPr>
          <w:rStyle w:val="30"/>
          <w:rFonts w:ascii="黑体" w:hAnsi="黑体" w:eastAsia="黑体"/>
          <w:b w:val="0"/>
          <w:color w:val="auto"/>
          <w:highlight w:val="none"/>
        </w:rPr>
      </w:pPr>
      <w:bookmarkStart w:id="44" w:name="_Toc15396613"/>
      <w:bookmarkStart w:id="45" w:name="第三部分名词解释"/>
      <w:r>
        <w:rPr>
          <w:rFonts w:hint="eastAsia" w:ascii="黑体" w:hAnsi="黑体" w:eastAsia="黑体"/>
          <w:color w:val="auto"/>
          <w:sz w:val="44"/>
          <w:szCs w:val="44"/>
          <w:highlight w:val="none"/>
        </w:rPr>
        <w:t>名</w:t>
      </w:r>
      <w:r>
        <w:rPr>
          <w:rStyle w:val="30"/>
          <w:rFonts w:hint="eastAsia" w:ascii="黑体" w:hAnsi="黑体" w:eastAsia="黑体"/>
          <w:b w:val="0"/>
          <w:color w:val="auto"/>
          <w:highlight w:val="none"/>
        </w:rPr>
        <w:t>词解释</w:t>
      </w:r>
      <w:bookmarkEnd w:id="44"/>
    </w:p>
    <w:bookmarkEnd w:id="45"/>
    <w:p>
      <w:pPr>
        <w:spacing w:line="600" w:lineRule="exact"/>
        <w:jc w:val="left"/>
        <w:rPr>
          <w:rFonts w:ascii="宋体"/>
          <w:b/>
          <w:color w:val="auto"/>
          <w:sz w:val="44"/>
          <w:szCs w:val="44"/>
          <w:highlight w:val="none"/>
        </w:rPr>
      </w:pPr>
    </w:p>
    <w:p>
      <w:pPr>
        <w:numPr>
          <w:ilvl w:val="0"/>
          <w:numId w:val="0"/>
        </w:numPr>
        <w:spacing w:line="58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1.财政拨款收入：指单位从同级财政部门取得的财政预算资金。</w:t>
      </w:r>
    </w:p>
    <w:p>
      <w:pPr>
        <w:numPr>
          <w:ilvl w:val="0"/>
          <w:numId w:val="0"/>
        </w:numPr>
        <w:spacing w:line="58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sz w:val="32"/>
          <w:szCs w:val="32"/>
          <w:lang w:val="en-US" w:eastAsia="zh-CN"/>
        </w:rPr>
        <w:t>2.</w:t>
      </w:r>
      <w:r>
        <w:rPr>
          <w:rFonts w:hint="eastAsia" w:ascii="仿宋" w:hAnsi="仿宋" w:eastAsia="仿宋" w:cs="仿宋"/>
          <w:sz w:val="32"/>
          <w:szCs w:val="32"/>
        </w:rPr>
        <w:t>其他收入：指单位取得的除上述收入以外的各项收入。</w:t>
      </w:r>
      <w:r>
        <w:rPr>
          <w:rFonts w:hint="eastAsia" w:ascii="仿宋" w:hAnsi="仿宋" w:eastAsia="仿宋" w:cs="仿宋"/>
          <w:sz w:val="32"/>
          <w:szCs w:val="32"/>
          <w:lang w:val="en-US" w:eastAsia="zh-CN"/>
        </w:rPr>
        <w:t>主要是项目收入。</w:t>
      </w:r>
    </w:p>
    <w:p>
      <w:pPr>
        <w:spacing w:line="58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3.年初结转和结余：指以前年度尚未完成、结转到本年按有关规定继续使用的资金。</w:t>
      </w:r>
    </w:p>
    <w:p>
      <w:pPr>
        <w:spacing w:line="58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4.年末结转和结余：指单位按有关规定结转到下年或以后年度继续使用的资金。</w:t>
      </w:r>
    </w:p>
    <w:p>
      <w:pPr>
        <w:spacing w:line="58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kern w:val="0"/>
          <w:sz w:val="32"/>
          <w:szCs w:val="32"/>
          <w:highlight w:val="none"/>
          <w:lang w:val="en-US" w:eastAsia="zh-CN" w:bidi="ar-SA"/>
        </w:rPr>
        <w:t>5.社会保</w:t>
      </w:r>
      <w:r>
        <w:rPr>
          <w:rFonts w:hint="eastAsia" w:ascii="仿宋" w:hAnsi="仿宋" w:eastAsia="仿宋" w:cs="仿宋"/>
          <w:color w:val="auto"/>
          <w:sz w:val="32"/>
          <w:szCs w:val="32"/>
          <w:highlight w:val="none"/>
          <w:lang w:val="en-US" w:eastAsia="zh-CN"/>
        </w:rPr>
        <w:t>障和就业支出（类）</w:t>
      </w:r>
      <w:r>
        <w:rPr>
          <w:rFonts w:hint="eastAsia" w:ascii="仿宋" w:hAnsi="仿宋" w:eastAsia="仿宋" w:cs="仿宋"/>
          <w:bCs/>
          <w:color w:val="auto"/>
          <w:kern w:val="0"/>
          <w:sz w:val="32"/>
          <w:szCs w:val="32"/>
          <w:lang w:val="en-US" w:eastAsia="zh-CN" w:bidi="ar-SA"/>
        </w:rPr>
        <w:t>行政事业单位养老支出</w:t>
      </w:r>
      <w:r>
        <w:rPr>
          <w:rFonts w:hint="eastAsia" w:ascii="仿宋" w:hAnsi="仿宋" w:eastAsia="仿宋" w:cs="仿宋"/>
          <w:color w:val="auto"/>
          <w:sz w:val="32"/>
          <w:szCs w:val="32"/>
          <w:highlight w:val="none"/>
          <w:lang w:val="en-US" w:eastAsia="zh-CN"/>
        </w:rPr>
        <w:t>（款）机关事业单位基本养老保险缴费支出（项）：指机关事业单位实施养老保险制度由单位缴纳的基本养老保险费支出。</w:t>
      </w:r>
    </w:p>
    <w:p>
      <w:pPr>
        <w:spacing w:line="58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6.卫生健康支出（类）行政事业单位医疗（款）行政单位医疗（项）：指财政部门安排的行政单位基本医疗保险缴费经费，未参加医疗保险的行政单位的公费医疗经费，按国家规定享受离休人员、红军老战士待遇人员的医疗经费。</w:t>
      </w:r>
    </w:p>
    <w:p>
      <w:pPr>
        <w:spacing w:line="58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7.卫生健康支出（类）行政事业单位医疗（款）公务员医疗补助（项）：指财政部门安排的公务员医疗补助经费。</w:t>
      </w:r>
    </w:p>
    <w:p>
      <w:pPr>
        <w:spacing w:line="58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8.节能环保支出（类）环境保护管理事务（款）行政运行（项）：指行政单位（包括实行公务员管理的事业单位）的基本支出。</w:t>
      </w:r>
    </w:p>
    <w:p>
      <w:pPr>
        <w:spacing w:line="58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9.节能环保支出（类）环境保护管理事务（款）一般行政管理事务（项）：指行政单位（包括实行公务员管理的事业单位）未单独设置项级科目的其他项目支出。</w:t>
      </w:r>
    </w:p>
    <w:p>
      <w:pPr>
        <w:spacing w:line="58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10.节能环保支出（类）污染防治（款）大气（项）：指政府在治理空气污染、汽车尾气、酸雨、二氧化硫、沙尘暴等方面的支出。</w:t>
      </w:r>
    </w:p>
    <w:p>
      <w:pPr>
        <w:spacing w:line="58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11.节能环保支出（类）污染防治（款）水体（项）：指政府在排水、污水处理、水污染防治、湖库生态环境保护、水源地保护、国土江河综合整治、河流治理与保护、地下水修复与保护等方面的支出。</w:t>
      </w:r>
    </w:p>
    <w:p>
      <w:pPr>
        <w:spacing w:line="58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12.节能环保支出（类）污染防治（款）土壤（项）：指政府在土壤污染调查、风险管控、治理与修复等方面的支出。</w:t>
      </w:r>
    </w:p>
    <w:p>
      <w:pPr>
        <w:spacing w:line="58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13.节能环保支出（类）污染防治（款）其他污染防治支出（项）：指除上述项目以外其他用于污染防治方面的支出。</w:t>
      </w:r>
    </w:p>
    <w:p>
      <w:pPr>
        <w:spacing w:line="58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14.节能环保支出（类）污染减排（款）生态环境监测与信息（项）：指生态环境部门监测和信息方面的支出，包括环境质量监测、污染治理设施竣工验收监测、污染源监督性监测、污染事故应急监测和污染纠纷监测等支出，环境统计和调查、环境质量评价、绿色国民经济核算等支出，环境信息系统建设、维护、运行、信息发布及技术支持等方面的支出。</w:t>
      </w:r>
    </w:p>
    <w:p>
      <w:pPr>
        <w:spacing w:line="58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15.节能环保支出（类）污染减排（款）生态环境执法监察（项）：指生态环境部门监督检查环保法律法规、标准等执行情况的支出，行政处罚、行政诉讼、行政复议支出，环境行政稽查支出，执法装备支出，排污费申报、征收与使用管理支出，环境问题举报、环境纠纷调查处理支出，突发性污染事故预防、应急处置等支出。</w:t>
      </w:r>
    </w:p>
    <w:p>
      <w:pPr>
        <w:spacing w:line="58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16.</w:t>
      </w:r>
      <w:r>
        <w:rPr>
          <w:rFonts w:hint="eastAsia" w:ascii="仿宋" w:hAnsi="仿宋" w:eastAsia="仿宋" w:cs="仿宋"/>
          <w:color w:val="auto"/>
          <w:kern w:val="2"/>
          <w:sz w:val="32"/>
          <w:szCs w:val="32"/>
          <w:highlight w:val="none"/>
          <w:lang w:val="en-US" w:eastAsia="zh-CN" w:bidi="ar-SA"/>
        </w:rPr>
        <w:t>节能环保支出</w:t>
      </w:r>
      <w:r>
        <w:rPr>
          <w:rStyle w:val="19"/>
          <w:rFonts w:hint="eastAsia" w:ascii="仿宋" w:hAnsi="仿宋" w:eastAsia="仿宋" w:cs="仿宋"/>
          <w:b w:val="0"/>
          <w:bCs/>
          <w:color w:val="auto"/>
          <w:sz w:val="32"/>
          <w:szCs w:val="32"/>
          <w:highlight w:val="none"/>
        </w:rPr>
        <w:t>（类）</w:t>
      </w:r>
      <w:r>
        <w:rPr>
          <w:rStyle w:val="19"/>
          <w:rFonts w:hint="eastAsia" w:ascii="仿宋" w:hAnsi="仿宋" w:eastAsia="仿宋" w:cs="仿宋"/>
          <w:b w:val="0"/>
          <w:bCs/>
          <w:color w:val="auto"/>
          <w:sz w:val="32"/>
          <w:szCs w:val="32"/>
          <w:highlight w:val="none"/>
          <w:lang w:val="en-US" w:eastAsia="zh-CN"/>
        </w:rPr>
        <w:t>其他节能环保支出（款）其他节能环保支出（项）：指除上述项目以外其他用于节能环保方面的支出。</w:t>
      </w:r>
    </w:p>
    <w:p>
      <w:pPr>
        <w:spacing w:line="58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17.住房保障支出（类）住房改革支出（款）住房公积金（项）：指行政事业单位按人力资源和社会保障部、财政部规定的基本工资和津贴补贴以及规定比例为职工缴纳的住房公积金。</w:t>
      </w:r>
    </w:p>
    <w:p>
      <w:pPr>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18</w:t>
      </w:r>
      <w:r>
        <w:rPr>
          <w:rFonts w:hint="eastAsia" w:ascii="仿宋" w:hAnsi="仿宋" w:eastAsia="仿宋" w:cs="仿宋"/>
          <w:color w:val="auto"/>
          <w:sz w:val="32"/>
          <w:szCs w:val="32"/>
          <w:highlight w:val="none"/>
        </w:rPr>
        <w:t>.基本支出：指为保障机构正常运转、完成日常工作任务而发生的人员支出和公用支出。</w:t>
      </w:r>
    </w:p>
    <w:p>
      <w:pPr>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19</w:t>
      </w:r>
      <w:r>
        <w:rPr>
          <w:rFonts w:hint="eastAsia" w:ascii="仿宋" w:hAnsi="仿宋" w:eastAsia="仿宋" w:cs="仿宋"/>
          <w:color w:val="auto"/>
          <w:sz w:val="32"/>
          <w:szCs w:val="32"/>
          <w:highlight w:val="none"/>
        </w:rPr>
        <w:t>.项目支出：指在基本支出之外为完成特定行政任务和事业发展目标所发生的支出。</w:t>
      </w:r>
    </w:p>
    <w:p>
      <w:pPr>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20</w:t>
      </w:r>
      <w:r>
        <w:rPr>
          <w:rFonts w:hint="eastAsia" w:ascii="仿宋" w:hAnsi="仿宋" w:eastAsia="仿宋" w:cs="仿宋"/>
          <w:color w:val="auto"/>
          <w:sz w:val="32"/>
          <w:szCs w:val="32"/>
          <w:highlight w:val="none"/>
        </w:rPr>
        <w:t>.经营支出：指事业单位在专业业务活动及其辅助活动之外开展非独立核算经营活动发生的支出。</w:t>
      </w:r>
    </w:p>
    <w:p>
      <w:pPr>
        <w:pStyle w:val="28"/>
        <w:spacing w:line="560" w:lineRule="exact"/>
        <w:ind w:firstLine="640" w:firstLineChars="200"/>
        <w:rPr>
          <w:rFonts w:hint="eastAsia" w:ascii="仿宋" w:hAnsi="仿宋" w:eastAsia="仿宋" w:cs="仿宋"/>
          <w:color w:val="auto"/>
          <w:sz w:val="32"/>
          <w:szCs w:val="32"/>
          <w:highlight w:val="none"/>
        </w:rPr>
      </w:pPr>
      <w:r>
        <w:rPr>
          <w:rFonts w:hint="eastAsia" w:hAnsi="仿宋" w:cs="仿宋"/>
          <w:color w:val="auto"/>
          <w:sz w:val="32"/>
          <w:szCs w:val="32"/>
          <w:highlight w:val="none"/>
          <w:lang w:val="en-US" w:eastAsia="zh-CN"/>
        </w:rPr>
        <w:t>21</w:t>
      </w:r>
      <w:r>
        <w:rPr>
          <w:rFonts w:hint="eastAsia" w:ascii="仿宋" w:hAnsi="仿宋" w:eastAsia="仿宋" w:cs="仿宋"/>
          <w:color w:val="auto"/>
          <w:sz w:val="32"/>
          <w:szCs w:val="32"/>
          <w:highlight w:val="none"/>
        </w:rPr>
        <w:t>.“三公”经费：指</w:t>
      </w:r>
      <w:r>
        <w:rPr>
          <w:rFonts w:hint="eastAsia" w:ascii="仿宋" w:hAnsi="仿宋" w:eastAsia="仿宋" w:cs="仿宋"/>
          <w:color w:val="auto"/>
          <w:sz w:val="32"/>
          <w:szCs w:val="32"/>
          <w:highlight w:val="none"/>
          <w:lang w:eastAsia="zh-CN"/>
        </w:rPr>
        <w:t>单位</w:t>
      </w:r>
      <w:r>
        <w:rPr>
          <w:rFonts w:hint="eastAsia" w:ascii="仿宋" w:hAnsi="仿宋" w:eastAsia="仿宋" w:cs="仿宋"/>
          <w:color w:val="auto"/>
          <w:sz w:val="32"/>
          <w:szCs w:val="32"/>
          <w:highlight w:val="none"/>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8"/>
        <w:spacing w:line="560" w:lineRule="exact"/>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w:t>
      </w:r>
      <w:r>
        <w:rPr>
          <w:rFonts w:hint="eastAsia" w:hAnsi="仿宋" w:cs="仿宋"/>
          <w:color w:val="auto"/>
          <w:sz w:val="32"/>
          <w:szCs w:val="32"/>
          <w:highlight w:val="none"/>
          <w:lang w:val="en-US" w:eastAsia="zh-CN"/>
        </w:rPr>
        <w:t>2</w:t>
      </w:r>
      <w:r>
        <w:rPr>
          <w:rFonts w:hint="eastAsia" w:ascii="仿宋" w:hAnsi="仿宋" w:eastAsia="仿宋" w:cs="仿宋"/>
          <w:color w:val="auto"/>
          <w:sz w:val="32"/>
          <w:szCs w:val="32"/>
          <w:highlight w:val="none"/>
        </w:rPr>
        <w:t>.机关运行经费：为保障行政单位（含参照公务员法管理的事业单位）运行用于购买货物和服务的各项资金，包括办公</w:t>
      </w:r>
      <w:r>
        <w:rPr>
          <w:rFonts w:hint="eastAsia" w:ascii="仿宋" w:hAnsi="仿宋" w:eastAsia="仿宋" w:cs="仿宋"/>
          <w:color w:val="auto"/>
          <w:sz w:val="32"/>
          <w:szCs w:val="32"/>
          <w:highlight w:val="none"/>
          <w:lang w:eastAsia="zh-CN"/>
        </w:rPr>
        <w:t>费</w:t>
      </w:r>
      <w:r>
        <w:rPr>
          <w:rFonts w:hint="eastAsia" w:ascii="仿宋" w:hAnsi="仿宋" w:eastAsia="仿宋" w:cs="仿宋"/>
          <w:color w:val="auto"/>
          <w:sz w:val="32"/>
          <w:szCs w:val="32"/>
          <w:highlight w:val="none"/>
        </w:rPr>
        <w:t>及印刷费、邮电费、差旅费、会议费、福利费、日常维修费、专用材料及一般设备购置费、办公用房水电费、办公用房取暖费、办公用房物业管理费、公务用车运行维护费以及其他费用。</w:t>
      </w:r>
    </w:p>
    <w:p>
      <w:pPr>
        <w:pStyle w:val="28"/>
        <w:spacing w:line="560" w:lineRule="exact"/>
        <w:ind w:firstLine="640" w:firstLineChars="200"/>
        <w:rPr>
          <w:rFonts w:hint="eastAsia" w:ascii="仿宋_GB2312" w:eastAsia="仿宋_GB2312"/>
          <w:color w:val="auto"/>
          <w:sz w:val="32"/>
          <w:szCs w:val="32"/>
          <w:highlight w:val="none"/>
        </w:rPr>
      </w:pPr>
    </w:p>
    <w:p>
      <w:pPr>
        <w:pStyle w:val="28"/>
        <w:spacing w:line="560" w:lineRule="exact"/>
        <w:ind w:firstLine="640" w:firstLineChars="200"/>
        <w:rPr>
          <w:rFonts w:hint="eastAsia" w:ascii="仿宋_GB2312" w:eastAsia="仿宋_GB2312"/>
          <w:color w:val="auto"/>
          <w:sz w:val="32"/>
          <w:szCs w:val="32"/>
          <w:highlight w:val="none"/>
        </w:rPr>
      </w:pPr>
    </w:p>
    <w:p>
      <w:pPr>
        <w:pStyle w:val="28"/>
        <w:spacing w:line="560" w:lineRule="exact"/>
        <w:ind w:firstLine="640" w:firstLineChars="200"/>
        <w:rPr>
          <w:rFonts w:hint="eastAsia" w:ascii="仿宋_GB2312" w:eastAsia="仿宋_GB2312"/>
          <w:color w:val="auto"/>
          <w:sz w:val="32"/>
          <w:szCs w:val="32"/>
          <w:highlight w:val="none"/>
        </w:rPr>
      </w:pPr>
    </w:p>
    <w:p>
      <w:pPr>
        <w:pStyle w:val="28"/>
        <w:spacing w:line="560" w:lineRule="exact"/>
        <w:ind w:firstLine="640" w:firstLineChars="200"/>
        <w:rPr>
          <w:rFonts w:hint="eastAsia" w:ascii="仿宋_GB2312" w:eastAsia="仿宋_GB2312"/>
          <w:color w:val="auto"/>
          <w:sz w:val="32"/>
          <w:szCs w:val="32"/>
          <w:highlight w:val="none"/>
        </w:rPr>
      </w:pPr>
    </w:p>
    <w:p>
      <w:pPr>
        <w:pStyle w:val="28"/>
        <w:spacing w:line="560" w:lineRule="exact"/>
        <w:ind w:firstLine="640" w:firstLineChars="200"/>
        <w:rPr>
          <w:rFonts w:hint="eastAsia" w:ascii="仿宋_GB2312" w:eastAsia="仿宋_GB2312"/>
          <w:color w:val="auto"/>
          <w:sz w:val="32"/>
          <w:szCs w:val="32"/>
          <w:highlight w:val="none"/>
        </w:rPr>
      </w:pPr>
    </w:p>
    <w:p>
      <w:pPr>
        <w:pStyle w:val="28"/>
        <w:spacing w:line="560" w:lineRule="exact"/>
        <w:ind w:firstLine="640" w:firstLineChars="200"/>
        <w:rPr>
          <w:rFonts w:hint="eastAsia" w:ascii="仿宋_GB2312" w:eastAsia="仿宋_GB2312"/>
          <w:color w:val="auto"/>
          <w:sz w:val="32"/>
          <w:szCs w:val="32"/>
          <w:highlight w:val="none"/>
        </w:rPr>
      </w:pPr>
    </w:p>
    <w:p>
      <w:pPr>
        <w:pStyle w:val="28"/>
        <w:spacing w:line="560" w:lineRule="exact"/>
        <w:ind w:firstLine="640" w:firstLineChars="200"/>
        <w:rPr>
          <w:rFonts w:hint="eastAsia" w:ascii="仿宋_GB2312" w:eastAsia="仿宋_GB2312"/>
          <w:color w:val="auto"/>
          <w:sz w:val="32"/>
          <w:szCs w:val="32"/>
          <w:highlight w:val="none"/>
        </w:rPr>
      </w:pPr>
    </w:p>
    <w:p>
      <w:pPr>
        <w:pStyle w:val="28"/>
        <w:spacing w:line="560" w:lineRule="exact"/>
        <w:ind w:firstLine="640" w:firstLineChars="200"/>
        <w:rPr>
          <w:rFonts w:hint="eastAsia" w:ascii="仿宋_GB2312" w:eastAsia="仿宋_GB2312"/>
          <w:color w:val="auto"/>
          <w:sz w:val="32"/>
          <w:szCs w:val="32"/>
          <w:highlight w:val="none"/>
        </w:rPr>
      </w:pPr>
    </w:p>
    <w:p>
      <w:pPr>
        <w:pStyle w:val="28"/>
        <w:spacing w:line="560" w:lineRule="exact"/>
        <w:ind w:firstLine="640" w:firstLineChars="200"/>
        <w:rPr>
          <w:rFonts w:hint="eastAsia" w:ascii="仿宋_GB2312" w:eastAsia="仿宋_GB2312"/>
          <w:color w:val="auto"/>
          <w:sz w:val="32"/>
          <w:szCs w:val="32"/>
          <w:highlight w:val="none"/>
        </w:rPr>
      </w:pPr>
    </w:p>
    <w:p>
      <w:pPr>
        <w:pStyle w:val="28"/>
        <w:spacing w:line="560" w:lineRule="exact"/>
        <w:ind w:firstLine="640" w:firstLineChars="200"/>
        <w:rPr>
          <w:rFonts w:hint="eastAsia" w:ascii="仿宋_GB2312" w:eastAsia="仿宋_GB2312"/>
          <w:color w:val="auto"/>
          <w:sz w:val="32"/>
          <w:szCs w:val="32"/>
          <w:highlight w:val="none"/>
        </w:rPr>
      </w:pPr>
    </w:p>
    <w:p>
      <w:pPr>
        <w:pStyle w:val="28"/>
        <w:spacing w:line="560" w:lineRule="exact"/>
        <w:ind w:firstLine="640" w:firstLineChars="200"/>
        <w:rPr>
          <w:rFonts w:hint="eastAsia" w:ascii="仿宋_GB2312" w:eastAsia="仿宋_GB2312"/>
          <w:color w:val="auto"/>
          <w:sz w:val="32"/>
          <w:szCs w:val="32"/>
          <w:highlight w:val="none"/>
        </w:rPr>
      </w:pPr>
    </w:p>
    <w:p>
      <w:pPr>
        <w:pStyle w:val="28"/>
        <w:spacing w:line="560" w:lineRule="exact"/>
        <w:ind w:firstLine="640" w:firstLineChars="200"/>
        <w:rPr>
          <w:rFonts w:hint="eastAsia" w:ascii="仿宋_GB2312" w:eastAsia="仿宋_GB2312"/>
          <w:color w:val="auto"/>
          <w:sz w:val="32"/>
          <w:szCs w:val="32"/>
          <w:highlight w:val="none"/>
        </w:rPr>
      </w:pPr>
    </w:p>
    <w:p>
      <w:pPr>
        <w:pStyle w:val="28"/>
        <w:spacing w:line="560" w:lineRule="exact"/>
        <w:ind w:firstLine="640" w:firstLineChars="200"/>
        <w:rPr>
          <w:rFonts w:hint="eastAsia" w:ascii="仿宋_GB2312" w:eastAsia="仿宋_GB2312"/>
          <w:color w:val="auto"/>
          <w:sz w:val="32"/>
          <w:szCs w:val="32"/>
          <w:highlight w:val="none"/>
        </w:rPr>
      </w:pPr>
    </w:p>
    <w:p>
      <w:pPr>
        <w:pStyle w:val="28"/>
        <w:spacing w:line="560" w:lineRule="exact"/>
        <w:ind w:firstLine="640" w:firstLineChars="200"/>
        <w:rPr>
          <w:rFonts w:hint="eastAsia" w:ascii="仿宋_GB2312" w:eastAsia="仿宋_GB2312"/>
          <w:color w:val="auto"/>
          <w:sz w:val="32"/>
          <w:szCs w:val="32"/>
          <w:highlight w:val="none"/>
        </w:rPr>
      </w:pPr>
    </w:p>
    <w:p>
      <w:pPr>
        <w:pStyle w:val="28"/>
        <w:spacing w:line="560" w:lineRule="exact"/>
        <w:ind w:firstLine="640" w:firstLineChars="200"/>
        <w:rPr>
          <w:rFonts w:hint="eastAsia" w:ascii="仿宋_GB2312" w:eastAsia="仿宋_GB2312"/>
          <w:color w:val="auto"/>
          <w:sz w:val="32"/>
          <w:szCs w:val="32"/>
          <w:highlight w:val="none"/>
        </w:rPr>
      </w:pPr>
    </w:p>
    <w:p>
      <w:pPr>
        <w:pStyle w:val="28"/>
        <w:spacing w:line="560" w:lineRule="exact"/>
        <w:ind w:firstLine="640" w:firstLineChars="200"/>
        <w:rPr>
          <w:rFonts w:hint="eastAsia" w:ascii="仿宋_GB2312" w:eastAsia="仿宋_GB2312"/>
          <w:color w:val="auto"/>
          <w:sz w:val="32"/>
          <w:szCs w:val="32"/>
          <w:highlight w:val="none"/>
        </w:rPr>
      </w:pPr>
    </w:p>
    <w:p>
      <w:pPr>
        <w:keepNext w:val="0"/>
        <w:keepLines w:val="0"/>
        <w:pageBreakBefore w:val="0"/>
        <w:widowControl w:val="0"/>
        <w:numPr>
          <w:ilvl w:val="0"/>
          <w:numId w:val="3"/>
        </w:numPr>
        <w:kinsoku/>
        <w:wordWrap/>
        <w:overflowPunct/>
        <w:topLinePunct w:val="0"/>
        <w:autoSpaceDE/>
        <w:autoSpaceDN/>
        <w:bidi w:val="0"/>
        <w:adjustRightInd/>
        <w:snapToGrid/>
        <w:spacing w:before="157" w:beforeLines="50" w:line="600" w:lineRule="exact"/>
        <w:ind w:firstLine="660" w:firstLineChars="150"/>
        <w:jc w:val="center"/>
        <w:textAlignment w:val="auto"/>
        <w:outlineLvl w:val="0"/>
        <w:rPr>
          <w:rFonts w:hint="default" w:ascii="Times New Roman" w:hAnsi="Times New Roman" w:eastAsia="黑体" w:cs="Times New Roman"/>
          <w:color w:val="auto"/>
          <w:sz w:val="44"/>
          <w:szCs w:val="44"/>
          <w:highlight w:val="none"/>
          <w:lang w:eastAsia="zh-CN"/>
        </w:rPr>
      </w:pPr>
      <w:bookmarkStart w:id="46" w:name="_Toc15396614"/>
      <w:bookmarkStart w:id="47" w:name="第四部分附件"/>
      <w:bookmarkStart w:id="48" w:name="_Toc15396618"/>
      <w:r>
        <w:rPr>
          <w:rFonts w:hint="default" w:ascii="Times New Roman" w:hAnsi="Times New Roman" w:eastAsia="黑体" w:cs="Times New Roman"/>
          <w:color w:val="auto"/>
          <w:sz w:val="44"/>
          <w:szCs w:val="44"/>
          <w:highlight w:val="none"/>
        </w:rPr>
        <w:t xml:space="preserve"> 附件</w:t>
      </w:r>
      <w:bookmarkEnd w:id="46"/>
    </w:p>
    <w:bookmarkEnd w:id="47"/>
    <w:p>
      <w:pPr>
        <w:keepNext w:val="0"/>
        <w:keepLines w:val="0"/>
        <w:pageBreakBefore w:val="0"/>
        <w:kinsoku/>
        <w:wordWrap/>
        <w:overflowPunct/>
        <w:topLinePunct w:val="0"/>
        <w:autoSpaceDE/>
        <w:autoSpaceDN/>
        <w:bidi w:val="0"/>
        <w:spacing w:line="572" w:lineRule="exact"/>
        <w:jc w:val="left"/>
        <w:textAlignment w:val="auto"/>
        <w:outlineLvl w:val="0"/>
        <w:rPr>
          <w:rFonts w:hint="default"/>
          <w:lang w:val="en-US" w:eastAsia="zh-CN"/>
        </w:rPr>
      </w:pPr>
      <w:r>
        <w:rPr>
          <w:rFonts w:hint="default" w:ascii="Times New Roman" w:hAnsi="Times New Roman" w:eastAsia="仿宋" w:cs="Times New Roman"/>
          <w:color w:val="auto"/>
          <w:sz w:val="32"/>
          <w:szCs w:val="32"/>
          <w:highlight w:val="none"/>
          <w:lang w:val="en-US" w:eastAsia="zh-CN"/>
        </w:rPr>
        <w:t>附件1</w:t>
      </w:r>
    </w:p>
    <w:p>
      <w:pPr>
        <w:pStyle w:val="36"/>
        <w:spacing w:line="540" w:lineRule="exact"/>
        <w:ind w:right="320" w:firstLine="640"/>
        <w:jc w:val="center"/>
        <w:rPr>
          <w:rFonts w:hint="default" w:ascii="Times New Roman" w:hAnsi="Times New Roman" w:eastAsia="方正小标宋_GBK" w:cs="Times New Roman"/>
          <w:color w:val="auto"/>
          <w:kern w:val="0"/>
          <w:sz w:val="40"/>
          <w:szCs w:val="44"/>
          <w:highlight w:val="none"/>
          <w:lang w:val="en-US" w:eastAsia="zh-CN" w:bidi="ar-SA"/>
        </w:rPr>
      </w:pPr>
    </w:p>
    <w:p>
      <w:pPr>
        <w:pStyle w:val="3"/>
        <w:keepNext/>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default" w:ascii="Times New Roman" w:hAnsi="Times New Roman" w:eastAsia="仿宋_GB2312" w:cs="Times New Roman"/>
          <w:b w:val="0"/>
          <w:bCs w:val="0"/>
          <w:color w:val="auto"/>
          <w:spacing w:val="0"/>
          <w:sz w:val="32"/>
          <w:szCs w:val="32"/>
          <w:lang w:val="en-US" w:eastAsia="zh-CN"/>
        </w:rPr>
      </w:pPr>
      <w:r>
        <w:rPr>
          <w:rFonts w:hint="default" w:ascii="Times New Roman" w:hAnsi="Times New Roman" w:eastAsia="方正小标宋_GBK" w:cs="Times New Roman"/>
          <w:b w:val="0"/>
          <w:bCs w:val="0"/>
          <w:snapToGrid/>
          <w:color w:val="auto"/>
          <w:spacing w:val="0"/>
          <w:sz w:val="44"/>
          <w:szCs w:val="44"/>
          <w:lang w:val="en-US" w:eastAsia="zh-CN"/>
        </w:rPr>
        <w:t>达州市大竹生态环境局</w:t>
      </w:r>
    </w:p>
    <w:p>
      <w:pPr>
        <w:keepLines w:val="0"/>
        <w:pageBreakBefore w:val="0"/>
        <w:widowControl w:val="0"/>
        <w:kinsoku/>
        <w:wordWrap/>
        <w:overflowPunct/>
        <w:topLinePunct w:val="0"/>
        <w:autoSpaceDE/>
        <w:autoSpaceDN/>
        <w:bidi w:val="0"/>
        <w:adjustRightInd w:val="0"/>
        <w:snapToGrid w:val="0"/>
        <w:spacing w:line="640" w:lineRule="exact"/>
        <w:jc w:val="center"/>
        <w:textAlignment w:val="auto"/>
        <w:rPr>
          <w:rFonts w:hint="default" w:ascii="Times New Roman" w:hAnsi="Times New Roman" w:eastAsia="方正小标宋_GBK" w:cs="Times New Roman"/>
          <w:b w:val="0"/>
          <w:bCs w:val="0"/>
          <w:spacing w:val="-6"/>
          <w:sz w:val="44"/>
          <w:szCs w:val="44"/>
          <w:lang w:val="en-US" w:eastAsia="zh-CN"/>
        </w:rPr>
      </w:pPr>
      <w:r>
        <w:rPr>
          <w:rFonts w:hint="default" w:ascii="Times New Roman" w:hAnsi="Times New Roman" w:eastAsia="方正小标宋_GBK" w:cs="Times New Roman"/>
          <w:color w:val="000000"/>
          <w:sz w:val="44"/>
          <w:szCs w:val="44"/>
        </w:rPr>
        <w:t>202</w:t>
      </w:r>
      <w:r>
        <w:rPr>
          <w:rFonts w:hint="eastAsia" w:eastAsia="方正小标宋_GBK" w:cs="Times New Roman"/>
          <w:color w:val="000000"/>
          <w:sz w:val="44"/>
          <w:szCs w:val="44"/>
          <w:lang w:val="en-US" w:eastAsia="zh-CN"/>
        </w:rPr>
        <w:t>3</w:t>
      </w:r>
      <w:r>
        <w:rPr>
          <w:rFonts w:hint="default" w:ascii="Times New Roman" w:hAnsi="Times New Roman" w:eastAsia="方正小标宋_GBK" w:cs="Times New Roman"/>
          <w:color w:val="000000"/>
          <w:sz w:val="44"/>
          <w:szCs w:val="44"/>
        </w:rPr>
        <w:t>年部门整体支出绩效自评报告</w:t>
      </w:r>
    </w:p>
    <w:p>
      <w:pPr>
        <w:keepNext w:val="0"/>
        <w:keepLines w:val="0"/>
        <w:pageBreakBefore w:val="0"/>
        <w:widowControl w:val="0"/>
        <w:kinsoku/>
        <w:wordWrap/>
        <w:overflowPunct/>
        <w:topLinePunct w:val="0"/>
        <w:autoSpaceDE/>
        <w:autoSpaceDN/>
        <w:bidi w:val="0"/>
        <w:adjustRightInd/>
        <w:snapToGrid/>
        <w:spacing w:line="550" w:lineRule="exact"/>
        <w:ind w:left="0" w:leftChars="0" w:right="0" w:firstLine="640" w:firstLineChars="200"/>
        <w:jc w:val="left"/>
        <w:textAlignment w:val="auto"/>
        <w:outlineLvl w:val="9"/>
        <w:rPr>
          <w:rFonts w:hint="default" w:ascii="Times New Roman" w:hAnsi="Times New Roman" w:eastAsia="仿宋_GB2312" w:cs="Times New Roman"/>
          <w:b w:val="0"/>
          <w:bCs w:val="0"/>
          <w:color w:val="auto"/>
          <w:spacing w:val="0"/>
          <w:sz w:val="32"/>
          <w:szCs w:val="32"/>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outlineLvl w:val="9"/>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color w:val="000000"/>
          <w:kern w:val="0"/>
          <w:sz w:val="32"/>
          <w:szCs w:val="32"/>
          <w:highlight w:val="none"/>
          <w:shd w:val="clear" w:color="auto" w:fill="FFFFFF"/>
          <w:lang w:val="zh-CN"/>
        </w:rPr>
        <w:t>一、部门（单位）基本情况</w:t>
      </w:r>
    </w:p>
    <w:p>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rPr>
          <w:rFonts w:hint="default" w:ascii="Times New Roman" w:hAnsi="Times New Roman" w:eastAsia="仿宋_GB2312" w:cs="Times New Roman"/>
          <w:b w:val="0"/>
          <w:bCs w:val="0"/>
          <w:color w:val="000000"/>
          <w:kern w:val="0"/>
          <w:sz w:val="32"/>
          <w:szCs w:val="32"/>
          <w:shd w:val="clear" w:color="auto" w:fill="FFFFFF"/>
          <w:lang w:val="zh-CN"/>
        </w:rPr>
      </w:pPr>
      <w:r>
        <w:rPr>
          <w:rFonts w:hint="default" w:ascii="Times New Roman" w:hAnsi="Times New Roman" w:eastAsia="楷体" w:cs="Times New Roman"/>
          <w:b w:val="0"/>
          <w:bCs w:val="0"/>
          <w:color w:val="000000"/>
          <w:kern w:val="0"/>
          <w:sz w:val="32"/>
          <w:szCs w:val="32"/>
          <w:shd w:val="clear" w:color="auto" w:fill="FFFFFF"/>
          <w:lang w:val="zh-CN"/>
        </w:rPr>
        <w:t>（</w:t>
      </w:r>
      <w:r>
        <w:rPr>
          <w:rFonts w:hint="default" w:ascii="Times New Roman" w:hAnsi="Times New Roman" w:eastAsia="楷体" w:cs="Times New Roman"/>
          <w:b w:val="0"/>
          <w:bCs w:val="0"/>
          <w:color w:val="000000"/>
          <w:kern w:val="0"/>
          <w:sz w:val="32"/>
          <w:szCs w:val="32"/>
          <w:shd w:val="clear" w:color="auto" w:fill="FFFFFF"/>
          <w:lang w:val="en-US" w:eastAsia="zh-CN"/>
        </w:rPr>
        <w:t>一</w:t>
      </w:r>
      <w:r>
        <w:rPr>
          <w:rFonts w:hint="default" w:ascii="Times New Roman" w:hAnsi="Times New Roman" w:eastAsia="楷体" w:cs="Times New Roman"/>
          <w:b w:val="0"/>
          <w:bCs w:val="0"/>
          <w:color w:val="000000"/>
          <w:kern w:val="0"/>
          <w:sz w:val="32"/>
          <w:szCs w:val="32"/>
          <w:shd w:val="clear" w:color="auto" w:fill="FFFFFF"/>
          <w:lang w:val="zh-CN"/>
        </w:rPr>
        <w:t>）机构组成。</w:t>
      </w:r>
      <w:r>
        <w:rPr>
          <w:rFonts w:hint="default" w:ascii="Times New Roman" w:hAnsi="Times New Roman" w:eastAsia="仿宋_GB2312" w:cs="Times New Roman"/>
          <w:b w:val="0"/>
          <w:bCs w:val="0"/>
          <w:color w:val="000000"/>
          <w:kern w:val="0"/>
          <w:sz w:val="32"/>
          <w:szCs w:val="32"/>
          <w:shd w:val="clear" w:color="auto" w:fill="FFFFFF"/>
          <w:lang w:val="zh-CN"/>
        </w:rPr>
        <w:t>达州市大竹生态环境保护局属一级预算单位，财政全额拨款。内设办公室、</w:t>
      </w:r>
      <w:r>
        <w:rPr>
          <w:rFonts w:hint="default" w:ascii="Times New Roman" w:hAnsi="Times New Roman" w:eastAsia="仿宋_GB2312" w:cs="Times New Roman"/>
          <w:b w:val="0"/>
          <w:bCs w:val="0"/>
          <w:color w:val="000000"/>
          <w:kern w:val="0"/>
          <w:sz w:val="32"/>
          <w:szCs w:val="32"/>
          <w:shd w:val="clear" w:color="auto" w:fill="FFFFFF"/>
          <w:lang w:val="en-US" w:eastAsia="zh-CN"/>
        </w:rPr>
        <w:t>监督检查股、大气环境与核辐射监管股、水环境管理与生态保护股、土壤环境管理与生态监测股</w:t>
      </w:r>
      <w:r>
        <w:rPr>
          <w:rFonts w:hint="default" w:ascii="Times New Roman" w:hAnsi="Times New Roman" w:eastAsia="仿宋_GB2312" w:cs="Times New Roman"/>
          <w:b w:val="0"/>
          <w:bCs w:val="0"/>
          <w:color w:val="000000"/>
          <w:kern w:val="0"/>
          <w:sz w:val="32"/>
          <w:szCs w:val="32"/>
          <w:shd w:val="clear" w:color="auto" w:fill="FFFFFF"/>
          <w:lang w:val="zh-CN"/>
        </w:rPr>
        <w:t>、达州市大竹生态环境监测站以及达州市大竹生态环境保护综合执法大队（参照公务员法管理的事业单位）。</w:t>
      </w:r>
    </w:p>
    <w:p>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rPr>
          <w:rFonts w:hint="default" w:ascii="Times New Roman" w:hAnsi="Times New Roman" w:eastAsia="仿宋_GB2312" w:cs="Times New Roman"/>
          <w:b w:val="0"/>
          <w:bCs w:val="0"/>
          <w:color w:val="000000"/>
          <w:kern w:val="0"/>
          <w:sz w:val="32"/>
          <w:szCs w:val="32"/>
          <w:highlight w:val="none"/>
          <w:shd w:val="clear" w:color="auto" w:fill="FFFFFF"/>
          <w:lang w:val="zh-CN"/>
        </w:rPr>
      </w:pPr>
      <w:r>
        <w:rPr>
          <w:rFonts w:hint="default" w:ascii="Times New Roman" w:hAnsi="Times New Roman" w:eastAsia="楷体" w:cs="Times New Roman"/>
          <w:b w:val="0"/>
          <w:bCs w:val="0"/>
          <w:color w:val="000000"/>
          <w:kern w:val="0"/>
          <w:sz w:val="32"/>
          <w:szCs w:val="32"/>
          <w:shd w:val="clear" w:color="auto" w:fill="FFFFFF"/>
          <w:lang w:val="zh-CN"/>
        </w:rPr>
        <w:t>（</w:t>
      </w:r>
      <w:r>
        <w:rPr>
          <w:rFonts w:hint="default" w:ascii="Times New Roman" w:hAnsi="Times New Roman" w:eastAsia="楷体" w:cs="Times New Roman"/>
          <w:b w:val="0"/>
          <w:bCs w:val="0"/>
          <w:color w:val="000000"/>
          <w:kern w:val="0"/>
          <w:sz w:val="32"/>
          <w:szCs w:val="32"/>
          <w:shd w:val="clear" w:color="auto" w:fill="FFFFFF"/>
          <w:lang w:val="en-US" w:eastAsia="zh-CN"/>
        </w:rPr>
        <w:t>二</w:t>
      </w:r>
      <w:r>
        <w:rPr>
          <w:rFonts w:hint="default" w:ascii="Times New Roman" w:hAnsi="Times New Roman" w:eastAsia="楷体" w:cs="Times New Roman"/>
          <w:b w:val="0"/>
          <w:bCs w:val="0"/>
          <w:color w:val="000000"/>
          <w:kern w:val="0"/>
          <w:sz w:val="32"/>
          <w:szCs w:val="32"/>
          <w:shd w:val="clear" w:color="auto" w:fill="FFFFFF"/>
          <w:lang w:val="zh-CN"/>
        </w:rPr>
        <w:t>）机构职能。</w:t>
      </w:r>
      <w:r>
        <w:rPr>
          <w:rFonts w:hint="default" w:ascii="Times New Roman" w:hAnsi="Times New Roman" w:eastAsia="仿宋_GB2312" w:cs="Times New Roman"/>
          <w:b w:val="0"/>
          <w:bCs w:val="0"/>
          <w:color w:val="000000"/>
          <w:kern w:val="0"/>
          <w:sz w:val="32"/>
          <w:szCs w:val="32"/>
          <w:shd w:val="clear" w:color="auto" w:fill="FFFFFF"/>
          <w:lang w:val="zh-CN"/>
        </w:rPr>
        <w:t>达州市大竹生态环境局</w:t>
      </w:r>
      <w:r>
        <w:rPr>
          <w:rFonts w:hint="default" w:ascii="Times New Roman" w:hAnsi="Times New Roman" w:eastAsia="仿宋_GB2312" w:cs="Times New Roman"/>
          <w:b w:val="0"/>
          <w:bCs w:val="0"/>
          <w:color w:val="000000"/>
          <w:kern w:val="0"/>
          <w:sz w:val="32"/>
          <w:szCs w:val="32"/>
          <w:shd w:val="clear" w:color="auto" w:fill="FFFFFF"/>
          <w:lang w:val="en-US" w:eastAsia="zh-CN"/>
        </w:rPr>
        <w:t>的</w:t>
      </w:r>
      <w:r>
        <w:rPr>
          <w:rFonts w:hint="default" w:ascii="Times New Roman" w:hAnsi="Times New Roman" w:eastAsia="仿宋_GB2312" w:cs="Times New Roman"/>
          <w:b w:val="0"/>
          <w:bCs w:val="0"/>
          <w:color w:val="000000"/>
          <w:kern w:val="0"/>
          <w:sz w:val="32"/>
          <w:szCs w:val="32"/>
          <w:shd w:val="clear" w:color="auto" w:fill="FFFFFF"/>
          <w:lang w:val="zh-CN"/>
        </w:rPr>
        <w:t>主要职能是</w:t>
      </w:r>
      <w:r>
        <w:rPr>
          <w:rFonts w:hint="default" w:ascii="Times New Roman" w:hAnsi="Times New Roman" w:eastAsia="仿宋_GB2312" w:cs="Times New Roman"/>
          <w:b w:val="0"/>
          <w:bCs w:val="0"/>
          <w:color w:val="000000"/>
          <w:kern w:val="0"/>
          <w:sz w:val="32"/>
          <w:szCs w:val="32"/>
          <w:shd w:val="clear" w:color="auto" w:fill="FFFFFF"/>
          <w:lang w:val="en-US" w:eastAsia="zh-CN"/>
        </w:rPr>
        <w:t>为</w:t>
      </w:r>
      <w:r>
        <w:rPr>
          <w:rFonts w:hint="default" w:ascii="Times New Roman" w:hAnsi="Times New Roman" w:eastAsia="仿宋_GB2312" w:cs="Times New Roman"/>
          <w:b w:val="0"/>
          <w:bCs w:val="0"/>
          <w:color w:val="000000"/>
          <w:kern w:val="0"/>
          <w:sz w:val="32"/>
          <w:szCs w:val="32"/>
          <w:shd w:val="clear" w:color="auto" w:fill="FFFFFF"/>
          <w:lang w:val="zh-CN"/>
        </w:rPr>
        <w:t>贯彻国家环境保护的方针、政策和法规，组织实施</w:t>
      </w:r>
      <w:r>
        <w:rPr>
          <w:rFonts w:hint="default" w:ascii="Times New Roman" w:hAnsi="Times New Roman" w:eastAsia="仿宋_GB2312" w:cs="Times New Roman"/>
          <w:b w:val="0"/>
          <w:bCs w:val="0"/>
          <w:color w:val="000000"/>
          <w:kern w:val="0"/>
          <w:sz w:val="32"/>
          <w:szCs w:val="32"/>
          <w:shd w:val="clear" w:color="auto" w:fill="FFFFFF"/>
          <w:lang w:val="en-US" w:eastAsia="zh-CN"/>
        </w:rPr>
        <w:t>生态环境</w:t>
      </w:r>
      <w:r>
        <w:rPr>
          <w:rFonts w:hint="default" w:ascii="Times New Roman" w:hAnsi="Times New Roman" w:eastAsia="仿宋_GB2312" w:cs="Times New Roman"/>
          <w:b w:val="0"/>
          <w:bCs w:val="0"/>
          <w:color w:val="000000"/>
          <w:kern w:val="0"/>
          <w:sz w:val="32"/>
          <w:szCs w:val="32"/>
          <w:shd w:val="clear" w:color="auto" w:fill="FFFFFF"/>
          <w:lang w:val="zh-CN"/>
        </w:rPr>
        <w:t>监督管理</w:t>
      </w:r>
      <w:r>
        <w:rPr>
          <w:rFonts w:hint="default" w:ascii="Times New Roman" w:hAnsi="Times New Roman" w:eastAsia="仿宋_GB2312" w:cs="Times New Roman"/>
          <w:b w:val="0"/>
          <w:bCs w:val="0"/>
          <w:color w:val="000000"/>
          <w:kern w:val="0"/>
          <w:sz w:val="32"/>
          <w:szCs w:val="32"/>
          <w:shd w:val="clear" w:color="auto" w:fill="FFFFFF"/>
          <w:lang w:val="en-US" w:eastAsia="zh-CN"/>
        </w:rPr>
        <w:t>工作计划</w:t>
      </w:r>
      <w:r>
        <w:rPr>
          <w:rFonts w:hint="default" w:ascii="Times New Roman" w:hAnsi="Times New Roman" w:eastAsia="仿宋_GB2312" w:cs="Times New Roman"/>
          <w:b w:val="0"/>
          <w:bCs w:val="0"/>
          <w:color w:val="000000"/>
          <w:kern w:val="0"/>
          <w:sz w:val="32"/>
          <w:szCs w:val="32"/>
          <w:shd w:val="clear" w:color="auto" w:fill="FFFFFF"/>
          <w:lang w:val="zh-CN"/>
        </w:rPr>
        <w:t>，承担落实全县污染物减排</w:t>
      </w:r>
      <w:r>
        <w:rPr>
          <w:rFonts w:hint="default" w:ascii="Times New Roman" w:hAnsi="Times New Roman" w:eastAsia="仿宋_GB2312" w:cs="Times New Roman"/>
          <w:b w:val="0"/>
          <w:bCs w:val="0"/>
          <w:color w:val="000000"/>
          <w:kern w:val="0"/>
          <w:sz w:val="32"/>
          <w:szCs w:val="32"/>
          <w:shd w:val="clear" w:color="auto" w:fill="FFFFFF"/>
          <w:lang w:val="en-US" w:eastAsia="zh-CN"/>
        </w:rPr>
        <w:t>目标</w:t>
      </w:r>
      <w:r>
        <w:rPr>
          <w:rFonts w:hint="default" w:ascii="Times New Roman" w:hAnsi="Times New Roman" w:eastAsia="仿宋_GB2312" w:cs="Times New Roman"/>
          <w:b w:val="0"/>
          <w:bCs w:val="0"/>
          <w:color w:val="000000"/>
          <w:kern w:val="0"/>
          <w:sz w:val="32"/>
          <w:szCs w:val="32"/>
          <w:shd w:val="clear" w:color="auto" w:fill="FFFFFF"/>
          <w:lang w:val="zh-CN"/>
        </w:rPr>
        <w:t>的责任。负责全县环境污染防治的监管工作，负责</w:t>
      </w:r>
      <w:r>
        <w:rPr>
          <w:rFonts w:hint="default" w:ascii="Times New Roman" w:hAnsi="Times New Roman" w:eastAsia="仿宋_GB2312" w:cs="Times New Roman"/>
          <w:b w:val="0"/>
          <w:bCs w:val="0"/>
          <w:color w:val="000000"/>
          <w:kern w:val="0"/>
          <w:sz w:val="32"/>
          <w:szCs w:val="32"/>
          <w:shd w:val="clear" w:color="auto" w:fill="FFFFFF"/>
          <w:lang w:val="en-US" w:eastAsia="zh-CN"/>
        </w:rPr>
        <w:t>全县</w:t>
      </w:r>
      <w:r>
        <w:rPr>
          <w:rFonts w:hint="default" w:ascii="Times New Roman" w:hAnsi="Times New Roman" w:eastAsia="仿宋_GB2312" w:cs="Times New Roman"/>
          <w:b w:val="0"/>
          <w:bCs w:val="0"/>
          <w:color w:val="000000"/>
          <w:kern w:val="0"/>
          <w:sz w:val="32"/>
          <w:szCs w:val="32"/>
          <w:shd w:val="clear" w:color="auto" w:fill="FFFFFF"/>
          <w:lang w:val="zh-CN"/>
        </w:rPr>
        <w:t>生态环境保护</w:t>
      </w:r>
      <w:r>
        <w:rPr>
          <w:rFonts w:hint="default" w:ascii="Times New Roman" w:hAnsi="Times New Roman" w:eastAsia="仿宋_GB2312" w:cs="Times New Roman"/>
          <w:b w:val="0"/>
          <w:bCs w:val="0"/>
          <w:color w:val="000000"/>
          <w:kern w:val="0"/>
          <w:sz w:val="32"/>
          <w:szCs w:val="32"/>
          <w:shd w:val="clear" w:color="auto" w:fill="FFFFFF"/>
          <w:lang w:val="en-US" w:eastAsia="zh-CN"/>
        </w:rPr>
        <w:t>工作，</w:t>
      </w:r>
      <w:r>
        <w:rPr>
          <w:rFonts w:hint="default" w:ascii="Times New Roman" w:hAnsi="Times New Roman" w:eastAsia="仿宋_GB2312" w:cs="Times New Roman"/>
          <w:b w:val="0"/>
          <w:bCs w:val="0"/>
          <w:color w:val="000000"/>
          <w:kern w:val="0"/>
          <w:sz w:val="32"/>
          <w:szCs w:val="32"/>
          <w:shd w:val="clear" w:color="auto" w:fill="FFFFFF"/>
          <w:lang w:val="zh-CN"/>
        </w:rPr>
        <w:t>负责调查处理重大环境污染事故和生态破坏事件，负责管理全县环境监察，负责对各类新扩改建项目进行环境影响评价和实施</w:t>
      </w:r>
      <w:r>
        <w:rPr>
          <w:rFonts w:hint="eastAsia" w:ascii="Times New Roman" w:hAnsi="Times New Roman" w:eastAsia="仿宋_GB2312" w:cs="Times New Roman"/>
          <w:b w:val="0"/>
          <w:bCs w:val="0"/>
          <w:color w:val="000000"/>
          <w:kern w:val="0"/>
          <w:sz w:val="32"/>
          <w:szCs w:val="32"/>
          <w:shd w:val="clear" w:color="auto" w:fill="FFFFFF"/>
          <w:lang w:val="zh-CN"/>
        </w:rPr>
        <w:t>“</w:t>
      </w:r>
      <w:r>
        <w:rPr>
          <w:rFonts w:hint="default" w:ascii="Times New Roman" w:hAnsi="Times New Roman" w:eastAsia="仿宋_GB2312" w:cs="Times New Roman"/>
          <w:b w:val="0"/>
          <w:bCs w:val="0"/>
          <w:color w:val="000000"/>
          <w:kern w:val="0"/>
          <w:sz w:val="32"/>
          <w:szCs w:val="32"/>
          <w:shd w:val="clear" w:color="auto" w:fill="FFFFFF"/>
          <w:lang w:val="zh-CN"/>
        </w:rPr>
        <w:t>三同时</w:t>
      </w:r>
      <w:r>
        <w:rPr>
          <w:rFonts w:hint="eastAsia" w:ascii="Times New Roman" w:hAnsi="Times New Roman" w:eastAsia="仿宋_GB2312" w:cs="Times New Roman"/>
          <w:b w:val="0"/>
          <w:bCs w:val="0"/>
          <w:color w:val="000000"/>
          <w:kern w:val="0"/>
          <w:sz w:val="32"/>
          <w:szCs w:val="32"/>
          <w:shd w:val="clear" w:color="auto" w:fill="FFFFFF"/>
          <w:lang w:val="zh-CN"/>
        </w:rPr>
        <w:t>”</w:t>
      </w:r>
      <w:r>
        <w:rPr>
          <w:rFonts w:hint="default" w:ascii="Times New Roman" w:hAnsi="Times New Roman" w:eastAsia="仿宋_GB2312" w:cs="Times New Roman"/>
          <w:b w:val="0"/>
          <w:bCs w:val="0"/>
          <w:color w:val="000000"/>
          <w:kern w:val="0"/>
          <w:sz w:val="32"/>
          <w:szCs w:val="32"/>
          <w:shd w:val="clear" w:color="auto" w:fill="FFFFFF"/>
          <w:lang w:val="zh-CN"/>
        </w:rPr>
        <w:t>管理制度，负责全县核与辐射污染防治的监督管理工作等。</w:t>
      </w:r>
    </w:p>
    <w:p>
      <w:pPr>
        <w:keepNext w:val="0"/>
        <w:keepLines w:val="0"/>
        <w:pageBreakBefore w:val="0"/>
        <w:widowControl/>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rPr>
          <w:rFonts w:hint="default" w:ascii="Times New Roman" w:hAnsi="Times New Roman" w:eastAsia="仿宋_GB2312" w:cs="Times New Roman"/>
          <w:b w:val="0"/>
          <w:bCs w:val="0"/>
          <w:sz w:val="32"/>
          <w:szCs w:val="32"/>
        </w:rPr>
      </w:pPr>
      <w:r>
        <w:rPr>
          <w:rFonts w:hint="default" w:ascii="Times New Roman" w:hAnsi="Times New Roman" w:eastAsia="楷体" w:cs="Times New Roman"/>
          <w:b w:val="0"/>
          <w:bCs w:val="0"/>
          <w:color w:val="000000"/>
          <w:kern w:val="0"/>
          <w:sz w:val="32"/>
          <w:szCs w:val="32"/>
          <w:highlight w:val="none"/>
          <w:shd w:val="clear" w:color="auto" w:fill="FFFFFF"/>
          <w:lang w:val="zh-CN"/>
        </w:rPr>
        <w:t>（三）人员概况。</w:t>
      </w:r>
      <w:r>
        <w:rPr>
          <w:rFonts w:hint="default" w:ascii="Times New Roman" w:hAnsi="Times New Roman" w:eastAsia="仿宋_GB2312" w:cs="Times New Roman"/>
          <w:b w:val="0"/>
          <w:bCs w:val="0"/>
          <w:color w:val="000000"/>
          <w:kern w:val="0"/>
          <w:sz w:val="32"/>
          <w:szCs w:val="32"/>
          <w:shd w:val="clear" w:color="auto" w:fill="FFFFFF"/>
          <w:lang w:val="zh-CN"/>
        </w:rPr>
        <w:t>202</w:t>
      </w:r>
      <w:r>
        <w:rPr>
          <w:rFonts w:hint="default" w:ascii="Times New Roman" w:hAnsi="Times New Roman" w:eastAsia="仿宋_GB2312" w:cs="Times New Roman"/>
          <w:b w:val="0"/>
          <w:bCs w:val="0"/>
          <w:color w:val="000000"/>
          <w:kern w:val="0"/>
          <w:sz w:val="32"/>
          <w:szCs w:val="32"/>
          <w:shd w:val="clear" w:color="auto" w:fill="FFFFFF"/>
          <w:lang w:val="en-US" w:eastAsia="zh-CN"/>
        </w:rPr>
        <w:t>3</w:t>
      </w:r>
      <w:r>
        <w:rPr>
          <w:rFonts w:hint="default" w:ascii="Times New Roman" w:hAnsi="Times New Roman" w:eastAsia="仿宋_GB2312" w:cs="Times New Roman"/>
          <w:b w:val="0"/>
          <w:bCs w:val="0"/>
          <w:color w:val="000000"/>
          <w:kern w:val="0"/>
          <w:sz w:val="32"/>
          <w:szCs w:val="32"/>
          <w:shd w:val="clear" w:color="auto" w:fill="FFFFFF"/>
          <w:lang w:val="zh-CN"/>
        </w:rPr>
        <w:t>年达州市大竹生态环境局机关行政编制14人、机关工勤编制1人，202</w:t>
      </w:r>
      <w:r>
        <w:rPr>
          <w:rFonts w:hint="default" w:ascii="Times New Roman" w:hAnsi="Times New Roman" w:eastAsia="仿宋_GB2312" w:cs="Times New Roman"/>
          <w:b w:val="0"/>
          <w:bCs w:val="0"/>
          <w:color w:val="000000"/>
          <w:kern w:val="0"/>
          <w:sz w:val="32"/>
          <w:szCs w:val="32"/>
          <w:shd w:val="clear" w:color="auto" w:fill="FFFFFF"/>
          <w:lang w:val="en-US" w:eastAsia="zh-CN"/>
        </w:rPr>
        <w:t>3</w:t>
      </w:r>
      <w:r>
        <w:rPr>
          <w:rFonts w:hint="default" w:ascii="Times New Roman" w:hAnsi="Times New Roman" w:eastAsia="仿宋_GB2312" w:cs="Times New Roman"/>
          <w:b w:val="0"/>
          <w:bCs w:val="0"/>
          <w:color w:val="000000"/>
          <w:kern w:val="0"/>
          <w:sz w:val="32"/>
          <w:szCs w:val="32"/>
          <w:shd w:val="clear" w:color="auto" w:fill="FFFFFF"/>
          <w:lang w:val="zh-CN"/>
        </w:rPr>
        <w:t>年1</w:t>
      </w:r>
      <w:r>
        <w:rPr>
          <w:rFonts w:hint="default" w:ascii="Times New Roman" w:hAnsi="Times New Roman" w:eastAsia="仿宋_GB2312" w:cs="Times New Roman"/>
          <w:b w:val="0"/>
          <w:bCs w:val="0"/>
          <w:color w:val="000000"/>
          <w:kern w:val="0"/>
          <w:sz w:val="32"/>
          <w:szCs w:val="32"/>
          <w:shd w:val="clear" w:color="auto" w:fill="FFFFFF"/>
          <w:lang w:val="en-US" w:eastAsia="zh-CN"/>
        </w:rPr>
        <w:t>2</w:t>
      </w:r>
      <w:r>
        <w:rPr>
          <w:rFonts w:hint="default" w:ascii="Times New Roman" w:hAnsi="Times New Roman" w:eastAsia="仿宋_GB2312" w:cs="Times New Roman"/>
          <w:b w:val="0"/>
          <w:bCs w:val="0"/>
          <w:color w:val="000000"/>
          <w:kern w:val="0"/>
          <w:sz w:val="32"/>
          <w:szCs w:val="32"/>
          <w:shd w:val="clear" w:color="auto" w:fill="FFFFFF"/>
          <w:lang w:val="zh-CN"/>
        </w:rPr>
        <w:t>月末实有在职行政人员1</w:t>
      </w:r>
      <w:r>
        <w:rPr>
          <w:rFonts w:hint="default" w:ascii="Times New Roman" w:hAnsi="Times New Roman" w:eastAsia="仿宋_GB2312" w:cs="Times New Roman"/>
          <w:b w:val="0"/>
          <w:bCs w:val="0"/>
          <w:color w:val="000000"/>
          <w:kern w:val="0"/>
          <w:sz w:val="32"/>
          <w:szCs w:val="32"/>
          <w:shd w:val="clear" w:color="auto" w:fill="FFFFFF"/>
          <w:lang w:val="en-US" w:eastAsia="zh-CN"/>
        </w:rPr>
        <w:t>2</w:t>
      </w:r>
      <w:r>
        <w:rPr>
          <w:rFonts w:hint="default" w:ascii="Times New Roman" w:hAnsi="Times New Roman" w:eastAsia="仿宋_GB2312" w:cs="Times New Roman"/>
          <w:b w:val="0"/>
          <w:bCs w:val="0"/>
          <w:color w:val="000000"/>
          <w:kern w:val="0"/>
          <w:sz w:val="32"/>
          <w:szCs w:val="32"/>
          <w:shd w:val="clear" w:color="auto" w:fill="FFFFFF"/>
          <w:lang w:val="zh-CN"/>
        </w:rPr>
        <w:t>人、机关工勤人员1人。下属事业单位达州市大竹生态环境监测站事业编制28人，202</w:t>
      </w:r>
      <w:r>
        <w:rPr>
          <w:rFonts w:hint="default" w:ascii="Times New Roman" w:hAnsi="Times New Roman" w:eastAsia="仿宋_GB2312" w:cs="Times New Roman"/>
          <w:b w:val="0"/>
          <w:bCs w:val="0"/>
          <w:color w:val="000000"/>
          <w:kern w:val="0"/>
          <w:sz w:val="32"/>
          <w:szCs w:val="32"/>
          <w:shd w:val="clear" w:color="auto" w:fill="FFFFFF"/>
          <w:lang w:val="en-US" w:eastAsia="zh-CN"/>
        </w:rPr>
        <w:t>3</w:t>
      </w:r>
      <w:r>
        <w:rPr>
          <w:rFonts w:hint="default" w:ascii="Times New Roman" w:hAnsi="Times New Roman" w:eastAsia="仿宋_GB2312" w:cs="Times New Roman"/>
          <w:b w:val="0"/>
          <w:bCs w:val="0"/>
          <w:color w:val="000000"/>
          <w:kern w:val="0"/>
          <w:sz w:val="32"/>
          <w:szCs w:val="32"/>
          <w:shd w:val="clear" w:color="auto" w:fill="FFFFFF"/>
          <w:lang w:val="zh-CN"/>
        </w:rPr>
        <w:t>年1</w:t>
      </w:r>
      <w:r>
        <w:rPr>
          <w:rFonts w:hint="default" w:ascii="Times New Roman" w:hAnsi="Times New Roman" w:eastAsia="仿宋_GB2312" w:cs="Times New Roman"/>
          <w:b w:val="0"/>
          <w:bCs w:val="0"/>
          <w:color w:val="000000"/>
          <w:kern w:val="0"/>
          <w:sz w:val="32"/>
          <w:szCs w:val="32"/>
          <w:shd w:val="clear" w:color="auto" w:fill="FFFFFF"/>
          <w:lang w:val="en-US" w:eastAsia="zh-CN"/>
        </w:rPr>
        <w:t>2</w:t>
      </w:r>
      <w:r>
        <w:rPr>
          <w:rFonts w:hint="default" w:ascii="Times New Roman" w:hAnsi="Times New Roman" w:eastAsia="仿宋_GB2312" w:cs="Times New Roman"/>
          <w:b w:val="0"/>
          <w:bCs w:val="0"/>
          <w:color w:val="000000"/>
          <w:kern w:val="0"/>
          <w:sz w:val="32"/>
          <w:szCs w:val="32"/>
          <w:shd w:val="clear" w:color="auto" w:fill="FFFFFF"/>
          <w:lang w:val="zh-CN"/>
        </w:rPr>
        <w:t>月末实有在职事业人员2</w:t>
      </w:r>
      <w:r>
        <w:rPr>
          <w:rFonts w:hint="default" w:ascii="Times New Roman" w:hAnsi="Times New Roman" w:eastAsia="仿宋_GB2312" w:cs="Times New Roman"/>
          <w:b w:val="0"/>
          <w:bCs w:val="0"/>
          <w:color w:val="000000"/>
          <w:kern w:val="0"/>
          <w:sz w:val="32"/>
          <w:szCs w:val="32"/>
          <w:shd w:val="clear" w:color="auto" w:fill="FFFFFF"/>
          <w:lang w:val="en-US" w:eastAsia="zh-CN"/>
        </w:rPr>
        <w:t>7</w:t>
      </w:r>
      <w:r>
        <w:rPr>
          <w:rFonts w:hint="default" w:ascii="Times New Roman" w:hAnsi="Times New Roman" w:eastAsia="仿宋_GB2312" w:cs="Times New Roman"/>
          <w:b w:val="0"/>
          <w:bCs w:val="0"/>
          <w:color w:val="000000"/>
          <w:kern w:val="0"/>
          <w:sz w:val="32"/>
          <w:szCs w:val="32"/>
          <w:shd w:val="clear" w:color="auto" w:fill="FFFFFF"/>
          <w:lang w:val="zh-CN"/>
        </w:rPr>
        <w:t>人，下属参公单位达州市大竹生态环境保护综合行政执法大队参工人员编制</w:t>
      </w:r>
      <w:r>
        <w:rPr>
          <w:rFonts w:hint="default" w:ascii="Times New Roman" w:hAnsi="Times New Roman" w:eastAsia="仿宋_GB2312" w:cs="Times New Roman"/>
          <w:b w:val="0"/>
          <w:bCs w:val="0"/>
          <w:color w:val="000000"/>
          <w:kern w:val="0"/>
          <w:sz w:val="32"/>
          <w:szCs w:val="32"/>
          <w:shd w:val="clear" w:color="auto" w:fill="FFFFFF"/>
          <w:lang w:val="en-US" w:eastAsia="zh-CN"/>
        </w:rPr>
        <w:t>24</w:t>
      </w:r>
      <w:r>
        <w:rPr>
          <w:rFonts w:hint="default" w:ascii="Times New Roman" w:hAnsi="Times New Roman" w:eastAsia="仿宋_GB2312" w:cs="Times New Roman"/>
          <w:b w:val="0"/>
          <w:bCs w:val="0"/>
          <w:color w:val="000000"/>
          <w:kern w:val="0"/>
          <w:sz w:val="32"/>
          <w:szCs w:val="32"/>
          <w:shd w:val="clear" w:color="auto" w:fill="FFFFFF"/>
          <w:lang w:val="zh-CN"/>
        </w:rPr>
        <w:t>人，202</w:t>
      </w:r>
      <w:r>
        <w:rPr>
          <w:rFonts w:hint="default" w:ascii="Times New Roman" w:hAnsi="Times New Roman" w:eastAsia="仿宋_GB2312" w:cs="Times New Roman"/>
          <w:b w:val="0"/>
          <w:bCs w:val="0"/>
          <w:color w:val="000000"/>
          <w:kern w:val="0"/>
          <w:sz w:val="32"/>
          <w:szCs w:val="32"/>
          <w:shd w:val="clear" w:color="auto" w:fill="FFFFFF"/>
          <w:lang w:val="en-US" w:eastAsia="zh-CN"/>
        </w:rPr>
        <w:t>3</w:t>
      </w:r>
      <w:r>
        <w:rPr>
          <w:rFonts w:hint="default" w:ascii="Times New Roman" w:hAnsi="Times New Roman" w:eastAsia="仿宋_GB2312" w:cs="Times New Roman"/>
          <w:b w:val="0"/>
          <w:bCs w:val="0"/>
          <w:color w:val="000000"/>
          <w:kern w:val="0"/>
          <w:sz w:val="32"/>
          <w:szCs w:val="32"/>
          <w:shd w:val="clear" w:color="auto" w:fill="FFFFFF"/>
          <w:lang w:val="zh-CN"/>
        </w:rPr>
        <w:t>年1</w:t>
      </w:r>
      <w:r>
        <w:rPr>
          <w:rFonts w:hint="default" w:ascii="Times New Roman" w:hAnsi="Times New Roman" w:eastAsia="仿宋_GB2312" w:cs="Times New Roman"/>
          <w:b w:val="0"/>
          <w:bCs w:val="0"/>
          <w:color w:val="000000"/>
          <w:kern w:val="0"/>
          <w:sz w:val="32"/>
          <w:szCs w:val="32"/>
          <w:shd w:val="clear" w:color="auto" w:fill="FFFFFF"/>
          <w:lang w:val="en-US" w:eastAsia="zh-CN"/>
        </w:rPr>
        <w:t>2</w:t>
      </w:r>
      <w:r>
        <w:rPr>
          <w:rFonts w:hint="default" w:ascii="Times New Roman" w:hAnsi="Times New Roman" w:eastAsia="仿宋_GB2312" w:cs="Times New Roman"/>
          <w:b w:val="0"/>
          <w:bCs w:val="0"/>
          <w:color w:val="000000"/>
          <w:kern w:val="0"/>
          <w:sz w:val="32"/>
          <w:szCs w:val="32"/>
          <w:shd w:val="clear" w:color="auto" w:fill="FFFFFF"/>
          <w:lang w:val="zh-CN"/>
        </w:rPr>
        <w:t>月末实有在参工人员2</w:t>
      </w:r>
      <w:r>
        <w:rPr>
          <w:rFonts w:hint="default" w:ascii="Times New Roman" w:hAnsi="Times New Roman" w:eastAsia="仿宋_GB2312" w:cs="Times New Roman"/>
          <w:b w:val="0"/>
          <w:bCs w:val="0"/>
          <w:color w:val="000000"/>
          <w:kern w:val="0"/>
          <w:sz w:val="32"/>
          <w:szCs w:val="32"/>
          <w:shd w:val="clear" w:color="auto" w:fill="FFFFFF"/>
          <w:lang w:val="en-US" w:eastAsia="zh-CN"/>
        </w:rPr>
        <w:t>0</w:t>
      </w:r>
      <w:r>
        <w:rPr>
          <w:rFonts w:hint="default" w:ascii="Times New Roman" w:hAnsi="Times New Roman" w:eastAsia="仿宋_GB2312" w:cs="Times New Roman"/>
          <w:b w:val="0"/>
          <w:bCs w:val="0"/>
          <w:color w:val="000000"/>
          <w:kern w:val="0"/>
          <w:sz w:val="32"/>
          <w:szCs w:val="32"/>
          <w:shd w:val="clear" w:color="auto" w:fill="FFFFFF"/>
          <w:lang w:val="zh-CN"/>
        </w:rPr>
        <w:t>人。</w:t>
      </w:r>
    </w:p>
    <w:p>
      <w:pPr>
        <w:keepNext w:val="0"/>
        <w:keepLines w:val="0"/>
        <w:pageBreakBefore w:val="0"/>
        <w:widowControl/>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outlineLvl w:val="9"/>
        <w:rPr>
          <w:rFonts w:hint="default" w:ascii="Times New Roman" w:hAnsi="Times New Roman" w:eastAsia="黑体" w:cs="Times New Roman"/>
          <w:b w:val="0"/>
          <w:bCs w:val="0"/>
          <w:color w:val="000000"/>
          <w:kern w:val="0"/>
          <w:sz w:val="32"/>
          <w:szCs w:val="32"/>
          <w:highlight w:val="none"/>
          <w:shd w:val="clear" w:color="auto" w:fill="FFFFFF"/>
        </w:rPr>
      </w:pPr>
      <w:r>
        <w:rPr>
          <w:rFonts w:hint="default" w:ascii="Times New Roman" w:hAnsi="Times New Roman" w:eastAsia="黑体" w:cs="Times New Roman"/>
          <w:b w:val="0"/>
          <w:bCs w:val="0"/>
          <w:color w:val="000000"/>
          <w:kern w:val="0"/>
          <w:sz w:val="32"/>
          <w:szCs w:val="32"/>
          <w:highlight w:val="none"/>
          <w:shd w:val="clear" w:color="auto" w:fill="FFFFFF"/>
        </w:rPr>
        <w:t>二、</w:t>
      </w:r>
      <w:r>
        <w:rPr>
          <w:rFonts w:hint="default" w:ascii="Times New Roman" w:hAnsi="Times New Roman" w:eastAsia="黑体" w:cs="Times New Roman"/>
          <w:b w:val="0"/>
          <w:bCs w:val="0"/>
          <w:color w:val="000000"/>
          <w:kern w:val="0"/>
          <w:sz w:val="32"/>
          <w:szCs w:val="32"/>
          <w:highlight w:val="none"/>
          <w:shd w:val="clear" w:color="auto" w:fill="FFFFFF"/>
          <w:lang w:eastAsia="zh-CN"/>
        </w:rPr>
        <w:t>部门</w:t>
      </w:r>
      <w:r>
        <w:rPr>
          <w:rFonts w:hint="default" w:ascii="Times New Roman" w:hAnsi="Times New Roman" w:eastAsia="黑体" w:cs="Times New Roman"/>
          <w:b w:val="0"/>
          <w:bCs w:val="0"/>
          <w:color w:val="000000"/>
          <w:kern w:val="0"/>
          <w:sz w:val="32"/>
          <w:szCs w:val="32"/>
          <w:highlight w:val="none"/>
          <w:shd w:val="clear" w:color="auto" w:fill="FFFFFF"/>
        </w:rPr>
        <w:t>资金收支情况</w:t>
      </w:r>
    </w:p>
    <w:p>
      <w:pPr>
        <w:keepNext w:val="0"/>
        <w:keepLines w:val="0"/>
        <w:pageBreakBefore w:val="0"/>
        <w:kinsoku/>
        <w:wordWrap/>
        <w:overflowPunct/>
        <w:topLinePunct w:val="0"/>
        <w:autoSpaceDE/>
        <w:autoSpaceDN/>
        <w:bidi w:val="0"/>
        <w:snapToGrid w:val="0"/>
        <w:spacing w:line="578" w:lineRule="exact"/>
        <w:ind w:left="0" w:leftChars="0" w:firstLine="640" w:firstLineChars="200"/>
        <w:textAlignment w:val="auto"/>
        <w:rPr>
          <w:rFonts w:hint="default" w:ascii="Times New Roman" w:hAnsi="Times New Roman" w:eastAsia="仿宋_GB2312" w:cs="Times New Roman"/>
          <w:b w:val="0"/>
          <w:bCs w:val="0"/>
          <w:color w:val="000000"/>
          <w:kern w:val="0"/>
          <w:sz w:val="32"/>
          <w:szCs w:val="32"/>
          <w:shd w:val="clear" w:color="auto" w:fill="FFFFFF"/>
          <w:lang w:val="en-US" w:eastAsia="zh-CN"/>
        </w:rPr>
      </w:pPr>
      <w:r>
        <w:rPr>
          <w:rFonts w:hint="default" w:ascii="Times New Roman" w:hAnsi="Times New Roman" w:eastAsia="楷体" w:cs="Times New Roman"/>
          <w:b w:val="0"/>
          <w:bCs w:val="0"/>
          <w:color w:val="000000"/>
          <w:kern w:val="0"/>
          <w:sz w:val="32"/>
          <w:szCs w:val="32"/>
          <w:highlight w:val="none"/>
          <w:shd w:val="clear" w:color="auto" w:fill="FFFFFF"/>
          <w:lang w:val="zh-CN"/>
        </w:rPr>
        <w:t>（一）收入情况。</w:t>
      </w:r>
      <w:r>
        <w:rPr>
          <w:rFonts w:hint="default" w:ascii="Times New Roman" w:hAnsi="Times New Roman" w:eastAsia="仿宋_GB2312" w:cs="Times New Roman"/>
          <w:b w:val="0"/>
          <w:bCs w:val="0"/>
          <w:color w:val="000000"/>
          <w:kern w:val="0"/>
          <w:sz w:val="32"/>
          <w:szCs w:val="32"/>
          <w:shd w:val="clear" w:color="auto" w:fill="FFFFFF"/>
          <w:lang w:val="zh-CN"/>
        </w:rPr>
        <w:t>达州市大竹生态环境局</w:t>
      </w:r>
      <w:r>
        <w:rPr>
          <w:rFonts w:hint="default" w:ascii="Times New Roman" w:hAnsi="Times New Roman" w:eastAsia="仿宋_GB2312" w:cs="Times New Roman"/>
          <w:b w:val="0"/>
          <w:bCs w:val="0"/>
          <w:color w:val="000000"/>
          <w:kern w:val="0"/>
          <w:sz w:val="32"/>
          <w:szCs w:val="32"/>
          <w:shd w:val="clear" w:color="auto" w:fill="FFFFFF"/>
          <w:lang w:val="en-US" w:eastAsia="zh-CN"/>
        </w:rPr>
        <w:t>2023年收入预算9901.95万元，收入决算9901.95万元。</w:t>
      </w:r>
    </w:p>
    <w:p>
      <w:pPr>
        <w:keepNext w:val="0"/>
        <w:keepLines w:val="0"/>
        <w:pageBreakBefore w:val="0"/>
        <w:kinsoku/>
        <w:wordWrap/>
        <w:overflowPunct/>
        <w:topLinePunct w:val="0"/>
        <w:autoSpaceDE/>
        <w:autoSpaceDN/>
        <w:bidi w:val="0"/>
        <w:snapToGrid w:val="0"/>
        <w:spacing w:line="578" w:lineRule="exact"/>
        <w:ind w:left="0" w:leftChars="0" w:firstLine="640" w:firstLineChars="200"/>
        <w:textAlignment w:val="auto"/>
        <w:rPr>
          <w:rFonts w:hint="default" w:ascii="Times New Roman" w:hAnsi="Times New Roman" w:eastAsia="仿宋_GB2312" w:cs="Times New Roman"/>
          <w:b w:val="0"/>
          <w:bCs w:val="0"/>
          <w:color w:val="000000"/>
          <w:kern w:val="0"/>
          <w:sz w:val="32"/>
          <w:szCs w:val="32"/>
          <w:shd w:val="clear" w:color="auto" w:fill="FFFFFF"/>
          <w:lang w:val="en-US" w:eastAsia="zh-CN"/>
        </w:rPr>
      </w:pPr>
      <w:r>
        <w:rPr>
          <w:rFonts w:hint="default" w:ascii="Times New Roman" w:hAnsi="Times New Roman" w:eastAsia="楷体" w:cs="Times New Roman"/>
          <w:b w:val="0"/>
          <w:bCs w:val="0"/>
          <w:color w:val="000000"/>
          <w:kern w:val="0"/>
          <w:sz w:val="32"/>
          <w:szCs w:val="32"/>
          <w:highlight w:val="none"/>
          <w:shd w:val="clear" w:color="auto" w:fill="FFFFFF"/>
          <w:lang w:val="zh-CN"/>
        </w:rPr>
        <w:t>（二）支出情况。</w:t>
      </w:r>
      <w:r>
        <w:rPr>
          <w:rFonts w:hint="default" w:ascii="Times New Roman" w:hAnsi="Times New Roman" w:eastAsia="仿宋_GB2312" w:cs="Times New Roman"/>
          <w:b w:val="0"/>
          <w:bCs w:val="0"/>
          <w:color w:val="000000"/>
          <w:kern w:val="0"/>
          <w:sz w:val="32"/>
          <w:szCs w:val="32"/>
          <w:shd w:val="clear" w:color="auto" w:fill="FFFFFF"/>
          <w:lang w:val="zh-CN"/>
        </w:rPr>
        <w:t>达州市大竹生态环境局</w:t>
      </w:r>
      <w:r>
        <w:rPr>
          <w:rFonts w:hint="default" w:ascii="Times New Roman" w:hAnsi="Times New Roman" w:eastAsia="仿宋_GB2312" w:cs="Times New Roman"/>
          <w:b w:val="0"/>
          <w:bCs w:val="0"/>
          <w:color w:val="000000"/>
          <w:kern w:val="0"/>
          <w:sz w:val="32"/>
          <w:szCs w:val="32"/>
          <w:shd w:val="clear" w:color="auto" w:fill="FFFFFF"/>
          <w:lang w:val="en-US" w:eastAsia="zh-CN"/>
        </w:rPr>
        <w:t>2023年支出预算9901.95万元，支出决算9901.95万元。</w:t>
      </w:r>
    </w:p>
    <w:p>
      <w:pPr>
        <w:keepNext w:val="0"/>
        <w:keepLines w:val="0"/>
        <w:pageBreakBefore w:val="0"/>
        <w:kinsoku/>
        <w:wordWrap/>
        <w:overflowPunct/>
        <w:topLinePunct w:val="0"/>
        <w:autoSpaceDE/>
        <w:autoSpaceDN/>
        <w:bidi w:val="0"/>
        <w:snapToGrid w:val="0"/>
        <w:spacing w:line="578"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2023年社会保障和就业支出预算98.88万元，决算117.81万元；卫生健康支出预算38.84万元，决算56.19万元；节能环保支出预算1100.93万元，决算9245.14万元；住房保障支出预算78.76万元，决算78.37万元。</w:t>
      </w:r>
    </w:p>
    <w:p>
      <w:pPr>
        <w:keepNext w:val="0"/>
        <w:keepLines w:val="0"/>
        <w:pageBreakBefore w:val="0"/>
        <w:kinsoku/>
        <w:wordWrap/>
        <w:overflowPunct/>
        <w:topLinePunct w:val="0"/>
        <w:autoSpaceDE/>
        <w:autoSpaceDN/>
        <w:bidi w:val="0"/>
        <w:snapToGrid w:val="0"/>
        <w:spacing w:line="578" w:lineRule="exact"/>
        <w:ind w:left="0" w:leftChars="0" w:firstLine="640" w:firstLineChars="200"/>
        <w:textAlignment w:val="auto"/>
        <w:rPr>
          <w:rFonts w:hint="default" w:ascii="Times New Roman" w:hAnsi="Times New Roman" w:eastAsia="仿宋_GB2312" w:cs="Times New Roman"/>
          <w:b w:val="0"/>
          <w:bCs w:val="0"/>
          <w:color w:val="000000"/>
          <w:kern w:val="0"/>
          <w:sz w:val="32"/>
          <w:szCs w:val="32"/>
          <w:shd w:val="clear" w:color="auto" w:fill="FFFFFF"/>
          <w:lang w:val="en-US" w:eastAsia="zh-CN"/>
        </w:rPr>
      </w:pPr>
      <w:r>
        <w:rPr>
          <w:rFonts w:hint="default" w:ascii="Times New Roman" w:hAnsi="Times New Roman" w:eastAsia="仿宋_GB2312" w:cs="Times New Roman"/>
          <w:b w:val="0"/>
          <w:bCs w:val="0"/>
          <w:sz w:val="32"/>
          <w:szCs w:val="32"/>
        </w:rPr>
        <w:t>预决算差异较大的是节能环保支出，主要原因为本年大竹财政拨县级环保资金。</w:t>
      </w:r>
    </w:p>
    <w:p>
      <w:pPr>
        <w:keepNext w:val="0"/>
        <w:keepLines w:val="0"/>
        <w:pageBreakBefore w:val="0"/>
        <w:widowControl/>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outlineLvl w:val="9"/>
        <w:rPr>
          <w:rFonts w:hint="default" w:ascii="Times New Roman" w:hAnsi="Times New Roman" w:eastAsia="仿宋_GB2312" w:cs="Times New Roman"/>
          <w:b w:val="0"/>
          <w:bCs w:val="0"/>
          <w:color w:val="000000"/>
          <w:kern w:val="0"/>
          <w:sz w:val="32"/>
          <w:szCs w:val="32"/>
          <w:highlight w:val="none"/>
          <w:shd w:val="clear" w:color="auto" w:fill="FFFFFF"/>
          <w:lang w:val="zh-CN" w:eastAsia="zh-CN"/>
        </w:rPr>
      </w:pPr>
      <w:r>
        <w:rPr>
          <w:rFonts w:hint="default" w:ascii="Times New Roman" w:hAnsi="Times New Roman" w:eastAsia="楷体" w:cs="Times New Roman"/>
          <w:b w:val="0"/>
          <w:bCs w:val="0"/>
          <w:color w:val="000000"/>
          <w:kern w:val="0"/>
          <w:sz w:val="32"/>
          <w:szCs w:val="32"/>
          <w:highlight w:val="none"/>
          <w:shd w:val="clear" w:color="auto" w:fill="FFFFFF"/>
          <w:lang w:val="zh-CN"/>
        </w:rPr>
        <w:t>（三）</w:t>
      </w:r>
      <w:r>
        <w:rPr>
          <w:rFonts w:hint="default" w:ascii="Times New Roman" w:hAnsi="Times New Roman" w:eastAsia="楷体" w:cs="Times New Roman"/>
          <w:b w:val="0"/>
          <w:bCs w:val="0"/>
          <w:sz w:val="32"/>
          <w:szCs w:val="32"/>
        </w:rPr>
        <w:t>结余分配和结转结余情况</w:t>
      </w:r>
      <w:r>
        <w:rPr>
          <w:rFonts w:hint="default" w:ascii="Times New Roman" w:hAnsi="Times New Roman" w:eastAsia="楷体" w:cs="Times New Roman"/>
          <w:b w:val="0"/>
          <w:bCs w:val="0"/>
          <w:sz w:val="32"/>
          <w:szCs w:val="32"/>
          <w:lang w:eastAsia="zh-CN"/>
        </w:rPr>
        <w:t>。</w:t>
      </w:r>
      <w:r>
        <w:rPr>
          <w:rFonts w:hint="default" w:ascii="Times New Roman" w:hAnsi="Times New Roman" w:eastAsia="仿宋_GB2312" w:cs="Times New Roman"/>
          <w:b w:val="0"/>
          <w:bCs w:val="0"/>
          <w:color w:val="000000"/>
          <w:kern w:val="0"/>
          <w:sz w:val="32"/>
          <w:szCs w:val="32"/>
          <w:shd w:val="clear" w:color="auto" w:fill="FFFFFF"/>
          <w:lang w:val="zh-CN"/>
        </w:rPr>
        <w:t>达州市大竹生态环境局</w:t>
      </w:r>
      <w:r>
        <w:rPr>
          <w:rFonts w:hint="default" w:ascii="Times New Roman" w:hAnsi="Times New Roman" w:eastAsia="仿宋_GB2312" w:cs="Times New Roman"/>
          <w:b w:val="0"/>
          <w:bCs w:val="0"/>
          <w:sz w:val="32"/>
          <w:szCs w:val="32"/>
          <w:lang w:val="en-US" w:eastAsia="zh-CN"/>
        </w:rPr>
        <w:t>2023年</w:t>
      </w:r>
      <w:r>
        <w:rPr>
          <w:rFonts w:hint="default" w:ascii="Times New Roman" w:hAnsi="Times New Roman" w:eastAsia="仿宋_GB2312" w:cs="Times New Roman"/>
          <w:b w:val="0"/>
          <w:bCs w:val="0"/>
          <w:sz w:val="32"/>
          <w:szCs w:val="32"/>
        </w:rPr>
        <w:t>非财政拨款结转结余16.18万元。</w:t>
      </w:r>
    </w:p>
    <w:p>
      <w:pPr>
        <w:keepNext w:val="0"/>
        <w:keepLines w:val="0"/>
        <w:pageBreakBefore w:val="0"/>
        <w:widowControl/>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outlineLvl w:val="9"/>
        <w:rPr>
          <w:rFonts w:hint="default" w:ascii="Times New Roman" w:hAnsi="Times New Roman" w:eastAsia="黑体" w:cs="Times New Roman"/>
          <w:b w:val="0"/>
          <w:bCs w:val="0"/>
          <w:color w:val="000000"/>
          <w:kern w:val="0"/>
          <w:sz w:val="32"/>
          <w:szCs w:val="32"/>
          <w:highlight w:val="none"/>
          <w:shd w:val="clear" w:color="auto" w:fill="FFFFFF"/>
        </w:rPr>
      </w:pPr>
      <w:r>
        <w:rPr>
          <w:rFonts w:hint="default" w:ascii="Times New Roman" w:hAnsi="Times New Roman" w:eastAsia="黑体" w:cs="Times New Roman"/>
          <w:b w:val="0"/>
          <w:bCs w:val="0"/>
          <w:color w:val="000000"/>
          <w:kern w:val="0"/>
          <w:sz w:val="32"/>
          <w:szCs w:val="32"/>
          <w:highlight w:val="none"/>
          <w:shd w:val="clear" w:color="auto" w:fill="FFFFFF"/>
        </w:rPr>
        <w:t>三、</w:t>
      </w:r>
      <w:r>
        <w:rPr>
          <w:rFonts w:hint="default" w:ascii="Times New Roman" w:hAnsi="Times New Roman" w:eastAsia="黑体" w:cs="Times New Roman"/>
          <w:b w:val="0"/>
          <w:bCs w:val="0"/>
          <w:color w:val="000000"/>
          <w:kern w:val="0"/>
          <w:sz w:val="32"/>
          <w:szCs w:val="32"/>
          <w:highlight w:val="none"/>
          <w:u w:val="none"/>
          <w:shd w:val="clear" w:color="auto" w:fill="FFFFFF"/>
        </w:rPr>
        <w:t>部门</w:t>
      </w:r>
      <w:r>
        <w:rPr>
          <w:rFonts w:hint="default" w:ascii="Times New Roman" w:hAnsi="Times New Roman" w:eastAsia="黑体" w:cs="Times New Roman"/>
          <w:b w:val="0"/>
          <w:bCs w:val="0"/>
          <w:color w:val="000000"/>
          <w:kern w:val="0"/>
          <w:sz w:val="32"/>
          <w:szCs w:val="32"/>
          <w:highlight w:val="none"/>
          <w:u w:val="none"/>
          <w:shd w:val="clear" w:color="auto" w:fill="FFFFFF"/>
          <w:lang w:eastAsia="zh-CN"/>
        </w:rPr>
        <w:t>预算</w:t>
      </w:r>
      <w:r>
        <w:rPr>
          <w:rFonts w:hint="default" w:ascii="Times New Roman" w:hAnsi="Times New Roman" w:eastAsia="黑体" w:cs="Times New Roman"/>
          <w:b w:val="0"/>
          <w:bCs w:val="0"/>
          <w:color w:val="000000"/>
          <w:kern w:val="0"/>
          <w:sz w:val="32"/>
          <w:szCs w:val="32"/>
          <w:highlight w:val="none"/>
          <w:u w:val="none"/>
          <w:shd w:val="clear" w:color="auto" w:fill="FFFFFF"/>
        </w:rPr>
        <w:t>绩效</w:t>
      </w:r>
      <w:r>
        <w:rPr>
          <w:rFonts w:hint="default" w:ascii="Times New Roman" w:hAnsi="Times New Roman" w:eastAsia="黑体" w:cs="Times New Roman"/>
          <w:b w:val="0"/>
          <w:bCs w:val="0"/>
          <w:color w:val="000000"/>
          <w:kern w:val="0"/>
          <w:sz w:val="32"/>
          <w:szCs w:val="32"/>
          <w:highlight w:val="none"/>
          <w:u w:val="none"/>
          <w:shd w:val="clear" w:color="auto" w:fill="FFFFFF"/>
          <w:lang w:eastAsia="zh-CN"/>
        </w:rPr>
        <w:t>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outlineLvl w:val="9"/>
        <w:rPr>
          <w:rFonts w:hint="default" w:ascii="Times New Roman" w:hAnsi="Times New Roman" w:eastAsia="仿宋_GB2312" w:cs="Times New Roman"/>
          <w:b w:val="0"/>
          <w:bCs w:val="0"/>
          <w:color w:val="000000"/>
          <w:kern w:val="0"/>
          <w:sz w:val="32"/>
          <w:szCs w:val="32"/>
          <w:highlight w:val="none"/>
          <w:shd w:val="clear" w:color="auto" w:fill="FFFFFF"/>
          <w:lang w:val="zh-CN"/>
        </w:rPr>
      </w:pPr>
      <w:r>
        <w:rPr>
          <w:rFonts w:hint="default" w:ascii="Times New Roman" w:hAnsi="Times New Roman" w:eastAsia="楷体" w:cs="Times New Roman"/>
          <w:b w:val="0"/>
          <w:bCs w:val="0"/>
          <w:color w:val="000000"/>
          <w:kern w:val="0"/>
          <w:sz w:val="32"/>
          <w:szCs w:val="32"/>
          <w:highlight w:val="none"/>
          <w:shd w:val="clear" w:color="auto" w:fill="FFFFFF"/>
          <w:lang w:val="zh-CN"/>
        </w:rPr>
        <w:t>（一）部门预算总体绩效分析。</w:t>
      </w:r>
    </w:p>
    <w:p>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default" w:ascii="Times New Roman" w:hAnsi="Times New Roman" w:eastAsia="仿宋_GB2312" w:cs="Times New Roman"/>
          <w:b w:val="0"/>
          <w:bCs w:val="0"/>
          <w:spacing w:val="0"/>
          <w:sz w:val="32"/>
          <w:szCs w:val="32"/>
          <w:lang w:val="en-US" w:eastAsia="zh-CN"/>
        </w:rPr>
      </w:pPr>
      <w:r>
        <w:rPr>
          <w:rFonts w:hint="default" w:ascii="Times New Roman" w:hAnsi="Times New Roman" w:eastAsia="仿宋_GB2312" w:cs="Times New Roman"/>
          <w:b w:val="0"/>
          <w:bCs w:val="0"/>
          <w:color w:val="000000"/>
          <w:spacing w:val="0"/>
          <w:kern w:val="0"/>
          <w:sz w:val="32"/>
          <w:szCs w:val="32"/>
          <w:highlight w:val="none"/>
          <w:shd w:val="clear" w:color="auto" w:fill="FFFFFF"/>
          <w:lang w:val="en-US" w:eastAsia="zh-CN"/>
        </w:rPr>
        <w:t>1．</w:t>
      </w:r>
      <w:r>
        <w:rPr>
          <w:rFonts w:hint="default" w:ascii="Times New Roman" w:hAnsi="Times New Roman" w:eastAsia="仿宋_GB2312" w:cs="Times New Roman"/>
          <w:b w:val="0"/>
          <w:bCs w:val="0"/>
          <w:color w:val="000000"/>
          <w:spacing w:val="0"/>
          <w:kern w:val="0"/>
          <w:sz w:val="32"/>
          <w:szCs w:val="32"/>
          <w:highlight w:val="none"/>
          <w:shd w:val="clear" w:color="auto" w:fill="FFFFFF"/>
          <w:lang w:val="zh-CN"/>
        </w:rPr>
        <w:t>履职效能。</w:t>
      </w:r>
      <w:r>
        <w:rPr>
          <w:rFonts w:hint="default" w:ascii="Times New Roman" w:hAnsi="Times New Roman" w:eastAsia="仿宋_GB2312" w:cs="Times New Roman"/>
          <w:b w:val="0"/>
          <w:bCs w:val="0"/>
          <w:spacing w:val="0"/>
          <w:sz w:val="32"/>
          <w:szCs w:val="32"/>
          <w:lang w:val="en-US" w:eastAsia="zh-CN"/>
        </w:rPr>
        <w:t>①坚持扛责在身，全面落实党政同责。坚持</w:t>
      </w:r>
      <w:r>
        <w:rPr>
          <w:rFonts w:hint="default" w:ascii="Times New Roman" w:hAnsi="Times New Roman" w:eastAsia="仿宋_GB2312" w:cs="Times New Roman"/>
          <w:b w:val="0"/>
          <w:bCs w:val="0"/>
          <w:spacing w:val="0"/>
          <w:sz w:val="32"/>
          <w:szCs w:val="32"/>
        </w:rPr>
        <w:t>把生态环境保护作为重大政治任务和重大政治责任，迎难而上、攻坚克难</w:t>
      </w:r>
      <w:r>
        <w:rPr>
          <w:rFonts w:hint="default" w:ascii="Times New Roman" w:hAnsi="Times New Roman" w:eastAsia="仿宋_GB2312" w:cs="Times New Roman"/>
          <w:b w:val="0"/>
          <w:bCs w:val="0"/>
          <w:spacing w:val="0"/>
          <w:sz w:val="32"/>
          <w:szCs w:val="32"/>
          <w:lang w:eastAsia="zh-CN"/>
        </w:rPr>
        <w:t>。</w:t>
      </w:r>
      <w:r>
        <w:rPr>
          <w:rFonts w:hint="default" w:ascii="Times New Roman" w:hAnsi="Times New Roman" w:eastAsia="仿宋_GB2312" w:cs="Times New Roman"/>
          <w:b w:val="0"/>
          <w:bCs w:val="0"/>
          <w:color w:val="000000"/>
          <w:spacing w:val="0"/>
          <w:sz w:val="32"/>
          <w:szCs w:val="32"/>
        </w:rPr>
        <w:t>层层</w:t>
      </w:r>
      <w:r>
        <w:rPr>
          <w:rFonts w:hint="default" w:ascii="Times New Roman" w:hAnsi="Times New Roman" w:eastAsia="仿宋_GB2312" w:cs="Times New Roman"/>
          <w:b w:val="0"/>
          <w:bCs w:val="0"/>
          <w:color w:val="000000"/>
          <w:spacing w:val="0"/>
          <w:sz w:val="32"/>
          <w:szCs w:val="32"/>
          <w:lang w:val="en-US" w:eastAsia="zh-CN"/>
        </w:rPr>
        <w:t>落实各乡镇（街道）</w:t>
      </w:r>
      <w:r>
        <w:rPr>
          <w:rFonts w:hint="default" w:ascii="Times New Roman" w:hAnsi="Times New Roman" w:eastAsia="仿宋_GB2312" w:cs="Times New Roman"/>
          <w:b w:val="0"/>
          <w:bCs w:val="0"/>
          <w:color w:val="000000"/>
          <w:spacing w:val="0"/>
          <w:sz w:val="32"/>
          <w:szCs w:val="32"/>
        </w:rPr>
        <w:t>、各相关部门</w:t>
      </w:r>
      <w:r>
        <w:rPr>
          <w:rFonts w:hint="default" w:ascii="Times New Roman" w:hAnsi="Times New Roman" w:eastAsia="仿宋_GB2312" w:cs="Times New Roman"/>
          <w:b w:val="0"/>
          <w:bCs w:val="0"/>
          <w:color w:val="000000"/>
          <w:spacing w:val="0"/>
          <w:sz w:val="32"/>
          <w:szCs w:val="32"/>
          <w:lang w:val="en-US" w:eastAsia="zh-CN"/>
        </w:rPr>
        <w:t>的责任</w:t>
      </w:r>
      <w:r>
        <w:rPr>
          <w:rFonts w:hint="default" w:ascii="Times New Roman" w:hAnsi="Times New Roman" w:eastAsia="仿宋_GB2312" w:cs="Times New Roman"/>
          <w:b w:val="0"/>
          <w:bCs w:val="0"/>
          <w:color w:val="000000"/>
          <w:spacing w:val="0"/>
          <w:sz w:val="32"/>
          <w:szCs w:val="32"/>
        </w:rPr>
        <w:t>，明确责任领导、责任人和责任要求</w:t>
      </w:r>
      <w:r>
        <w:rPr>
          <w:rFonts w:hint="default" w:ascii="Times New Roman" w:hAnsi="Times New Roman" w:eastAsia="仿宋_GB2312" w:cs="Times New Roman"/>
          <w:b w:val="0"/>
          <w:bCs w:val="0"/>
          <w:color w:val="000000"/>
          <w:spacing w:val="0"/>
          <w:sz w:val="32"/>
          <w:szCs w:val="32"/>
          <w:lang w:eastAsia="zh-CN"/>
        </w:rPr>
        <w:t>。</w:t>
      </w:r>
      <w:r>
        <w:rPr>
          <w:rFonts w:hint="default" w:ascii="Times New Roman" w:hAnsi="Times New Roman" w:eastAsia="仿宋_GB2312" w:cs="Times New Roman"/>
          <w:b w:val="0"/>
          <w:bCs w:val="0"/>
          <w:color w:val="000000"/>
          <w:spacing w:val="0"/>
          <w:kern w:val="0"/>
          <w:sz w:val="32"/>
          <w:szCs w:val="32"/>
          <w:lang w:val="en-US" w:eastAsia="zh-CN" w:bidi="ar-SA"/>
        </w:rPr>
        <w:t>一是严格落实生态环保工作</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000000"/>
          <w:spacing w:val="0"/>
          <w:kern w:val="0"/>
          <w:sz w:val="32"/>
          <w:szCs w:val="32"/>
          <w:lang w:val="en-US" w:eastAsia="zh-CN" w:bidi="ar-SA"/>
        </w:rPr>
        <w:t>党政同责</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000000"/>
          <w:spacing w:val="0"/>
          <w:kern w:val="0"/>
          <w:sz w:val="32"/>
          <w:szCs w:val="32"/>
          <w:lang w:val="en-US" w:eastAsia="zh-CN" w:bidi="ar-SA"/>
        </w:rPr>
        <w:t>要求，全年召开两次县环委会全体会议，研究部署生态环境保护工作。县政府常务会每两个月定期听取大气污染防治工作，点对点解决具体问题。</w:t>
      </w:r>
      <w:r>
        <w:rPr>
          <w:rFonts w:hint="default" w:ascii="Times New Roman" w:hAnsi="Times New Roman" w:eastAsia="仿宋_GB2312" w:cs="Times New Roman"/>
          <w:b w:val="0"/>
          <w:bCs w:val="0"/>
          <w:color w:val="auto"/>
          <w:spacing w:val="0"/>
          <w:kern w:val="2"/>
          <w:sz w:val="32"/>
          <w:szCs w:val="32"/>
          <w:lang w:val="en-US" w:eastAsia="zh-CN" w:bidi="ar-SA"/>
        </w:rPr>
        <w:t>二是全面打响《大竹县2023年生态环境治理四·五大会战》，</w:t>
      </w:r>
      <w:r>
        <w:rPr>
          <w:rFonts w:hint="default" w:ascii="Times New Roman" w:hAnsi="Times New Roman" w:eastAsia="仿宋_GB2312" w:cs="Times New Roman"/>
          <w:b w:val="0"/>
          <w:bCs w:val="0"/>
          <w:color w:val="000000"/>
          <w:spacing w:val="0"/>
          <w:kern w:val="0"/>
          <w:sz w:val="32"/>
          <w:szCs w:val="32"/>
          <w:lang w:val="en-US" w:eastAsia="zh-CN" w:bidi="ar-SA"/>
        </w:rPr>
        <w:t>明确任务、压实责任。</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auto"/>
          <w:spacing w:val="0"/>
          <w:sz w:val="32"/>
          <w:szCs w:val="32"/>
          <w:lang w:val="en-US" w:eastAsia="zh-CN"/>
        </w:rPr>
        <w:t>四河</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auto"/>
          <w:spacing w:val="0"/>
          <w:sz w:val="32"/>
          <w:szCs w:val="32"/>
          <w:lang w:val="en-US" w:eastAsia="zh-CN"/>
        </w:rPr>
        <w:t>同步攻坚，确保国、省考断面稳定达标。</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auto"/>
          <w:spacing w:val="0"/>
          <w:sz w:val="32"/>
          <w:szCs w:val="32"/>
          <w:lang w:val="en-US" w:eastAsia="zh-CN"/>
        </w:rPr>
        <w:t>五重</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auto"/>
          <w:spacing w:val="0"/>
          <w:sz w:val="32"/>
          <w:szCs w:val="32"/>
          <w:lang w:val="en-US" w:eastAsia="zh-CN"/>
        </w:rPr>
        <w:t>会战，针对基础设施建设、生态补水、面源污染、大气污染治理、非煤矿山等五个方面的污染防治重点，提出了相应的治理措施。</w:t>
      </w:r>
      <w:r>
        <w:rPr>
          <w:rFonts w:hint="default" w:ascii="Times New Roman" w:hAnsi="Times New Roman" w:eastAsia="仿宋_GB2312" w:cs="Times New Roman"/>
          <w:b w:val="0"/>
          <w:bCs w:val="0"/>
          <w:spacing w:val="0"/>
          <w:sz w:val="32"/>
          <w:szCs w:val="32"/>
          <w:lang w:val="en-US" w:eastAsia="zh-CN"/>
        </w:rPr>
        <w:t>聚焦</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spacing w:val="0"/>
          <w:sz w:val="32"/>
          <w:szCs w:val="32"/>
          <w:lang w:val="en-US" w:eastAsia="zh-CN"/>
        </w:rPr>
        <w:t>大环保</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spacing w:val="0"/>
          <w:sz w:val="32"/>
          <w:szCs w:val="32"/>
          <w:lang w:val="en-US" w:eastAsia="zh-CN"/>
        </w:rPr>
        <w:t>，牵住</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spacing w:val="0"/>
          <w:sz w:val="32"/>
          <w:szCs w:val="32"/>
          <w:lang w:val="en-US" w:eastAsia="zh-CN"/>
        </w:rPr>
        <w:t>牛鼻子</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spacing w:val="0"/>
          <w:sz w:val="32"/>
          <w:szCs w:val="32"/>
          <w:lang w:val="en-US" w:eastAsia="zh-CN"/>
        </w:rPr>
        <w:t>、打好</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spacing w:val="0"/>
          <w:sz w:val="32"/>
          <w:szCs w:val="32"/>
          <w:lang w:val="en-US" w:eastAsia="zh-CN"/>
        </w:rPr>
        <w:t>组合拳</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spacing w:val="0"/>
          <w:sz w:val="32"/>
          <w:szCs w:val="32"/>
          <w:lang w:val="en-US" w:eastAsia="zh-CN"/>
        </w:rPr>
        <w:t>。三是</w:t>
      </w:r>
      <w:r>
        <w:rPr>
          <w:rFonts w:hint="default" w:ascii="Times New Roman" w:hAnsi="Times New Roman" w:eastAsia="仿宋_GB2312" w:cs="Times New Roman"/>
          <w:b w:val="0"/>
          <w:bCs w:val="0"/>
          <w:color w:val="000000"/>
          <w:spacing w:val="0"/>
          <w:kern w:val="0"/>
          <w:sz w:val="32"/>
          <w:szCs w:val="32"/>
          <w:lang w:val="en-US" w:eastAsia="zh-CN" w:bidi="ar-SA"/>
        </w:rPr>
        <w:t>进一步健全绩效考核机制，将生态环境保护工作纳入党政同责管理，</w:t>
      </w:r>
      <w:r>
        <w:rPr>
          <w:rFonts w:hint="default" w:ascii="Times New Roman" w:hAnsi="Times New Roman" w:eastAsia="仿宋_GB2312" w:cs="Times New Roman"/>
          <w:b w:val="0"/>
          <w:bCs w:val="0"/>
          <w:color w:val="000000"/>
          <w:spacing w:val="0"/>
          <w:sz w:val="32"/>
          <w:szCs w:val="32"/>
        </w:rPr>
        <w:t>倒逼环保各项任务落地落实</w:t>
      </w:r>
      <w:r>
        <w:rPr>
          <w:rFonts w:hint="default" w:ascii="Times New Roman" w:hAnsi="Times New Roman" w:eastAsia="仿宋_GB2312" w:cs="Times New Roman"/>
          <w:b w:val="0"/>
          <w:bCs w:val="0"/>
          <w:spacing w:val="0"/>
          <w:sz w:val="32"/>
          <w:szCs w:val="32"/>
          <w:lang w:val="en-US" w:eastAsia="zh-CN"/>
        </w:rPr>
        <w:t>。</w:t>
      </w:r>
    </w:p>
    <w:p>
      <w:pPr>
        <w:keepNext w:val="0"/>
        <w:keepLines w:val="0"/>
        <w:pageBreakBefore w:val="0"/>
        <w:kinsoku/>
        <w:wordWrap/>
        <w:overflowPunct/>
        <w:topLinePunct w:val="0"/>
        <w:autoSpaceDE/>
        <w:autoSpaceDN/>
        <w:bidi w:val="0"/>
        <w:adjustRightInd/>
        <w:snapToGrid/>
        <w:spacing w:line="578" w:lineRule="exact"/>
        <w:ind w:left="0" w:leftChars="0" w:firstLine="640" w:firstLineChars="200"/>
        <w:jc w:val="left"/>
        <w:textAlignment w:val="auto"/>
        <w:rPr>
          <w:rFonts w:hint="default" w:ascii="Times New Roman" w:hAnsi="Times New Roman" w:eastAsia="仿宋_GB2312" w:cs="Times New Roman"/>
          <w:b w:val="0"/>
          <w:bCs w:val="0"/>
          <w:color w:val="auto"/>
          <w:spacing w:val="0"/>
          <w:kern w:val="2"/>
          <w:sz w:val="32"/>
          <w:szCs w:val="32"/>
          <w:lang w:val="en-US" w:eastAsia="zh-CN" w:bidi="en-US"/>
        </w:rPr>
      </w:pPr>
      <w:r>
        <w:rPr>
          <w:rFonts w:hint="default" w:ascii="Times New Roman" w:hAnsi="Times New Roman" w:eastAsia="仿宋_GB2312" w:cs="Times New Roman"/>
          <w:b w:val="0"/>
          <w:bCs w:val="0"/>
          <w:spacing w:val="0"/>
          <w:sz w:val="32"/>
          <w:szCs w:val="32"/>
          <w:lang w:eastAsia="zh-CN"/>
        </w:rPr>
        <w:t>②坚持改善环境，全力打好污染防治攻坚战。始终深入践行</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spacing w:val="0"/>
          <w:sz w:val="32"/>
          <w:szCs w:val="32"/>
          <w:lang w:eastAsia="zh-CN"/>
        </w:rPr>
        <w:t>绿水青山就是金山银山</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spacing w:val="0"/>
          <w:sz w:val="32"/>
          <w:szCs w:val="32"/>
          <w:lang w:eastAsia="zh-CN"/>
        </w:rPr>
        <w:t>理念，强化综合治理、系统治理、源头治理，紧扣各项重点工作指标，知责于心、担责于身、履责于行，有效凝聚治污攻坚强大合力。一是打好蓝天保卫战。加强统筹协调，每月通报环境空气质量，分析环境空气质量形势，多次组织召开大气污染防治工作专题会，研究部署相关工作。</w:t>
      </w:r>
      <w:r>
        <w:rPr>
          <w:rFonts w:hint="default" w:ascii="Times New Roman" w:hAnsi="Times New Roman" w:eastAsia="仿宋_GB2312" w:cs="Times New Roman"/>
          <w:b w:val="0"/>
          <w:bCs w:val="0"/>
          <w:spacing w:val="0"/>
          <w:kern w:val="2"/>
          <w:sz w:val="32"/>
          <w:szCs w:val="32"/>
          <w:lang w:val="en-US" w:eastAsia="zh-CN" w:bidi="ar-SA"/>
        </w:rPr>
        <w:t>修订《大竹县大气污染防治预警应急指挥调度规程》，不断完善指挥调度机制，</w:t>
      </w:r>
      <w:r>
        <w:rPr>
          <w:rFonts w:hint="default" w:ascii="Times New Roman" w:hAnsi="Times New Roman" w:eastAsia="仿宋_GB2312" w:cs="Times New Roman"/>
          <w:b w:val="0"/>
          <w:bCs w:val="0"/>
          <w:spacing w:val="0"/>
          <w:sz w:val="32"/>
          <w:szCs w:val="32"/>
          <w:lang w:eastAsia="zh-CN"/>
        </w:rPr>
        <w:t>增强指挥调度的科学性、有效性、精准性</w:t>
      </w:r>
      <w:r>
        <w:rPr>
          <w:rFonts w:hint="default" w:ascii="Times New Roman" w:hAnsi="Times New Roman" w:eastAsia="仿宋_GB2312" w:cs="Times New Roman"/>
          <w:b w:val="0"/>
          <w:bCs w:val="0"/>
          <w:spacing w:val="0"/>
          <w:kern w:val="2"/>
          <w:sz w:val="32"/>
          <w:szCs w:val="32"/>
          <w:lang w:val="en-US" w:eastAsia="zh-CN" w:bidi="ar-SA"/>
        </w:rPr>
        <w:t>，及时有效应对污染天气</w:t>
      </w:r>
      <w:r>
        <w:rPr>
          <w:rFonts w:hint="default" w:ascii="Times New Roman" w:hAnsi="Times New Roman" w:eastAsia="仿宋_GB2312" w:cs="Times New Roman"/>
          <w:b w:val="0"/>
          <w:bCs w:val="0"/>
          <w:spacing w:val="0"/>
          <w:sz w:val="32"/>
          <w:szCs w:val="32"/>
          <w:lang w:eastAsia="zh-CN"/>
        </w:rPr>
        <w:t>。对工业企业大气污染防治、建筑扬尘治理、道路扬尘治理、秸秆禁烧管控、餐饮油烟治理、涉挥发性有机物治理等工作进行安排部署。重点时段组织相关部门和乡镇（街道）联合出动加强重点时段管控，全力以赴推动</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spacing w:val="0"/>
          <w:sz w:val="32"/>
          <w:szCs w:val="32"/>
          <w:lang w:eastAsia="zh-CN"/>
        </w:rPr>
        <w:t>五烧</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spacing w:val="0"/>
          <w:sz w:val="32"/>
          <w:szCs w:val="32"/>
          <w:lang w:eastAsia="zh-CN"/>
        </w:rPr>
        <w:t>禁烧工作取得实效。</w:t>
      </w:r>
      <w:r>
        <w:rPr>
          <w:rFonts w:hint="default" w:ascii="Times New Roman" w:hAnsi="Times New Roman" w:eastAsia="仿宋_GB2312" w:cs="Times New Roman"/>
          <w:b w:val="0"/>
          <w:bCs w:val="0"/>
          <w:color w:val="auto"/>
          <w:spacing w:val="0"/>
          <w:kern w:val="2"/>
          <w:sz w:val="32"/>
          <w:szCs w:val="32"/>
          <w:lang w:val="en-US" w:eastAsia="zh-CN" w:bidi="en-US"/>
        </w:rPr>
        <w:t>强化冬春季大气污染防治，推动烟花爆竹禁燃禁放，规范腌腊制品熏制行为。强化夏季臭氧污染防治攻坚，今年未出现臭氧污染天。指导达州海螺水泥成功创建重污染天气绩效评级A级企业（达州唯一），利森水泥成功创建重污染天气绩效评级B级企业。联合相关部门开展重型柴油货车和非道路移动机械尾气抽检，强化辐射安全监管。</w:t>
      </w:r>
      <w:r>
        <w:rPr>
          <w:rFonts w:hint="default" w:ascii="Times New Roman" w:hAnsi="Times New Roman" w:eastAsia="仿宋_GB2312" w:cs="Times New Roman"/>
          <w:b w:val="0"/>
          <w:bCs w:val="0"/>
          <w:spacing w:val="0"/>
          <w:sz w:val="32"/>
          <w:szCs w:val="32"/>
          <w:lang w:eastAsia="zh-CN"/>
        </w:rPr>
        <w:t>二是深入打好碧水保卫战。</w:t>
      </w:r>
      <w:r>
        <w:rPr>
          <w:rFonts w:hint="default" w:ascii="Times New Roman" w:hAnsi="Times New Roman" w:eastAsia="仿宋_GB2312" w:cs="Times New Roman"/>
          <w:b w:val="0"/>
          <w:bCs w:val="0"/>
          <w:color w:val="auto"/>
          <w:spacing w:val="0"/>
          <w:kern w:val="2"/>
          <w:sz w:val="32"/>
          <w:szCs w:val="32"/>
          <w:lang w:val="en-US" w:eastAsia="zh-CN" w:bidi="en-US"/>
        </w:rPr>
        <w:t>加强水质调度，召开梁竹联席水环境质量调研。</w:t>
      </w:r>
      <w:r>
        <w:rPr>
          <w:rFonts w:hint="default" w:ascii="Times New Roman" w:hAnsi="Times New Roman" w:eastAsia="仿宋_GB2312" w:cs="Times New Roman"/>
          <w:b w:val="0"/>
          <w:bCs w:val="0"/>
          <w:spacing w:val="0"/>
          <w:sz w:val="32"/>
          <w:szCs w:val="32"/>
          <w:lang w:eastAsia="zh-CN"/>
        </w:rPr>
        <w:t>每月定期发布3座水库、11条主要河流水环境质量</w:t>
      </w:r>
      <w:r>
        <w:rPr>
          <w:rFonts w:hint="default" w:ascii="Times New Roman" w:hAnsi="Times New Roman" w:eastAsia="仿宋_GB2312" w:cs="Times New Roman"/>
          <w:b w:val="0"/>
          <w:bCs w:val="0"/>
          <w:color w:val="auto"/>
          <w:spacing w:val="0"/>
          <w:kern w:val="2"/>
          <w:sz w:val="32"/>
          <w:szCs w:val="32"/>
          <w:lang w:val="en-US" w:eastAsia="zh-CN" w:bidi="en-US"/>
        </w:rPr>
        <w:t>。</w:t>
      </w:r>
      <w:r>
        <w:rPr>
          <w:rFonts w:hint="default" w:ascii="Times New Roman" w:hAnsi="Times New Roman" w:eastAsia="仿宋_GB2312" w:cs="Times New Roman"/>
          <w:b w:val="0"/>
          <w:bCs w:val="0"/>
          <w:spacing w:val="0"/>
          <w:sz w:val="32"/>
          <w:szCs w:val="32"/>
          <w:lang w:eastAsia="zh-CN"/>
        </w:rPr>
        <w:t>做好河长制工作，积极巡河、管河、治河，</w:t>
      </w:r>
      <w:r>
        <w:rPr>
          <w:rFonts w:hint="default" w:ascii="Times New Roman" w:hAnsi="Times New Roman" w:eastAsia="仿宋_GB2312" w:cs="Times New Roman"/>
          <w:b w:val="0"/>
          <w:bCs w:val="0"/>
          <w:color w:val="auto"/>
          <w:spacing w:val="0"/>
          <w:kern w:val="2"/>
          <w:sz w:val="32"/>
          <w:szCs w:val="32"/>
          <w:lang w:val="en-US" w:eastAsia="zh-CN" w:bidi="en-US"/>
        </w:rPr>
        <w:t>联防联控、靶向治理。抓好农村生活污水治理，持续推进农村生活污水治理及千村示范项目建设。强化饮用水水源地保护，在</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auto"/>
          <w:spacing w:val="0"/>
          <w:kern w:val="2"/>
          <w:sz w:val="32"/>
          <w:szCs w:val="32"/>
          <w:lang w:val="en-US" w:eastAsia="zh-CN" w:bidi="en-US"/>
        </w:rPr>
        <w:t>千吨万人</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auto"/>
          <w:spacing w:val="0"/>
          <w:kern w:val="2"/>
          <w:sz w:val="32"/>
          <w:szCs w:val="32"/>
          <w:lang w:val="en-US" w:eastAsia="zh-CN" w:bidi="en-US"/>
        </w:rPr>
        <w:t>饮用水源地保护区建设水质在线监测系统9套，视频监控系统30套，实现智能化监管。</w:t>
      </w:r>
      <w:r>
        <w:rPr>
          <w:rFonts w:hint="default" w:ascii="Times New Roman" w:hAnsi="Times New Roman" w:eastAsia="仿宋_GB2312" w:cs="Times New Roman"/>
          <w:b w:val="0"/>
          <w:bCs w:val="0"/>
          <w:spacing w:val="0"/>
          <w:sz w:val="32"/>
          <w:szCs w:val="32"/>
          <w:lang w:val="en-US" w:eastAsia="zh-CN"/>
        </w:rPr>
        <w:t>积极开展项目入库工</w:t>
      </w:r>
      <w:r>
        <w:rPr>
          <w:rFonts w:hint="default" w:ascii="Times New Roman" w:hAnsi="Times New Roman" w:eastAsia="仿宋_GB2312" w:cs="Times New Roman"/>
          <w:b w:val="0"/>
          <w:bCs w:val="0"/>
          <w:color w:val="auto"/>
          <w:spacing w:val="0"/>
          <w:sz w:val="32"/>
          <w:szCs w:val="32"/>
          <w:lang w:val="en-US" w:eastAsia="zh-CN"/>
        </w:rPr>
        <w:t>作，今年新包装6个项目进入省库，总投资2亿元，拟向上争取资金1.3亿元。持续</w:t>
      </w:r>
      <w:r>
        <w:rPr>
          <w:rFonts w:hint="default" w:ascii="Times New Roman" w:hAnsi="Times New Roman" w:eastAsia="仿宋_GB2312" w:cs="Times New Roman"/>
          <w:b w:val="0"/>
          <w:bCs w:val="0"/>
          <w:color w:val="auto"/>
          <w:spacing w:val="0"/>
          <w:kern w:val="2"/>
          <w:sz w:val="32"/>
          <w:szCs w:val="32"/>
          <w:lang w:val="en-US" w:eastAsia="zh-CN" w:bidi="en-US"/>
        </w:rPr>
        <w:t>做好生态县创建、生物多样性保护、入河排污口排查溯源监测相关工作。</w:t>
      </w:r>
      <w:r>
        <w:rPr>
          <w:rFonts w:hint="default" w:ascii="Times New Roman" w:hAnsi="Times New Roman" w:eastAsia="仿宋_GB2312" w:cs="Times New Roman"/>
          <w:b w:val="0"/>
          <w:bCs w:val="0"/>
          <w:spacing w:val="0"/>
          <w:sz w:val="32"/>
          <w:szCs w:val="32"/>
          <w:lang w:eastAsia="zh-CN"/>
        </w:rPr>
        <w:t>三是着力打好净土保卫战。</w:t>
      </w:r>
      <w:r>
        <w:rPr>
          <w:rFonts w:hint="default" w:ascii="Times New Roman" w:hAnsi="Times New Roman" w:eastAsia="仿宋_GB2312" w:cs="Times New Roman"/>
          <w:b w:val="0"/>
          <w:bCs w:val="0"/>
          <w:spacing w:val="0"/>
          <w:sz w:val="32"/>
          <w:szCs w:val="32"/>
          <w:lang w:bidi="en-US"/>
        </w:rPr>
        <w:t>配合完成我县42个</w:t>
      </w:r>
      <w:r>
        <w:rPr>
          <w:rFonts w:hint="default" w:ascii="Times New Roman" w:hAnsi="Times New Roman" w:eastAsia="仿宋_GB2312" w:cs="Times New Roman"/>
          <w:b w:val="0"/>
          <w:bCs w:val="0"/>
          <w:color w:val="auto"/>
          <w:spacing w:val="0"/>
          <w:sz w:val="32"/>
          <w:szCs w:val="32"/>
          <w:lang w:bidi="en-US"/>
        </w:rPr>
        <w:t>点位土壤污染风险等级划分。开展农用地土壤镉等重金属污染源头排查整治，对涉及我县的38个重点排查区域进行排查。督促污染地块业主启动了污染地块土壤污染风险管控。完成10个</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auto"/>
          <w:spacing w:val="0"/>
          <w:sz w:val="32"/>
          <w:szCs w:val="32"/>
          <w:lang w:bidi="en-US"/>
        </w:rPr>
        <w:t>一住两公</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auto"/>
          <w:spacing w:val="0"/>
          <w:sz w:val="32"/>
          <w:szCs w:val="32"/>
          <w:lang w:bidi="en-US"/>
        </w:rPr>
        <w:t>（住宅、公共管理与公共服务用地）地块用途核实，督促周家区域养老服务中心地块完成了土壤污染状况调查。开展危险废物申报登记，召开大竹县危险废物全过程物联网建设工作推进会，我县1家重点产废单位和11家简化管理单位完成物联网建设工作。开展化学物质环境信息统计调查工作。完成2023年度危险废物规范化环境管理评估工作，我县抽查考评的15家危险</w:t>
      </w:r>
      <w:r>
        <w:rPr>
          <w:rFonts w:hint="default" w:ascii="Times New Roman" w:hAnsi="Times New Roman" w:eastAsia="仿宋_GB2312" w:cs="Times New Roman"/>
          <w:b w:val="0"/>
          <w:bCs w:val="0"/>
          <w:spacing w:val="0"/>
          <w:sz w:val="32"/>
          <w:szCs w:val="32"/>
          <w:lang w:bidi="en-US"/>
        </w:rPr>
        <w:t>废物产生单位均达标。</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0" w:leftChars="0" w:firstLine="640" w:firstLineChars="200"/>
        <w:jc w:val="both"/>
        <w:textAlignment w:val="auto"/>
        <w:rPr>
          <w:rFonts w:hint="default" w:ascii="Times New Roman" w:hAnsi="Times New Roman" w:eastAsia="仿宋_GB2312" w:cs="Times New Roman"/>
          <w:b w:val="0"/>
          <w:bCs w:val="0"/>
          <w:spacing w:val="0"/>
          <w:sz w:val="32"/>
          <w:szCs w:val="32"/>
          <w:lang w:eastAsia="zh-CN"/>
        </w:rPr>
      </w:pPr>
      <w:r>
        <w:rPr>
          <w:rFonts w:hint="default" w:ascii="Times New Roman" w:hAnsi="Times New Roman" w:eastAsia="仿宋_GB2312" w:cs="Times New Roman"/>
          <w:b w:val="0"/>
          <w:bCs w:val="0"/>
          <w:spacing w:val="0"/>
          <w:sz w:val="32"/>
          <w:szCs w:val="32"/>
          <w:lang w:eastAsia="zh-CN"/>
        </w:rPr>
        <w:t>③坚持推进绿色发展，严格环境准入和监管。统筹环境保护和经济发展两不误两促进。一是严格环评准入。大力深化</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spacing w:val="0"/>
          <w:sz w:val="32"/>
          <w:szCs w:val="32"/>
          <w:lang w:eastAsia="zh-CN"/>
        </w:rPr>
        <w:t>放管服</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spacing w:val="0"/>
          <w:sz w:val="32"/>
          <w:szCs w:val="32"/>
          <w:lang w:eastAsia="zh-CN"/>
        </w:rPr>
        <w:t>和</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spacing w:val="0"/>
          <w:sz w:val="32"/>
          <w:szCs w:val="32"/>
          <w:lang w:eastAsia="zh-CN"/>
        </w:rPr>
        <w:t>一次办好</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spacing w:val="0"/>
          <w:sz w:val="32"/>
          <w:szCs w:val="32"/>
          <w:lang w:eastAsia="zh-CN"/>
        </w:rPr>
        <w:t>改革，全年</w:t>
      </w:r>
      <w:r>
        <w:rPr>
          <w:rFonts w:hint="default" w:ascii="Times New Roman" w:hAnsi="Times New Roman" w:eastAsia="仿宋_GB2312" w:cs="Times New Roman"/>
          <w:b w:val="0"/>
          <w:bCs w:val="0"/>
          <w:color w:val="auto"/>
          <w:spacing w:val="0"/>
          <w:sz w:val="32"/>
          <w:szCs w:val="32"/>
          <w:highlight w:val="none"/>
        </w:rPr>
        <w:t>报告表审批21件，涉及总投资额13.87亿元，审批时限由9个工作日压缩到6个工作日。新办排污许可证7家，现有持证单位135家，排污登记新增36家，市局下发的排污许可前期</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auto"/>
          <w:spacing w:val="0"/>
          <w:sz w:val="32"/>
          <w:szCs w:val="32"/>
          <w:highlight w:val="none"/>
        </w:rPr>
        <w:t>双百任务</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auto"/>
          <w:spacing w:val="0"/>
          <w:sz w:val="32"/>
          <w:szCs w:val="32"/>
          <w:highlight w:val="none"/>
        </w:rPr>
        <w:t>已全部完成。推进达州市</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auto"/>
          <w:spacing w:val="0"/>
          <w:sz w:val="32"/>
          <w:szCs w:val="32"/>
          <w:highlight w:val="none"/>
        </w:rPr>
        <w:t>三线一单</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auto"/>
          <w:spacing w:val="0"/>
          <w:sz w:val="32"/>
          <w:szCs w:val="32"/>
          <w:highlight w:val="none"/>
        </w:rPr>
        <w:t>分区管控更新，协助指导大竹经开区规划环评修编，积极配合招商引资，助力县域经济发展。</w:t>
      </w:r>
      <w:r>
        <w:rPr>
          <w:rFonts w:hint="default" w:ascii="Times New Roman" w:hAnsi="Times New Roman" w:eastAsia="仿宋_GB2312" w:cs="Times New Roman"/>
          <w:b w:val="0"/>
          <w:bCs w:val="0"/>
          <w:spacing w:val="0"/>
          <w:sz w:val="32"/>
          <w:szCs w:val="32"/>
          <w:lang w:eastAsia="zh-CN"/>
        </w:rPr>
        <w:t>二是强化环境执法。</w:t>
      </w:r>
      <w:r>
        <w:rPr>
          <w:rFonts w:hint="default" w:ascii="Times New Roman" w:hAnsi="Times New Roman" w:eastAsia="仿宋_GB2312" w:cs="Times New Roman"/>
          <w:b w:val="0"/>
          <w:bCs w:val="0"/>
          <w:color w:val="auto"/>
          <w:spacing w:val="0"/>
          <w:kern w:val="28"/>
          <w:sz w:val="32"/>
          <w:szCs w:val="32"/>
          <w:lang w:val="en-US" w:eastAsia="zh-CN" w:bidi="ar-SA"/>
        </w:rPr>
        <w:t>持续推动川渝生态环境联防共治工作走深走实，全面提升生态环境联合执法工作水平。联合重庆市生态环境执法总队、梁平区生态环境局、垫江县生态环境局开展联合执法检查6次，出动执法人员90余人次，检查点位43个，共发现环境问题48个。全年行政处罚案件共立案30件，处罚款153.74万元。完成48家企业的突发环境事件应急预案备案工作。</w:t>
      </w:r>
      <w:r>
        <w:rPr>
          <w:rFonts w:hint="default" w:ascii="Times New Roman" w:hAnsi="Times New Roman" w:eastAsia="仿宋_GB2312" w:cs="Times New Roman"/>
          <w:b w:val="0"/>
          <w:bCs w:val="0"/>
          <w:spacing w:val="0"/>
          <w:sz w:val="32"/>
          <w:szCs w:val="32"/>
          <w:lang w:eastAsia="zh-CN"/>
        </w:rPr>
        <w:t>三是加大环境监测。</w:t>
      </w:r>
      <w:r>
        <w:rPr>
          <w:rFonts w:hint="default" w:ascii="Times New Roman" w:hAnsi="Times New Roman" w:eastAsia="仿宋_GB2312" w:cs="Times New Roman"/>
          <w:b w:val="0"/>
          <w:bCs w:val="0"/>
          <w:color w:val="auto"/>
          <w:spacing w:val="0"/>
          <w:sz w:val="32"/>
          <w:szCs w:val="32"/>
          <w:highlight w:val="none"/>
          <w:lang w:val="en-US" w:eastAsia="zh-CN"/>
        </w:rPr>
        <w:t>完成全县环境质量常规监测并发布环境质量信息，开展水质应急加密监测400余次、监督性监测190次、执法</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auto"/>
          <w:spacing w:val="0"/>
          <w:sz w:val="32"/>
          <w:szCs w:val="32"/>
          <w:highlight w:val="none"/>
          <w:lang w:val="en-US" w:eastAsia="zh-CN"/>
        </w:rPr>
        <w:t>测管协同</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auto"/>
          <w:spacing w:val="0"/>
          <w:sz w:val="32"/>
          <w:szCs w:val="32"/>
          <w:highlight w:val="none"/>
          <w:lang w:val="en-US" w:eastAsia="zh-CN"/>
        </w:rPr>
        <w:t>监测23次。</w:t>
      </w:r>
      <w:r>
        <w:rPr>
          <w:rFonts w:hint="default" w:ascii="Times New Roman" w:hAnsi="Times New Roman" w:eastAsia="仿宋_GB2312" w:cs="Times New Roman"/>
          <w:b w:val="0"/>
          <w:bCs w:val="0"/>
          <w:spacing w:val="0"/>
          <w:sz w:val="32"/>
          <w:szCs w:val="32"/>
          <w:lang w:eastAsia="zh-CN"/>
        </w:rPr>
        <w:t>构建了较完善的环境监测网络，为环境决策提供参考，助力科学治污、精准治污。</w:t>
      </w:r>
    </w:p>
    <w:p>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default" w:ascii="Times New Roman" w:hAnsi="Times New Roman" w:eastAsia="仿宋_GB2312" w:cs="Times New Roman"/>
          <w:b w:val="0"/>
          <w:bCs w:val="0"/>
          <w:color w:val="000000"/>
          <w:spacing w:val="0"/>
          <w:kern w:val="0"/>
          <w:sz w:val="32"/>
          <w:szCs w:val="32"/>
          <w:highlight w:val="none"/>
          <w:shd w:val="clear" w:color="auto" w:fill="FFFFFF"/>
          <w:lang w:val="zh-CN"/>
        </w:rPr>
      </w:pPr>
      <w:r>
        <w:rPr>
          <w:rFonts w:hint="default" w:ascii="Times New Roman" w:hAnsi="Times New Roman" w:eastAsia="仿宋_GB2312" w:cs="Times New Roman"/>
          <w:b w:val="0"/>
          <w:bCs w:val="0"/>
          <w:spacing w:val="0"/>
          <w:sz w:val="32"/>
          <w:szCs w:val="32"/>
          <w:lang w:eastAsia="zh-CN"/>
        </w:rPr>
        <w:t>④坚持解决环境问题，强力推进问题整改。</w:t>
      </w:r>
      <w:r>
        <w:rPr>
          <w:rFonts w:hint="default" w:ascii="Times New Roman" w:hAnsi="Times New Roman" w:eastAsia="仿宋_GB2312" w:cs="Times New Roman"/>
          <w:b w:val="0"/>
          <w:bCs w:val="0"/>
          <w:color w:val="auto"/>
          <w:spacing w:val="0"/>
          <w:sz w:val="32"/>
          <w:szCs w:val="32"/>
          <w:lang w:eastAsia="zh-CN"/>
        </w:rPr>
        <w:t>一是强力推进历年督察反馈问题整改。2016</w:t>
      </w:r>
      <w:r>
        <w:rPr>
          <w:rFonts w:hint="eastAsia" w:ascii="仿宋_GB2312" w:hAnsi="仿宋_GB2312" w:eastAsia="仿宋_GB2312" w:cs="仿宋_GB2312"/>
          <w:b w:val="0"/>
          <w:bCs w:val="0"/>
          <w:color w:val="auto"/>
          <w:spacing w:val="0"/>
          <w:sz w:val="32"/>
          <w:szCs w:val="32"/>
          <w:lang w:eastAsia="zh-CN"/>
        </w:rPr>
        <w:t>-</w:t>
      </w:r>
      <w:r>
        <w:rPr>
          <w:rFonts w:hint="default" w:ascii="Times New Roman" w:hAnsi="Times New Roman" w:eastAsia="仿宋_GB2312" w:cs="Times New Roman"/>
          <w:b w:val="0"/>
          <w:bCs w:val="0"/>
          <w:color w:val="auto"/>
          <w:spacing w:val="0"/>
          <w:sz w:val="32"/>
          <w:szCs w:val="32"/>
          <w:lang w:eastAsia="zh-CN"/>
        </w:rPr>
        <w:t>2022年我县涉及中央、</w:t>
      </w:r>
      <w:r>
        <w:rPr>
          <w:rFonts w:hint="eastAsia" w:eastAsia="仿宋_GB2312" w:cs="Times New Roman"/>
          <w:b w:val="0"/>
          <w:bCs w:val="0"/>
          <w:color w:val="auto"/>
          <w:spacing w:val="0"/>
          <w:sz w:val="32"/>
          <w:szCs w:val="32"/>
          <w:lang w:val="en-US" w:eastAsia="zh-CN"/>
        </w:rPr>
        <w:t>省级</w:t>
      </w:r>
      <w:bookmarkStart w:id="77" w:name="_GoBack"/>
      <w:bookmarkEnd w:id="77"/>
      <w:r>
        <w:rPr>
          <w:rFonts w:hint="default" w:ascii="Times New Roman" w:hAnsi="Times New Roman" w:eastAsia="仿宋_GB2312" w:cs="Times New Roman"/>
          <w:b w:val="0"/>
          <w:bCs w:val="0"/>
          <w:color w:val="auto"/>
          <w:spacing w:val="0"/>
          <w:sz w:val="32"/>
          <w:szCs w:val="32"/>
          <w:lang w:eastAsia="zh-CN"/>
        </w:rPr>
        <w:t>环保督察、央督</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auto"/>
          <w:spacing w:val="0"/>
          <w:sz w:val="32"/>
          <w:szCs w:val="32"/>
          <w:lang w:eastAsia="zh-CN"/>
        </w:rPr>
        <w:t>回头看</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auto"/>
          <w:spacing w:val="0"/>
          <w:sz w:val="32"/>
          <w:szCs w:val="32"/>
          <w:lang w:eastAsia="zh-CN"/>
        </w:rPr>
        <w:t>以及长江经济带生态环境问题共348个。其中，347个问题已全部完成整改。正在整改任务为：2021年《大竹县贯彻落实第二轮中央生态环境保护督察报告整改实施方案》涉及31条整改措施，已完成30条整改措施，剩余1条整改措施正在整改。二是第三轮第二批省级生态环境保护督察组向我县交办信访12件（其中主办6件，协办6件）。目前已办结11件，阶段性办结1件，立案处罚1家，无追责问责。县环整改办正在牵头编制《大竹县贯彻落实第三轮省级生态环保督察报告整改任务清单》，将明确整改目标、整改任务、责任单位和时限要求。采取领导挂包、定期通报、合力攻坚的方式，持续推进第三轮省级生态环境督察问题整改。三是认真化解群众环境信访诉求。今年共受理群众来电、来访、网络举报、微信举报等信访投诉159件，均采取有力措施及时化解，切实解决群众身边的环境问题。</w:t>
      </w:r>
    </w:p>
    <w:p>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rPr>
          <w:rFonts w:hint="default" w:ascii="Times New Roman" w:hAnsi="Times New Roman" w:eastAsia="仿宋_GB2312" w:cs="Times New Roman"/>
          <w:b w:val="0"/>
          <w:bCs w:val="0"/>
          <w:color w:val="000000"/>
          <w:kern w:val="0"/>
          <w:sz w:val="32"/>
          <w:szCs w:val="32"/>
          <w:highlight w:val="none"/>
          <w:shd w:val="clear" w:color="auto" w:fill="FFFFFF"/>
          <w:lang w:val="zh-CN"/>
        </w:rPr>
      </w:pP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2．</w:t>
      </w:r>
      <w:r>
        <w:rPr>
          <w:rFonts w:hint="default" w:ascii="Times New Roman" w:hAnsi="Times New Roman" w:eastAsia="仿宋_GB2312" w:cs="Times New Roman"/>
          <w:b w:val="0"/>
          <w:bCs w:val="0"/>
          <w:color w:val="000000"/>
          <w:kern w:val="0"/>
          <w:sz w:val="32"/>
          <w:szCs w:val="32"/>
          <w:highlight w:val="none"/>
          <w:shd w:val="clear" w:color="auto" w:fill="FFFFFF"/>
          <w:lang w:val="zh-CN"/>
        </w:rPr>
        <w:t>预算管理。</w:t>
      </w:r>
      <w:r>
        <w:rPr>
          <w:rFonts w:hint="default" w:ascii="Times New Roman" w:hAnsi="Times New Roman" w:eastAsia="仿宋_GB2312" w:cs="Times New Roman"/>
          <w:b w:val="0"/>
          <w:bCs w:val="0"/>
          <w:color w:val="000000"/>
          <w:kern w:val="0"/>
          <w:sz w:val="32"/>
          <w:szCs w:val="32"/>
          <w:shd w:val="clear" w:color="auto" w:fill="FFFFFF"/>
          <w:lang w:val="zh-CN"/>
        </w:rPr>
        <w:t>严格遵守预算法、会计法、政府采购法等财税法律法规，</w:t>
      </w:r>
      <w:r>
        <w:rPr>
          <w:rFonts w:hint="default" w:ascii="Times New Roman" w:hAnsi="Times New Roman" w:eastAsia="仿宋_GB2312" w:cs="Times New Roman"/>
          <w:b w:val="0"/>
          <w:bCs w:val="0"/>
          <w:color w:val="000000"/>
          <w:kern w:val="0"/>
          <w:sz w:val="32"/>
          <w:szCs w:val="32"/>
          <w:shd w:val="clear" w:color="auto" w:fill="FFFFFF"/>
          <w:lang w:val="en-US" w:eastAsia="zh-CN"/>
        </w:rPr>
        <w:t>严格预算编制，做到合法、真实、完整、科学、稳妥等原则；预算编制准确，</w:t>
      </w:r>
      <w:r>
        <w:rPr>
          <w:rFonts w:hint="default" w:ascii="Times New Roman" w:hAnsi="Times New Roman" w:eastAsia="仿宋_GB2312" w:cs="Times New Roman"/>
          <w:b w:val="0"/>
          <w:bCs w:val="0"/>
          <w:color w:val="000000"/>
          <w:kern w:val="0"/>
          <w:sz w:val="32"/>
          <w:szCs w:val="32"/>
          <w:shd w:val="clear" w:color="auto" w:fill="FFFFFF"/>
          <w:lang w:val="zh-CN"/>
        </w:rPr>
        <w:t>所有收入和支出全部纳入预算，全面、准确地反映各项收支情况。做到量入为出，收支平衡</w:t>
      </w:r>
      <w:r>
        <w:rPr>
          <w:rFonts w:hint="default" w:ascii="Times New Roman" w:hAnsi="Times New Roman" w:eastAsia="仿宋_GB2312" w:cs="Times New Roman"/>
          <w:b w:val="0"/>
          <w:bCs w:val="0"/>
          <w:color w:val="000000"/>
          <w:kern w:val="0"/>
          <w:sz w:val="32"/>
          <w:szCs w:val="32"/>
          <w:shd w:val="clear" w:color="auto" w:fill="FFFFFF"/>
          <w:lang w:val="zh-CN" w:eastAsia="zh-CN"/>
        </w:rPr>
        <w:t>，严格</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000000"/>
          <w:kern w:val="0"/>
          <w:sz w:val="32"/>
          <w:szCs w:val="32"/>
          <w:shd w:val="clear" w:color="auto" w:fill="FFFFFF"/>
          <w:lang w:val="zh-CN" w:eastAsia="zh-CN"/>
        </w:rPr>
        <w:t>三公</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000000"/>
          <w:kern w:val="0"/>
          <w:sz w:val="32"/>
          <w:szCs w:val="32"/>
          <w:shd w:val="clear" w:color="auto" w:fill="FFFFFF"/>
          <w:lang w:val="zh-CN" w:eastAsia="zh-CN"/>
        </w:rPr>
        <w:t>经费预算，</w:t>
      </w:r>
      <w:r>
        <w:rPr>
          <w:rFonts w:hint="default" w:ascii="Times New Roman" w:hAnsi="Times New Roman" w:eastAsia="仿宋_GB2312" w:cs="Times New Roman"/>
          <w:b w:val="0"/>
          <w:bCs w:val="0"/>
          <w:color w:val="000000"/>
          <w:kern w:val="0"/>
          <w:sz w:val="32"/>
          <w:szCs w:val="32"/>
          <w:shd w:val="clear" w:color="auto" w:fill="FFFFFF"/>
          <w:lang w:val="zh-CN"/>
        </w:rPr>
        <w:t>做到合理安排各项资金，本着</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000000"/>
          <w:kern w:val="0"/>
          <w:sz w:val="32"/>
          <w:szCs w:val="32"/>
          <w:shd w:val="clear" w:color="auto" w:fill="FFFFFF"/>
          <w:lang w:val="zh-CN"/>
        </w:rPr>
        <w:t>统筹兼顾，留有余地</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000000"/>
          <w:kern w:val="0"/>
          <w:sz w:val="32"/>
          <w:szCs w:val="32"/>
          <w:shd w:val="clear" w:color="auto" w:fill="FFFFFF"/>
          <w:lang w:val="zh-CN"/>
        </w:rPr>
        <w:t>的方针，在兼顾一般的同时，优先保证重点支出。</w:t>
      </w:r>
      <w:r>
        <w:rPr>
          <w:rFonts w:hint="default" w:ascii="Times New Roman" w:hAnsi="Times New Roman" w:eastAsia="仿宋_GB2312" w:cs="Times New Roman"/>
          <w:b w:val="0"/>
          <w:bCs w:val="0"/>
          <w:color w:val="000000"/>
          <w:kern w:val="0"/>
          <w:sz w:val="32"/>
          <w:szCs w:val="32"/>
          <w:shd w:val="clear" w:color="auto" w:fill="FFFFFF"/>
          <w:lang w:val="en-US" w:eastAsia="zh-CN"/>
        </w:rPr>
        <w:t>按时按质完成预算编制并及时报送。严格控制支出，资金拨付有严格的审批程序和手续，严控经费开支，严格遵守预算动态调整，执行预算进度，无违规记录。</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outlineLvl w:val="9"/>
        <w:rPr>
          <w:rFonts w:hint="default" w:ascii="Times New Roman" w:hAnsi="Times New Roman" w:eastAsia="仿宋_GB2312" w:cs="Times New Roman"/>
          <w:b w:val="0"/>
          <w:bCs w:val="0"/>
          <w:color w:val="000000"/>
          <w:kern w:val="0"/>
          <w:sz w:val="32"/>
          <w:szCs w:val="32"/>
          <w:highlight w:val="none"/>
          <w:shd w:val="clear" w:color="auto" w:fill="FFFFFF"/>
          <w:lang w:val="zh-CN"/>
        </w:rPr>
      </w:pP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3．</w:t>
      </w:r>
      <w:r>
        <w:rPr>
          <w:rFonts w:hint="default" w:ascii="Times New Roman" w:hAnsi="Times New Roman" w:eastAsia="仿宋_GB2312" w:cs="Times New Roman"/>
          <w:b w:val="0"/>
          <w:bCs w:val="0"/>
          <w:color w:val="000000"/>
          <w:kern w:val="0"/>
          <w:sz w:val="32"/>
          <w:szCs w:val="32"/>
          <w:highlight w:val="none"/>
          <w:shd w:val="clear" w:color="auto" w:fill="FFFFFF"/>
          <w:lang w:val="zh-CN"/>
        </w:rPr>
        <w:t>财务管理。在财务工作过程中，</w:t>
      </w:r>
      <w:r>
        <w:rPr>
          <w:rFonts w:hint="default" w:ascii="Times New Roman" w:hAnsi="Times New Roman" w:eastAsia="仿宋_GB2312" w:cs="Times New Roman"/>
          <w:b w:val="0"/>
          <w:bCs w:val="0"/>
          <w:color w:val="000000"/>
          <w:kern w:val="0"/>
          <w:sz w:val="32"/>
          <w:szCs w:val="32"/>
          <w:shd w:val="clear" w:color="auto" w:fill="FFFFFF"/>
          <w:lang w:val="zh-CN"/>
        </w:rPr>
        <w:t>达州市大竹生态环境局</w:t>
      </w:r>
      <w:r>
        <w:rPr>
          <w:rFonts w:hint="default" w:ascii="Times New Roman" w:hAnsi="Times New Roman" w:eastAsia="仿宋_GB2312" w:cs="Times New Roman"/>
          <w:b w:val="0"/>
          <w:bCs w:val="0"/>
          <w:color w:val="000000"/>
          <w:kern w:val="0"/>
          <w:sz w:val="32"/>
          <w:szCs w:val="32"/>
          <w:highlight w:val="none"/>
          <w:shd w:val="clear" w:color="auto" w:fill="FFFFFF"/>
          <w:lang w:val="zh-CN"/>
        </w:rPr>
        <w:t>严格按照《‌会计法》‌的规定，‌依法设置会计账簿，‌并保证其真实完整。‌这是确保财务工作合法、‌规范进行的基础。在进行会计核算时，根据实际发生的业务事项进行记账，‌包括填制会计凭证、‌登记会计账簿、‌编制财务会计报告等。</w:t>
      </w: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财务流</w:t>
      </w:r>
      <w:r>
        <w:rPr>
          <w:rFonts w:hint="default" w:ascii="Times New Roman" w:hAnsi="Times New Roman" w:eastAsia="仿宋_GB2312" w:cs="Times New Roman"/>
          <w:b w:val="0"/>
          <w:bCs w:val="0"/>
          <w:color w:val="000000"/>
          <w:kern w:val="0"/>
          <w:sz w:val="32"/>
          <w:szCs w:val="32"/>
          <w:highlight w:val="none"/>
          <w:shd w:val="clear" w:color="auto" w:fill="FFFFFF"/>
          <w:lang w:val="zh-CN"/>
        </w:rPr>
        <w:t>程严格遵守国家有关财务法规，‌所有业务事项均在依法设置的会计账簿上统一登记、‌核算，‌依据国家统一的会计制度进行会计核算，‌确保数据的真实性和有效性。‌在安排支出时，分清轻重缓急，‌保证常规和重点支出的需要，‌既考虑实际工作需要，‌又兼顾财力可能，‌合理统筹安排支出，‌确保重点项目的资金需求得到满足。‌此外，</w:t>
      </w: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我局</w:t>
      </w:r>
      <w:r>
        <w:rPr>
          <w:rFonts w:hint="default" w:ascii="Times New Roman" w:hAnsi="Times New Roman" w:eastAsia="仿宋_GB2312" w:cs="Times New Roman"/>
          <w:b w:val="0"/>
          <w:bCs w:val="0"/>
          <w:color w:val="000000"/>
          <w:kern w:val="0"/>
          <w:sz w:val="32"/>
          <w:szCs w:val="32"/>
          <w:highlight w:val="none"/>
          <w:shd w:val="clear" w:color="auto" w:fill="FFFFFF"/>
          <w:lang w:val="zh-CN"/>
        </w:rPr>
        <w:t>建立和执行</w:t>
      </w: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合理的</w:t>
      </w:r>
      <w:r>
        <w:rPr>
          <w:rFonts w:hint="default" w:ascii="Times New Roman" w:hAnsi="Times New Roman" w:eastAsia="仿宋_GB2312" w:cs="Times New Roman"/>
          <w:b w:val="0"/>
          <w:bCs w:val="0"/>
          <w:color w:val="000000"/>
          <w:kern w:val="0"/>
          <w:sz w:val="32"/>
          <w:szCs w:val="32"/>
          <w:highlight w:val="none"/>
          <w:shd w:val="clear" w:color="auto" w:fill="FFFFFF"/>
          <w:lang w:val="zh-CN"/>
        </w:rPr>
        <w:t>内部控制制度，‌制定了《</w:t>
      </w: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达州市大竹生态环境局内控</w:t>
      </w:r>
      <w:r>
        <w:rPr>
          <w:rFonts w:hint="default" w:ascii="Times New Roman" w:hAnsi="Times New Roman" w:eastAsia="仿宋_GB2312" w:cs="Times New Roman"/>
          <w:b w:val="0"/>
          <w:bCs w:val="0"/>
          <w:color w:val="000000"/>
          <w:kern w:val="0"/>
          <w:sz w:val="32"/>
          <w:szCs w:val="32"/>
          <w:highlight w:val="none"/>
          <w:shd w:val="clear" w:color="auto" w:fill="FFFFFF"/>
          <w:lang w:val="zh-CN"/>
        </w:rPr>
        <w:t>制度》‌，‌明确记账人员与审批人员、‌经办人员的职责权限，‌相互分离、‌相互制约，‌以明确责任，‌防止舞弊行为的发生。‌同时，‌明确了财务收支审批程序和审批人的权限及责任，‌规范了资金的使用，‌提高了资金使用效益。‌通过这些措施，加强了对财产物资的监督和管理，‌杜绝了各种漏洞的发生，‌保证了会计工作的真实性、‌完整性以及单位财产的安全。</w:t>
      </w:r>
    </w:p>
    <w:p>
      <w:pPr>
        <w:keepNext w:val="0"/>
        <w:keepLines w:val="0"/>
        <w:pageBreakBefore w:val="0"/>
        <w:kinsoku/>
        <w:wordWrap/>
        <w:overflowPunct/>
        <w:topLinePunct w:val="0"/>
        <w:autoSpaceDE/>
        <w:autoSpaceDN/>
        <w:bidi w:val="0"/>
        <w:snapToGrid w:val="0"/>
        <w:spacing w:line="578" w:lineRule="exact"/>
        <w:ind w:left="0" w:leftChars="0" w:firstLine="640" w:firstLineChars="200"/>
        <w:textAlignment w:val="auto"/>
        <w:rPr>
          <w:rFonts w:hint="default" w:ascii="Times New Roman" w:hAnsi="Times New Roman" w:eastAsia="仿宋_GB2312" w:cs="Times New Roman"/>
          <w:b w:val="0"/>
          <w:bCs w:val="0"/>
          <w:color w:val="000000"/>
          <w:kern w:val="0"/>
          <w:sz w:val="32"/>
          <w:szCs w:val="32"/>
          <w:highlight w:val="none"/>
          <w:shd w:val="clear" w:color="auto" w:fill="FFFFFF"/>
          <w:lang w:val="zh-CN"/>
        </w:rPr>
      </w:pP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4．</w:t>
      </w:r>
      <w:r>
        <w:rPr>
          <w:rFonts w:hint="default" w:ascii="Times New Roman" w:hAnsi="Times New Roman" w:eastAsia="仿宋_GB2312" w:cs="Times New Roman"/>
          <w:b w:val="0"/>
          <w:bCs w:val="0"/>
          <w:color w:val="000000"/>
          <w:kern w:val="0"/>
          <w:sz w:val="32"/>
          <w:szCs w:val="32"/>
          <w:highlight w:val="none"/>
          <w:shd w:val="clear" w:color="auto" w:fill="FFFFFF"/>
          <w:lang w:val="zh-CN"/>
        </w:rPr>
        <w:t>资产管理。</w:t>
      </w:r>
      <w:r>
        <w:rPr>
          <w:rFonts w:hint="default" w:ascii="Times New Roman" w:hAnsi="Times New Roman" w:eastAsia="仿宋_GB2312" w:cs="Times New Roman"/>
          <w:b w:val="0"/>
          <w:bCs w:val="0"/>
          <w:color w:val="000000"/>
          <w:kern w:val="0"/>
          <w:sz w:val="32"/>
          <w:szCs w:val="32"/>
          <w:shd w:val="clear" w:color="auto" w:fill="FFFFFF"/>
          <w:lang w:val="zh-CN"/>
        </w:rPr>
        <w:t>达州市大竹生态环境局</w:t>
      </w:r>
      <w:r>
        <w:rPr>
          <w:rFonts w:hint="default" w:ascii="Times New Roman" w:hAnsi="Times New Roman" w:eastAsia="仿宋_GB2312" w:cs="Times New Roman"/>
          <w:b w:val="0"/>
          <w:bCs w:val="0"/>
          <w:sz w:val="32"/>
          <w:szCs w:val="32"/>
        </w:rPr>
        <w:t>2023年资产1142.81万元，较上年减少237.38万元，主要变动原因为其他应收款减少；负债总额730.36万元，较上年减少27.07万元，主要变动原因其他应付款减少。</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outlineLvl w:val="9"/>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pP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5．</w:t>
      </w:r>
      <w:r>
        <w:rPr>
          <w:rFonts w:hint="default" w:ascii="Times New Roman" w:hAnsi="Times New Roman" w:eastAsia="仿宋_GB2312" w:cs="Times New Roman"/>
          <w:b w:val="0"/>
          <w:bCs w:val="0"/>
          <w:color w:val="000000"/>
          <w:kern w:val="0"/>
          <w:sz w:val="32"/>
          <w:szCs w:val="32"/>
          <w:highlight w:val="none"/>
          <w:shd w:val="clear" w:color="auto" w:fill="FFFFFF"/>
          <w:lang w:val="zh-CN"/>
        </w:rPr>
        <w:t>采购管理。</w:t>
      </w: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达州市大竹生态环境局2023年无政府采购预算及执行情况。</w:t>
      </w:r>
    </w:p>
    <w:p>
      <w:pPr>
        <w:keepNext w:val="0"/>
        <w:keepLines w:val="0"/>
        <w:pageBreakBefore w:val="0"/>
        <w:widowControl/>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outlineLvl w:val="9"/>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pPr>
      <w:r>
        <w:rPr>
          <w:rFonts w:hint="default" w:ascii="Times New Roman" w:hAnsi="Times New Roman" w:eastAsia="楷体" w:cs="Times New Roman"/>
          <w:b w:val="0"/>
          <w:bCs w:val="0"/>
          <w:color w:val="000000"/>
          <w:kern w:val="0"/>
          <w:sz w:val="32"/>
          <w:szCs w:val="32"/>
          <w:highlight w:val="none"/>
          <w:shd w:val="clear" w:color="auto" w:fill="FFFFFF"/>
          <w:lang w:val="zh-CN"/>
        </w:rPr>
        <w:t>（二）部门预算项目绩效分析。</w:t>
      </w:r>
      <w:r>
        <w:rPr>
          <w:rFonts w:hint="default" w:ascii="Times New Roman" w:hAnsi="Times New Roman" w:eastAsia="仿宋_GB2312" w:cs="Times New Roman"/>
          <w:b w:val="0"/>
          <w:bCs w:val="0"/>
          <w:color w:val="000000"/>
          <w:kern w:val="0"/>
          <w:sz w:val="32"/>
          <w:szCs w:val="32"/>
          <w:highlight w:val="none"/>
          <w:shd w:val="clear" w:color="auto" w:fill="FFFFFF"/>
          <w:lang w:val="zh-CN" w:eastAsia="zh-CN"/>
        </w:rPr>
        <w:t>填报以下数据，</w:t>
      </w:r>
      <w:r>
        <w:rPr>
          <w:rFonts w:hint="default" w:ascii="Times New Roman" w:hAnsi="Times New Roman" w:eastAsia="仿宋_GB2312" w:cs="Times New Roman"/>
          <w:b w:val="0"/>
          <w:bCs w:val="0"/>
          <w:color w:val="000000"/>
          <w:kern w:val="0"/>
          <w:sz w:val="32"/>
          <w:szCs w:val="32"/>
          <w:highlight w:val="none"/>
          <w:shd w:val="clear" w:color="auto" w:fill="FFFFFF"/>
          <w:lang w:val="zh-CN"/>
        </w:rPr>
        <w:t>并根据部门预算绩效评价指标体系</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000000"/>
          <w:kern w:val="0"/>
          <w:sz w:val="32"/>
          <w:szCs w:val="32"/>
          <w:highlight w:val="none"/>
          <w:shd w:val="clear" w:color="auto" w:fill="FFFFFF"/>
          <w:lang w:val="zh-CN"/>
        </w:rPr>
        <w:t>项目绩效</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color w:val="000000"/>
          <w:kern w:val="0"/>
          <w:sz w:val="32"/>
          <w:szCs w:val="32"/>
          <w:highlight w:val="none"/>
          <w:shd w:val="clear" w:color="auto" w:fill="FFFFFF"/>
          <w:lang w:val="zh-CN"/>
        </w:rPr>
        <w:t>涉及二、三级指标进行逐项绩效分析并评分，依次包括项目</w:t>
      </w: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决策、项目执行、目标实现等情况。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outlineLvl w:val="9"/>
        <w:rPr>
          <w:rFonts w:hint="default" w:ascii="Times New Roman" w:hAnsi="Times New Roman" w:eastAsia="仿宋_GB2312" w:cs="Times New Roman"/>
          <w:b w:val="0"/>
          <w:bCs w:val="0"/>
          <w:color w:val="000000"/>
          <w:kern w:val="0"/>
          <w:sz w:val="32"/>
          <w:szCs w:val="32"/>
          <w:highlight w:val="none"/>
          <w:shd w:val="clear" w:color="auto" w:fill="FFFFFF"/>
          <w:lang w:val="zh-CN" w:eastAsia="zh-CN"/>
        </w:rPr>
      </w:pP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常年项目绩效分析。</w:t>
      </w:r>
      <w:r>
        <w:rPr>
          <w:rFonts w:hint="default" w:ascii="Times New Roman" w:hAnsi="Times New Roman" w:eastAsia="仿宋_GB2312" w:cs="Times New Roman"/>
          <w:b w:val="0"/>
          <w:bCs w:val="0"/>
          <w:color w:val="000000"/>
          <w:kern w:val="0"/>
          <w:sz w:val="32"/>
          <w:szCs w:val="32"/>
          <w:highlight w:val="none"/>
          <w:shd w:val="clear" w:color="auto" w:fill="FFFFFF"/>
          <w:lang w:val="zh-CN" w:eastAsia="zh-CN"/>
        </w:rPr>
        <w:t>该类项目总数</w:t>
      </w: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24</w:t>
      </w:r>
      <w:r>
        <w:rPr>
          <w:rFonts w:hint="default" w:ascii="Times New Roman" w:hAnsi="Times New Roman" w:eastAsia="仿宋_GB2312" w:cs="Times New Roman"/>
          <w:b w:val="0"/>
          <w:bCs w:val="0"/>
          <w:color w:val="000000"/>
          <w:kern w:val="0"/>
          <w:sz w:val="32"/>
          <w:szCs w:val="32"/>
          <w:highlight w:val="none"/>
          <w:shd w:val="clear" w:color="auto" w:fill="FFFFFF"/>
          <w:lang w:val="zh-CN" w:eastAsia="zh-CN"/>
        </w:rPr>
        <w:t>个，涉及预算总金额</w:t>
      </w: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1110.11</w:t>
      </w:r>
      <w:r>
        <w:rPr>
          <w:rFonts w:hint="default" w:ascii="Times New Roman" w:hAnsi="Times New Roman" w:eastAsia="仿宋_GB2312" w:cs="Times New Roman"/>
          <w:b w:val="0"/>
          <w:bCs w:val="0"/>
          <w:color w:val="000000"/>
          <w:kern w:val="0"/>
          <w:sz w:val="32"/>
          <w:szCs w:val="32"/>
          <w:highlight w:val="none"/>
          <w:shd w:val="clear" w:color="auto" w:fill="FFFFFF"/>
          <w:lang w:val="zh-CN" w:eastAsia="zh-CN"/>
        </w:rPr>
        <w:t>万元，</w:t>
      </w:r>
      <w:r>
        <w:rPr>
          <w:rFonts w:hint="default" w:ascii="Times New Roman" w:hAnsi="Times New Roman" w:eastAsia="仿宋_GB2312" w:cs="Times New Roman"/>
          <w:b w:val="0"/>
          <w:bCs w:val="0"/>
          <w:color w:val="000000"/>
          <w:kern w:val="0"/>
          <w:sz w:val="32"/>
          <w:szCs w:val="32"/>
          <w:highlight w:val="none"/>
          <w:shd w:val="clear" w:color="auto" w:fill="FFFFFF"/>
          <w:lang w:val="zh-CN"/>
        </w:rPr>
        <w:t>1</w:t>
      </w:r>
      <w:r>
        <w:rPr>
          <w:rFonts w:hint="eastAsia" w:ascii="仿宋_GB2312" w:hAnsi="仿宋_GB2312" w:eastAsia="仿宋_GB2312" w:cs="仿宋_GB2312"/>
          <w:b w:val="0"/>
          <w:bCs w:val="0"/>
          <w:color w:val="000000"/>
          <w:kern w:val="0"/>
          <w:sz w:val="32"/>
          <w:szCs w:val="32"/>
          <w:highlight w:val="none"/>
          <w:shd w:val="clear" w:color="auto" w:fill="FFFFFF"/>
          <w:lang w:val="en-US" w:eastAsia="zh-CN"/>
        </w:rPr>
        <w:t>-</w:t>
      </w:r>
      <w:r>
        <w:rPr>
          <w:rFonts w:hint="default" w:ascii="Times New Roman" w:hAnsi="Times New Roman" w:eastAsia="仿宋_GB2312" w:cs="Times New Roman"/>
          <w:b w:val="0"/>
          <w:bCs w:val="0"/>
          <w:color w:val="000000"/>
          <w:kern w:val="0"/>
          <w:sz w:val="32"/>
          <w:szCs w:val="32"/>
          <w:highlight w:val="none"/>
          <w:shd w:val="clear" w:color="auto" w:fill="FFFFFF"/>
          <w:lang w:val="zh-CN"/>
        </w:rPr>
        <w:t>1</w:t>
      </w: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2</w:t>
      </w:r>
      <w:r>
        <w:rPr>
          <w:rFonts w:hint="default" w:ascii="Times New Roman" w:hAnsi="Times New Roman" w:eastAsia="仿宋_GB2312" w:cs="Times New Roman"/>
          <w:b w:val="0"/>
          <w:bCs w:val="0"/>
          <w:color w:val="000000"/>
          <w:kern w:val="0"/>
          <w:sz w:val="32"/>
          <w:szCs w:val="32"/>
          <w:highlight w:val="none"/>
          <w:shd w:val="clear" w:color="auto" w:fill="FFFFFF"/>
          <w:lang w:val="zh-CN"/>
        </w:rPr>
        <w:t>月预算执行总体进度为</w:t>
      </w: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100</w:t>
      </w:r>
      <w:r>
        <w:rPr>
          <w:rFonts w:hint="default" w:ascii="Times New Roman" w:hAnsi="Times New Roman" w:eastAsia="仿宋_GB2312" w:cs="Times New Roman"/>
          <w:b w:val="0"/>
          <w:bCs w:val="0"/>
          <w:color w:val="000000"/>
          <w:kern w:val="0"/>
          <w:sz w:val="32"/>
          <w:szCs w:val="32"/>
          <w:highlight w:val="none"/>
          <w:shd w:val="clear" w:color="auto" w:fill="FFFFFF"/>
          <w:lang w:val="zh-CN"/>
        </w:rPr>
        <w:t>%，其中：</w:t>
      </w:r>
      <w:r>
        <w:rPr>
          <w:rFonts w:hint="default" w:ascii="Times New Roman" w:hAnsi="Times New Roman" w:eastAsia="仿宋_GB2312" w:cs="Times New Roman"/>
          <w:b w:val="0"/>
          <w:bCs w:val="0"/>
          <w:color w:val="000000"/>
          <w:kern w:val="0"/>
          <w:sz w:val="32"/>
          <w:szCs w:val="32"/>
          <w:highlight w:val="none"/>
          <w:shd w:val="clear" w:color="auto" w:fill="FFFFFF"/>
          <w:lang w:val="zh-CN" w:eastAsia="zh-CN"/>
        </w:rPr>
        <w:t>预算结余率大于</w:t>
      </w: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10%</w:t>
      </w:r>
      <w:r>
        <w:rPr>
          <w:rFonts w:hint="default" w:ascii="Times New Roman" w:hAnsi="Times New Roman" w:eastAsia="仿宋_GB2312" w:cs="Times New Roman"/>
          <w:b w:val="0"/>
          <w:bCs w:val="0"/>
          <w:color w:val="000000"/>
          <w:kern w:val="0"/>
          <w:sz w:val="32"/>
          <w:szCs w:val="32"/>
          <w:highlight w:val="none"/>
          <w:shd w:val="clear" w:color="auto" w:fill="FFFFFF"/>
          <w:lang w:val="zh-CN" w:eastAsia="zh-CN"/>
        </w:rPr>
        <w:t>的项目共计</w:t>
      </w: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0</w:t>
      </w:r>
      <w:r>
        <w:rPr>
          <w:rFonts w:hint="default" w:ascii="Times New Roman" w:hAnsi="Times New Roman" w:eastAsia="仿宋_GB2312" w:cs="Times New Roman"/>
          <w:b w:val="0"/>
          <w:bCs w:val="0"/>
          <w:color w:val="000000"/>
          <w:kern w:val="0"/>
          <w:sz w:val="32"/>
          <w:szCs w:val="32"/>
          <w:highlight w:val="none"/>
          <w:shd w:val="clear" w:color="auto" w:fill="FFFFFF"/>
          <w:lang w:val="zh-CN" w:eastAsia="zh-CN"/>
        </w:rPr>
        <w:t>个。</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outlineLvl w:val="9"/>
        <w:rPr>
          <w:rFonts w:hint="default" w:ascii="Times New Roman" w:hAnsi="Times New Roman" w:eastAsia="仿宋_GB2312" w:cs="Times New Roman"/>
          <w:b w:val="0"/>
          <w:bCs w:val="0"/>
          <w:color w:val="000000"/>
          <w:kern w:val="0"/>
          <w:sz w:val="32"/>
          <w:szCs w:val="32"/>
          <w:highlight w:val="none"/>
          <w:shd w:val="clear" w:color="auto" w:fill="FFFFFF"/>
          <w:lang w:val="zh-CN" w:eastAsia="zh-CN"/>
        </w:rPr>
      </w:pP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阶段（一次性）项目绩效分析。</w:t>
      </w:r>
      <w:r>
        <w:rPr>
          <w:rFonts w:hint="default" w:ascii="Times New Roman" w:hAnsi="Times New Roman" w:eastAsia="仿宋_GB2312" w:cs="Times New Roman"/>
          <w:b w:val="0"/>
          <w:bCs w:val="0"/>
          <w:color w:val="000000"/>
          <w:kern w:val="0"/>
          <w:sz w:val="32"/>
          <w:szCs w:val="32"/>
          <w:highlight w:val="none"/>
          <w:shd w:val="clear" w:color="auto" w:fill="FFFFFF"/>
          <w:lang w:val="zh-CN" w:eastAsia="zh-CN"/>
        </w:rPr>
        <w:t>该类项目涉及预算总金额</w:t>
      </w: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8791.83</w:t>
      </w:r>
      <w:r>
        <w:rPr>
          <w:rFonts w:hint="default" w:ascii="Times New Roman" w:hAnsi="Times New Roman" w:eastAsia="仿宋_GB2312" w:cs="Times New Roman"/>
          <w:b w:val="0"/>
          <w:bCs w:val="0"/>
          <w:color w:val="000000"/>
          <w:kern w:val="0"/>
          <w:sz w:val="32"/>
          <w:szCs w:val="32"/>
          <w:highlight w:val="none"/>
          <w:shd w:val="clear" w:color="auto" w:fill="FFFFFF"/>
          <w:lang w:val="zh-CN" w:eastAsia="zh-CN"/>
        </w:rPr>
        <w:t>万元，</w:t>
      </w:r>
      <w:r>
        <w:rPr>
          <w:rFonts w:hint="default" w:ascii="Times New Roman" w:hAnsi="Times New Roman" w:eastAsia="仿宋_GB2312" w:cs="Times New Roman"/>
          <w:b w:val="0"/>
          <w:bCs w:val="0"/>
          <w:color w:val="000000"/>
          <w:kern w:val="0"/>
          <w:sz w:val="32"/>
          <w:szCs w:val="32"/>
          <w:highlight w:val="none"/>
          <w:shd w:val="clear" w:color="auto" w:fill="FFFFFF"/>
          <w:lang w:val="zh-CN"/>
        </w:rPr>
        <w:t>1</w:t>
      </w:r>
      <w:r>
        <w:rPr>
          <w:rFonts w:hint="eastAsia" w:ascii="仿宋_GB2312" w:hAnsi="仿宋_GB2312" w:eastAsia="仿宋_GB2312" w:cs="仿宋_GB2312"/>
          <w:b w:val="0"/>
          <w:bCs w:val="0"/>
          <w:color w:val="000000"/>
          <w:kern w:val="0"/>
          <w:sz w:val="32"/>
          <w:szCs w:val="32"/>
          <w:highlight w:val="none"/>
          <w:shd w:val="clear" w:color="auto" w:fill="FFFFFF"/>
          <w:lang w:val="en-US" w:eastAsia="zh-CN"/>
        </w:rPr>
        <w:t>-</w:t>
      </w:r>
      <w:r>
        <w:rPr>
          <w:rFonts w:hint="default" w:ascii="Times New Roman" w:hAnsi="Times New Roman" w:eastAsia="仿宋_GB2312" w:cs="Times New Roman"/>
          <w:b w:val="0"/>
          <w:bCs w:val="0"/>
          <w:color w:val="000000"/>
          <w:kern w:val="0"/>
          <w:sz w:val="32"/>
          <w:szCs w:val="32"/>
          <w:highlight w:val="none"/>
          <w:shd w:val="clear" w:color="auto" w:fill="FFFFFF"/>
          <w:lang w:val="zh-CN"/>
        </w:rPr>
        <w:t>1</w:t>
      </w: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2</w:t>
      </w:r>
      <w:r>
        <w:rPr>
          <w:rFonts w:hint="default" w:ascii="Times New Roman" w:hAnsi="Times New Roman" w:eastAsia="仿宋_GB2312" w:cs="Times New Roman"/>
          <w:b w:val="0"/>
          <w:bCs w:val="0"/>
          <w:color w:val="000000"/>
          <w:kern w:val="0"/>
          <w:sz w:val="32"/>
          <w:szCs w:val="32"/>
          <w:highlight w:val="none"/>
          <w:shd w:val="clear" w:color="auto" w:fill="FFFFFF"/>
          <w:lang w:val="zh-CN"/>
        </w:rPr>
        <w:t>月预算执行总体进度为</w:t>
      </w: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100</w:t>
      </w:r>
      <w:r>
        <w:rPr>
          <w:rFonts w:hint="default" w:ascii="Times New Roman" w:hAnsi="Times New Roman" w:eastAsia="仿宋_GB2312" w:cs="Times New Roman"/>
          <w:b w:val="0"/>
          <w:bCs w:val="0"/>
          <w:color w:val="000000"/>
          <w:kern w:val="0"/>
          <w:sz w:val="32"/>
          <w:szCs w:val="32"/>
          <w:highlight w:val="none"/>
          <w:shd w:val="clear" w:color="auto" w:fill="FFFFFF"/>
          <w:lang w:val="zh-CN"/>
        </w:rPr>
        <w:t>%，其中：</w:t>
      </w:r>
      <w:r>
        <w:rPr>
          <w:rFonts w:hint="default" w:ascii="Times New Roman" w:hAnsi="Times New Roman" w:eastAsia="仿宋_GB2312" w:cs="Times New Roman"/>
          <w:b w:val="0"/>
          <w:bCs w:val="0"/>
          <w:color w:val="000000"/>
          <w:kern w:val="0"/>
          <w:sz w:val="32"/>
          <w:szCs w:val="32"/>
          <w:highlight w:val="none"/>
          <w:shd w:val="clear" w:color="auto" w:fill="FFFFFF"/>
          <w:lang w:val="zh-CN" w:eastAsia="zh-CN"/>
        </w:rPr>
        <w:t>预算结余率大于</w:t>
      </w: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10%</w:t>
      </w:r>
      <w:r>
        <w:rPr>
          <w:rFonts w:hint="default" w:ascii="Times New Roman" w:hAnsi="Times New Roman" w:eastAsia="仿宋_GB2312" w:cs="Times New Roman"/>
          <w:b w:val="0"/>
          <w:bCs w:val="0"/>
          <w:color w:val="000000"/>
          <w:kern w:val="0"/>
          <w:sz w:val="32"/>
          <w:szCs w:val="32"/>
          <w:highlight w:val="none"/>
          <w:shd w:val="clear" w:color="auto" w:fill="FFFFFF"/>
          <w:lang w:val="zh-CN" w:eastAsia="zh-CN"/>
        </w:rPr>
        <w:t>的项目共计</w:t>
      </w: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0</w:t>
      </w:r>
      <w:r>
        <w:rPr>
          <w:rFonts w:hint="default" w:ascii="Times New Roman" w:hAnsi="Times New Roman" w:eastAsia="仿宋_GB2312" w:cs="Times New Roman"/>
          <w:b w:val="0"/>
          <w:bCs w:val="0"/>
          <w:color w:val="000000"/>
          <w:kern w:val="0"/>
          <w:sz w:val="32"/>
          <w:szCs w:val="32"/>
          <w:highlight w:val="none"/>
          <w:shd w:val="clear" w:color="auto" w:fill="FFFFFF"/>
          <w:lang w:val="zh-CN" w:eastAsia="zh-CN"/>
        </w:rPr>
        <w:t>个。</w:t>
      </w:r>
    </w:p>
    <w:p>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rPr>
          <w:rFonts w:hint="default" w:ascii="Times New Roman" w:hAnsi="Times New Roman" w:eastAsia="仿宋_GB2312" w:cs="Times New Roman"/>
          <w:b w:val="0"/>
          <w:bCs w:val="0"/>
          <w:sz w:val="32"/>
          <w:szCs w:val="32"/>
          <w:lang w:val="zh-CN"/>
        </w:rPr>
      </w:pP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1</w:t>
      </w:r>
      <w:r>
        <w:rPr>
          <w:rFonts w:hint="eastAsia" w:ascii="Times New Roman" w:hAnsi="Times New Roman" w:eastAsia="仿宋_GB2312" w:cs="Times New Roman"/>
          <w:b w:val="0"/>
          <w:bCs w:val="0"/>
          <w:color w:val="000000"/>
          <w:kern w:val="0"/>
          <w:sz w:val="32"/>
          <w:szCs w:val="32"/>
          <w:highlight w:val="none"/>
          <w:shd w:val="clear" w:color="auto" w:fill="FFFFFF"/>
          <w:lang w:val="en-US" w:eastAsia="zh-CN"/>
        </w:rPr>
        <w:t>．</w:t>
      </w:r>
      <w:r>
        <w:rPr>
          <w:rFonts w:hint="default" w:ascii="Times New Roman" w:hAnsi="Times New Roman" w:eastAsia="仿宋_GB2312" w:cs="Times New Roman"/>
          <w:b w:val="0"/>
          <w:bCs w:val="0"/>
          <w:color w:val="000000"/>
          <w:kern w:val="0"/>
          <w:sz w:val="32"/>
          <w:szCs w:val="32"/>
          <w:highlight w:val="none"/>
          <w:shd w:val="clear" w:color="auto" w:fill="FFFFFF"/>
          <w:lang w:val="zh-CN"/>
        </w:rPr>
        <w:t>项目决策。</w:t>
      </w:r>
      <w:r>
        <w:rPr>
          <w:rFonts w:hint="default" w:ascii="Times New Roman" w:hAnsi="Times New Roman" w:eastAsia="仿宋_GB2312" w:cs="Times New Roman"/>
          <w:b w:val="0"/>
          <w:bCs w:val="0"/>
          <w:color w:val="000000"/>
          <w:kern w:val="0"/>
          <w:sz w:val="32"/>
          <w:szCs w:val="32"/>
          <w:shd w:val="clear" w:color="auto" w:fill="FFFFFF"/>
          <w:lang w:val="en-US" w:eastAsia="zh-CN"/>
        </w:rPr>
        <w:t>项目决策程序严密，规划合理。</w:t>
      </w:r>
      <w:r>
        <w:rPr>
          <w:rFonts w:hint="default" w:ascii="Times New Roman" w:hAnsi="Times New Roman" w:eastAsia="仿宋_GB2312" w:cs="Times New Roman"/>
          <w:b w:val="0"/>
          <w:bCs w:val="0"/>
          <w:sz w:val="32"/>
          <w:szCs w:val="32"/>
          <w:lang w:val="en-US" w:eastAsia="zh-CN"/>
        </w:rPr>
        <w:t>对绩效目标</w:t>
      </w:r>
      <w:r>
        <w:rPr>
          <w:rFonts w:hint="default" w:ascii="Times New Roman" w:hAnsi="Times New Roman" w:eastAsia="仿宋_GB2312" w:cs="Times New Roman"/>
          <w:b w:val="0"/>
          <w:bCs w:val="0"/>
          <w:color w:val="000000"/>
          <w:kern w:val="0"/>
          <w:sz w:val="32"/>
          <w:szCs w:val="32"/>
          <w:shd w:val="clear" w:color="auto" w:fill="FFFFFF"/>
          <w:lang w:val="zh-CN"/>
        </w:rPr>
        <w:t>人员类、运转类、特定目标类项目</w:t>
      </w:r>
      <w:r>
        <w:rPr>
          <w:rFonts w:hint="default" w:ascii="Times New Roman" w:hAnsi="Times New Roman" w:eastAsia="仿宋_GB2312" w:cs="Times New Roman"/>
          <w:b w:val="0"/>
          <w:bCs w:val="0"/>
          <w:sz w:val="32"/>
          <w:szCs w:val="32"/>
          <w:lang w:val="en-US" w:eastAsia="zh-CN"/>
        </w:rPr>
        <w:t>进行季度梳理和年度分析，及时上报相关报表。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outlineLvl w:val="9"/>
        <w:rPr>
          <w:rFonts w:hint="default" w:ascii="Times New Roman" w:hAnsi="Times New Roman" w:eastAsia="仿宋_GB2312" w:cs="Times New Roman"/>
          <w:b w:val="0"/>
          <w:bCs w:val="0"/>
          <w:kern w:val="0"/>
          <w:sz w:val="32"/>
          <w:szCs w:val="32"/>
          <w:lang w:eastAsia="zh-CN"/>
        </w:rPr>
      </w:pP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2</w:t>
      </w:r>
      <w:r>
        <w:rPr>
          <w:rFonts w:hint="eastAsia" w:ascii="Times New Roman" w:hAnsi="Times New Roman" w:eastAsia="仿宋_GB2312" w:cs="Times New Roman"/>
          <w:b w:val="0"/>
          <w:bCs w:val="0"/>
          <w:color w:val="000000"/>
          <w:kern w:val="0"/>
          <w:sz w:val="32"/>
          <w:szCs w:val="32"/>
          <w:highlight w:val="none"/>
          <w:shd w:val="clear" w:color="auto" w:fill="FFFFFF"/>
          <w:lang w:val="en-US" w:eastAsia="zh-CN"/>
        </w:rPr>
        <w:t>．</w:t>
      </w: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项目执行</w:t>
      </w:r>
      <w:r>
        <w:rPr>
          <w:rFonts w:hint="default" w:ascii="Times New Roman" w:hAnsi="Times New Roman" w:eastAsia="仿宋_GB2312" w:cs="Times New Roman"/>
          <w:b w:val="0"/>
          <w:bCs w:val="0"/>
          <w:color w:val="000000"/>
          <w:kern w:val="0"/>
          <w:sz w:val="32"/>
          <w:szCs w:val="32"/>
          <w:highlight w:val="none"/>
          <w:shd w:val="clear" w:color="auto" w:fill="FFFFFF"/>
          <w:lang w:val="zh-CN"/>
        </w:rPr>
        <w:t>。</w:t>
      </w:r>
      <w:r>
        <w:rPr>
          <w:rFonts w:hint="default" w:ascii="Times New Roman" w:hAnsi="Times New Roman" w:eastAsia="仿宋_GB2312" w:cs="Times New Roman"/>
          <w:b w:val="0"/>
          <w:bCs w:val="0"/>
          <w:kern w:val="0"/>
          <w:sz w:val="32"/>
          <w:szCs w:val="32"/>
        </w:rPr>
        <w:t>严格运行监控管理，按照</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kern w:val="0"/>
          <w:sz w:val="32"/>
          <w:szCs w:val="32"/>
        </w:rPr>
        <w:t>谁支出、谁负责</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kern w:val="0"/>
          <w:sz w:val="32"/>
          <w:szCs w:val="32"/>
        </w:rPr>
        <w:t>的原则，充分调动业务部门和财务部门的积极性，深入推动业财融合发展。并定期收集绩效运行相关数据，对绩效目标运行偏离、未达预期或出现较大偏差的项目，做到了及时沟通、及时处置</w:t>
      </w:r>
      <w:r>
        <w:rPr>
          <w:rFonts w:hint="default" w:ascii="Times New Roman" w:hAnsi="Times New Roman" w:eastAsia="仿宋_GB2312" w:cs="Times New Roman"/>
          <w:b w:val="0"/>
          <w:bCs w:val="0"/>
          <w:kern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outlineLvl w:val="9"/>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pP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3</w:t>
      </w:r>
      <w:r>
        <w:rPr>
          <w:rFonts w:hint="eastAsia" w:ascii="Times New Roman" w:hAnsi="Times New Roman" w:eastAsia="仿宋_GB2312" w:cs="Times New Roman"/>
          <w:b w:val="0"/>
          <w:bCs w:val="0"/>
          <w:color w:val="000000"/>
          <w:kern w:val="0"/>
          <w:sz w:val="32"/>
          <w:szCs w:val="32"/>
          <w:highlight w:val="none"/>
          <w:shd w:val="clear" w:color="auto" w:fill="FFFFFF"/>
          <w:lang w:val="en-US" w:eastAsia="zh-CN"/>
        </w:rPr>
        <w:t>．</w:t>
      </w:r>
      <w:r>
        <w:rPr>
          <w:rFonts w:hint="default" w:ascii="Times New Roman" w:hAnsi="Times New Roman" w:eastAsia="仿宋_GB2312" w:cs="Times New Roman"/>
          <w:b w:val="0"/>
          <w:bCs w:val="0"/>
          <w:color w:val="000000"/>
          <w:kern w:val="0"/>
          <w:sz w:val="32"/>
          <w:szCs w:val="32"/>
          <w:highlight w:val="none"/>
          <w:shd w:val="clear" w:color="auto" w:fill="FFFFFF"/>
          <w:lang w:val="zh-CN"/>
        </w:rPr>
        <w:t>目标实现。</w:t>
      </w: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绩</w:t>
      </w:r>
      <w:r>
        <w:rPr>
          <w:rFonts w:hint="default" w:ascii="Times New Roman" w:hAnsi="Times New Roman" w:eastAsia="仿宋_GB2312" w:cs="Times New Roman"/>
          <w:b w:val="0"/>
          <w:bCs w:val="0"/>
          <w:kern w:val="0"/>
          <w:sz w:val="32"/>
          <w:szCs w:val="32"/>
        </w:rPr>
        <w:t>效目标是预算编制的前提和基础，</w:t>
      </w:r>
      <w:r>
        <w:rPr>
          <w:rFonts w:hint="default" w:ascii="Times New Roman" w:hAnsi="Times New Roman" w:eastAsia="仿宋_GB2312" w:cs="Times New Roman"/>
          <w:b w:val="0"/>
          <w:bCs w:val="0"/>
          <w:kern w:val="0"/>
          <w:sz w:val="32"/>
          <w:szCs w:val="32"/>
          <w:lang w:val="en-US" w:eastAsia="zh-CN"/>
        </w:rPr>
        <w:t>我局</w:t>
      </w:r>
      <w:r>
        <w:rPr>
          <w:rFonts w:hint="default" w:ascii="Times New Roman" w:hAnsi="Times New Roman" w:eastAsia="仿宋_GB2312" w:cs="Times New Roman"/>
          <w:b w:val="0"/>
          <w:bCs w:val="0"/>
          <w:kern w:val="0"/>
          <w:sz w:val="32"/>
          <w:szCs w:val="32"/>
        </w:rPr>
        <w:t>按照</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kern w:val="0"/>
          <w:sz w:val="32"/>
          <w:szCs w:val="32"/>
        </w:rPr>
        <w:t>费随事定</w:t>
      </w:r>
      <w:r>
        <w:rPr>
          <w:rFonts w:hint="eastAsia" w:ascii="Times New Roman" w:hAnsi="Times New Roman" w:eastAsia="仿宋_GB2312" w:cs="Times New Roman"/>
          <w:b w:val="0"/>
          <w:bCs w:val="0"/>
          <w:color w:val="000000"/>
          <w:spacing w:val="0"/>
          <w:kern w:val="0"/>
          <w:sz w:val="32"/>
          <w:szCs w:val="32"/>
          <w:lang w:val="en-US" w:eastAsia="zh-CN" w:bidi="ar-SA"/>
        </w:rPr>
        <w:t>”</w:t>
      </w:r>
      <w:r>
        <w:rPr>
          <w:rFonts w:hint="default" w:ascii="Times New Roman" w:hAnsi="Times New Roman" w:eastAsia="仿宋_GB2312" w:cs="Times New Roman"/>
          <w:b w:val="0"/>
          <w:bCs w:val="0"/>
          <w:kern w:val="0"/>
          <w:sz w:val="32"/>
          <w:szCs w:val="32"/>
        </w:rPr>
        <w:t>的原则，所有特定目标类项目均编制了绩效目标，在项目入库时，对基本信息、测算明细、资金构成、事前绩效评估、绩效目标、政府采购预算、资产配置等进行了明细填报</w:t>
      </w:r>
      <w:r>
        <w:rPr>
          <w:rFonts w:hint="default" w:ascii="Times New Roman" w:hAnsi="Times New Roman" w:eastAsia="仿宋_GB2312" w:cs="Times New Roman"/>
          <w:b w:val="0"/>
          <w:bCs w:val="0"/>
          <w:kern w:val="0"/>
          <w:sz w:val="32"/>
          <w:szCs w:val="32"/>
          <w:lang w:eastAsia="zh-CN"/>
        </w:rPr>
        <w:t>，</w:t>
      </w:r>
      <w:r>
        <w:rPr>
          <w:rFonts w:hint="default" w:ascii="Times New Roman" w:hAnsi="Times New Roman" w:eastAsia="仿宋_GB2312" w:cs="Times New Roman"/>
          <w:b w:val="0"/>
          <w:bCs w:val="0"/>
          <w:kern w:val="0"/>
          <w:sz w:val="32"/>
          <w:szCs w:val="32"/>
          <w:lang w:val="en-US" w:eastAsia="zh-CN"/>
        </w:rPr>
        <w:t>基本完成了设定的绩效目标。</w:t>
      </w:r>
    </w:p>
    <w:p>
      <w:pPr>
        <w:keepNext w:val="0"/>
        <w:keepLines w:val="0"/>
        <w:pageBreakBefore w:val="0"/>
        <w:kinsoku/>
        <w:wordWrap/>
        <w:overflowPunct/>
        <w:topLinePunct w:val="0"/>
        <w:autoSpaceDE/>
        <w:autoSpaceDN/>
        <w:bidi w:val="0"/>
        <w:snapToGrid w:val="0"/>
        <w:spacing w:line="578" w:lineRule="exact"/>
        <w:ind w:left="0" w:leftChars="0" w:firstLine="640" w:firstLineChars="200"/>
        <w:textAlignment w:val="auto"/>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pPr>
      <w:r>
        <w:rPr>
          <w:rFonts w:hint="default" w:ascii="Times New Roman" w:hAnsi="Times New Roman" w:eastAsia="楷体" w:cs="Times New Roman"/>
          <w:b w:val="0"/>
          <w:bCs w:val="0"/>
          <w:color w:val="000000"/>
          <w:kern w:val="0"/>
          <w:sz w:val="32"/>
          <w:szCs w:val="32"/>
          <w:highlight w:val="none"/>
          <w:shd w:val="clear" w:color="auto" w:fill="FFFFFF"/>
          <w:lang w:val="zh-CN"/>
        </w:rPr>
        <w:t>（三）</w:t>
      </w:r>
      <w:r>
        <w:rPr>
          <w:rFonts w:hint="default" w:ascii="Times New Roman" w:hAnsi="Times New Roman" w:eastAsia="楷体" w:cs="Times New Roman"/>
          <w:b w:val="0"/>
          <w:bCs w:val="0"/>
          <w:color w:val="000000"/>
          <w:kern w:val="0"/>
          <w:sz w:val="32"/>
          <w:szCs w:val="32"/>
          <w:highlight w:val="none"/>
          <w:shd w:val="clear" w:color="auto" w:fill="FFFFFF"/>
          <w:lang w:val="zh-CN" w:eastAsia="zh-CN"/>
        </w:rPr>
        <w:t>重点领域</w:t>
      </w:r>
      <w:r>
        <w:rPr>
          <w:rFonts w:hint="default" w:ascii="Times New Roman" w:hAnsi="Times New Roman" w:eastAsia="楷体" w:cs="Times New Roman"/>
          <w:b w:val="0"/>
          <w:bCs w:val="0"/>
          <w:color w:val="000000"/>
          <w:kern w:val="0"/>
          <w:sz w:val="32"/>
          <w:szCs w:val="32"/>
          <w:highlight w:val="none"/>
          <w:shd w:val="clear" w:color="auto" w:fill="FFFFFF"/>
          <w:lang w:val="zh-CN"/>
        </w:rPr>
        <w:t>绩效分析</w:t>
      </w:r>
      <w:r>
        <w:rPr>
          <w:rFonts w:hint="default" w:ascii="Times New Roman" w:hAnsi="Times New Roman" w:eastAsia="楷体" w:cs="Times New Roman"/>
          <w:b w:val="0"/>
          <w:bCs w:val="0"/>
          <w:color w:val="000000"/>
          <w:kern w:val="0"/>
          <w:sz w:val="32"/>
          <w:szCs w:val="32"/>
          <w:highlight w:val="none"/>
          <w:shd w:val="clear" w:color="auto" w:fill="FFFFFF"/>
          <w:lang w:val="zh-CN" w:eastAsia="zh-CN"/>
        </w:rPr>
        <w:t>。</w:t>
      </w:r>
      <w:r>
        <w:rPr>
          <w:rFonts w:hint="default" w:ascii="Times New Roman" w:hAnsi="Times New Roman" w:eastAsia="仿宋_GB2312" w:cs="Times New Roman"/>
          <w:b w:val="0"/>
          <w:bCs w:val="0"/>
          <w:color w:val="000000"/>
          <w:kern w:val="0"/>
          <w:sz w:val="32"/>
          <w:szCs w:val="32"/>
          <w:shd w:val="clear" w:color="auto" w:fill="FFFFFF"/>
          <w:lang w:val="zh-CN"/>
        </w:rPr>
        <w:t>达州市大竹生态环境局</w:t>
      </w:r>
      <w:r>
        <w:rPr>
          <w:rFonts w:hint="default" w:ascii="Times New Roman" w:hAnsi="Times New Roman" w:eastAsia="仿宋_GB2312" w:cs="Times New Roman"/>
          <w:b w:val="0"/>
          <w:bCs w:val="0"/>
          <w:sz w:val="32"/>
          <w:szCs w:val="32"/>
        </w:rPr>
        <w:t>2023年</w:t>
      </w:r>
      <w:r>
        <w:rPr>
          <w:rFonts w:hint="default" w:ascii="Times New Roman" w:hAnsi="Times New Roman" w:eastAsia="仿宋_GB2312" w:cs="Times New Roman"/>
          <w:b w:val="0"/>
          <w:bCs w:val="0"/>
          <w:sz w:val="32"/>
          <w:szCs w:val="32"/>
          <w:lang w:val="en-US" w:eastAsia="zh-CN"/>
        </w:rPr>
        <w:t>行政事业性国有</w:t>
      </w:r>
      <w:r>
        <w:rPr>
          <w:rFonts w:hint="default" w:ascii="Times New Roman" w:hAnsi="Times New Roman" w:eastAsia="仿宋_GB2312" w:cs="Times New Roman"/>
          <w:b w:val="0"/>
          <w:bCs w:val="0"/>
          <w:sz w:val="32"/>
          <w:szCs w:val="32"/>
        </w:rPr>
        <w:t>资产1142.81万元，较上年减少237.38万元，主要变动原因为其他应收款减少；负债总额730.36万元，较上年减少27.07万元，主要变动原因其他应付款减少。</w:t>
      </w:r>
      <w:r>
        <w:rPr>
          <w:rFonts w:hint="default" w:ascii="Times New Roman" w:hAnsi="Times New Roman" w:eastAsia="仿宋_GB2312" w:cs="Times New Roman"/>
          <w:b w:val="0"/>
          <w:bCs w:val="0"/>
          <w:sz w:val="32"/>
          <w:szCs w:val="32"/>
          <w:lang w:val="en-US" w:eastAsia="zh-CN"/>
        </w:rPr>
        <w:t>行政事业性国有资产变化较小，由于我局资产使用年限较高，均属必要性、基础性设施，盘活率较低。我局建立了完善的资产管理制度</w:t>
      </w: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，确保资产的采购，使用和处置按照规定进行。</w:t>
      </w:r>
    </w:p>
    <w:p>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楷体" w:cs="Times New Roman"/>
          <w:b w:val="0"/>
          <w:bCs w:val="0"/>
          <w:sz w:val="32"/>
          <w:szCs w:val="32"/>
          <w:lang w:val="zh-CN"/>
        </w:rPr>
        <w:t>（四）绩效结果应用情况。</w:t>
      </w:r>
      <w:r>
        <w:rPr>
          <w:rFonts w:hint="default" w:ascii="Times New Roman" w:hAnsi="Times New Roman" w:eastAsia="仿宋_GB2312" w:cs="Times New Roman"/>
          <w:b w:val="0"/>
          <w:bCs w:val="0"/>
          <w:sz w:val="32"/>
          <w:szCs w:val="32"/>
          <w:lang w:val="en-US" w:eastAsia="zh-CN"/>
        </w:rPr>
        <w:t>我单位按要求将部门整体预算绩效自评情况和自行组织的评价情况向社会公开。单位预算编制、执行与管理按照相关规定执行，资金到位及时，使用得当。但同时也存在部门预算编制内容不够完整、细化，方法不够科学；虽然建立了内部控制制度，但是尚未得到良好的执行对此我局将根据绩效自查自评结果，全面核实并开展整改，确保预算项目管理、预算绩效管理逐步完善；总体而言，部门整体支出预算实施顺利，取得了良好的综合效应。</w:t>
      </w:r>
    </w:p>
    <w:p>
      <w:pPr>
        <w:keepNext w:val="0"/>
        <w:keepLines w:val="0"/>
        <w:pageBreakBefore w:val="0"/>
        <w:widowControl/>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outlineLvl w:val="9"/>
        <w:rPr>
          <w:rFonts w:hint="eastAsia" w:ascii="黑体" w:hAnsi="黑体" w:eastAsia="黑体" w:cs="黑体"/>
          <w:b w:val="0"/>
          <w:bCs w:val="0"/>
          <w:color w:val="000000"/>
          <w:kern w:val="0"/>
          <w:sz w:val="32"/>
          <w:szCs w:val="32"/>
          <w:highlight w:val="none"/>
          <w:shd w:val="clear" w:color="auto" w:fill="FFFFFF"/>
        </w:rPr>
      </w:pPr>
      <w:r>
        <w:rPr>
          <w:rFonts w:hint="eastAsia" w:ascii="黑体" w:hAnsi="黑体" w:eastAsia="黑体" w:cs="黑体"/>
          <w:b w:val="0"/>
          <w:bCs w:val="0"/>
          <w:color w:val="000000"/>
          <w:kern w:val="0"/>
          <w:sz w:val="32"/>
          <w:szCs w:val="32"/>
          <w:highlight w:val="none"/>
          <w:shd w:val="clear" w:color="auto" w:fill="FFFFFF"/>
          <w:lang w:eastAsia="zh-CN"/>
        </w:rPr>
        <w:t>四、</w:t>
      </w:r>
      <w:r>
        <w:rPr>
          <w:rFonts w:hint="eastAsia" w:ascii="黑体" w:hAnsi="黑体" w:eastAsia="黑体" w:cs="黑体"/>
          <w:b w:val="0"/>
          <w:bCs w:val="0"/>
          <w:color w:val="000000"/>
          <w:kern w:val="0"/>
          <w:sz w:val="32"/>
          <w:szCs w:val="32"/>
          <w:highlight w:val="none"/>
          <w:shd w:val="clear" w:color="auto" w:fill="FFFFFF"/>
        </w:rPr>
        <w:t>评价结论及建议</w:t>
      </w:r>
    </w:p>
    <w:p>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default" w:ascii="Times New Roman" w:hAnsi="Times New Roman" w:eastAsia="仿宋_GB2312" w:cs="Times New Roman"/>
          <w:b w:val="0"/>
          <w:bCs w:val="0"/>
          <w:color w:val="000000"/>
          <w:kern w:val="0"/>
          <w:sz w:val="32"/>
          <w:szCs w:val="32"/>
          <w:highlight w:val="none"/>
          <w:shd w:val="clear" w:color="auto" w:fill="FFFFFF"/>
          <w:lang w:val="en-US"/>
        </w:rPr>
      </w:pPr>
      <w:r>
        <w:rPr>
          <w:rFonts w:hint="eastAsia" w:ascii="楷体" w:hAnsi="楷体" w:eastAsia="楷体" w:cs="楷体"/>
          <w:b w:val="0"/>
          <w:bCs w:val="0"/>
          <w:color w:val="000000"/>
          <w:kern w:val="0"/>
          <w:sz w:val="32"/>
          <w:szCs w:val="32"/>
          <w:highlight w:val="none"/>
          <w:shd w:val="clear" w:color="auto" w:fill="FFFFFF"/>
          <w:lang w:val="zh-CN"/>
        </w:rPr>
        <w:t>（一）评价结论。</w:t>
      </w:r>
      <w:r>
        <w:rPr>
          <w:rFonts w:hint="default" w:ascii="Times New Roman" w:hAnsi="Times New Roman" w:eastAsia="仿宋_GB2312" w:cs="Times New Roman"/>
          <w:b w:val="0"/>
          <w:bCs w:val="0"/>
          <w:sz w:val="32"/>
          <w:szCs w:val="32"/>
          <w:lang w:val="en-US" w:eastAsia="zh-CN"/>
        </w:rPr>
        <w:t>根据单位实施情况，评价项目组运用评价指标体系，以评价获取的资料、数据为依据，对各项指标进行了核实与评分。单位预算编制、执行与管理按照相关规定执行，支出管理较为规范，财务管理制度较完善，资金到位及时，使用得当，综合效益明显，部门整体支出绩效评价自评得分为96分，评价结果良好。</w:t>
      </w:r>
    </w:p>
    <w:p>
      <w:pPr>
        <w:keepNext w:val="0"/>
        <w:keepLines w:val="0"/>
        <w:pageBreakBefore w:val="0"/>
        <w:widowControl/>
        <w:kinsoku/>
        <w:wordWrap/>
        <w:overflowPunct/>
        <w:topLinePunct w:val="0"/>
        <w:autoSpaceDE/>
        <w:autoSpaceDN/>
        <w:bidi w:val="0"/>
        <w:adjustRightInd w:val="0"/>
        <w:snapToGrid w:val="0"/>
        <w:spacing w:line="578" w:lineRule="exact"/>
        <w:ind w:left="0" w:leftChars="0" w:firstLine="640" w:firstLineChars="200"/>
        <w:contextualSpacing/>
        <w:jc w:val="left"/>
        <w:textAlignment w:val="auto"/>
        <w:outlineLvl w:val="9"/>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pPr>
      <w:r>
        <w:rPr>
          <w:rFonts w:hint="eastAsia" w:ascii="楷体" w:hAnsi="楷体" w:eastAsia="楷体" w:cs="楷体"/>
          <w:b w:val="0"/>
          <w:bCs w:val="0"/>
          <w:color w:val="000000"/>
          <w:kern w:val="0"/>
          <w:sz w:val="32"/>
          <w:szCs w:val="32"/>
          <w:highlight w:val="none"/>
          <w:shd w:val="clear" w:color="auto" w:fill="FFFFFF"/>
          <w:lang w:val="zh-CN"/>
        </w:rPr>
        <w:t>（二）存在问题。</w:t>
      </w:r>
      <w:r>
        <w:rPr>
          <w:rFonts w:hint="default" w:ascii="Times New Roman" w:hAnsi="Times New Roman" w:eastAsia="仿宋_GB2312" w:cs="Times New Roman"/>
          <w:b w:val="0"/>
          <w:bCs w:val="0"/>
          <w:sz w:val="32"/>
          <w:szCs w:val="32"/>
          <w:lang w:val="en-US" w:eastAsia="zh-CN"/>
        </w:rPr>
        <w:t>部门预算编制内容不够完整、细化，方法不够科学，定额标准体系尚未建立完全等情况；虽然建立了内部控制制度，但是尚未得到良好的执行</w:t>
      </w:r>
      <w:r>
        <w:rPr>
          <w:rFonts w:hint="default" w:ascii="Times New Roman" w:hAnsi="Times New Roman" w:eastAsia="仿宋_GB2312" w:cs="Times New Roman"/>
          <w:b w:val="0"/>
          <w:bCs w:val="0"/>
          <w:w w:val="95"/>
          <w:kern w:val="0"/>
          <w:position w:val="0"/>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rPr>
          <w:rFonts w:hint="default" w:ascii="Times New Roman" w:hAnsi="Times New Roman" w:eastAsia="仿宋_GB2312" w:cs="Times New Roman"/>
          <w:b w:val="0"/>
          <w:bCs w:val="0"/>
          <w:kern w:val="0"/>
          <w:position w:val="0"/>
          <w:sz w:val="32"/>
          <w:szCs w:val="32"/>
          <w:highlight w:val="none"/>
          <w:lang w:val="zh-CN" w:eastAsia="zh-CN" w:bidi="ar-SA"/>
        </w:rPr>
      </w:pPr>
      <w:r>
        <w:rPr>
          <w:rFonts w:hint="eastAsia" w:ascii="楷体" w:hAnsi="楷体" w:eastAsia="楷体" w:cs="楷体"/>
          <w:b w:val="0"/>
          <w:bCs w:val="0"/>
          <w:color w:val="000000"/>
          <w:kern w:val="0"/>
          <w:sz w:val="32"/>
          <w:szCs w:val="32"/>
          <w:highlight w:val="none"/>
          <w:shd w:val="clear" w:color="auto" w:fill="FFFFFF"/>
          <w:lang w:val="zh-CN" w:eastAsia="zh-CN"/>
        </w:rPr>
        <w:t>（三）改进建议。</w:t>
      </w:r>
      <w:bookmarkStart w:id="49" w:name="_Hlk110546638"/>
      <w:r>
        <w:rPr>
          <w:rFonts w:hint="default" w:ascii="Times New Roman" w:hAnsi="Times New Roman" w:eastAsia="仿宋_GB2312" w:cs="Times New Roman"/>
          <w:b w:val="0"/>
          <w:bCs w:val="0"/>
          <w:sz w:val="32"/>
          <w:szCs w:val="32"/>
          <w:lang w:val="en-US" w:eastAsia="zh-CN"/>
        </w:rPr>
        <w:t>建设完善的预算编制、执行、管理、评价于一体的预算体系，确保指标细化、方法科学、标准明确。</w:t>
      </w:r>
      <w:r>
        <w:rPr>
          <w:rFonts w:hint="default" w:ascii="Times New Roman" w:hAnsi="Times New Roman" w:eastAsia="仿宋_GB2312" w:cs="Times New Roman"/>
          <w:b w:val="0"/>
          <w:bCs w:val="0"/>
          <w:sz w:val="32"/>
          <w:szCs w:val="32"/>
          <w:lang w:val="zh-CN" w:eastAsia="zh-CN"/>
        </w:rPr>
        <w:t>加强财务管理，合理科学编制预算，对项目进一步细化编制内容，对费用认真合理测算，明确内容。</w:t>
      </w:r>
      <w:r>
        <w:rPr>
          <w:rFonts w:hint="default" w:ascii="Times New Roman" w:hAnsi="Times New Roman" w:eastAsia="仿宋_GB2312" w:cs="Times New Roman"/>
          <w:b w:val="0"/>
          <w:bCs w:val="0"/>
          <w:sz w:val="32"/>
          <w:szCs w:val="32"/>
          <w:lang w:val="en-US" w:eastAsia="zh-CN"/>
        </w:rPr>
        <w:t>切实加强经费的管理，厉行节约、充分发挥资金的使用效益。</w:t>
      </w:r>
      <w:bookmarkEnd w:id="49"/>
    </w:p>
    <w:p>
      <w:pPr>
        <w:keepNext w:val="0"/>
        <w:keepLines w:val="0"/>
        <w:pageBreakBefore w:val="0"/>
        <w:kinsoku/>
        <w:wordWrap/>
        <w:overflowPunct/>
        <w:topLinePunct w:val="0"/>
        <w:autoSpaceDE/>
        <w:autoSpaceDN/>
        <w:bidi w:val="0"/>
        <w:spacing w:line="578" w:lineRule="exact"/>
        <w:ind w:left="0" w:leftChars="0"/>
        <w:contextualSpacing/>
        <w:textAlignment w:val="auto"/>
        <w:outlineLvl w:val="9"/>
        <w:rPr>
          <w:rFonts w:hint="default" w:ascii="Times New Roman" w:hAnsi="Times New Roman" w:eastAsia="仿宋_GB2312" w:cs="Times New Roman"/>
          <w:b w:val="0"/>
          <w:bCs w:val="0"/>
          <w:sz w:val="32"/>
          <w:szCs w:val="32"/>
          <w:highlight w:val="none"/>
          <w:lang w:val="en-US" w:eastAsia="zh-CN"/>
        </w:rPr>
      </w:pPr>
    </w:p>
    <w:p>
      <w:pPr>
        <w:keepNext w:val="0"/>
        <w:keepLines w:val="0"/>
        <w:pageBreakBefore w:val="0"/>
        <w:kinsoku/>
        <w:wordWrap/>
        <w:overflowPunct/>
        <w:topLinePunct w:val="0"/>
        <w:autoSpaceDE/>
        <w:autoSpaceDN/>
        <w:bidi w:val="0"/>
        <w:spacing w:line="578" w:lineRule="exact"/>
        <w:ind w:left="0" w:leftChars="0" w:firstLine="640" w:firstLineChars="200"/>
        <w:textAlignment w:val="auto"/>
        <w:rPr>
          <w:rFonts w:hint="default" w:ascii="Times New Roman" w:hAnsi="Times New Roman" w:cs="Times New Roman"/>
          <w:color w:val="000000"/>
          <w:kern w:val="0"/>
          <w:szCs w:val="32"/>
          <w:highlight w:val="none"/>
          <w:shd w:val="clear" w:color="auto" w:fill="FFFFFF"/>
          <w:lang w:val="en-US" w:eastAsia="zh-CN"/>
        </w:rPr>
      </w:pPr>
      <w:r>
        <w:rPr>
          <w:rFonts w:hint="default" w:ascii="Times New Roman" w:hAnsi="Times New Roman" w:eastAsia="仿宋_GB2312" w:cs="Times New Roman"/>
          <w:b w:val="0"/>
          <w:bCs w:val="0"/>
          <w:color w:val="000000"/>
          <w:kern w:val="0"/>
          <w:sz w:val="32"/>
          <w:szCs w:val="32"/>
          <w:highlight w:val="none"/>
          <w:shd w:val="clear" w:color="auto" w:fill="FFFFFF"/>
          <w:lang w:val="en-US" w:eastAsia="zh-CN"/>
        </w:rPr>
        <w:t>附表：部门整体支出绩效目标完成情况自评表</w:t>
      </w:r>
    </w:p>
    <w:p>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9"/>
        <w:rPr>
          <w:rFonts w:hint="default" w:ascii="Times New Roman" w:hAnsi="Times New Roman" w:eastAsia="仿宋_GB2312" w:cs="Times New Roman"/>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50" w:lineRule="exact"/>
        <w:textAlignment w:val="auto"/>
        <w:outlineLvl w:val="9"/>
        <w:rPr>
          <w:rFonts w:hint="default" w:ascii="Times New Roman" w:hAnsi="Times New Roman" w:eastAsia="仿宋_GB2312" w:cs="Times New Roman"/>
          <w:sz w:val="32"/>
          <w:szCs w:val="32"/>
          <w:lang w:val="en-US" w:eastAsia="zh-CN"/>
        </w:rPr>
      </w:pPr>
    </w:p>
    <w:p>
      <w:pPr>
        <w:pStyle w:val="41"/>
        <w:ind w:firstLine="560" w:firstLineChars="200"/>
        <w:jc w:val="both"/>
        <w:rPr>
          <w:rFonts w:hint="default" w:ascii="Times New Roman" w:hAnsi="Times New Roman" w:cs="Times New Roman"/>
          <w:lang w:val="en-US" w:eastAsia="zh-CN"/>
        </w:rPr>
      </w:pPr>
    </w:p>
    <w:p>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pPr>
        <w:pStyle w:val="2"/>
        <w:rPr>
          <w:rFonts w:hint="default"/>
          <w:lang w:val="en-US" w:eastAsia="zh-CN"/>
        </w:rPr>
      </w:pPr>
    </w:p>
    <w:p>
      <w:pPr>
        <w:pStyle w:val="2"/>
        <w:jc w:val="both"/>
        <w:rPr>
          <w:rFonts w:hint="default" w:ascii="黑体" w:hAnsi="黑体" w:eastAsia="黑体" w:cs="黑体"/>
          <w:lang w:val="en-US" w:eastAsia="zh-CN"/>
        </w:rPr>
      </w:pPr>
      <w:r>
        <w:rPr>
          <w:rFonts w:hint="eastAsia" w:ascii="黑体" w:hAnsi="黑体" w:eastAsia="黑体" w:cs="黑体"/>
          <w:lang w:val="en-US" w:eastAsia="zh-CN"/>
        </w:rPr>
        <w:t>附表</w:t>
      </w:r>
    </w:p>
    <w:p>
      <w:pPr>
        <w:rPr>
          <w:rFonts w:hint="default"/>
          <w:lang w:val="en-US" w:eastAsia="zh-CN"/>
        </w:rPr>
      </w:pPr>
    </w:p>
    <w:tbl>
      <w:tblPr>
        <w:tblStyle w:val="17"/>
        <w:tblW w:w="1056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116"/>
        <w:gridCol w:w="1406"/>
        <w:gridCol w:w="1407"/>
        <w:gridCol w:w="2346"/>
        <w:gridCol w:w="1224"/>
        <w:gridCol w:w="1114"/>
        <w:gridCol w:w="416"/>
        <w:gridCol w:w="470"/>
        <w:gridCol w:w="295"/>
        <w:gridCol w:w="278"/>
        <w:gridCol w:w="4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62" w:hRule="exact"/>
          <w:jc w:val="center"/>
        </w:trPr>
        <w:tc>
          <w:tcPr>
            <w:tcW w:w="10560" w:type="dxa"/>
            <w:gridSpan w:val="11"/>
            <w:noWrap w:val="0"/>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outlineLvl w:val="9"/>
              <w:rPr>
                <w:rFonts w:hint="default" w:ascii="Times New Roman" w:hAnsi="Times New Roman" w:eastAsia="黑体" w:cs="Times New Roman"/>
                <w:i w:val="0"/>
                <w:color w:val="000000"/>
                <w:sz w:val="28"/>
                <w:szCs w:val="28"/>
                <w:u w:val="none"/>
              </w:rPr>
            </w:pPr>
            <w:r>
              <w:rPr>
                <w:rFonts w:hint="eastAsia" w:ascii="方正小标宋_GBK" w:hAnsi="方正小标宋_GBK" w:eastAsia="方正小标宋_GBK" w:cs="方正小标宋_GBK"/>
                <w:i w:val="0"/>
                <w:color w:val="000000"/>
                <w:kern w:val="0"/>
                <w:sz w:val="44"/>
                <w:szCs w:val="44"/>
                <w:u w:val="none"/>
                <w:lang w:val="en-US" w:eastAsia="zh-CN" w:bidi="ar"/>
              </w:rPr>
              <w:t>部门整体支出绩效目标完成情况自评表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3" w:hRule="atLeast"/>
          <w:jc w:val="center"/>
        </w:trPr>
        <w:tc>
          <w:tcPr>
            <w:tcW w:w="10560" w:type="dxa"/>
            <w:gridSpan w:val="11"/>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8"/>
                <w:szCs w:val="28"/>
                <w:u w:val="none"/>
              </w:rPr>
            </w:pPr>
            <w:r>
              <w:rPr>
                <w:rFonts w:hint="default" w:ascii="Times New Roman" w:hAnsi="Times New Roman" w:eastAsia="宋体" w:cs="Times New Roman"/>
                <w:i w:val="0"/>
                <w:color w:val="000000"/>
                <w:kern w:val="0"/>
                <w:sz w:val="28"/>
                <w:szCs w:val="28"/>
                <w:u w:val="none"/>
                <w:lang w:val="en-US" w:eastAsia="zh-CN" w:bidi="ar"/>
              </w:rPr>
              <w:t>（2023年度）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3" w:hRule="atLeast"/>
          <w:jc w:val="center"/>
        </w:trPr>
        <w:tc>
          <w:tcPr>
            <w:tcW w:w="10560" w:type="dxa"/>
            <w:gridSpan w:val="11"/>
            <w:tcBorders>
              <w:bottom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right"/>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50" w:hRule="atLeast"/>
          <w:jc w:val="center"/>
        </w:trPr>
        <w:tc>
          <w:tcPr>
            <w:tcW w:w="392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部门名称</w:t>
            </w:r>
          </w:p>
        </w:tc>
        <w:tc>
          <w:tcPr>
            <w:tcW w:w="6631"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达州市大竹生态环境局本级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8" w:hRule="atLeast"/>
          <w:jc w:val="center"/>
        </w:trPr>
        <w:tc>
          <w:tcPr>
            <w:tcW w:w="111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年度部门整体支出预算</w:t>
            </w:r>
          </w:p>
        </w:tc>
        <w:tc>
          <w:tcPr>
            <w:tcW w:w="281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资金总额</w:t>
            </w:r>
          </w:p>
        </w:tc>
        <w:tc>
          <w:tcPr>
            <w:tcW w:w="357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财政拨款</w:t>
            </w:r>
          </w:p>
        </w:tc>
        <w:tc>
          <w:tcPr>
            <w:tcW w:w="153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其他资金</w:t>
            </w:r>
          </w:p>
        </w:tc>
        <w:tc>
          <w:tcPr>
            <w:tcW w:w="76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执行率权重</w:t>
            </w:r>
          </w:p>
        </w:tc>
        <w:tc>
          <w:tcPr>
            <w:tcW w:w="76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19" w:hRule="atLeast"/>
          <w:jc w:val="center"/>
        </w:trPr>
        <w:tc>
          <w:tcPr>
            <w:tcW w:w="11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32"/>
                <w:szCs w:val="32"/>
                <w:u w:val="none"/>
              </w:rPr>
            </w:pPr>
          </w:p>
        </w:tc>
        <w:tc>
          <w:tcPr>
            <w:tcW w:w="281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1,150.01</w:t>
            </w:r>
          </w:p>
        </w:tc>
        <w:tc>
          <w:tcPr>
            <w:tcW w:w="357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1,150.01</w:t>
            </w:r>
          </w:p>
        </w:tc>
        <w:tc>
          <w:tcPr>
            <w:tcW w:w="153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76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76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992" w:hRule="atLeast"/>
          <w:jc w:val="center"/>
        </w:trPr>
        <w:tc>
          <w:tcPr>
            <w:tcW w:w="11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年度总体目标</w:t>
            </w:r>
          </w:p>
        </w:tc>
        <w:tc>
          <w:tcPr>
            <w:tcW w:w="9444" w:type="dxa"/>
            <w:gridSpan w:val="10"/>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为全县生态环境保护各项决策提供支撑数据和技术支持。</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水、土、气环境质量改善和提高</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打好“污染防治”三大战役</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严格环境准入和环境监管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3" w:hRule="atLeast"/>
          <w:jc w:val="center"/>
        </w:trPr>
        <w:tc>
          <w:tcPr>
            <w:tcW w:w="111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年度主要任务</w:t>
            </w:r>
          </w:p>
        </w:tc>
        <w:tc>
          <w:tcPr>
            <w:tcW w:w="281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任务名称</w:t>
            </w:r>
          </w:p>
        </w:tc>
        <w:tc>
          <w:tcPr>
            <w:tcW w:w="6631"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主要内容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38" w:hRule="atLeast"/>
          <w:jc w:val="center"/>
        </w:trPr>
        <w:tc>
          <w:tcPr>
            <w:tcW w:w="11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32"/>
                <w:szCs w:val="32"/>
                <w:u w:val="none"/>
              </w:rPr>
            </w:pPr>
          </w:p>
        </w:tc>
        <w:tc>
          <w:tcPr>
            <w:tcW w:w="281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污染防治工作经费</w:t>
            </w:r>
          </w:p>
        </w:tc>
        <w:tc>
          <w:tcPr>
            <w:tcW w:w="6631"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 xml:space="preserve">水、土、气污染防治工作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64" w:hRule="atLeast"/>
          <w:jc w:val="center"/>
        </w:trPr>
        <w:tc>
          <w:tcPr>
            <w:tcW w:w="11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32"/>
                <w:szCs w:val="32"/>
                <w:u w:val="none"/>
              </w:rPr>
            </w:pPr>
          </w:p>
        </w:tc>
        <w:tc>
          <w:tcPr>
            <w:tcW w:w="281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 xml:space="preserve">人员经费   </w:t>
            </w:r>
          </w:p>
        </w:tc>
        <w:tc>
          <w:tcPr>
            <w:tcW w:w="6631"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 xml:space="preserve">保障全局职工工资、津补贴、养老保险、医疗保险、住房公积金等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84" w:hRule="atLeast"/>
          <w:jc w:val="center"/>
        </w:trPr>
        <w:tc>
          <w:tcPr>
            <w:tcW w:w="11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32"/>
                <w:szCs w:val="32"/>
                <w:u w:val="none"/>
              </w:rPr>
            </w:pPr>
          </w:p>
        </w:tc>
        <w:tc>
          <w:tcPr>
            <w:tcW w:w="281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 xml:space="preserve">公用经费   </w:t>
            </w:r>
          </w:p>
        </w:tc>
        <w:tc>
          <w:tcPr>
            <w:tcW w:w="6631"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 xml:space="preserve">保障单位运行所需的水、电、办公等基本支出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92" w:hRule="atLeast"/>
          <w:jc w:val="center"/>
        </w:trPr>
        <w:tc>
          <w:tcPr>
            <w:tcW w:w="11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32"/>
                <w:szCs w:val="32"/>
                <w:u w:val="none"/>
              </w:rPr>
            </w:pPr>
          </w:p>
        </w:tc>
        <w:tc>
          <w:tcPr>
            <w:tcW w:w="281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 xml:space="preserve">公务接待费   </w:t>
            </w:r>
          </w:p>
        </w:tc>
        <w:tc>
          <w:tcPr>
            <w:tcW w:w="6631"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 xml:space="preserve">按规定开展公务接待工作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8" w:hRule="atLeast"/>
          <w:jc w:val="center"/>
        </w:trPr>
        <w:tc>
          <w:tcPr>
            <w:tcW w:w="11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32"/>
                <w:szCs w:val="32"/>
                <w:u w:val="none"/>
              </w:rPr>
            </w:pPr>
          </w:p>
        </w:tc>
        <w:tc>
          <w:tcPr>
            <w:tcW w:w="281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 xml:space="preserve">公务用车运行维护费   </w:t>
            </w:r>
          </w:p>
        </w:tc>
        <w:tc>
          <w:tcPr>
            <w:tcW w:w="6631"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 xml:space="preserve">环保工作车辆过路费、燃油费等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5" w:hRule="atLeast"/>
          <w:jc w:val="center"/>
        </w:trPr>
        <w:tc>
          <w:tcPr>
            <w:tcW w:w="11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32"/>
                <w:szCs w:val="32"/>
                <w:u w:val="none"/>
              </w:rPr>
            </w:pPr>
          </w:p>
        </w:tc>
        <w:tc>
          <w:tcPr>
            <w:tcW w:w="281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 xml:space="preserve">党建工作费   </w:t>
            </w:r>
          </w:p>
        </w:tc>
        <w:tc>
          <w:tcPr>
            <w:tcW w:w="6631"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 xml:space="preserve">理想信念教育、“七一”慰问等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006" w:hRule="atLeast"/>
          <w:jc w:val="center"/>
        </w:trPr>
        <w:tc>
          <w:tcPr>
            <w:tcW w:w="11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32"/>
                <w:szCs w:val="32"/>
                <w:u w:val="none"/>
              </w:rPr>
            </w:pPr>
          </w:p>
        </w:tc>
        <w:tc>
          <w:tcPr>
            <w:tcW w:w="281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 xml:space="preserve">环境管理工作经费   </w:t>
            </w:r>
          </w:p>
        </w:tc>
        <w:tc>
          <w:tcPr>
            <w:tcW w:w="6631"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 xml:space="preserve">环评审查与监督、环境宣传、环境应急、核与辐射、环境统计、污染物及总量减排、乡村振兴等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66" w:hRule="atLeast"/>
          <w:jc w:val="center"/>
        </w:trPr>
        <w:tc>
          <w:tcPr>
            <w:tcW w:w="11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32"/>
                <w:szCs w:val="32"/>
                <w:u w:val="none"/>
              </w:rPr>
            </w:pPr>
          </w:p>
        </w:tc>
        <w:tc>
          <w:tcPr>
            <w:tcW w:w="281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 xml:space="preserve">环境监测工作经费   </w:t>
            </w:r>
          </w:p>
        </w:tc>
        <w:tc>
          <w:tcPr>
            <w:tcW w:w="6631"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 xml:space="preserve">水、气、声等环境质量监测及监督性监测等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59" w:hRule="atLeast"/>
          <w:jc w:val="center"/>
        </w:trPr>
        <w:tc>
          <w:tcPr>
            <w:tcW w:w="11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32"/>
                <w:szCs w:val="32"/>
                <w:u w:val="none"/>
              </w:rPr>
            </w:pPr>
          </w:p>
        </w:tc>
        <w:tc>
          <w:tcPr>
            <w:tcW w:w="281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 xml:space="preserve">环境执法工作经费   </w:t>
            </w:r>
          </w:p>
        </w:tc>
        <w:tc>
          <w:tcPr>
            <w:tcW w:w="6631"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 xml:space="preserve">信访调查、“双随机“、案件办理等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3" w:hRule="atLeast"/>
          <w:jc w:val="center"/>
        </w:trPr>
        <w:tc>
          <w:tcPr>
            <w:tcW w:w="111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pPr>
              <w:keepNext w:val="0"/>
              <w:keepLines w:val="0"/>
              <w:widowControl/>
              <w:suppressLineNumbers w:val="0"/>
              <w:jc w:val="center"/>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年度绩效指标</w:t>
            </w:r>
          </w:p>
        </w:tc>
        <w:tc>
          <w:tcPr>
            <w:tcW w:w="14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32"/>
                <w:szCs w:val="32"/>
                <w:u w:val="none"/>
                <w:lang w:val="en-US"/>
              </w:rPr>
            </w:pPr>
            <w:r>
              <w:rPr>
                <w:rFonts w:hint="default" w:ascii="Times New Roman" w:hAnsi="Times New Roman" w:eastAsia="宋体" w:cs="Times New Roman"/>
                <w:i w:val="0"/>
                <w:iCs w:val="0"/>
                <w:color w:val="000000"/>
                <w:kern w:val="0"/>
                <w:sz w:val="21"/>
                <w:szCs w:val="21"/>
                <w:u w:val="none"/>
                <w:lang w:val="en-US" w:eastAsia="zh-CN" w:bidi="ar"/>
              </w:rPr>
              <w:t>一级指标</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二级指标</w:t>
            </w:r>
          </w:p>
        </w:tc>
        <w:tc>
          <w:tcPr>
            <w:tcW w:w="2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三级指标</w:t>
            </w:r>
          </w:p>
        </w:tc>
        <w:tc>
          <w:tcPr>
            <w:tcW w:w="1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绩效指标性质</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绩效指标值</w:t>
            </w:r>
          </w:p>
        </w:tc>
        <w:tc>
          <w:tcPr>
            <w:tcW w:w="8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绩效度量单位</w:t>
            </w:r>
          </w:p>
        </w:tc>
        <w:tc>
          <w:tcPr>
            <w:tcW w:w="5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32"/>
                <w:szCs w:val="32"/>
                <w:u w:val="none"/>
              </w:rPr>
            </w:pPr>
            <w:r>
              <w:rPr>
                <w:rFonts w:hint="default" w:ascii="Times New Roman" w:hAnsi="Times New Roman" w:eastAsia="宋体" w:cs="Times New Roman"/>
                <w:i w:val="0"/>
                <w:iCs w:val="0"/>
                <w:color w:val="000000"/>
                <w:kern w:val="0"/>
                <w:sz w:val="21"/>
                <w:szCs w:val="21"/>
                <w:u w:val="none"/>
                <w:lang w:val="en-US" w:eastAsia="zh-CN" w:bidi="ar"/>
              </w:rPr>
              <w:t>权重</w:t>
            </w:r>
          </w:p>
        </w:tc>
        <w:tc>
          <w:tcPr>
            <w:tcW w:w="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3" w:hRule="atLeast"/>
          <w:jc w:val="center"/>
        </w:trPr>
        <w:tc>
          <w:tcPr>
            <w:tcW w:w="11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32"/>
                <w:szCs w:val="32"/>
                <w:u w:val="none"/>
              </w:rPr>
            </w:pPr>
          </w:p>
        </w:tc>
        <w:tc>
          <w:tcPr>
            <w:tcW w:w="1406"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40"/>
                <w:szCs w:val="40"/>
                <w:u w:val="none"/>
              </w:rPr>
            </w:pPr>
            <w:r>
              <w:rPr>
                <w:rFonts w:hint="default" w:ascii="Times New Roman" w:hAnsi="Times New Roman" w:eastAsia="宋体" w:cs="Times New Roman"/>
                <w:i w:val="0"/>
                <w:iCs w:val="0"/>
                <w:color w:val="000000"/>
                <w:kern w:val="0"/>
                <w:sz w:val="21"/>
                <w:szCs w:val="21"/>
                <w:u w:val="none"/>
                <w:lang w:val="en-US" w:eastAsia="zh-CN" w:bidi="ar"/>
              </w:rPr>
              <w:t>产出指标</w:t>
            </w:r>
          </w:p>
        </w:tc>
        <w:tc>
          <w:tcPr>
            <w:tcW w:w="1407"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40"/>
                <w:szCs w:val="40"/>
                <w:u w:val="none"/>
              </w:rPr>
            </w:pPr>
            <w:r>
              <w:rPr>
                <w:rFonts w:hint="default" w:ascii="Times New Roman" w:hAnsi="Times New Roman" w:eastAsia="宋体" w:cs="Times New Roman"/>
                <w:i w:val="0"/>
                <w:iCs w:val="0"/>
                <w:color w:val="000000"/>
                <w:kern w:val="0"/>
                <w:sz w:val="21"/>
                <w:szCs w:val="21"/>
                <w:u w:val="none"/>
                <w:lang w:val="en-US" w:eastAsia="zh-CN" w:bidi="ar"/>
              </w:rPr>
              <w:t>数量指标</w:t>
            </w:r>
          </w:p>
        </w:tc>
        <w:tc>
          <w:tcPr>
            <w:tcW w:w="2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40"/>
                <w:szCs w:val="40"/>
                <w:u w:val="none"/>
              </w:rPr>
            </w:pPr>
            <w:r>
              <w:rPr>
                <w:rFonts w:hint="default" w:ascii="Times New Roman" w:hAnsi="Times New Roman" w:eastAsia="宋体" w:cs="Times New Roman"/>
                <w:i w:val="0"/>
                <w:iCs w:val="0"/>
                <w:color w:val="000000"/>
                <w:kern w:val="0"/>
                <w:sz w:val="21"/>
                <w:szCs w:val="21"/>
                <w:u w:val="none"/>
                <w:lang w:val="en-US" w:eastAsia="zh-CN" w:bidi="ar"/>
              </w:rPr>
              <w:t>保持全年空气质量优良达标率</w:t>
            </w:r>
          </w:p>
        </w:tc>
        <w:tc>
          <w:tcPr>
            <w:tcW w:w="1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40"/>
                <w:szCs w:val="40"/>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40"/>
                <w:szCs w:val="40"/>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8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40"/>
                <w:szCs w:val="40"/>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40"/>
                <w:szCs w:val="40"/>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005" w:hRule="atLeast"/>
          <w:jc w:val="center"/>
        </w:trPr>
        <w:tc>
          <w:tcPr>
            <w:tcW w:w="11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32"/>
                <w:szCs w:val="32"/>
                <w:u w:val="none"/>
              </w:rPr>
            </w:pPr>
          </w:p>
        </w:tc>
        <w:tc>
          <w:tcPr>
            <w:tcW w:w="1406" w:type="dxa"/>
            <w:vMerge w:val="continue"/>
            <w:tcBorders>
              <w:left w:val="single" w:color="000000" w:sz="4" w:space="0"/>
              <w:right w:val="single" w:color="000000" w:sz="4" w:space="0"/>
            </w:tcBorders>
            <w:noWrap w:val="0"/>
            <w:vAlign w:val="center"/>
          </w:tcPr>
          <w:p>
            <w:pPr>
              <w:jc w:val="left"/>
              <w:rPr>
                <w:rFonts w:hint="default" w:ascii="Times New Roman" w:hAnsi="Times New Roman" w:eastAsia="宋体" w:cs="Times New Roman"/>
                <w:i w:val="0"/>
                <w:iCs w:val="0"/>
                <w:color w:val="000000"/>
                <w:kern w:val="0"/>
                <w:sz w:val="24"/>
                <w:szCs w:val="24"/>
                <w:u w:val="none"/>
                <w:lang w:val="en-US" w:eastAsia="zh-CN" w:bidi="ar"/>
              </w:rPr>
            </w:pPr>
          </w:p>
        </w:tc>
        <w:tc>
          <w:tcPr>
            <w:tcW w:w="1407" w:type="dxa"/>
            <w:vMerge w:val="continue"/>
            <w:tcBorders>
              <w:left w:val="single" w:color="000000" w:sz="4" w:space="0"/>
              <w:right w:val="single" w:color="000000" w:sz="4" w:space="0"/>
            </w:tcBorders>
            <w:noWrap w:val="0"/>
            <w:vAlign w:val="center"/>
          </w:tcPr>
          <w:p>
            <w:pPr>
              <w:jc w:val="left"/>
              <w:rPr>
                <w:rFonts w:hint="default" w:ascii="Times New Roman" w:hAnsi="Times New Roman" w:eastAsia="宋体" w:cs="Times New Roman"/>
                <w:i w:val="0"/>
                <w:iCs w:val="0"/>
                <w:color w:val="000000"/>
                <w:kern w:val="0"/>
                <w:sz w:val="24"/>
                <w:szCs w:val="24"/>
                <w:u w:val="none"/>
                <w:lang w:val="en-US" w:eastAsia="zh-CN" w:bidi="ar"/>
              </w:rPr>
            </w:pPr>
          </w:p>
        </w:tc>
        <w:tc>
          <w:tcPr>
            <w:tcW w:w="2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保持县域饮用水源三类水质以上</w:t>
            </w:r>
          </w:p>
        </w:tc>
        <w:tc>
          <w:tcPr>
            <w:tcW w:w="1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8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3" w:hRule="atLeast"/>
          <w:jc w:val="center"/>
        </w:trPr>
        <w:tc>
          <w:tcPr>
            <w:tcW w:w="11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32"/>
                <w:szCs w:val="32"/>
                <w:u w:val="none"/>
              </w:rPr>
            </w:pPr>
          </w:p>
        </w:tc>
        <w:tc>
          <w:tcPr>
            <w:tcW w:w="1406" w:type="dxa"/>
            <w:vMerge w:val="continue"/>
            <w:tcBorders>
              <w:left w:val="single" w:color="000000" w:sz="4" w:space="0"/>
              <w:right w:val="single" w:color="000000" w:sz="4" w:space="0"/>
            </w:tcBorders>
            <w:noWrap w:val="0"/>
            <w:vAlign w:val="center"/>
          </w:tcPr>
          <w:p>
            <w:pPr>
              <w:jc w:val="left"/>
              <w:rPr>
                <w:rFonts w:hint="default" w:ascii="Times New Roman" w:hAnsi="Times New Roman" w:eastAsia="宋体" w:cs="Times New Roman"/>
                <w:i w:val="0"/>
                <w:iCs w:val="0"/>
                <w:color w:val="000000"/>
                <w:kern w:val="0"/>
                <w:sz w:val="24"/>
                <w:szCs w:val="24"/>
                <w:u w:val="none"/>
                <w:lang w:val="en-US" w:eastAsia="zh-CN" w:bidi="ar"/>
              </w:rPr>
            </w:pP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质量指标</w:t>
            </w:r>
          </w:p>
        </w:tc>
        <w:tc>
          <w:tcPr>
            <w:tcW w:w="2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全年目标任务  </w:t>
            </w:r>
          </w:p>
        </w:tc>
        <w:tc>
          <w:tcPr>
            <w:tcW w:w="1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8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3" w:hRule="atLeast"/>
          <w:jc w:val="center"/>
        </w:trPr>
        <w:tc>
          <w:tcPr>
            <w:tcW w:w="11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32"/>
                <w:szCs w:val="32"/>
                <w:u w:val="none"/>
              </w:rPr>
            </w:pPr>
          </w:p>
        </w:tc>
        <w:tc>
          <w:tcPr>
            <w:tcW w:w="1406"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效益指标</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社会效益指标</w:t>
            </w:r>
          </w:p>
        </w:tc>
        <w:tc>
          <w:tcPr>
            <w:tcW w:w="2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机制正常运行</w:t>
            </w:r>
          </w:p>
        </w:tc>
        <w:tc>
          <w:tcPr>
            <w:tcW w:w="1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定性</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优良</w:t>
            </w:r>
          </w:p>
        </w:tc>
        <w:tc>
          <w:tcPr>
            <w:tcW w:w="886" w:type="dxa"/>
            <w:gridSpan w:val="2"/>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Times New Roman" w:hAnsi="Times New Roman" w:eastAsia="宋体" w:cs="Times New Roman"/>
                <w:i w:val="0"/>
                <w:iCs w:val="0"/>
                <w:color w:val="000000"/>
                <w:kern w:val="0"/>
                <w:sz w:val="24"/>
                <w:szCs w:val="24"/>
                <w:u w:val="none"/>
                <w:lang w:val="en-US" w:eastAsia="zh-CN" w:bidi="ar"/>
              </w:rPr>
            </w:pPr>
          </w:p>
        </w:tc>
        <w:tc>
          <w:tcPr>
            <w:tcW w:w="5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3" w:hRule="atLeast"/>
          <w:jc w:val="center"/>
        </w:trPr>
        <w:tc>
          <w:tcPr>
            <w:tcW w:w="11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32"/>
                <w:szCs w:val="32"/>
                <w:u w:val="none"/>
              </w:rPr>
            </w:pPr>
          </w:p>
        </w:tc>
        <w:tc>
          <w:tcPr>
            <w:tcW w:w="1406" w:type="dxa"/>
            <w:vMerge w:val="continue"/>
            <w:tcBorders>
              <w:left w:val="single" w:color="000000" w:sz="4" w:space="0"/>
              <w:right w:val="single" w:color="000000" w:sz="4" w:space="0"/>
            </w:tcBorders>
            <w:noWrap w:val="0"/>
            <w:vAlign w:val="center"/>
          </w:tcPr>
          <w:p>
            <w:pPr>
              <w:jc w:val="left"/>
              <w:rPr>
                <w:rFonts w:hint="default" w:ascii="Times New Roman" w:hAnsi="Times New Roman" w:eastAsia="宋体" w:cs="Times New Roman"/>
                <w:i w:val="0"/>
                <w:iCs w:val="0"/>
                <w:color w:val="000000"/>
                <w:kern w:val="0"/>
                <w:sz w:val="24"/>
                <w:szCs w:val="24"/>
                <w:u w:val="none"/>
                <w:lang w:val="en-US" w:eastAsia="zh-CN" w:bidi="ar"/>
              </w:rPr>
            </w:pP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可持续发展指标</w:t>
            </w:r>
          </w:p>
        </w:tc>
        <w:tc>
          <w:tcPr>
            <w:tcW w:w="2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生态强县</w:t>
            </w:r>
          </w:p>
        </w:tc>
        <w:tc>
          <w:tcPr>
            <w:tcW w:w="1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定性</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优良</w:t>
            </w:r>
          </w:p>
        </w:tc>
        <w:tc>
          <w:tcPr>
            <w:tcW w:w="886" w:type="dxa"/>
            <w:gridSpan w:val="2"/>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Times New Roman" w:hAnsi="Times New Roman" w:eastAsia="宋体" w:cs="Times New Roman"/>
                <w:i w:val="0"/>
                <w:iCs w:val="0"/>
                <w:color w:val="000000"/>
                <w:kern w:val="0"/>
                <w:sz w:val="24"/>
                <w:szCs w:val="24"/>
                <w:u w:val="none"/>
                <w:lang w:val="en-US" w:eastAsia="zh-CN" w:bidi="ar"/>
              </w:rPr>
            </w:pPr>
          </w:p>
        </w:tc>
        <w:tc>
          <w:tcPr>
            <w:tcW w:w="5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3" w:hRule="atLeast"/>
          <w:jc w:val="center"/>
        </w:trPr>
        <w:tc>
          <w:tcPr>
            <w:tcW w:w="11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color w:val="000000"/>
                <w:sz w:val="32"/>
                <w:szCs w:val="32"/>
                <w:u w:val="none"/>
              </w:rPr>
            </w:pPr>
          </w:p>
        </w:tc>
        <w:tc>
          <w:tcPr>
            <w:tcW w:w="14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满意度指标</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服务对象满意度指标</w:t>
            </w:r>
          </w:p>
        </w:tc>
        <w:tc>
          <w:tcPr>
            <w:tcW w:w="23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群众及相关部门单位满意度</w:t>
            </w:r>
          </w:p>
        </w:tc>
        <w:tc>
          <w:tcPr>
            <w:tcW w:w="1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88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r>
    </w:tbl>
    <w:p>
      <w:pPr>
        <w:pStyle w:val="2"/>
        <w:rPr>
          <w:rFonts w:hint="default" w:ascii="Times New Roman" w:hAnsi="Times New Roman" w:cs="Times New Roman"/>
          <w:lang w:val="en-US" w:eastAsia="zh-CN"/>
        </w:rPr>
      </w:pPr>
    </w:p>
    <w:p>
      <w:pPr>
        <w:widowControl w:val="0"/>
        <w:spacing w:line="578" w:lineRule="exact"/>
        <w:jc w:val="left"/>
        <w:rPr>
          <w:rFonts w:hint="default" w:ascii="Times New Roman" w:hAnsi="Times New Roman" w:eastAsia="仿宋" w:cs="Times New Roman"/>
          <w:color w:val="auto"/>
          <w:kern w:val="2"/>
          <w:sz w:val="32"/>
          <w:szCs w:val="32"/>
          <w:lang w:val="en-US" w:eastAsia="zh-CN" w:bidi="ar-SA"/>
        </w:rPr>
        <w:sectPr>
          <w:footerReference r:id="rId8" w:type="first"/>
          <w:footerReference r:id="rId7" w:type="default"/>
          <w:pgSz w:w="11906" w:h="16838"/>
          <w:pgMar w:top="1440" w:right="1800" w:bottom="1440" w:left="1800" w:header="851" w:footer="992" w:gutter="0"/>
          <w:pgNumType w:fmt="decimal" w:start="1"/>
          <w:cols w:space="425" w:num="1"/>
          <w:titlePg/>
          <w:docGrid w:type="lines" w:linePitch="312" w:charSpace="0"/>
        </w:sectPr>
      </w:pPr>
    </w:p>
    <w:p>
      <w:pPr>
        <w:pStyle w:val="6"/>
        <w:ind w:left="0" w:leftChars="0" w:firstLine="0" w:firstLineChars="0"/>
      </w:pPr>
    </w:p>
    <w:p>
      <w:pPr>
        <w:pStyle w:val="6"/>
        <w:ind w:left="0" w:leftChars="0" w:firstLine="0" w:firstLineChars="0"/>
      </w:pPr>
    </w:p>
    <w:p>
      <w:pPr>
        <w:numPr>
          <w:ilvl w:val="0"/>
          <w:numId w:val="3"/>
        </w:numPr>
        <w:spacing w:line="600" w:lineRule="exact"/>
        <w:ind w:firstLine="660" w:firstLineChars="150"/>
        <w:jc w:val="center"/>
        <w:outlineLvl w:val="0"/>
        <w:rPr>
          <w:rFonts w:hint="eastAsia" w:ascii="黑体" w:hAnsi="黑体" w:eastAsia="黑体"/>
          <w:color w:val="auto"/>
          <w:sz w:val="44"/>
          <w:szCs w:val="44"/>
          <w:highlight w:val="none"/>
        </w:rPr>
      </w:pPr>
      <w:bookmarkStart w:id="50" w:name="第五部分附表"/>
      <w:r>
        <w:rPr>
          <w:rFonts w:hint="eastAsia" w:ascii="黑体" w:hAnsi="黑体" w:eastAsia="黑体"/>
          <w:color w:val="auto"/>
          <w:sz w:val="44"/>
          <w:szCs w:val="44"/>
          <w:highlight w:val="none"/>
        </w:rPr>
        <w:t xml:space="preserve"> 附表</w:t>
      </w:r>
      <w:bookmarkEnd w:id="48"/>
      <w:bookmarkStart w:id="51" w:name="_Toc15396619"/>
    </w:p>
    <w:p>
      <w:pPr>
        <w:pStyle w:val="2"/>
        <w:rPr>
          <w:rFonts w:hint="eastAsia"/>
          <w:sz w:val="22"/>
          <w:szCs w:val="20"/>
        </w:rPr>
      </w:pPr>
    </w:p>
    <w:bookmarkEnd w:id="50"/>
    <w:p>
      <w:pPr>
        <w:pStyle w:val="4"/>
        <w:rPr>
          <w:rFonts w:ascii="仿宋" w:hAnsi="仿宋" w:eastAsia="仿宋"/>
          <w:color w:val="auto"/>
          <w:highlight w:val="none"/>
        </w:rPr>
      </w:pPr>
      <w:bookmarkStart w:id="52" w:name="一、收入支出决算总表"/>
      <w:r>
        <w:rPr>
          <w:rFonts w:hint="eastAsia" w:ascii="仿宋" w:hAnsi="仿宋" w:eastAsia="仿宋"/>
          <w:b w:val="0"/>
          <w:color w:val="auto"/>
          <w:highlight w:val="none"/>
        </w:rPr>
        <w:t>一、收</w:t>
      </w:r>
      <w:r>
        <w:rPr>
          <w:rStyle w:val="31"/>
          <w:rFonts w:hint="eastAsia" w:ascii="仿宋" w:hAnsi="仿宋" w:eastAsia="仿宋"/>
          <w:b w:val="0"/>
          <w:bCs w:val="0"/>
          <w:color w:val="auto"/>
          <w:highlight w:val="none"/>
        </w:rPr>
        <w:t>入支出决算总表</w:t>
      </w:r>
      <w:bookmarkEnd w:id="51"/>
    </w:p>
    <w:bookmarkEnd w:id="52"/>
    <w:p>
      <w:pPr>
        <w:pStyle w:val="4"/>
        <w:rPr>
          <w:rFonts w:ascii="仿宋" w:hAnsi="仿宋" w:eastAsia="仿宋"/>
          <w:color w:val="auto"/>
          <w:highlight w:val="none"/>
        </w:rPr>
      </w:pPr>
      <w:bookmarkStart w:id="53" w:name="_Toc15396620"/>
      <w:bookmarkStart w:id="54" w:name="二、收入决算表"/>
      <w:r>
        <w:rPr>
          <w:rFonts w:hint="eastAsia" w:ascii="仿宋" w:hAnsi="仿宋" w:eastAsia="仿宋"/>
          <w:b w:val="0"/>
          <w:color w:val="auto"/>
          <w:highlight w:val="none"/>
        </w:rPr>
        <w:t>二、收</w:t>
      </w:r>
      <w:r>
        <w:rPr>
          <w:rStyle w:val="31"/>
          <w:rFonts w:hint="eastAsia" w:ascii="仿宋" w:hAnsi="仿宋" w:eastAsia="仿宋"/>
          <w:b w:val="0"/>
          <w:bCs w:val="0"/>
          <w:color w:val="auto"/>
          <w:highlight w:val="none"/>
        </w:rPr>
        <w:t>入决算表</w:t>
      </w:r>
      <w:bookmarkEnd w:id="53"/>
    </w:p>
    <w:bookmarkEnd w:id="54"/>
    <w:p>
      <w:pPr>
        <w:pStyle w:val="4"/>
        <w:rPr>
          <w:rFonts w:ascii="仿宋" w:hAnsi="仿宋" w:eastAsia="仿宋"/>
          <w:color w:val="auto"/>
          <w:highlight w:val="none"/>
        </w:rPr>
      </w:pPr>
      <w:bookmarkStart w:id="55" w:name="_Toc15396621"/>
      <w:bookmarkStart w:id="56" w:name="三、支出决算表"/>
      <w:r>
        <w:rPr>
          <w:rStyle w:val="31"/>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31"/>
          <w:rFonts w:hint="eastAsia" w:ascii="仿宋" w:hAnsi="仿宋" w:eastAsia="仿宋"/>
          <w:b w:val="0"/>
          <w:bCs w:val="0"/>
          <w:color w:val="auto"/>
          <w:highlight w:val="none"/>
        </w:rPr>
        <w:t>出决算表</w:t>
      </w:r>
      <w:bookmarkEnd w:id="55"/>
    </w:p>
    <w:bookmarkEnd w:id="56"/>
    <w:p>
      <w:pPr>
        <w:pStyle w:val="4"/>
        <w:rPr>
          <w:rFonts w:ascii="仿宋" w:hAnsi="仿宋" w:eastAsia="仿宋"/>
          <w:b w:val="0"/>
          <w:color w:val="auto"/>
          <w:highlight w:val="none"/>
        </w:rPr>
      </w:pPr>
      <w:bookmarkStart w:id="57" w:name="_Toc15396622"/>
      <w:bookmarkStart w:id="58" w:name="四、财政拨款收入支出决算总表"/>
      <w:r>
        <w:rPr>
          <w:rStyle w:val="31"/>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31"/>
          <w:rFonts w:hint="eastAsia" w:ascii="仿宋" w:hAnsi="仿宋" w:eastAsia="仿宋"/>
          <w:b w:val="0"/>
          <w:bCs w:val="0"/>
          <w:color w:val="auto"/>
          <w:highlight w:val="none"/>
        </w:rPr>
        <w:t>政拨款收入支出决算总表</w:t>
      </w:r>
      <w:bookmarkEnd w:id="57"/>
    </w:p>
    <w:bookmarkEnd w:id="58"/>
    <w:p>
      <w:pPr>
        <w:pStyle w:val="4"/>
        <w:rPr>
          <w:rStyle w:val="31"/>
          <w:rFonts w:ascii="仿宋" w:hAnsi="仿宋" w:eastAsia="仿宋"/>
          <w:b w:val="0"/>
          <w:bCs w:val="0"/>
          <w:color w:val="auto"/>
          <w:highlight w:val="none"/>
        </w:rPr>
      </w:pPr>
      <w:bookmarkStart w:id="59" w:name="_Toc15396623"/>
      <w:bookmarkStart w:id="60" w:name="五、财政拨款支出决算明细表"/>
      <w:r>
        <w:rPr>
          <w:rStyle w:val="31"/>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31"/>
          <w:rFonts w:hint="eastAsia" w:ascii="仿宋" w:hAnsi="仿宋" w:eastAsia="仿宋"/>
          <w:b w:val="0"/>
          <w:bCs w:val="0"/>
          <w:color w:val="auto"/>
          <w:highlight w:val="none"/>
        </w:rPr>
        <w:t>政拨款支出决算明细表</w:t>
      </w:r>
      <w:bookmarkEnd w:id="59"/>
      <w:bookmarkStart w:id="61" w:name="_Toc15396624"/>
    </w:p>
    <w:bookmarkEnd w:id="60"/>
    <w:p>
      <w:pPr>
        <w:pStyle w:val="4"/>
        <w:rPr>
          <w:rFonts w:ascii="仿宋" w:hAnsi="仿宋" w:eastAsia="仿宋"/>
          <w:color w:val="auto"/>
          <w:highlight w:val="none"/>
        </w:rPr>
      </w:pPr>
      <w:bookmarkStart w:id="62" w:name="六、一般公共预算财政拨款支出决算表"/>
      <w:r>
        <w:rPr>
          <w:rStyle w:val="31"/>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般公共预算财政拨款支出决算表</w:t>
      </w:r>
      <w:bookmarkEnd w:id="61"/>
    </w:p>
    <w:bookmarkEnd w:id="62"/>
    <w:p>
      <w:pPr>
        <w:pStyle w:val="4"/>
        <w:rPr>
          <w:rFonts w:ascii="仿宋" w:hAnsi="仿宋" w:eastAsia="仿宋"/>
          <w:color w:val="auto"/>
          <w:highlight w:val="none"/>
        </w:rPr>
      </w:pPr>
      <w:bookmarkStart w:id="63" w:name="_Toc15396625"/>
      <w:bookmarkStart w:id="64" w:name="七、一般公共预算财政拨款支出决算明细表"/>
      <w:r>
        <w:rPr>
          <w:rStyle w:val="31"/>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般公共预算财政拨款支出决算明细表</w:t>
      </w:r>
      <w:bookmarkEnd w:id="63"/>
    </w:p>
    <w:bookmarkEnd w:id="64"/>
    <w:p>
      <w:pPr>
        <w:pStyle w:val="4"/>
        <w:rPr>
          <w:rFonts w:ascii="仿宋" w:hAnsi="仿宋" w:eastAsia="仿宋"/>
          <w:color w:val="auto"/>
          <w:highlight w:val="none"/>
        </w:rPr>
      </w:pPr>
      <w:bookmarkStart w:id="65" w:name="_Toc15396626"/>
      <w:bookmarkStart w:id="66" w:name="八、一般公共预算财政拨款基本支出决算表"/>
      <w:r>
        <w:rPr>
          <w:rStyle w:val="31"/>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般公共预算财政拨款基本支出决算</w:t>
      </w:r>
      <w:r>
        <w:rPr>
          <w:rStyle w:val="31"/>
          <w:rFonts w:hint="eastAsia" w:ascii="仿宋" w:hAnsi="仿宋" w:eastAsia="仿宋"/>
          <w:b w:val="0"/>
          <w:bCs w:val="0"/>
          <w:color w:val="auto"/>
          <w:highlight w:val="none"/>
          <w:lang w:val="en-US" w:eastAsia="zh-CN"/>
        </w:rPr>
        <w:t>明细</w:t>
      </w:r>
      <w:r>
        <w:rPr>
          <w:rStyle w:val="31"/>
          <w:rFonts w:hint="eastAsia" w:ascii="仿宋" w:hAnsi="仿宋" w:eastAsia="仿宋"/>
          <w:b w:val="0"/>
          <w:bCs w:val="0"/>
          <w:color w:val="auto"/>
          <w:highlight w:val="none"/>
        </w:rPr>
        <w:t>表</w:t>
      </w:r>
      <w:bookmarkEnd w:id="65"/>
    </w:p>
    <w:bookmarkEnd w:id="66"/>
    <w:p>
      <w:pPr>
        <w:pStyle w:val="4"/>
        <w:rPr>
          <w:rFonts w:ascii="仿宋" w:hAnsi="仿宋" w:eastAsia="仿宋"/>
          <w:color w:val="auto"/>
          <w:highlight w:val="none"/>
        </w:rPr>
      </w:pPr>
      <w:bookmarkStart w:id="67" w:name="_Toc15396627"/>
      <w:bookmarkStart w:id="68" w:name="九、一般公共预算财政拨款项目支出决算表"/>
      <w:r>
        <w:rPr>
          <w:rStyle w:val="31"/>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般公共预算财政拨款项目支出决算</w:t>
      </w:r>
      <w:r>
        <w:rPr>
          <w:rStyle w:val="31"/>
          <w:rFonts w:hint="eastAsia" w:ascii="仿宋" w:hAnsi="仿宋" w:eastAsia="仿宋"/>
          <w:b w:val="0"/>
          <w:bCs w:val="0"/>
          <w:color w:val="auto"/>
          <w:highlight w:val="none"/>
          <w:lang w:val="en-US" w:eastAsia="zh-CN"/>
        </w:rPr>
        <w:t>明细</w:t>
      </w:r>
      <w:r>
        <w:rPr>
          <w:rStyle w:val="31"/>
          <w:rFonts w:hint="eastAsia" w:ascii="仿宋" w:hAnsi="仿宋" w:eastAsia="仿宋"/>
          <w:b w:val="0"/>
          <w:bCs w:val="0"/>
          <w:color w:val="auto"/>
          <w:highlight w:val="none"/>
        </w:rPr>
        <w:t>表</w:t>
      </w:r>
      <w:bookmarkEnd w:id="67"/>
    </w:p>
    <w:bookmarkEnd w:id="68"/>
    <w:p>
      <w:pPr>
        <w:pStyle w:val="4"/>
        <w:rPr>
          <w:rStyle w:val="31"/>
          <w:rFonts w:hint="eastAsia" w:ascii="仿宋" w:hAnsi="仿宋" w:eastAsia="仿宋"/>
          <w:b w:val="0"/>
          <w:bCs w:val="0"/>
          <w:color w:val="auto"/>
          <w:highlight w:val="none"/>
        </w:rPr>
      </w:pPr>
      <w:bookmarkStart w:id="69" w:name="十、一般公共预算财政拨款“三公”经费支出决算表"/>
      <w:bookmarkStart w:id="70" w:name="_Toc15396628"/>
      <w:r>
        <w:rPr>
          <w:rStyle w:val="31"/>
          <w:rFonts w:hint="eastAsia" w:ascii="仿宋" w:hAnsi="仿宋" w:eastAsia="仿宋"/>
          <w:b w:val="0"/>
          <w:bCs w:val="0"/>
          <w:color w:val="auto"/>
          <w:highlight w:val="none"/>
        </w:rPr>
        <w:t>十、</w:t>
      </w:r>
      <w:r>
        <w:rPr>
          <w:rFonts w:hint="eastAsia" w:ascii="仿宋" w:hAnsi="仿宋" w:eastAsia="仿宋"/>
          <w:b w:val="0"/>
          <w:color w:val="auto"/>
          <w:highlight w:val="none"/>
        </w:rPr>
        <w:t>政</w:t>
      </w:r>
      <w:r>
        <w:rPr>
          <w:rStyle w:val="31"/>
          <w:rFonts w:hint="eastAsia" w:ascii="仿宋" w:hAnsi="仿宋" w:eastAsia="仿宋"/>
          <w:b w:val="0"/>
          <w:bCs w:val="0"/>
          <w:color w:val="auto"/>
          <w:highlight w:val="none"/>
        </w:rPr>
        <w:t>府性基金预算财政拨款收入支出决算表</w:t>
      </w:r>
      <w:bookmarkEnd w:id="69"/>
      <w:bookmarkEnd w:id="70"/>
      <w:bookmarkStart w:id="71" w:name="_Toc15396629"/>
      <w:bookmarkStart w:id="72" w:name="十一、政府性基金预算财政拨款收入支出决算表"/>
    </w:p>
    <w:p>
      <w:pPr>
        <w:pStyle w:val="4"/>
        <w:rPr>
          <w:rStyle w:val="31"/>
          <w:rFonts w:hint="eastAsia" w:ascii="仿宋" w:hAnsi="仿宋" w:eastAsia="仿宋"/>
          <w:b w:val="0"/>
          <w:bCs w:val="0"/>
          <w:color w:val="auto"/>
          <w:highlight w:val="none"/>
        </w:rPr>
      </w:pPr>
      <w:r>
        <w:rPr>
          <w:rStyle w:val="31"/>
          <w:rFonts w:hint="eastAsia" w:ascii="仿宋" w:hAnsi="仿宋" w:eastAsia="仿宋"/>
          <w:b w:val="0"/>
          <w:bCs w:val="0"/>
          <w:color w:val="auto"/>
          <w:highlight w:val="none"/>
        </w:rPr>
        <w:t>十一、</w:t>
      </w:r>
      <w:bookmarkEnd w:id="71"/>
      <w:r>
        <w:rPr>
          <w:rFonts w:hint="eastAsia" w:ascii="仿宋" w:hAnsi="仿宋" w:eastAsia="仿宋"/>
          <w:b w:val="0"/>
          <w:color w:val="auto"/>
          <w:highlight w:val="none"/>
        </w:rPr>
        <w:t>国</w:t>
      </w:r>
      <w:r>
        <w:rPr>
          <w:rStyle w:val="31"/>
          <w:rFonts w:hint="eastAsia" w:ascii="仿宋" w:hAnsi="仿宋" w:eastAsia="仿宋"/>
          <w:b w:val="0"/>
          <w:bCs w:val="0"/>
          <w:color w:val="auto"/>
          <w:highlight w:val="none"/>
        </w:rPr>
        <w:t>有资本经营预算</w:t>
      </w:r>
      <w:r>
        <w:rPr>
          <w:rStyle w:val="31"/>
          <w:rFonts w:hint="eastAsia" w:ascii="仿宋" w:hAnsi="仿宋" w:eastAsia="仿宋"/>
          <w:b w:val="0"/>
          <w:bCs w:val="0"/>
          <w:color w:val="auto"/>
          <w:highlight w:val="none"/>
          <w:lang w:eastAsia="zh-CN"/>
        </w:rPr>
        <w:t>财政拨款收入</w:t>
      </w:r>
      <w:r>
        <w:rPr>
          <w:rStyle w:val="31"/>
          <w:rFonts w:hint="eastAsia" w:ascii="仿宋" w:hAnsi="仿宋" w:eastAsia="仿宋"/>
          <w:b w:val="0"/>
          <w:bCs w:val="0"/>
          <w:color w:val="auto"/>
          <w:highlight w:val="none"/>
        </w:rPr>
        <w:t>支出决算表</w:t>
      </w:r>
      <w:bookmarkEnd w:id="72"/>
      <w:bookmarkStart w:id="73" w:name="_Toc15396630"/>
      <w:bookmarkStart w:id="74" w:name="十二、政府性基金预算财政拨款“三公”经费支出决算表"/>
    </w:p>
    <w:p>
      <w:pPr>
        <w:pStyle w:val="4"/>
        <w:rPr>
          <w:rFonts w:hint="default" w:ascii="仿宋" w:hAnsi="仿宋" w:eastAsia="仿宋"/>
          <w:color w:val="auto"/>
          <w:highlight w:val="none"/>
          <w:lang w:val="en-US" w:eastAsia="zh-CN"/>
        </w:rPr>
      </w:pPr>
      <w:r>
        <w:rPr>
          <w:rStyle w:val="31"/>
          <w:rFonts w:hint="eastAsia" w:ascii="仿宋" w:hAnsi="仿宋" w:eastAsia="仿宋"/>
          <w:b w:val="0"/>
          <w:bCs w:val="0"/>
          <w:color w:val="auto"/>
          <w:highlight w:val="none"/>
        </w:rPr>
        <w:t>十二、</w:t>
      </w:r>
      <w:bookmarkEnd w:id="73"/>
      <w:r>
        <w:rPr>
          <w:rFonts w:hint="eastAsia" w:ascii="仿宋" w:hAnsi="仿宋" w:eastAsia="仿宋"/>
          <w:b w:val="0"/>
          <w:color w:val="auto"/>
          <w:highlight w:val="none"/>
          <w:lang w:val="en-US" w:eastAsia="zh-CN"/>
        </w:rPr>
        <w:t>国有资本经营预算财政拨款支出决算表</w:t>
      </w:r>
    </w:p>
    <w:bookmarkEnd w:id="74"/>
    <w:p>
      <w:pPr>
        <w:pStyle w:val="4"/>
        <w:rPr>
          <w:rFonts w:ascii="仿宋" w:hAnsi="仿宋" w:eastAsia="仿宋"/>
          <w:color w:val="auto"/>
          <w:highlight w:val="none"/>
        </w:rPr>
      </w:pPr>
      <w:bookmarkStart w:id="75" w:name="_Toc15396631"/>
      <w:bookmarkStart w:id="76" w:name="十三、国有资本经营预算财政拨款收入支出决算表"/>
      <w:r>
        <w:rPr>
          <w:rStyle w:val="31"/>
          <w:rFonts w:hint="eastAsia" w:ascii="仿宋" w:hAnsi="仿宋" w:eastAsia="仿宋"/>
          <w:b w:val="0"/>
          <w:bCs w:val="0"/>
          <w:color w:val="auto"/>
          <w:highlight w:val="none"/>
        </w:rPr>
        <w:t>十三、</w:t>
      </w:r>
      <w:bookmarkEnd w:id="75"/>
      <w:r>
        <w:rPr>
          <w:rStyle w:val="31"/>
          <w:rFonts w:hint="eastAsia" w:ascii="仿宋" w:hAnsi="仿宋" w:eastAsia="仿宋"/>
          <w:b w:val="0"/>
          <w:bCs w:val="0"/>
          <w:color w:val="auto"/>
          <w:highlight w:val="none"/>
        </w:rPr>
        <w:t>财政拨款“三公”经费支出决算表</w:t>
      </w:r>
    </w:p>
    <w:bookmarkEnd w:id="76"/>
    <w:p>
      <w:pPr>
        <w:rPr>
          <w:rStyle w:val="31"/>
          <w:rFonts w:hint="eastAsia" w:ascii="仿宋" w:hAnsi="仿宋" w:eastAsia="仿宋"/>
          <w:b w:val="0"/>
          <w:bCs w:val="0"/>
          <w:color w:val="auto"/>
          <w:highlight w:val="none"/>
          <w:lang w:eastAsia="zh-CN"/>
        </w:rPr>
        <w:sectPr>
          <w:pgSz w:w="11906" w:h="16838"/>
          <w:pgMar w:top="1440" w:right="1800" w:bottom="1440" w:left="1800" w:header="851" w:footer="992" w:gutter="0"/>
          <w:pgNumType w:fmt="decimal"/>
          <w:cols w:space="425" w:num="1"/>
          <w:titlePg/>
          <w:docGrid w:type="lines" w:linePitch="312" w:charSpace="0"/>
        </w:sectPr>
      </w:pPr>
    </w:p>
    <w:p>
      <w:pPr>
        <w:pStyle w:val="2"/>
        <w:keepNext w:val="0"/>
        <w:keepLines w:val="0"/>
        <w:pageBreakBefore w:val="0"/>
        <w:widowControl w:val="0"/>
        <w:kinsoku/>
        <w:overflowPunct/>
        <w:topLinePunct w:val="0"/>
        <w:autoSpaceDE/>
        <w:autoSpaceDN/>
        <w:bidi w:val="0"/>
        <w:adjustRightInd/>
        <w:snapToGrid/>
        <w:spacing w:beforeLines="0" w:line="240" w:lineRule="exact"/>
        <w:jc w:val="center"/>
        <w:textAlignment w:val="auto"/>
        <w:rPr>
          <w:rFonts w:hint="eastAsia" w:ascii="方正小标宋_GBK" w:hAnsi="方正小标宋_GBK" w:eastAsia="方正小标宋_GBK" w:cs="方正小标宋_GBK"/>
          <w:sz w:val="21"/>
          <w:szCs w:val="21"/>
          <w:lang w:val="en-US" w:eastAsia="zh-CN"/>
        </w:rPr>
      </w:pPr>
      <w:r>
        <w:rPr>
          <w:rFonts w:hint="eastAsia" w:ascii="方正小标宋_GBK" w:hAnsi="方正小标宋_GBK" w:eastAsia="方正小标宋_GBK" w:cs="方正小标宋_GBK"/>
          <w:sz w:val="21"/>
          <w:szCs w:val="21"/>
          <w:lang w:val="en-US" w:eastAsia="zh-CN"/>
        </w:rPr>
        <w:t>收入支出决算总表</w:t>
      </w:r>
    </w:p>
    <w:p>
      <w:pPr>
        <w:pStyle w:val="2"/>
        <w:keepNext w:val="0"/>
        <w:keepLines w:val="0"/>
        <w:pageBreakBefore w:val="0"/>
        <w:widowControl w:val="0"/>
        <w:kinsoku/>
        <w:wordWrap w:val="0"/>
        <w:overflowPunct/>
        <w:topLinePunct w:val="0"/>
        <w:autoSpaceDE/>
        <w:autoSpaceDN/>
        <w:bidi w:val="0"/>
        <w:adjustRightInd/>
        <w:snapToGrid/>
        <w:spacing w:beforeLines="0" w:line="240" w:lineRule="exact"/>
        <w:jc w:val="right"/>
        <w:textAlignment w:val="auto"/>
        <w:rPr>
          <w:rFonts w:hint="eastAsia" w:asciiTheme="majorEastAsia" w:hAnsiTheme="majorEastAsia" w:eastAsiaTheme="majorEastAsia" w:cstheme="majorEastAsia"/>
          <w:sz w:val="16"/>
          <w:szCs w:val="16"/>
          <w:lang w:val="en-US" w:eastAsia="zh-CN"/>
        </w:rPr>
      </w:pPr>
      <w:r>
        <w:rPr>
          <w:rFonts w:hint="eastAsia" w:asciiTheme="majorEastAsia" w:hAnsiTheme="majorEastAsia" w:eastAsiaTheme="majorEastAsia" w:cstheme="majorEastAsia"/>
          <w:sz w:val="16"/>
          <w:szCs w:val="16"/>
          <w:lang w:val="en-US" w:eastAsia="zh-CN"/>
        </w:rPr>
        <w:t xml:space="preserve">公开01表                           </w:t>
      </w:r>
    </w:p>
    <w:p>
      <w:pPr>
        <w:pStyle w:val="2"/>
        <w:keepNext w:val="0"/>
        <w:keepLines w:val="0"/>
        <w:pageBreakBefore w:val="0"/>
        <w:widowControl w:val="0"/>
        <w:kinsoku/>
        <w:overflowPunct/>
        <w:topLinePunct w:val="0"/>
        <w:autoSpaceDE/>
        <w:autoSpaceDN/>
        <w:bidi w:val="0"/>
        <w:adjustRightInd/>
        <w:snapToGrid/>
        <w:spacing w:beforeLines="0" w:line="240" w:lineRule="exact"/>
        <w:jc w:val="left"/>
        <w:textAlignment w:val="auto"/>
        <w:rPr>
          <w:rFonts w:hint="eastAsia" w:asciiTheme="majorEastAsia" w:hAnsiTheme="majorEastAsia" w:eastAsiaTheme="majorEastAsia" w:cstheme="majorEastAsia"/>
          <w:sz w:val="16"/>
          <w:szCs w:val="16"/>
          <w:lang w:val="en-US" w:eastAsia="zh-CN"/>
        </w:rPr>
      </w:pPr>
      <w:r>
        <w:rPr>
          <w:rFonts w:hint="eastAsia" w:asciiTheme="majorEastAsia" w:hAnsiTheme="majorEastAsia" w:eastAsiaTheme="majorEastAsia" w:cstheme="majorEastAsia"/>
          <w:sz w:val="16"/>
          <w:szCs w:val="16"/>
          <w:lang w:val="en-US" w:eastAsia="zh-CN"/>
        </w:rPr>
        <w:t>部门：达州市大竹生态环境局                                                                                                                              金额单位：万元</w:t>
      </w:r>
    </w:p>
    <w:p>
      <w:pPr>
        <w:pStyle w:val="2"/>
        <w:spacing w:beforeLines="0"/>
        <w:jc w:val="left"/>
      </w:pPr>
      <w:r>
        <w:drawing>
          <wp:inline distT="0" distB="0" distL="114300" distR="114300">
            <wp:extent cx="9690100" cy="5065395"/>
            <wp:effectExtent l="0" t="0" r="6350" b="190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9690100" cy="506539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Lines="0" w:line="240" w:lineRule="atLeast"/>
        <w:jc w:val="lef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注：1.本表</w:t>
      </w:r>
      <w:r>
        <w:rPr>
          <w:rFonts w:hint="eastAsia" w:asciiTheme="minorEastAsia" w:hAnsiTheme="minorEastAsia" w:eastAsiaTheme="minorEastAsia" w:cstheme="minorEastAsia"/>
          <w:sz w:val="18"/>
          <w:szCs w:val="15"/>
          <w:lang w:val="en-US" w:eastAsia="zh-CN"/>
        </w:rPr>
        <w:t>以“万元”为金额单位（保留两位小数），</w:t>
      </w:r>
      <w:r>
        <w:rPr>
          <w:rFonts w:hint="eastAsia" w:asciiTheme="minorEastAsia" w:hAnsiTheme="minorEastAsia" w:eastAsiaTheme="minorEastAsia" w:cstheme="minorEastAsia"/>
          <w:sz w:val="18"/>
          <w:szCs w:val="18"/>
          <w:lang w:val="en-US" w:eastAsia="zh-CN"/>
        </w:rPr>
        <w:t>反映部门本年度的总收支和年末结转结余情况。</w:t>
      </w:r>
    </w:p>
    <w:p>
      <w:pPr>
        <w:pStyle w:val="2"/>
        <w:keepNext w:val="0"/>
        <w:keepLines w:val="0"/>
        <w:pageBreakBefore w:val="0"/>
        <w:widowControl w:val="0"/>
        <w:kinsoku/>
        <w:wordWrap/>
        <w:overflowPunct/>
        <w:topLinePunct w:val="0"/>
        <w:autoSpaceDE/>
        <w:autoSpaceDN/>
        <w:bidi w:val="0"/>
        <w:adjustRightInd/>
        <w:snapToGrid/>
        <w:spacing w:beforeLines="0" w:line="240" w:lineRule="atLeast"/>
        <w:jc w:val="lef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2.本套报表金额单位转换时可能存在尾数误差。</w:t>
      </w:r>
    </w:p>
    <w:p>
      <w:pPr>
        <w:rPr>
          <w:rFonts w:hint="eastAsia"/>
          <w:lang w:eastAsia="zh-CN"/>
        </w:rPr>
      </w:pPr>
      <w:r>
        <w:rPr>
          <w:rFonts w:hint="eastAsia"/>
          <w:lang w:eastAsia="zh-CN"/>
        </w:rPr>
        <w:br w:type="page"/>
      </w:r>
    </w:p>
    <w:p>
      <w:pPr>
        <w:pStyle w:val="2"/>
        <w:spacing w:beforeLines="0"/>
        <w:jc w:val="center"/>
        <w:rPr>
          <w:rFonts w:hint="eastAsia" w:ascii="方正小标宋_GBK" w:hAnsi="方正小标宋_GBK" w:eastAsia="方正小标宋_GBK" w:cs="方正小标宋_GBK"/>
          <w:sz w:val="20"/>
          <w:szCs w:val="20"/>
          <w:lang w:val="en-US" w:eastAsia="zh-CN"/>
        </w:rPr>
      </w:pPr>
      <w:r>
        <w:rPr>
          <w:rFonts w:hint="eastAsia" w:ascii="方正小标宋_GBK" w:hAnsi="方正小标宋_GBK" w:eastAsia="方正小标宋_GBK" w:cs="方正小标宋_GBK"/>
          <w:sz w:val="21"/>
          <w:szCs w:val="21"/>
          <w:lang w:val="en-US" w:eastAsia="zh-CN"/>
        </w:rPr>
        <w:t>收入决算总表</w:t>
      </w:r>
    </w:p>
    <w:p>
      <w:pPr>
        <w:pStyle w:val="2"/>
        <w:keepNext w:val="0"/>
        <w:keepLines w:val="0"/>
        <w:pageBreakBefore w:val="0"/>
        <w:widowControl w:val="0"/>
        <w:kinsoku/>
        <w:wordWrap w:val="0"/>
        <w:overflowPunct/>
        <w:topLinePunct w:val="0"/>
        <w:autoSpaceDE/>
        <w:autoSpaceDN/>
        <w:bidi w:val="0"/>
        <w:adjustRightInd/>
        <w:snapToGrid/>
        <w:spacing w:beforeLines="0" w:line="240" w:lineRule="exact"/>
        <w:jc w:val="right"/>
        <w:textAlignment w:val="auto"/>
        <w:rPr>
          <w:rFonts w:hint="eastAsia" w:asciiTheme="majorEastAsia" w:hAnsiTheme="majorEastAsia" w:eastAsiaTheme="majorEastAsia" w:cstheme="majorEastAsia"/>
          <w:sz w:val="16"/>
          <w:szCs w:val="16"/>
          <w:lang w:val="en-US" w:eastAsia="zh-CN"/>
        </w:rPr>
      </w:pPr>
      <w:r>
        <w:rPr>
          <w:rFonts w:hint="eastAsia" w:asciiTheme="majorEastAsia" w:hAnsiTheme="majorEastAsia" w:eastAsiaTheme="majorEastAsia" w:cstheme="majorEastAsia"/>
          <w:sz w:val="16"/>
          <w:szCs w:val="16"/>
          <w:lang w:val="en-US" w:eastAsia="zh-CN"/>
        </w:rPr>
        <w:t xml:space="preserve">   公开02表             </w:t>
      </w:r>
    </w:p>
    <w:p>
      <w:pPr>
        <w:pStyle w:val="2"/>
        <w:keepNext w:val="0"/>
        <w:keepLines w:val="0"/>
        <w:pageBreakBefore w:val="0"/>
        <w:widowControl w:val="0"/>
        <w:kinsoku/>
        <w:wordWrap w:val="0"/>
        <w:overflowPunct/>
        <w:topLinePunct w:val="0"/>
        <w:autoSpaceDE/>
        <w:autoSpaceDN/>
        <w:bidi w:val="0"/>
        <w:adjustRightInd/>
        <w:snapToGrid/>
        <w:spacing w:beforeLines="0" w:line="240" w:lineRule="exact"/>
        <w:jc w:val="right"/>
        <w:textAlignment w:val="auto"/>
        <w:rPr>
          <w:rFonts w:hint="default" w:asciiTheme="majorEastAsia" w:hAnsiTheme="majorEastAsia" w:eastAsiaTheme="majorEastAsia" w:cstheme="majorEastAsia"/>
          <w:sz w:val="16"/>
          <w:szCs w:val="16"/>
          <w:lang w:val="en-US" w:eastAsia="zh-CN"/>
        </w:rPr>
      </w:pPr>
      <w:r>
        <w:rPr>
          <w:rFonts w:hint="eastAsia" w:asciiTheme="majorEastAsia" w:hAnsiTheme="majorEastAsia" w:eastAsiaTheme="majorEastAsia" w:cstheme="majorEastAsia"/>
          <w:sz w:val="16"/>
          <w:szCs w:val="16"/>
          <w:lang w:val="en-US" w:eastAsia="zh-CN"/>
        </w:rPr>
        <w:t xml:space="preserve">部门：达州市大竹生态环境局                                                                                                                                           金额单位：万元             </w:t>
      </w:r>
    </w:p>
    <w:p>
      <w:pPr>
        <w:pStyle w:val="2"/>
        <w:spacing w:beforeLines="0"/>
        <w:jc w:val="left"/>
      </w:pPr>
      <w:r>
        <w:drawing>
          <wp:inline distT="0" distB="0" distL="114300" distR="114300">
            <wp:extent cx="9702165" cy="4681220"/>
            <wp:effectExtent l="0" t="0" r="13335" b="508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8"/>
                    <a:stretch>
                      <a:fillRect/>
                    </a:stretch>
                  </pic:blipFill>
                  <pic:spPr>
                    <a:xfrm>
                      <a:off x="0" y="0"/>
                      <a:ext cx="9702165" cy="4681220"/>
                    </a:xfrm>
                    <a:prstGeom prst="rect">
                      <a:avLst/>
                    </a:prstGeom>
                    <a:noFill/>
                    <a:ln>
                      <a:noFill/>
                    </a:ln>
                  </pic:spPr>
                </pic:pic>
              </a:graphicData>
            </a:graphic>
          </wp:inline>
        </w:drawing>
      </w:r>
    </w:p>
    <w:p>
      <w:pPr>
        <w:rPr>
          <w:rFonts w:hint="eastAsia"/>
          <w:lang w:val="en-US" w:eastAsia="zh-CN"/>
        </w:rPr>
      </w:pPr>
      <w:r>
        <w:rPr>
          <w:rFonts w:hint="eastAsia"/>
          <w:sz w:val="18"/>
          <w:szCs w:val="21"/>
          <w:lang w:val="en-US" w:eastAsia="zh-CN"/>
        </w:rPr>
        <w:t>注：本表</w:t>
      </w:r>
      <w:r>
        <w:rPr>
          <w:rFonts w:hint="eastAsia" w:asciiTheme="minorEastAsia" w:hAnsiTheme="minorEastAsia" w:eastAsiaTheme="minorEastAsia" w:cstheme="minorEastAsia"/>
          <w:sz w:val="18"/>
          <w:szCs w:val="15"/>
          <w:lang w:val="en-US" w:eastAsia="zh-CN"/>
        </w:rPr>
        <w:t>以“万元”为金额单位（保留两位小数），</w:t>
      </w:r>
      <w:r>
        <w:rPr>
          <w:rFonts w:hint="eastAsia"/>
          <w:sz w:val="18"/>
          <w:szCs w:val="21"/>
          <w:lang w:val="en-US" w:eastAsia="zh-CN"/>
        </w:rPr>
        <w:t>反映部门本年度取得的各项收入情况。</w:t>
      </w:r>
      <w:r>
        <w:rPr>
          <w:rFonts w:hint="eastAsia"/>
          <w:lang w:val="en-US" w:eastAsia="zh-CN"/>
        </w:rPr>
        <w:br w:type="page"/>
      </w:r>
    </w:p>
    <w:p>
      <w:pPr>
        <w:pStyle w:val="2"/>
        <w:spacing w:beforeLines="0"/>
        <w:jc w:val="center"/>
        <w:rPr>
          <w:rFonts w:hint="eastAsia" w:ascii="方正小标宋_GBK" w:hAnsi="方正小标宋_GBK" w:eastAsia="方正小标宋_GBK" w:cs="方正小标宋_GBK"/>
          <w:sz w:val="20"/>
          <w:szCs w:val="20"/>
          <w:lang w:val="en-US" w:eastAsia="zh-CN"/>
        </w:rPr>
      </w:pPr>
      <w:r>
        <w:rPr>
          <w:rFonts w:hint="eastAsia" w:ascii="方正小标宋_GBK" w:hAnsi="方正小标宋_GBK" w:eastAsia="方正小标宋_GBK" w:cs="方正小标宋_GBK"/>
          <w:sz w:val="20"/>
          <w:szCs w:val="20"/>
          <w:lang w:val="en-US" w:eastAsia="zh-CN"/>
        </w:rPr>
        <w:t>支出决算总表</w:t>
      </w:r>
    </w:p>
    <w:p>
      <w:pPr>
        <w:pStyle w:val="2"/>
        <w:keepNext w:val="0"/>
        <w:keepLines w:val="0"/>
        <w:pageBreakBefore w:val="0"/>
        <w:widowControl w:val="0"/>
        <w:kinsoku/>
        <w:wordWrap w:val="0"/>
        <w:overflowPunct/>
        <w:topLinePunct w:val="0"/>
        <w:autoSpaceDE/>
        <w:autoSpaceDN/>
        <w:bidi w:val="0"/>
        <w:adjustRightInd/>
        <w:snapToGrid/>
        <w:spacing w:beforeLines="0" w:line="240" w:lineRule="exact"/>
        <w:jc w:val="right"/>
        <w:textAlignment w:val="auto"/>
        <w:rPr>
          <w:rFonts w:hint="eastAsia" w:asciiTheme="majorEastAsia" w:hAnsiTheme="majorEastAsia" w:eastAsiaTheme="majorEastAsia" w:cstheme="majorEastAsia"/>
          <w:sz w:val="16"/>
          <w:szCs w:val="16"/>
          <w:lang w:val="en-US" w:eastAsia="zh-CN"/>
        </w:rPr>
      </w:pPr>
      <w:r>
        <w:rPr>
          <w:rFonts w:hint="eastAsia" w:asciiTheme="majorEastAsia" w:hAnsiTheme="majorEastAsia" w:eastAsiaTheme="majorEastAsia" w:cstheme="majorEastAsia"/>
          <w:sz w:val="16"/>
          <w:szCs w:val="16"/>
          <w:lang w:val="en-US" w:eastAsia="zh-CN"/>
        </w:rPr>
        <w:t xml:space="preserve">公开03表                                    </w:t>
      </w:r>
    </w:p>
    <w:p>
      <w:pPr>
        <w:pStyle w:val="2"/>
        <w:keepNext w:val="0"/>
        <w:keepLines w:val="0"/>
        <w:pageBreakBefore w:val="0"/>
        <w:widowControl w:val="0"/>
        <w:kinsoku/>
        <w:overflowPunct/>
        <w:topLinePunct w:val="0"/>
        <w:autoSpaceDE/>
        <w:autoSpaceDN/>
        <w:bidi w:val="0"/>
        <w:adjustRightInd/>
        <w:snapToGrid/>
        <w:spacing w:beforeLines="0" w:line="240" w:lineRule="exact"/>
        <w:jc w:val="left"/>
        <w:textAlignment w:val="auto"/>
        <w:rPr>
          <w:rFonts w:hint="default" w:asciiTheme="majorEastAsia" w:hAnsiTheme="majorEastAsia" w:eastAsiaTheme="majorEastAsia" w:cstheme="majorEastAsia"/>
          <w:sz w:val="16"/>
          <w:szCs w:val="16"/>
          <w:lang w:val="en-US" w:eastAsia="zh-CN"/>
        </w:rPr>
      </w:pPr>
      <w:r>
        <w:rPr>
          <w:rFonts w:hint="eastAsia" w:asciiTheme="majorEastAsia" w:hAnsiTheme="majorEastAsia" w:eastAsiaTheme="majorEastAsia" w:cstheme="majorEastAsia"/>
          <w:sz w:val="16"/>
          <w:szCs w:val="16"/>
          <w:lang w:val="en-US" w:eastAsia="zh-CN"/>
        </w:rPr>
        <w:t>部门：达州市大竹生态环境局                                                                                                                     金额单位：万元</w:t>
      </w:r>
    </w:p>
    <w:p>
      <w:pPr>
        <w:pStyle w:val="2"/>
        <w:spacing w:beforeLines="0" w:line="240" w:lineRule="auto"/>
        <w:jc w:val="left"/>
      </w:pPr>
      <w:r>
        <w:drawing>
          <wp:inline distT="0" distB="0" distL="114300" distR="114300">
            <wp:extent cx="9767570" cy="5165090"/>
            <wp:effectExtent l="0" t="0" r="5080" b="1651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9"/>
                    <a:stretch>
                      <a:fillRect/>
                    </a:stretch>
                  </pic:blipFill>
                  <pic:spPr>
                    <a:xfrm>
                      <a:off x="0" y="0"/>
                      <a:ext cx="9767570" cy="51650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rPr>
          <w:rFonts w:hint="eastAsia"/>
          <w:sz w:val="18"/>
          <w:szCs w:val="18"/>
          <w:lang w:val="en-US" w:eastAsia="zh-CN"/>
        </w:rPr>
        <w:t>注：本表</w:t>
      </w:r>
      <w:r>
        <w:rPr>
          <w:rFonts w:hint="eastAsia" w:asciiTheme="minorEastAsia" w:hAnsiTheme="minorEastAsia" w:eastAsiaTheme="minorEastAsia" w:cstheme="minorEastAsia"/>
          <w:sz w:val="18"/>
          <w:szCs w:val="15"/>
          <w:lang w:val="en-US" w:eastAsia="zh-CN"/>
        </w:rPr>
        <w:t>以“万元”为金额单位（保留两位小数），</w:t>
      </w:r>
      <w:r>
        <w:rPr>
          <w:rFonts w:hint="eastAsia"/>
          <w:sz w:val="18"/>
          <w:szCs w:val="18"/>
          <w:lang w:val="en-US" w:eastAsia="zh-CN"/>
        </w:rPr>
        <w:t>反映部门本年度各项支出情况。</w:t>
      </w:r>
      <w:r>
        <w:rPr>
          <w:rFonts w:hint="eastAsia"/>
          <w:lang w:val="en-US" w:eastAsia="zh-CN"/>
        </w:rPr>
        <w:br w:type="page"/>
      </w:r>
    </w:p>
    <w:p>
      <w:pPr>
        <w:pStyle w:val="2"/>
        <w:spacing w:beforeLines="0"/>
        <w:jc w:val="center"/>
        <w:rPr>
          <w:rFonts w:hint="eastAsia" w:ascii="方正小标宋_GBK" w:hAnsi="方正小标宋_GBK" w:eastAsia="方正小标宋_GBK" w:cs="方正小标宋_GBK"/>
          <w:sz w:val="20"/>
          <w:szCs w:val="20"/>
          <w:lang w:val="en-US" w:eastAsia="zh-CN"/>
        </w:rPr>
      </w:pPr>
      <w:r>
        <w:rPr>
          <w:rFonts w:hint="eastAsia" w:ascii="方正小标宋_GBK" w:hAnsi="方正小标宋_GBK" w:eastAsia="方正小标宋_GBK" w:cs="方正小标宋_GBK"/>
          <w:sz w:val="20"/>
          <w:szCs w:val="20"/>
          <w:lang w:val="en-US" w:eastAsia="zh-CN"/>
        </w:rPr>
        <w:t>财政拨款收入支出决算总表</w:t>
      </w:r>
    </w:p>
    <w:p>
      <w:pPr>
        <w:pStyle w:val="2"/>
        <w:keepNext w:val="0"/>
        <w:keepLines w:val="0"/>
        <w:pageBreakBefore w:val="0"/>
        <w:widowControl w:val="0"/>
        <w:kinsoku/>
        <w:wordWrap w:val="0"/>
        <w:overflowPunct/>
        <w:topLinePunct w:val="0"/>
        <w:autoSpaceDE/>
        <w:autoSpaceDN/>
        <w:bidi w:val="0"/>
        <w:adjustRightInd/>
        <w:snapToGrid/>
        <w:spacing w:beforeLines="0" w:line="240" w:lineRule="exact"/>
        <w:jc w:val="right"/>
        <w:textAlignment w:val="auto"/>
        <w:rPr>
          <w:rFonts w:hint="eastAsia" w:asciiTheme="majorEastAsia" w:hAnsiTheme="majorEastAsia" w:eastAsiaTheme="majorEastAsia" w:cstheme="majorEastAsia"/>
          <w:sz w:val="16"/>
          <w:szCs w:val="16"/>
          <w:lang w:val="en-US" w:eastAsia="zh-CN"/>
        </w:rPr>
      </w:pPr>
      <w:r>
        <w:rPr>
          <w:rFonts w:hint="eastAsia" w:asciiTheme="majorEastAsia" w:hAnsiTheme="majorEastAsia" w:eastAsiaTheme="majorEastAsia" w:cstheme="majorEastAsia"/>
          <w:sz w:val="16"/>
          <w:szCs w:val="16"/>
          <w:lang w:val="en-US" w:eastAsia="zh-CN"/>
        </w:rPr>
        <w:t xml:space="preserve">公开04表                                           </w:t>
      </w:r>
    </w:p>
    <w:p>
      <w:pPr>
        <w:pStyle w:val="2"/>
        <w:keepNext w:val="0"/>
        <w:keepLines w:val="0"/>
        <w:pageBreakBefore w:val="0"/>
        <w:widowControl w:val="0"/>
        <w:kinsoku/>
        <w:overflowPunct/>
        <w:topLinePunct w:val="0"/>
        <w:autoSpaceDE/>
        <w:autoSpaceDN/>
        <w:bidi w:val="0"/>
        <w:adjustRightInd/>
        <w:snapToGrid/>
        <w:spacing w:beforeLines="0" w:line="240" w:lineRule="exact"/>
        <w:jc w:val="left"/>
        <w:textAlignment w:val="auto"/>
        <w:rPr>
          <w:rFonts w:hint="eastAsia" w:asciiTheme="majorEastAsia" w:hAnsiTheme="majorEastAsia" w:eastAsiaTheme="majorEastAsia" w:cstheme="majorEastAsia"/>
          <w:sz w:val="16"/>
          <w:szCs w:val="16"/>
          <w:lang w:val="en-US" w:eastAsia="zh-CN"/>
        </w:rPr>
      </w:pPr>
      <w:r>
        <w:rPr>
          <w:rFonts w:hint="eastAsia" w:asciiTheme="majorEastAsia" w:hAnsiTheme="majorEastAsia" w:eastAsiaTheme="majorEastAsia" w:cstheme="majorEastAsia"/>
          <w:sz w:val="16"/>
          <w:szCs w:val="16"/>
          <w:lang w:val="en-US" w:eastAsia="zh-CN"/>
        </w:rPr>
        <w:t>部门：达州市大竹生态环境局                                                                                                              金额单位：万元</w:t>
      </w:r>
    </w:p>
    <w:p>
      <w:pPr>
        <w:pStyle w:val="2"/>
        <w:keepNext w:val="0"/>
        <w:keepLines w:val="0"/>
        <w:pageBreakBefore w:val="0"/>
        <w:widowControl w:val="0"/>
        <w:kinsoku/>
        <w:overflowPunct/>
        <w:topLinePunct w:val="0"/>
        <w:autoSpaceDE/>
        <w:autoSpaceDN/>
        <w:bidi w:val="0"/>
        <w:adjustRightInd/>
        <w:snapToGrid/>
        <w:spacing w:beforeLines="0" w:line="240" w:lineRule="exact"/>
        <w:jc w:val="left"/>
        <w:textAlignment w:val="auto"/>
        <w:rPr>
          <w:rFonts w:hint="eastAsia" w:asciiTheme="majorEastAsia" w:hAnsiTheme="majorEastAsia" w:eastAsiaTheme="majorEastAsia" w:cstheme="majorEastAsia"/>
          <w:sz w:val="16"/>
          <w:szCs w:val="16"/>
          <w:lang w:val="en-US" w:eastAsia="zh-CN"/>
        </w:rPr>
        <w:sectPr>
          <w:pgSz w:w="16838" w:h="11906" w:orient="landscape"/>
          <w:pgMar w:top="720" w:right="720" w:bottom="720" w:left="720" w:header="851" w:footer="992" w:gutter="0"/>
          <w:pgNumType w:fmt="decimal"/>
          <w:cols w:space="0" w:num="1"/>
          <w:titlePg/>
          <w:rtlGutter w:val="0"/>
          <w:docGrid w:type="lines" w:linePitch="319" w:charSpace="0"/>
        </w:sectPr>
      </w:pPr>
      <w:r>
        <w:drawing>
          <wp:anchor distT="0" distB="0" distL="114300" distR="114300" simplePos="0" relativeHeight="251660288" behindDoc="0" locked="0" layoutInCell="1" allowOverlap="1">
            <wp:simplePos x="0" y="0"/>
            <wp:positionH relativeFrom="column">
              <wp:posOffset>-57150</wp:posOffset>
            </wp:positionH>
            <wp:positionV relativeFrom="paragraph">
              <wp:posOffset>41275</wp:posOffset>
            </wp:positionV>
            <wp:extent cx="9771380" cy="5200650"/>
            <wp:effectExtent l="0" t="0" r="1270" b="0"/>
            <wp:wrapTopAndBottom/>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0"/>
                    <a:stretch>
                      <a:fillRect/>
                    </a:stretch>
                  </pic:blipFill>
                  <pic:spPr>
                    <a:xfrm>
                      <a:off x="0" y="0"/>
                      <a:ext cx="9771380" cy="5200650"/>
                    </a:xfrm>
                    <a:prstGeom prst="rect">
                      <a:avLst/>
                    </a:prstGeom>
                    <a:noFill/>
                    <a:ln>
                      <a:noFill/>
                    </a:ln>
                  </pic:spPr>
                </pic:pic>
              </a:graphicData>
            </a:graphic>
          </wp:anchor>
        </w:drawing>
      </w:r>
      <w:r>
        <w:rPr>
          <w:rFonts w:hint="eastAsia" w:asciiTheme="majorEastAsia" w:hAnsiTheme="majorEastAsia" w:eastAsiaTheme="majorEastAsia" w:cstheme="majorEastAsia"/>
          <w:sz w:val="18"/>
          <w:szCs w:val="18"/>
          <w:lang w:val="en-US" w:eastAsia="zh-CN"/>
        </w:rPr>
        <w:t>注：本表</w:t>
      </w:r>
      <w:r>
        <w:rPr>
          <w:rFonts w:hint="eastAsia" w:asciiTheme="minorEastAsia" w:hAnsiTheme="minorEastAsia" w:eastAsiaTheme="minorEastAsia" w:cstheme="minorEastAsia"/>
          <w:sz w:val="18"/>
          <w:szCs w:val="15"/>
          <w:lang w:val="en-US" w:eastAsia="zh-CN"/>
        </w:rPr>
        <w:t>以“万元”为金额单位（保留两位小数），</w:t>
      </w:r>
      <w:r>
        <w:rPr>
          <w:rFonts w:hint="eastAsia" w:asciiTheme="majorEastAsia" w:hAnsiTheme="majorEastAsia" w:eastAsiaTheme="majorEastAsia" w:cstheme="majorEastAsia"/>
          <w:sz w:val="18"/>
          <w:szCs w:val="18"/>
          <w:lang w:val="en-US" w:eastAsia="zh-CN"/>
        </w:rPr>
        <w:t>反映部门本年度一般公共预算财政拨款、政府性基金预算财政拨款和国有资本经营预算财政拨款的总收支和年末结转结余情况。</w:t>
      </w:r>
    </w:p>
    <w:p>
      <w:pPr>
        <w:pStyle w:val="2"/>
        <w:spacing w:beforeLines="0"/>
        <w:jc w:val="center"/>
        <w:rPr>
          <w:rFonts w:hint="eastAsia" w:ascii="方正小标宋_GBK" w:hAnsi="方正小标宋_GBK" w:eastAsia="方正小标宋_GBK" w:cs="方正小标宋_GBK"/>
          <w:sz w:val="20"/>
          <w:szCs w:val="20"/>
          <w:lang w:val="en-US" w:eastAsia="zh-CN"/>
        </w:rPr>
      </w:pPr>
    </w:p>
    <w:p>
      <w:pPr>
        <w:pStyle w:val="2"/>
        <w:spacing w:beforeLines="0"/>
        <w:jc w:val="center"/>
        <w:rPr>
          <w:rFonts w:hint="eastAsia" w:ascii="方正小标宋_GBK" w:hAnsi="方正小标宋_GBK" w:eastAsia="方正小标宋_GBK" w:cs="方正小标宋_GBK"/>
          <w:sz w:val="20"/>
          <w:szCs w:val="20"/>
          <w:lang w:val="en-US" w:eastAsia="zh-CN"/>
        </w:rPr>
      </w:pPr>
      <w:r>
        <w:rPr>
          <w:rFonts w:hint="eastAsia" w:ascii="方正小标宋_GBK" w:hAnsi="方正小标宋_GBK" w:eastAsia="方正小标宋_GBK" w:cs="方正小标宋_GBK"/>
          <w:sz w:val="20"/>
          <w:szCs w:val="20"/>
          <w:lang w:val="en-US" w:eastAsia="zh-CN"/>
        </w:rPr>
        <w:t>财政拨款支出决算明细表</w:t>
      </w:r>
    </w:p>
    <w:p>
      <w:pPr>
        <w:pStyle w:val="2"/>
        <w:keepNext w:val="0"/>
        <w:keepLines w:val="0"/>
        <w:pageBreakBefore w:val="0"/>
        <w:widowControl w:val="0"/>
        <w:kinsoku/>
        <w:wordWrap w:val="0"/>
        <w:overflowPunct/>
        <w:topLinePunct w:val="0"/>
        <w:autoSpaceDE/>
        <w:autoSpaceDN/>
        <w:bidi w:val="0"/>
        <w:adjustRightInd/>
        <w:snapToGrid/>
        <w:spacing w:beforeLines="0" w:line="240" w:lineRule="exact"/>
        <w:jc w:val="right"/>
        <w:textAlignment w:val="auto"/>
        <w:rPr>
          <w:rFonts w:hint="default" w:asciiTheme="majorEastAsia" w:hAnsiTheme="majorEastAsia" w:eastAsiaTheme="majorEastAsia" w:cstheme="majorEastAsia"/>
          <w:sz w:val="16"/>
          <w:szCs w:val="16"/>
          <w:lang w:val="en-US" w:eastAsia="zh-CN"/>
        </w:rPr>
      </w:pPr>
      <w:r>
        <w:rPr>
          <w:rFonts w:hint="eastAsia" w:asciiTheme="majorEastAsia" w:hAnsiTheme="majorEastAsia" w:eastAsiaTheme="majorEastAsia" w:cstheme="majorEastAsia"/>
          <w:sz w:val="16"/>
          <w:szCs w:val="16"/>
          <w:lang w:val="en-US" w:eastAsia="zh-CN"/>
        </w:rPr>
        <w:t xml:space="preserve">    公开05表          </w:t>
      </w:r>
    </w:p>
    <w:p>
      <w:pPr>
        <w:pStyle w:val="2"/>
        <w:keepNext w:val="0"/>
        <w:keepLines w:val="0"/>
        <w:pageBreakBefore w:val="0"/>
        <w:widowControl w:val="0"/>
        <w:kinsoku/>
        <w:overflowPunct/>
        <w:topLinePunct w:val="0"/>
        <w:autoSpaceDE/>
        <w:autoSpaceDN/>
        <w:bidi w:val="0"/>
        <w:adjustRightInd/>
        <w:snapToGrid/>
        <w:spacing w:beforeLines="0" w:line="240" w:lineRule="exact"/>
        <w:jc w:val="left"/>
        <w:textAlignment w:val="auto"/>
        <w:rPr>
          <w:rFonts w:hint="eastAsia" w:asciiTheme="majorEastAsia" w:hAnsiTheme="majorEastAsia" w:eastAsiaTheme="majorEastAsia" w:cstheme="majorEastAsia"/>
          <w:sz w:val="18"/>
          <w:szCs w:val="18"/>
          <w:lang w:val="en-US" w:eastAsia="zh-CN"/>
        </w:rPr>
      </w:pPr>
      <w:r>
        <w:rPr>
          <w:rFonts w:hint="eastAsia" w:asciiTheme="majorEastAsia" w:hAnsiTheme="majorEastAsia" w:eastAsiaTheme="majorEastAsia" w:cstheme="majorEastAsia"/>
          <w:sz w:val="16"/>
          <w:szCs w:val="16"/>
          <w:lang w:val="en-US" w:eastAsia="zh-CN"/>
        </w:rPr>
        <w:t xml:space="preserve">部门：达州市大竹生态环境局                                                                                   金额单位：万元                                                                                       </w:t>
      </w:r>
      <w:r>
        <w:drawing>
          <wp:anchor distT="0" distB="0" distL="114300" distR="114300" simplePos="0" relativeHeight="251661312" behindDoc="0" locked="0" layoutInCell="1" allowOverlap="1">
            <wp:simplePos x="0" y="0"/>
            <wp:positionH relativeFrom="column">
              <wp:posOffset>17780</wp:posOffset>
            </wp:positionH>
            <wp:positionV relativeFrom="paragraph">
              <wp:posOffset>37465</wp:posOffset>
            </wp:positionV>
            <wp:extent cx="6577965" cy="8378190"/>
            <wp:effectExtent l="0" t="0" r="13335" b="3810"/>
            <wp:wrapTopAndBottom/>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1"/>
                    <a:stretch>
                      <a:fillRect/>
                    </a:stretch>
                  </pic:blipFill>
                  <pic:spPr>
                    <a:xfrm>
                      <a:off x="0" y="0"/>
                      <a:ext cx="6577965" cy="8378190"/>
                    </a:xfrm>
                    <a:prstGeom prst="rect">
                      <a:avLst/>
                    </a:prstGeom>
                    <a:noFill/>
                    <a:ln>
                      <a:noFill/>
                    </a:ln>
                  </pic:spPr>
                </pic:pic>
              </a:graphicData>
            </a:graphic>
          </wp:anchor>
        </w:drawing>
      </w:r>
    </w:p>
    <w:p>
      <w:pPr>
        <w:pStyle w:val="2"/>
        <w:keepNext w:val="0"/>
        <w:keepLines w:val="0"/>
        <w:pageBreakBefore w:val="0"/>
        <w:widowControl w:val="0"/>
        <w:kinsoku/>
        <w:overflowPunct/>
        <w:topLinePunct w:val="0"/>
        <w:autoSpaceDE/>
        <w:autoSpaceDN/>
        <w:bidi w:val="0"/>
        <w:adjustRightInd/>
        <w:snapToGrid/>
        <w:spacing w:beforeLines="0" w:line="240" w:lineRule="exact"/>
        <w:jc w:val="left"/>
        <w:textAlignment w:val="auto"/>
        <w:rPr>
          <w:rFonts w:hint="eastAsia" w:asciiTheme="majorEastAsia" w:hAnsiTheme="majorEastAsia" w:eastAsiaTheme="majorEastAsia" w:cstheme="majorEastAsia"/>
          <w:sz w:val="16"/>
          <w:szCs w:val="16"/>
          <w:lang w:val="en-US" w:eastAsia="zh-CN"/>
        </w:rPr>
      </w:pPr>
      <w:r>
        <w:rPr>
          <w:rFonts w:hint="eastAsia" w:asciiTheme="majorEastAsia" w:hAnsiTheme="majorEastAsia" w:eastAsiaTheme="majorEastAsia" w:cstheme="majorEastAsia"/>
          <w:sz w:val="18"/>
          <w:szCs w:val="18"/>
          <w:lang w:val="en-US" w:eastAsia="zh-CN"/>
        </w:rPr>
        <w:t>注：本表以“万元”为金额单位（保留两位小数），反映部门本年度财政拨款实际支出情况。</w:t>
      </w:r>
    </w:p>
    <w:p>
      <w:pPr>
        <w:rPr>
          <w:rFonts w:hint="eastAsia" w:ascii="方正小标宋_GBK" w:hAnsi="方正小标宋_GBK" w:eastAsia="方正小标宋_GBK" w:cs="方正小标宋_GBK"/>
          <w:sz w:val="20"/>
          <w:szCs w:val="20"/>
          <w:lang w:val="en-US" w:eastAsia="zh-CN"/>
        </w:rPr>
      </w:pPr>
      <w:r>
        <w:rPr>
          <w:rFonts w:hint="default" w:asciiTheme="majorEastAsia" w:hAnsiTheme="majorEastAsia" w:eastAsiaTheme="majorEastAsia" w:cstheme="majorEastAsia"/>
          <w:sz w:val="16"/>
          <w:szCs w:val="16"/>
          <w:lang w:val="en-US" w:eastAsia="zh-CN"/>
        </w:rPr>
        <w:br w:type="page"/>
      </w:r>
    </w:p>
    <w:p>
      <w:pPr>
        <w:pStyle w:val="2"/>
        <w:spacing w:beforeLines="0"/>
        <w:jc w:val="center"/>
        <w:rPr>
          <w:rFonts w:hint="eastAsia" w:ascii="方正小标宋_GBK" w:hAnsi="方正小标宋_GBK" w:eastAsia="方正小标宋_GBK" w:cs="方正小标宋_GBK"/>
          <w:sz w:val="21"/>
          <w:szCs w:val="21"/>
          <w:lang w:val="en-US" w:eastAsia="zh-CN"/>
        </w:rPr>
      </w:pPr>
      <w:r>
        <w:rPr>
          <w:rFonts w:hint="eastAsia" w:ascii="方正小标宋_GBK" w:hAnsi="方正小标宋_GBK" w:eastAsia="方正小标宋_GBK" w:cs="方正小标宋_GBK"/>
          <w:sz w:val="21"/>
          <w:szCs w:val="21"/>
          <w:lang w:val="en-US" w:eastAsia="zh-CN"/>
        </w:rPr>
        <w:t>一般公共预算财政拨款支出决算表</w:t>
      </w:r>
    </w:p>
    <w:p>
      <w:pPr>
        <w:pStyle w:val="2"/>
        <w:keepNext w:val="0"/>
        <w:keepLines w:val="0"/>
        <w:pageBreakBefore w:val="0"/>
        <w:widowControl w:val="0"/>
        <w:kinsoku/>
        <w:wordWrap w:val="0"/>
        <w:overflowPunct/>
        <w:topLinePunct w:val="0"/>
        <w:autoSpaceDE/>
        <w:autoSpaceDN/>
        <w:bidi w:val="0"/>
        <w:adjustRightInd/>
        <w:snapToGrid/>
        <w:spacing w:beforeLines="0" w:line="240" w:lineRule="exact"/>
        <w:jc w:val="right"/>
        <w:textAlignment w:val="auto"/>
        <w:rPr>
          <w:rFonts w:hint="default" w:asciiTheme="majorEastAsia" w:hAnsiTheme="majorEastAsia" w:eastAsiaTheme="majorEastAsia" w:cstheme="majorEastAsia"/>
          <w:sz w:val="16"/>
          <w:szCs w:val="16"/>
          <w:lang w:val="en-US" w:eastAsia="zh-CN"/>
        </w:rPr>
      </w:pPr>
      <w:r>
        <w:rPr>
          <w:rFonts w:hint="eastAsia" w:asciiTheme="majorEastAsia" w:hAnsiTheme="majorEastAsia" w:eastAsiaTheme="majorEastAsia" w:cstheme="majorEastAsia"/>
          <w:sz w:val="16"/>
          <w:szCs w:val="16"/>
          <w:lang w:val="en-US" w:eastAsia="zh-CN"/>
        </w:rPr>
        <w:t xml:space="preserve">公开06表          </w:t>
      </w:r>
    </w:p>
    <w:p>
      <w:pPr>
        <w:pStyle w:val="2"/>
        <w:keepNext w:val="0"/>
        <w:keepLines w:val="0"/>
        <w:pageBreakBefore w:val="0"/>
        <w:widowControl w:val="0"/>
        <w:kinsoku/>
        <w:overflowPunct/>
        <w:topLinePunct w:val="0"/>
        <w:autoSpaceDE/>
        <w:autoSpaceDN/>
        <w:bidi w:val="0"/>
        <w:adjustRightInd/>
        <w:snapToGrid/>
        <w:spacing w:beforeLines="0" w:line="240" w:lineRule="exact"/>
        <w:jc w:val="left"/>
        <w:textAlignment w:val="auto"/>
        <w:rPr>
          <w:rFonts w:hint="eastAsia" w:asciiTheme="majorEastAsia" w:hAnsiTheme="majorEastAsia" w:eastAsiaTheme="majorEastAsia" w:cstheme="majorEastAsia"/>
          <w:sz w:val="16"/>
          <w:szCs w:val="16"/>
          <w:lang w:val="en-US" w:eastAsia="zh-CN"/>
        </w:rPr>
      </w:pPr>
      <w:r>
        <w:rPr>
          <w:rFonts w:hint="eastAsia" w:asciiTheme="majorEastAsia" w:hAnsiTheme="majorEastAsia" w:eastAsiaTheme="majorEastAsia" w:cstheme="majorEastAsia"/>
          <w:sz w:val="16"/>
          <w:szCs w:val="16"/>
          <w:lang w:val="en-US" w:eastAsia="zh-CN"/>
        </w:rPr>
        <w:t>部门：达州市大竹生态环境局                                                                                 金额单位：万元</w:t>
      </w:r>
    </w:p>
    <w:p>
      <w:pPr>
        <w:bidi w:val="0"/>
      </w:pPr>
      <w:r>
        <w:drawing>
          <wp:inline distT="0" distB="0" distL="114300" distR="114300">
            <wp:extent cx="6553200" cy="4062730"/>
            <wp:effectExtent l="0" t="0" r="0" b="1397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2"/>
                    <a:stretch>
                      <a:fillRect/>
                    </a:stretch>
                  </pic:blipFill>
                  <pic:spPr>
                    <a:xfrm>
                      <a:off x="0" y="0"/>
                      <a:ext cx="6553200" cy="406273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Lines="0" w:line="240" w:lineRule="atLeas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注：本表</w:t>
      </w:r>
      <w:r>
        <w:rPr>
          <w:rFonts w:hint="eastAsia" w:asciiTheme="minorEastAsia" w:hAnsiTheme="minorEastAsia" w:eastAsiaTheme="minorEastAsia" w:cstheme="minorEastAsia"/>
          <w:sz w:val="18"/>
          <w:szCs w:val="15"/>
          <w:lang w:val="en-US" w:eastAsia="zh-CN"/>
        </w:rPr>
        <w:t>以“万元”为金额单位（保留两位小数），</w:t>
      </w:r>
      <w:r>
        <w:rPr>
          <w:rFonts w:hint="eastAsia" w:asciiTheme="minorEastAsia" w:hAnsiTheme="minorEastAsia" w:eastAsiaTheme="minorEastAsia" w:cstheme="minorEastAsia"/>
          <w:sz w:val="18"/>
          <w:szCs w:val="18"/>
          <w:lang w:val="en-US" w:eastAsia="zh-CN"/>
        </w:rPr>
        <w:t>反映部门本年度一般公共预算财政拨款支出情况。</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sectPr>
          <w:pgSz w:w="11906" w:h="16838"/>
          <w:pgMar w:top="720" w:right="720" w:bottom="720" w:left="720" w:header="851" w:footer="992" w:gutter="0"/>
          <w:pgNumType w:fmt="decimal"/>
          <w:cols w:space="0" w:num="1"/>
          <w:titlePg/>
          <w:rtlGutter w:val="0"/>
          <w:docGrid w:type="lines" w:linePitch="319" w:charSpace="0"/>
        </w:sectPr>
      </w:pPr>
    </w:p>
    <w:p>
      <w:pPr>
        <w:pStyle w:val="2"/>
        <w:rPr>
          <w:rFonts w:hint="eastAsia"/>
          <w:lang w:val="en-US" w:eastAsia="zh-CN"/>
        </w:rPr>
      </w:pPr>
    </w:p>
    <w:p>
      <w:pPr>
        <w:pStyle w:val="2"/>
        <w:spacing w:beforeLines="0"/>
        <w:jc w:val="center"/>
        <w:rPr>
          <w:rFonts w:hint="eastAsia" w:ascii="方正小标宋_GBK" w:hAnsi="方正小标宋_GBK" w:eastAsia="方正小标宋_GBK" w:cs="方正小标宋_GBK"/>
          <w:sz w:val="21"/>
          <w:szCs w:val="21"/>
          <w:lang w:val="en-US" w:eastAsia="zh-CN"/>
        </w:rPr>
      </w:pPr>
      <w:r>
        <w:rPr>
          <w:rFonts w:hint="eastAsia" w:ascii="方正小标宋_GBK" w:hAnsi="方正小标宋_GBK" w:eastAsia="方正小标宋_GBK" w:cs="方正小标宋_GBK"/>
          <w:sz w:val="21"/>
          <w:szCs w:val="21"/>
          <w:lang w:val="en-US" w:eastAsia="zh-CN"/>
        </w:rPr>
        <w:t>一般公共预算财政拨款支出决算明细表</w:t>
      </w:r>
    </w:p>
    <w:p>
      <w:pPr>
        <w:pStyle w:val="2"/>
        <w:keepNext w:val="0"/>
        <w:keepLines w:val="0"/>
        <w:pageBreakBefore w:val="0"/>
        <w:widowControl w:val="0"/>
        <w:kinsoku/>
        <w:wordWrap w:val="0"/>
        <w:overflowPunct/>
        <w:topLinePunct w:val="0"/>
        <w:autoSpaceDE/>
        <w:autoSpaceDN/>
        <w:bidi w:val="0"/>
        <w:adjustRightInd/>
        <w:snapToGrid/>
        <w:spacing w:beforeLines="0" w:line="240" w:lineRule="exact"/>
        <w:jc w:val="right"/>
        <w:textAlignment w:val="auto"/>
        <w:rPr>
          <w:rFonts w:hint="default" w:asciiTheme="majorEastAsia" w:hAnsiTheme="majorEastAsia" w:eastAsiaTheme="majorEastAsia" w:cstheme="majorEastAsia"/>
          <w:sz w:val="16"/>
          <w:szCs w:val="16"/>
          <w:lang w:val="en-US" w:eastAsia="zh-CN"/>
        </w:rPr>
      </w:pPr>
      <w:r>
        <w:rPr>
          <w:rFonts w:hint="eastAsia" w:asciiTheme="majorEastAsia" w:hAnsiTheme="majorEastAsia" w:eastAsiaTheme="majorEastAsia" w:cstheme="majorEastAsia"/>
          <w:sz w:val="16"/>
          <w:szCs w:val="16"/>
          <w:lang w:val="en-US" w:eastAsia="zh-CN"/>
        </w:rPr>
        <w:t xml:space="preserve">公开07表 </w:t>
      </w:r>
    </w:p>
    <w:p>
      <w:pPr>
        <w:keepNext w:val="0"/>
        <w:keepLines w:val="0"/>
        <w:pageBreakBefore w:val="0"/>
        <w:widowControl w:val="0"/>
        <w:kinsoku/>
        <w:overflowPunct/>
        <w:topLinePunct w:val="0"/>
        <w:autoSpaceDE/>
        <w:autoSpaceDN/>
        <w:bidi w:val="0"/>
        <w:adjustRightInd/>
        <w:snapToGrid/>
        <w:spacing w:line="240" w:lineRule="exact"/>
        <w:textAlignment w:val="auto"/>
        <w:rPr>
          <w:rFonts w:hint="eastAsia"/>
          <w:lang w:val="en-US" w:eastAsia="zh-CN"/>
        </w:rPr>
      </w:pPr>
      <w:r>
        <w:rPr>
          <w:rFonts w:hint="eastAsia" w:asciiTheme="majorEastAsia" w:hAnsiTheme="majorEastAsia" w:eastAsiaTheme="majorEastAsia" w:cstheme="majorEastAsia"/>
          <w:sz w:val="16"/>
          <w:szCs w:val="16"/>
          <w:lang w:val="en-US" w:eastAsia="zh-CN"/>
        </w:rPr>
        <w:t>部门：达州市大竹生态环境局                                                                                                                                                        金额单位：万元</w:t>
      </w:r>
    </w:p>
    <w:p>
      <w:pPr>
        <w:bidi w:val="0"/>
      </w:pPr>
      <w:r>
        <w:drawing>
          <wp:inline distT="0" distB="0" distL="114300" distR="114300">
            <wp:extent cx="9733915" cy="974090"/>
            <wp:effectExtent l="0" t="0" r="635" b="1651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3"/>
                    <a:stretch>
                      <a:fillRect/>
                    </a:stretch>
                  </pic:blipFill>
                  <pic:spPr>
                    <a:xfrm>
                      <a:off x="0" y="0"/>
                      <a:ext cx="9733915" cy="974090"/>
                    </a:xfrm>
                    <a:prstGeom prst="rect">
                      <a:avLst/>
                    </a:prstGeom>
                    <a:noFill/>
                    <a:ln>
                      <a:noFill/>
                    </a:ln>
                  </pic:spPr>
                </pic:pic>
              </a:graphicData>
            </a:graphic>
          </wp:inline>
        </w:drawing>
      </w:r>
    </w:p>
    <w:p>
      <w:pPr>
        <w:pStyle w:val="2"/>
      </w:pPr>
      <w:r>
        <w:drawing>
          <wp:inline distT="0" distB="0" distL="114300" distR="114300">
            <wp:extent cx="9759950" cy="1061720"/>
            <wp:effectExtent l="0" t="0" r="12700" b="508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4"/>
                    <a:stretch>
                      <a:fillRect/>
                    </a:stretch>
                  </pic:blipFill>
                  <pic:spPr>
                    <a:xfrm>
                      <a:off x="0" y="0"/>
                      <a:ext cx="9759950" cy="106172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Lines="0" w:line="240" w:lineRule="exac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注：本表以“万元”为金额单位（保留两位小数），反映部门本年度一般公共预算财政拨款实际支出情况。</w:t>
      </w:r>
    </w:p>
    <w:p>
      <w:pPr>
        <w:bidi w:val="0"/>
        <w:rPr>
          <w:rFonts w:hint="eastAsia"/>
          <w:lang w:val="en-US" w:eastAsia="zh-CN"/>
        </w:rPr>
      </w:pPr>
    </w:p>
    <w:p>
      <w:pPr>
        <w:tabs>
          <w:tab w:val="left" w:pos="1017"/>
        </w:tabs>
        <w:bidi w:val="0"/>
        <w:jc w:val="left"/>
        <w:rPr>
          <w:rFonts w:hint="eastAsia"/>
          <w:lang w:val="en-US" w:eastAsia="zh-CN"/>
        </w:rPr>
      </w:pPr>
      <w:r>
        <w:rPr>
          <w:rFonts w:hint="eastAsia"/>
          <w:lang w:val="en-US" w:eastAsia="zh-CN"/>
        </w:rPr>
        <w:tab/>
      </w:r>
    </w:p>
    <w:p>
      <w:pPr>
        <w:rPr>
          <w:rFonts w:hint="eastAsia"/>
          <w:lang w:val="en-US" w:eastAsia="zh-CN"/>
        </w:rPr>
      </w:pPr>
      <w:r>
        <w:rPr>
          <w:rFonts w:hint="eastAsia"/>
          <w:lang w:val="en-US" w:eastAsia="zh-CN"/>
        </w:rPr>
        <w:br w:type="page"/>
      </w:r>
    </w:p>
    <w:p>
      <w:pPr>
        <w:pStyle w:val="2"/>
        <w:keepNext w:val="0"/>
        <w:keepLines w:val="0"/>
        <w:pageBreakBefore w:val="0"/>
        <w:widowControl w:val="0"/>
        <w:kinsoku/>
        <w:overflowPunct/>
        <w:topLinePunct w:val="0"/>
        <w:autoSpaceDE/>
        <w:autoSpaceDN/>
        <w:bidi w:val="0"/>
        <w:adjustRightInd/>
        <w:snapToGrid/>
        <w:spacing w:beforeLines="0" w:line="240" w:lineRule="exact"/>
        <w:jc w:val="center"/>
        <w:textAlignment w:val="auto"/>
        <w:rPr>
          <w:rFonts w:hint="eastAsia" w:ascii="方正小标宋_GBK" w:hAnsi="方正小标宋_GBK" w:eastAsia="方正小标宋_GBK" w:cs="方正小标宋_GBK"/>
          <w:sz w:val="21"/>
          <w:szCs w:val="21"/>
          <w:lang w:val="en-US" w:eastAsia="zh-CN"/>
        </w:rPr>
      </w:pPr>
      <w:r>
        <w:rPr>
          <w:rFonts w:hint="eastAsia" w:ascii="方正小标宋_GBK" w:hAnsi="方正小标宋_GBK" w:eastAsia="方正小标宋_GBK" w:cs="方正小标宋_GBK"/>
          <w:sz w:val="21"/>
          <w:szCs w:val="21"/>
          <w:lang w:val="en-US" w:eastAsia="zh-CN"/>
        </w:rPr>
        <w:t>一般公共预算财政拨款基本支出决算明细表</w:t>
      </w:r>
    </w:p>
    <w:p>
      <w:pPr>
        <w:pStyle w:val="2"/>
        <w:keepNext w:val="0"/>
        <w:keepLines w:val="0"/>
        <w:pageBreakBefore w:val="0"/>
        <w:widowControl w:val="0"/>
        <w:kinsoku/>
        <w:wordWrap w:val="0"/>
        <w:overflowPunct/>
        <w:topLinePunct w:val="0"/>
        <w:autoSpaceDE/>
        <w:autoSpaceDN/>
        <w:bidi w:val="0"/>
        <w:adjustRightInd/>
        <w:snapToGrid/>
        <w:spacing w:beforeLines="0" w:line="240" w:lineRule="exact"/>
        <w:jc w:val="right"/>
        <w:textAlignment w:val="auto"/>
        <w:rPr>
          <w:rFonts w:hint="default" w:asciiTheme="majorEastAsia" w:hAnsiTheme="majorEastAsia" w:eastAsiaTheme="majorEastAsia" w:cstheme="majorEastAsia"/>
          <w:sz w:val="16"/>
          <w:szCs w:val="16"/>
          <w:lang w:val="en-US" w:eastAsia="zh-CN"/>
        </w:rPr>
      </w:pPr>
      <w:r>
        <w:rPr>
          <w:rFonts w:hint="eastAsia" w:asciiTheme="majorEastAsia" w:hAnsiTheme="majorEastAsia" w:eastAsiaTheme="majorEastAsia" w:cstheme="majorEastAsia"/>
          <w:sz w:val="16"/>
          <w:szCs w:val="16"/>
          <w:lang w:val="en-US" w:eastAsia="zh-CN"/>
        </w:rPr>
        <w:t xml:space="preserve">公开08表 </w:t>
      </w:r>
    </w:p>
    <w:p>
      <w:pPr>
        <w:keepNext w:val="0"/>
        <w:keepLines w:val="0"/>
        <w:pageBreakBefore w:val="0"/>
        <w:widowControl w:val="0"/>
        <w:kinsoku/>
        <w:overflowPunct/>
        <w:topLinePunct w:val="0"/>
        <w:autoSpaceDE/>
        <w:autoSpaceDN/>
        <w:bidi w:val="0"/>
        <w:adjustRightInd/>
        <w:snapToGrid/>
        <w:spacing w:line="240" w:lineRule="exact"/>
        <w:textAlignment w:val="auto"/>
      </w:pPr>
      <w:r>
        <w:rPr>
          <w:rFonts w:hint="eastAsia" w:asciiTheme="majorEastAsia" w:hAnsiTheme="majorEastAsia" w:eastAsiaTheme="majorEastAsia" w:cstheme="majorEastAsia"/>
          <w:sz w:val="16"/>
          <w:szCs w:val="16"/>
          <w:lang w:val="en-US" w:eastAsia="zh-CN"/>
        </w:rPr>
        <w:t>部门：达州市大竹生态环境局                                                                                                                                                        金额单位：万元</w:t>
      </w:r>
    </w:p>
    <w:p>
      <w:pPr>
        <w:pStyle w:val="2"/>
        <w:keepNext w:val="0"/>
        <w:keepLines w:val="0"/>
        <w:pageBreakBefore w:val="0"/>
        <w:widowControl w:val="0"/>
        <w:kinsoku/>
        <w:wordWrap/>
        <w:overflowPunct/>
        <w:topLinePunct w:val="0"/>
        <w:autoSpaceDE/>
        <w:autoSpaceDN/>
        <w:bidi w:val="0"/>
        <w:adjustRightInd/>
        <w:snapToGrid/>
        <w:spacing w:beforeLines="0"/>
        <w:textAlignment w:val="auto"/>
        <w:rPr>
          <w:rFonts w:hAnsi="Times New Roman" w:cs="Times New Roman"/>
        </w:rPr>
      </w:pPr>
      <w:r>
        <w:rPr>
          <w:rFonts w:hAnsi="Times New Roman" w:cs="Times New Roman"/>
        </w:rPr>
        <w:drawing>
          <wp:inline distT="0" distB="0" distL="114300" distR="114300">
            <wp:extent cx="9658350" cy="5042535"/>
            <wp:effectExtent l="0" t="0" r="0" b="571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5"/>
                    <a:stretch>
                      <a:fillRect/>
                    </a:stretch>
                  </pic:blipFill>
                  <pic:spPr>
                    <a:xfrm>
                      <a:off x="0" y="0"/>
                      <a:ext cx="9658350" cy="5042535"/>
                    </a:xfrm>
                    <a:prstGeom prst="rect">
                      <a:avLst/>
                    </a:prstGeom>
                    <a:noFill/>
                    <a:ln>
                      <a:noFill/>
                    </a:ln>
                  </pic:spPr>
                </pic:pic>
              </a:graphicData>
            </a:graphic>
          </wp:inline>
        </w:drawing>
      </w:r>
    </w:p>
    <w:p>
      <w:pPr>
        <w:jc w:val="left"/>
        <w:rPr>
          <w:rFonts w:hint="eastAsia"/>
          <w:lang w:val="en-US" w:eastAsia="zh-CN"/>
        </w:rPr>
      </w:pPr>
      <w:r>
        <w:rPr>
          <w:rFonts w:hint="eastAsia"/>
          <w:sz w:val="18"/>
          <w:szCs w:val="21"/>
          <w:lang w:val="en-US" w:eastAsia="zh-CN"/>
        </w:rPr>
        <w:t>注：本表</w:t>
      </w:r>
      <w:r>
        <w:rPr>
          <w:rFonts w:hint="eastAsia" w:asciiTheme="minorEastAsia" w:hAnsiTheme="minorEastAsia" w:eastAsiaTheme="minorEastAsia" w:cstheme="minorEastAsia"/>
          <w:sz w:val="18"/>
          <w:szCs w:val="15"/>
          <w:lang w:val="en-US" w:eastAsia="zh-CN"/>
        </w:rPr>
        <w:t>以“万元”为金额单位（保留两位小数），</w:t>
      </w:r>
      <w:r>
        <w:rPr>
          <w:rFonts w:hint="eastAsia"/>
          <w:sz w:val="18"/>
          <w:szCs w:val="21"/>
          <w:lang w:val="en-US" w:eastAsia="zh-CN"/>
        </w:rPr>
        <w:t>反映部门本年度一般公共预算财政拨款基本支出明细情况。</w:t>
      </w:r>
      <w:r>
        <w:rPr>
          <w:rFonts w:hint="eastAsia"/>
          <w:lang w:val="en-US" w:eastAsia="zh-CN"/>
        </w:rPr>
        <w:br w:type="page"/>
      </w:r>
    </w:p>
    <w:p>
      <w:pPr>
        <w:pStyle w:val="2"/>
        <w:spacing w:beforeLines="0"/>
        <w:jc w:val="both"/>
        <w:rPr>
          <w:rFonts w:hint="eastAsia" w:ascii="方正小标宋_GBK" w:hAnsi="方正小标宋_GBK" w:eastAsia="方正小标宋_GBK" w:cs="方正小标宋_GBK"/>
          <w:sz w:val="20"/>
          <w:szCs w:val="20"/>
          <w:lang w:val="en-US" w:eastAsia="zh-CN"/>
        </w:rPr>
      </w:pPr>
      <w:r>
        <w:rPr>
          <w:rFonts w:hint="eastAsia" w:asciiTheme="majorEastAsia" w:hAnsiTheme="majorEastAsia" w:eastAsiaTheme="majorEastAsia" w:cstheme="majorEastAsia"/>
          <w:sz w:val="16"/>
          <w:szCs w:val="16"/>
          <w:lang w:val="en-US" w:eastAsia="zh-CN"/>
        </w:rPr>
        <w:t xml:space="preserve">                                  </w:t>
      </w:r>
      <w:r>
        <w:rPr>
          <w:rFonts w:hint="eastAsia" w:ascii="方正小标宋_GBK" w:hAnsi="方正小标宋_GBK" w:eastAsia="方正小标宋_GBK" w:cs="方正小标宋_GBK"/>
          <w:sz w:val="21"/>
          <w:szCs w:val="21"/>
          <w:lang w:val="en-US" w:eastAsia="zh-CN"/>
        </w:rPr>
        <w:t>一般公共预算财政拨款项目支出决算明细表</w:t>
      </w:r>
    </w:p>
    <w:p>
      <w:pPr>
        <w:pStyle w:val="2"/>
        <w:keepNext w:val="0"/>
        <w:keepLines w:val="0"/>
        <w:pageBreakBefore w:val="0"/>
        <w:widowControl w:val="0"/>
        <w:kinsoku/>
        <w:wordWrap w:val="0"/>
        <w:overflowPunct/>
        <w:topLinePunct w:val="0"/>
        <w:autoSpaceDE/>
        <w:autoSpaceDN/>
        <w:bidi w:val="0"/>
        <w:adjustRightInd/>
        <w:snapToGrid/>
        <w:spacing w:beforeLines="0" w:line="240" w:lineRule="exact"/>
        <w:jc w:val="right"/>
        <w:textAlignment w:val="auto"/>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 xml:space="preserve">公开09表                                                                                     </w:t>
      </w:r>
    </w:p>
    <w:p>
      <w:pPr>
        <w:keepNext w:val="0"/>
        <w:keepLines w:val="0"/>
        <w:pageBreakBefore w:val="0"/>
        <w:widowControl w:val="0"/>
        <w:kinsoku/>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sz w:val="16"/>
          <w:szCs w:val="16"/>
          <w:lang w:val="en-US" w:eastAsia="zh-CN"/>
        </w:rPr>
      </w:pPr>
      <w:r>
        <w:rPr>
          <w:rFonts w:hint="eastAsia" w:asciiTheme="minorEastAsia" w:hAnsiTheme="minorEastAsia" w:eastAsiaTheme="minorEastAsia" w:cstheme="minorEastAsia"/>
          <w:sz w:val="16"/>
          <w:szCs w:val="16"/>
          <w:lang w:val="en-US" w:eastAsia="zh-CN"/>
        </w:rPr>
        <w:t>部门：达州市大竹生态环境局                                                                    金额单位：万元</w:t>
      </w:r>
    </w:p>
    <w:p>
      <w:pPr>
        <w:jc w:val="left"/>
      </w:pPr>
      <w:r>
        <w:drawing>
          <wp:inline distT="0" distB="0" distL="114300" distR="114300">
            <wp:extent cx="7477125" cy="2714625"/>
            <wp:effectExtent l="0" t="0" r="9525" b="952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26"/>
                    <a:stretch>
                      <a:fillRect/>
                    </a:stretch>
                  </pic:blipFill>
                  <pic:spPr>
                    <a:xfrm>
                      <a:off x="0" y="0"/>
                      <a:ext cx="7477125" cy="27146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注：本表以“万元”为金额单位（保留两位小数），反映部门本年度一般公共预算财政拨款项目支出收支明细</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情况。</w:t>
      </w:r>
    </w:p>
    <w:p>
      <w:pPr>
        <w:pStyle w:val="2"/>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sz w:val="18"/>
          <w:szCs w:val="18"/>
          <w:lang w:val="en-US" w:eastAsia="zh-CN"/>
        </w:rPr>
      </w:pPr>
    </w:p>
    <w:p>
      <w:pPr>
        <w:pStyle w:val="2"/>
      </w:pPr>
    </w:p>
    <w:p>
      <w:pPr>
        <w:jc w:val="left"/>
        <w:rPr>
          <w:rFonts w:hint="eastAsia"/>
          <w:lang w:val="en-US" w:eastAsia="zh-CN"/>
        </w:rPr>
      </w:pPr>
      <w:r>
        <w:rPr>
          <w:rFonts w:hint="eastAsia"/>
          <w:lang w:val="en-US" w:eastAsia="zh-CN"/>
        </w:rPr>
        <w:br w:type="page"/>
      </w:r>
    </w:p>
    <w:p>
      <w:pPr>
        <w:pStyle w:val="2"/>
        <w:keepNext w:val="0"/>
        <w:keepLines w:val="0"/>
        <w:pageBreakBefore w:val="0"/>
        <w:widowControl w:val="0"/>
        <w:kinsoku/>
        <w:overflowPunct/>
        <w:topLinePunct w:val="0"/>
        <w:autoSpaceDE/>
        <w:autoSpaceDN/>
        <w:bidi w:val="0"/>
        <w:adjustRightInd/>
        <w:snapToGrid/>
        <w:spacing w:beforeLines="0" w:line="240" w:lineRule="exact"/>
        <w:jc w:val="center"/>
        <w:textAlignment w:val="auto"/>
        <w:rPr>
          <w:rFonts w:hint="eastAsia" w:ascii="方正小标宋_GBK" w:hAnsi="方正小标宋_GBK" w:eastAsia="方正小标宋_GBK" w:cs="方正小标宋_GBK"/>
          <w:sz w:val="21"/>
          <w:szCs w:val="21"/>
          <w:lang w:val="en-US" w:eastAsia="zh-CN"/>
        </w:rPr>
      </w:pPr>
      <w:r>
        <w:rPr>
          <w:rFonts w:hint="eastAsia" w:ascii="方正小标宋_GBK" w:hAnsi="方正小标宋_GBK" w:eastAsia="方正小标宋_GBK" w:cs="方正小标宋_GBK"/>
          <w:sz w:val="21"/>
          <w:szCs w:val="21"/>
          <w:lang w:val="en-US" w:eastAsia="zh-CN"/>
        </w:rPr>
        <w:t>政府性基金预算财政拨款收入支出决算表</w:t>
      </w:r>
    </w:p>
    <w:p>
      <w:pPr>
        <w:pStyle w:val="2"/>
        <w:keepNext w:val="0"/>
        <w:keepLines w:val="0"/>
        <w:pageBreakBefore w:val="0"/>
        <w:widowControl w:val="0"/>
        <w:kinsoku/>
        <w:wordWrap w:val="0"/>
        <w:overflowPunct/>
        <w:topLinePunct w:val="0"/>
        <w:autoSpaceDE/>
        <w:autoSpaceDN/>
        <w:bidi w:val="0"/>
        <w:adjustRightInd/>
        <w:snapToGrid/>
        <w:spacing w:beforeLines="0" w:line="240" w:lineRule="exact"/>
        <w:jc w:val="right"/>
        <w:textAlignment w:val="auto"/>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 xml:space="preserve">公开10表 </w:t>
      </w:r>
    </w:p>
    <w:p>
      <w:pPr>
        <w:keepNext w:val="0"/>
        <w:keepLines w:val="0"/>
        <w:pageBreakBefore w:val="0"/>
        <w:widowControl w:val="0"/>
        <w:kinsoku/>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z w:val="16"/>
          <w:szCs w:val="16"/>
          <w:lang w:val="en-US" w:eastAsia="zh-CN"/>
        </w:rPr>
        <w:t>部门：达州市大竹生态环境局                                                                                                                                                        金额单位：万元</w:t>
      </w:r>
    </w:p>
    <w:p>
      <w:r>
        <w:drawing>
          <wp:inline distT="0" distB="0" distL="114300" distR="114300">
            <wp:extent cx="9772650" cy="746760"/>
            <wp:effectExtent l="0" t="0" r="0" b="1524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27"/>
                    <a:stretch>
                      <a:fillRect/>
                    </a:stretch>
                  </pic:blipFill>
                  <pic:spPr>
                    <a:xfrm>
                      <a:off x="0" y="0"/>
                      <a:ext cx="9772650" cy="746760"/>
                    </a:xfrm>
                    <a:prstGeom prst="rect">
                      <a:avLst/>
                    </a:prstGeom>
                    <a:noFill/>
                    <a:ln>
                      <a:noFill/>
                    </a:ln>
                  </pic:spPr>
                </pic:pic>
              </a:graphicData>
            </a:graphic>
          </wp:inline>
        </w:drawing>
      </w:r>
    </w:p>
    <w:p>
      <w:pPr>
        <w:rPr>
          <w:rFonts w:hint="eastAsia"/>
          <w:sz w:val="18"/>
          <w:szCs w:val="21"/>
          <w:lang w:val="en-US" w:eastAsia="zh-CN"/>
        </w:rPr>
      </w:pPr>
      <w:r>
        <w:rPr>
          <w:rFonts w:hint="eastAsia"/>
          <w:sz w:val="18"/>
          <w:szCs w:val="21"/>
          <w:lang w:val="en-US" w:eastAsia="zh-CN"/>
        </w:rPr>
        <w:t>注：本表</w:t>
      </w:r>
      <w:r>
        <w:rPr>
          <w:rFonts w:hint="eastAsia" w:asciiTheme="minorEastAsia" w:hAnsiTheme="minorEastAsia" w:eastAsiaTheme="minorEastAsia" w:cstheme="minorEastAsia"/>
          <w:sz w:val="18"/>
          <w:szCs w:val="15"/>
          <w:lang w:val="en-US" w:eastAsia="zh-CN"/>
        </w:rPr>
        <w:t>以“万元”为金额单位（保留两位小数），</w:t>
      </w:r>
      <w:r>
        <w:rPr>
          <w:rFonts w:hint="eastAsia"/>
          <w:sz w:val="18"/>
          <w:szCs w:val="21"/>
          <w:lang w:val="en-US" w:eastAsia="zh-CN"/>
        </w:rPr>
        <w:t>反映部门本年度政府性基金预算财政拨款收入、支出及结转和结余情况。</w:t>
      </w:r>
    </w:p>
    <w:p>
      <w:pPr>
        <w:rPr>
          <w:rFonts w:hint="eastAsia"/>
          <w:lang w:val="en-US" w:eastAsia="zh-CN"/>
        </w:rPr>
      </w:pPr>
      <w:r>
        <w:rPr>
          <w:rFonts w:hint="eastAsia"/>
          <w:sz w:val="18"/>
          <w:szCs w:val="21"/>
          <w:lang w:val="en-US" w:eastAsia="zh-CN"/>
        </w:rPr>
        <w:t>说明：本表无数据。</w:t>
      </w:r>
      <w:r>
        <w:rPr>
          <w:rFonts w:hint="eastAsia"/>
          <w:lang w:val="en-US" w:eastAsia="zh-CN"/>
        </w:rPr>
        <w:br w:type="page"/>
      </w:r>
    </w:p>
    <w:p>
      <w:pPr>
        <w:pStyle w:val="2"/>
        <w:keepNext w:val="0"/>
        <w:keepLines w:val="0"/>
        <w:pageBreakBefore w:val="0"/>
        <w:widowControl w:val="0"/>
        <w:kinsoku/>
        <w:overflowPunct/>
        <w:topLinePunct w:val="0"/>
        <w:autoSpaceDE/>
        <w:autoSpaceDN/>
        <w:bidi w:val="0"/>
        <w:adjustRightInd/>
        <w:snapToGrid/>
        <w:spacing w:beforeLines="0" w:line="240" w:lineRule="exact"/>
        <w:ind w:firstLine="4620" w:firstLineChars="2200"/>
        <w:jc w:val="left"/>
        <w:textAlignment w:val="auto"/>
        <w:rPr>
          <w:rFonts w:hint="eastAsia" w:ascii="方正小标宋_GBK" w:hAnsi="方正小标宋_GBK" w:eastAsia="方正小标宋_GBK" w:cs="方正小标宋_GBK"/>
          <w:sz w:val="21"/>
          <w:szCs w:val="21"/>
          <w:lang w:val="en-US" w:eastAsia="zh-CN"/>
        </w:rPr>
      </w:pPr>
      <w:r>
        <w:rPr>
          <w:rFonts w:hint="eastAsia" w:ascii="方正小标宋_GBK" w:hAnsi="方正小标宋_GBK" w:eastAsia="方正小标宋_GBK" w:cs="方正小标宋_GBK"/>
          <w:sz w:val="21"/>
          <w:szCs w:val="21"/>
          <w:lang w:val="en-US" w:eastAsia="zh-CN"/>
        </w:rPr>
        <w:t>国有资本经营预算财政拨款收入支出决算表</w:t>
      </w:r>
    </w:p>
    <w:p>
      <w:pPr>
        <w:pStyle w:val="2"/>
        <w:keepNext w:val="0"/>
        <w:keepLines w:val="0"/>
        <w:pageBreakBefore w:val="0"/>
        <w:widowControl w:val="0"/>
        <w:kinsoku/>
        <w:wordWrap w:val="0"/>
        <w:overflowPunct/>
        <w:topLinePunct w:val="0"/>
        <w:autoSpaceDE/>
        <w:autoSpaceDN/>
        <w:bidi w:val="0"/>
        <w:adjustRightInd/>
        <w:snapToGrid/>
        <w:spacing w:beforeLines="0" w:line="240" w:lineRule="exact"/>
        <w:jc w:val="right"/>
        <w:textAlignment w:val="auto"/>
        <w:rPr>
          <w:rFonts w:hint="default" w:asciiTheme="majorEastAsia" w:hAnsiTheme="majorEastAsia" w:eastAsiaTheme="majorEastAsia" w:cstheme="majorEastAsia"/>
          <w:sz w:val="16"/>
          <w:szCs w:val="16"/>
          <w:lang w:val="en-US" w:eastAsia="zh-CN"/>
        </w:rPr>
      </w:pPr>
      <w:r>
        <w:rPr>
          <w:rFonts w:hint="eastAsia" w:asciiTheme="majorEastAsia" w:hAnsiTheme="majorEastAsia" w:eastAsiaTheme="majorEastAsia" w:cstheme="majorEastAsia"/>
          <w:sz w:val="16"/>
          <w:szCs w:val="16"/>
          <w:lang w:val="en-US" w:eastAsia="zh-CN"/>
        </w:rPr>
        <w:t xml:space="preserve">公开11表                                  </w:t>
      </w:r>
    </w:p>
    <w:p>
      <w:pPr>
        <w:keepNext w:val="0"/>
        <w:keepLines w:val="0"/>
        <w:pageBreakBefore w:val="0"/>
        <w:widowControl w:val="0"/>
        <w:kinsoku/>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sz w:val="16"/>
          <w:szCs w:val="16"/>
          <w:lang w:val="en-US" w:eastAsia="zh-CN"/>
        </w:rPr>
      </w:pPr>
      <w:r>
        <w:rPr>
          <w:rFonts w:hint="eastAsia" w:asciiTheme="majorEastAsia" w:hAnsiTheme="majorEastAsia" w:eastAsiaTheme="majorEastAsia" w:cstheme="majorEastAsia"/>
          <w:sz w:val="16"/>
          <w:szCs w:val="16"/>
          <w:lang w:val="en-US" w:eastAsia="zh-CN"/>
        </w:rPr>
        <w:t>部门：达州市大竹生态环境局                                                                                                                       金额单位：万元</w:t>
      </w:r>
    </w:p>
    <w:p>
      <w:r>
        <w:drawing>
          <wp:inline distT="0" distB="0" distL="114300" distR="114300">
            <wp:extent cx="8334375" cy="933450"/>
            <wp:effectExtent l="0" t="0" r="9525" b="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8"/>
                    <a:stretch>
                      <a:fillRect/>
                    </a:stretch>
                  </pic:blipFill>
                  <pic:spPr>
                    <a:xfrm>
                      <a:off x="0" y="0"/>
                      <a:ext cx="8334375" cy="933450"/>
                    </a:xfrm>
                    <a:prstGeom prst="rect">
                      <a:avLst/>
                    </a:prstGeom>
                    <a:noFill/>
                    <a:ln>
                      <a:noFill/>
                    </a:ln>
                  </pic:spPr>
                </pic:pic>
              </a:graphicData>
            </a:graphic>
          </wp:inline>
        </w:drawing>
      </w:r>
    </w:p>
    <w:p>
      <w:pPr>
        <w:rPr>
          <w:rFonts w:hint="eastAsia"/>
          <w:sz w:val="18"/>
          <w:szCs w:val="18"/>
          <w:lang w:val="en-US" w:eastAsia="zh-CN"/>
        </w:rPr>
      </w:pPr>
      <w:r>
        <w:rPr>
          <w:rFonts w:hint="eastAsia"/>
          <w:sz w:val="18"/>
          <w:szCs w:val="18"/>
          <w:lang w:val="en-US" w:eastAsia="zh-CN"/>
        </w:rPr>
        <w:t>注：本表以“万元”为金额单位（保留两位小数），本表反映部门本年度国有资本经营预算财政拨款收入、支出及结转和结余情况。</w:t>
      </w:r>
    </w:p>
    <w:p>
      <w:pPr>
        <w:rPr>
          <w:rFonts w:hint="eastAsia"/>
          <w:lang w:val="en-US" w:eastAsia="zh-CN"/>
        </w:rPr>
      </w:pPr>
      <w:r>
        <w:rPr>
          <w:rFonts w:hint="eastAsia"/>
          <w:sz w:val="18"/>
          <w:szCs w:val="18"/>
          <w:lang w:val="en-US" w:eastAsia="zh-CN"/>
        </w:rPr>
        <w:t>说明：本表无数据。</w:t>
      </w:r>
      <w:r>
        <w:rPr>
          <w:rFonts w:hint="eastAsia"/>
          <w:lang w:val="en-US" w:eastAsia="zh-CN"/>
        </w:rPr>
        <w:br w:type="page"/>
      </w:r>
    </w:p>
    <w:p>
      <w:pPr>
        <w:pStyle w:val="2"/>
        <w:keepNext w:val="0"/>
        <w:keepLines w:val="0"/>
        <w:pageBreakBefore w:val="0"/>
        <w:widowControl w:val="0"/>
        <w:kinsoku/>
        <w:overflowPunct/>
        <w:topLinePunct w:val="0"/>
        <w:autoSpaceDE/>
        <w:autoSpaceDN/>
        <w:bidi w:val="0"/>
        <w:adjustRightInd/>
        <w:snapToGrid/>
        <w:spacing w:beforeLines="0" w:line="240" w:lineRule="exact"/>
        <w:ind w:firstLine="4620" w:firstLineChars="2200"/>
        <w:jc w:val="left"/>
        <w:textAlignment w:val="auto"/>
        <w:rPr>
          <w:rFonts w:hint="eastAsia" w:ascii="方正小标宋_GBK" w:hAnsi="方正小标宋_GBK" w:eastAsia="方正小标宋_GBK" w:cs="方正小标宋_GBK"/>
          <w:sz w:val="21"/>
          <w:szCs w:val="21"/>
          <w:lang w:val="en-US" w:eastAsia="zh-CN"/>
        </w:rPr>
      </w:pPr>
      <w:r>
        <w:rPr>
          <w:rFonts w:hint="eastAsia" w:ascii="方正小标宋_GBK" w:hAnsi="方正小标宋_GBK" w:eastAsia="方正小标宋_GBK" w:cs="方正小标宋_GBK"/>
          <w:sz w:val="21"/>
          <w:szCs w:val="21"/>
          <w:lang w:val="en-US" w:eastAsia="zh-CN"/>
        </w:rPr>
        <w:t>国有资本经营预算财政拨款支出决算表</w:t>
      </w:r>
    </w:p>
    <w:p>
      <w:pPr>
        <w:pStyle w:val="2"/>
        <w:keepNext w:val="0"/>
        <w:keepLines w:val="0"/>
        <w:pageBreakBefore w:val="0"/>
        <w:widowControl w:val="0"/>
        <w:kinsoku/>
        <w:wordWrap w:val="0"/>
        <w:overflowPunct/>
        <w:topLinePunct w:val="0"/>
        <w:autoSpaceDE/>
        <w:autoSpaceDN/>
        <w:bidi w:val="0"/>
        <w:adjustRightInd/>
        <w:snapToGrid/>
        <w:spacing w:beforeLines="0" w:line="240" w:lineRule="exact"/>
        <w:jc w:val="right"/>
        <w:textAlignment w:val="auto"/>
        <w:rPr>
          <w:rFonts w:hint="default" w:asciiTheme="majorEastAsia" w:hAnsiTheme="majorEastAsia" w:eastAsiaTheme="majorEastAsia" w:cstheme="majorEastAsia"/>
          <w:sz w:val="16"/>
          <w:szCs w:val="16"/>
          <w:lang w:val="en-US" w:eastAsia="zh-CN"/>
        </w:rPr>
      </w:pPr>
      <w:r>
        <w:rPr>
          <w:rFonts w:hint="eastAsia" w:asciiTheme="majorEastAsia" w:hAnsiTheme="majorEastAsia" w:eastAsiaTheme="majorEastAsia" w:cstheme="majorEastAsia"/>
          <w:sz w:val="16"/>
          <w:szCs w:val="16"/>
          <w:lang w:val="en-US" w:eastAsia="zh-CN"/>
        </w:rPr>
        <w:t xml:space="preserve">公开12表                                  </w:t>
      </w:r>
    </w:p>
    <w:p>
      <w:pPr>
        <w:keepNext w:val="0"/>
        <w:keepLines w:val="0"/>
        <w:pageBreakBefore w:val="0"/>
        <w:widowControl w:val="0"/>
        <w:kinsoku/>
        <w:overflowPunct/>
        <w:topLinePunct w:val="0"/>
        <w:autoSpaceDE/>
        <w:autoSpaceDN/>
        <w:bidi w:val="0"/>
        <w:adjustRightInd/>
        <w:snapToGrid/>
        <w:spacing w:line="240" w:lineRule="exact"/>
        <w:textAlignment w:val="auto"/>
        <w:rPr>
          <w:rFonts w:hint="eastAsia" w:asciiTheme="majorEastAsia" w:hAnsiTheme="majorEastAsia" w:eastAsiaTheme="majorEastAsia" w:cstheme="majorEastAsia"/>
          <w:sz w:val="16"/>
          <w:szCs w:val="16"/>
          <w:lang w:val="en-US" w:eastAsia="zh-CN"/>
        </w:rPr>
      </w:pPr>
      <w:r>
        <w:rPr>
          <w:rFonts w:hint="eastAsia" w:asciiTheme="majorEastAsia" w:hAnsiTheme="majorEastAsia" w:eastAsiaTheme="majorEastAsia" w:cstheme="majorEastAsia"/>
          <w:sz w:val="16"/>
          <w:szCs w:val="16"/>
          <w:lang w:val="en-US" w:eastAsia="zh-CN"/>
        </w:rPr>
        <w:t>部门：达州市大竹生态环境局                                                                                                                       金额单位：万元</w:t>
      </w:r>
    </w:p>
    <w:p>
      <w:pPr>
        <w:pStyle w:val="2"/>
        <w:keepNext w:val="0"/>
        <w:keepLines w:val="0"/>
        <w:pageBreakBefore w:val="0"/>
        <w:widowControl w:val="0"/>
        <w:kinsoku/>
        <w:wordWrap/>
        <w:overflowPunct/>
        <w:topLinePunct w:val="0"/>
        <w:autoSpaceDE/>
        <w:autoSpaceDN/>
        <w:bidi w:val="0"/>
        <w:adjustRightInd/>
        <w:snapToGrid/>
        <w:spacing w:beforeLines="0"/>
        <w:textAlignment w:val="auto"/>
      </w:pPr>
      <w:r>
        <w:drawing>
          <wp:inline distT="0" distB="0" distL="114300" distR="114300">
            <wp:extent cx="8286750" cy="1019175"/>
            <wp:effectExtent l="0" t="0" r="0" b="9525"/>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29"/>
                    <a:stretch>
                      <a:fillRect/>
                    </a:stretch>
                  </pic:blipFill>
                  <pic:spPr>
                    <a:xfrm>
                      <a:off x="0" y="0"/>
                      <a:ext cx="8286750" cy="101917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Lines="0"/>
        <w:textAlignment w:val="auto"/>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注：本表</w:t>
      </w:r>
      <w:r>
        <w:rPr>
          <w:rFonts w:hint="eastAsia" w:asciiTheme="minorEastAsia" w:hAnsiTheme="minorEastAsia" w:eastAsiaTheme="minorEastAsia" w:cstheme="minorEastAsia"/>
          <w:sz w:val="18"/>
          <w:szCs w:val="15"/>
          <w:lang w:val="en-US" w:eastAsia="zh-CN"/>
        </w:rPr>
        <w:t>以“万元”为金额单位（保留两位小数），</w:t>
      </w:r>
      <w:r>
        <w:rPr>
          <w:rFonts w:hint="eastAsia" w:asciiTheme="minorEastAsia" w:hAnsiTheme="minorEastAsia" w:eastAsiaTheme="minorEastAsia" w:cstheme="minorEastAsia"/>
          <w:sz w:val="18"/>
          <w:szCs w:val="18"/>
        </w:rPr>
        <w:t>反映部门本年度国有资本经营预算财政拨款支出情况</w:t>
      </w:r>
      <w:r>
        <w:rPr>
          <w:rFonts w:hint="eastAsia" w:asciiTheme="minorEastAsia" w:hAnsiTheme="minorEastAsia" w:eastAsiaTheme="minorEastAsia" w:cstheme="minorEastAsia"/>
          <w:sz w:val="18"/>
          <w:szCs w:val="18"/>
          <w:lang w:eastAsia="zh-CN"/>
        </w:rPr>
        <w:t>。</w:t>
      </w:r>
    </w:p>
    <w:p>
      <w:pPr>
        <w:pStyle w:val="2"/>
        <w:keepNext w:val="0"/>
        <w:keepLines w:val="0"/>
        <w:pageBreakBefore w:val="0"/>
        <w:widowControl w:val="0"/>
        <w:kinsoku/>
        <w:wordWrap/>
        <w:overflowPunct/>
        <w:topLinePunct w:val="0"/>
        <w:autoSpaceDE/>
        <w:autoSpaceDN/>
        <w:bidi w:val="0"/>
        <w:adjustRightInd/>
        <w:snapToGrid/>
        <w:spacing w:beforeLines="0"/>
        <w:textAlignment w:val="auto"/>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说明：本表无数据。</w:t>
      </w:r>
    </w:p>
    <w:p>
      <w:pPr>
        <w:rPr>
          <w:rFonts w:hint="eastAsia"/>
          <w:lang w:val="en-US" w:eastAsia="zh-CN"/>
        </w:rPr>
      </w:pPr>
      <w:r>
        <w:rPr>
          <w:rFonts w:hint="eastAsia"/>
          <w:lang w:val="en-US" w:eastAsia="zh-CN"/>
        </w:rPr>
        <w:br w:type="page"/>
      </w:r>
    </w:p>
    <w:p>
      <w:pPr>
        <w:pStyle w:val="2"/>
        <w:keepNext w:val="0"/>
        <w:keepLines w:val="0"/>
        <w:pageBreakBefore w:val="0"/>
        <w:widowControl w:val="0"/>
        <w:kinsoku/>
        <w:overflowPunct/>
        <w:topLinePunct w:val="0"/>
        <w:autoSpaceDE/>
        <w:autoSpaceDN/>
        <w:bidi w:val="0"/>
        <w:adjustRightInd/>
        <w:snapToGrid/>
        <w:spacing w:beforeLines="0" w:line="240" w:lineRule="exact"/>
        <w:jc w:val="center"/>
        <w:textAlignment w:val="auto"/>
        <w:rPr>
          <w:rFonts w:hint="eastAsia" w:ascii="方正小标宋_GBK" w:hAnsi="方正小标宋_GBK" w:eastAsia="方正小标宋_GBK" w:cs="方正小标宋_GBK"/>
          <w:sz w:val="21"/>
          <w:szCs w:val="21"/>
          <w:lang w:val="en-US" w:eastAsia="zh-CN"/>
        </w:rPr>
      </w:pPr>
      <w:r>
        <w:rPr>
          <w:rFonts w:hint="eastAsia" w:ascii="方正小标宋_GBK" w:hAnsi="方正小标宋_GBK" w:eastAsia="方正小标宋_GBK" w:cs="方正小标宋_GBK"/>
          <w:sz w:val="21"/>
          <w:szCs w:val="21"/>
          <w:lang w:val="en-US" w:eastAsia="zh-CN"/>
        </w:rPr>
        <w:t>财政拨款“三公”经费支出决算表</w:t>
      </w:r>
    </w:p>
    <w:p>
      <w:pPr>
        <w:pStyle w:val="2"/>
        <w:keepNext w:val="0"/>
        <w:keepLines w:val="0"/>
        <w:pageBreakBefore w:val="0"/>
        <w:widowControl w:val="0"/>
        <w:kinsoku/>
        <w:wordWrap w:val="0"/>
        <w:overflowPunct/>
        <w:topLinePunct w:val="0"/>
        <w:autoSpaceDE/>
        <w:autoSpaceDN/>
        <w:bidi w:val="0"/>
        <w:adjustRightInd/>
        <w:snapToGrid/>
        <w:spacing w:beforeLines="0" w:line="240" w:lineRule="exact"/>
        <w:jc w:val="right"/>
        <w:textAlignment w:val="auto"/>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 xml:space="preserve">公开10表 </w:t>
      </w:r>
    </w:p>
    <w:p>
      <w:pPr>
        <w:pStyle w:val="2"/>
        <w:keepNext w:val="0"/>
        <w:keepLines w:val="0"/>
        <w:pageBreakBefore w:val="0"/>
        <w:widowControl w:val="0"/>
        <w:kinsoku/>
        <w:wordWrap/>
        <w:overflowPunct/>
        <w:topLinePunct w:val="0"/>
        <w:autoSpaceDE/>
        <w:autoSpaceDN/>
        <w:bidi w:val="0"/>
        <w:adjustRightInd/>
        <w:snapToGrid/>
        <w:spacing w:beforeLines="0" w:line="240" w:lineRule="exact"/>
        <w:textAlignment w:val="auto"/>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部门：达州市大竹生态环境局                                                                                                                                                        金额单位：万元</w:t>
      </w:r>
    </w:p>
    <w:p>
      <w:pPr>
        <w:pStyle w:val="2"/>
        <w:keepNext w:val="0"/>
        <w:keepLines w:val="0"/>
        <w:pageBreakBefore w:val="0"/>
        <w:widowControl w:val="0"/>
        <w:kinsoku/>
        <w:wordWrap/>
        <w:overflowPunct/>
        <w:topLinePunct w:val="0"/>
        <w:autoSpaceDE/>
        <w:autoSpaceDN/>
        <w:bidi w:val="0"/>
        <w:adjustRightInd/>
        <w:snapToGrid/>
        <w:spacing w:beforeLines="0"/>
        <w:textAlignment w:val="auto"/>
      </w:pPr>
      <w:r>
        <w:drawing>
          <wp:inline distT="0" distB="0" distL="114300" distR="114300">
            <wp:extent cx="9756775" cy="415925"/>
            <wp:effectExtent l="0" t="0" r="15875" b="317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30"/>
                    <a:stretch>
                      <a:fillRect/>
                    </a:stretch>
                  </pic:blipFill>
                  <pic:spPr>
                    <a:xfrm>
                      <a:off x="0" y="0"/>
                      <a:ext cx="9756775" cy="41592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Lines="0"/>
        <w:textAlignment w:val="auto"/>
        <w:rPr>
          <w:rFonts w:hint="eastAsia" w:asciiTheme="minorEastAsia" w:hAnsiTheme="minorEastAsia" w:eastAsiaTheme="minorEastAsia" w:cstheme="minorEastAsia"/>
          <w:sz w:val="18"/>
          <w:szCs w:val="15"/>
        </w:rPr>
      </w:pPr>
      <w:r>
        <w:rPr>
          <w:rFonts w:hint="eastAsia" w:asciiTheme="minorEastAsia" w:hAnsiTheme="minorEastAsia" w:eastAsiaTheme="minorEastAsia" w:cstheme="minorEastAsia"/>
          <w:sz w:val="18"/>
          <w:szCs w:val="15"/>
        </w:rPr>
        <w:t>注：本表</w:t>
      </w:r>
      <w:r>
        <w:rPr>
          <w:rFonts w:hint="eastAsia" w:asciiTheme="minorEastAsia" w:hAnsiTheme="minorEastAsia" w:eastAsiaTheme="minorEastAsia" w:cstheme="minorEastAsia"/>
          <w:sz w:val="18"/>
          <w:szCs w:val="15"/>
          <w:lang w:val="en-US" w:eastAsia="zh-CN"/>
        </w:rPr>
        <w:t>以“万元”为金额单位（保留两位小数），</w:t>
      </w:r>
      <w:r>
        <w:rPr>
          <w:rFonts w:hint="eastAsia" w:asciiTheme="minorEastAsia" w:hAnsiTheme="minorEastAsia" w:eastAsiaTheme="minorEastAsia" w:cstheme="minorEastAsia"/>
          <w:sz w:val="18"/>
          <w:szCs w:val="15"/>
        </w:rPr>
        <w:t>反映部门本年度财政拨款“三公”经费支出预决算情况。其中，预算数为“三公”经费全年预算数，反映按规定程序调整后的预算数；决算数是包括当年财政拨款和以前年度结转资金安排的实际支出。</w:t>
      </w:r>
    </w:p>
    <w:p>
      <w:pPr>
        <w:pStyle w:val="2"/>
        <w:keepNext w:val="0"/>
        <w:keepLines w:val="0"/>
        <w:pageBreakBefore w:val="0"/>
        <w:widowControl w:val="0"/>
        <w:kinsoku/>
        <w:wordWrap/>
        <w:overflowPunct/>
        <w:topLinePunct w:val="0"/>
        <w:autoSpaceDE/>
        <w:autoSpaceDN/>
        <w:bidi w:val="0"/>
        <w:adjustRightInd/>
        <w:snapToGrid/>
        <w:spacing w:beforeLines="0"/>
        <w:textAlignment w:val="auto"/>
        <w:rPr>
          <w:rFonts w:hint="eastAsia"/>
          <w:lang w:val="en-US" w:eastAsia="zh-CN"/>
        </w:rPr>
      </w:pPr>
    </w:p>
    <w:sectPr>
      <w:pgSz w:w="16838" w:h="11906" w:orient="landscape"/>
      <w:pgMar w:top="720" w:right="720" w:bottom="720" w:left="720" w:header="851" w:footer="992" w:gutter="0"/>
      <w:pgNumType w:fmt="decimal"/>
      <w:cols w:space="0" w:num="1"/>
      <w:titlePg/>
      <w:rtlGutter w:val="0"/>
      <w:docGrid w:type="lines" w:linePitch="32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6A7FEF7-4FB4-4913-A770-865891F58DE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6731093C-EA24-4906-999B-3ACAA8D69A9A}"/>
  </w:font>
  <w:font w:name="仿宋_GB2312">
    <w:panose1 w:val="02010609030101010101"/>
    <w:charset w:val="86"/>
    <w:family w:val="modern"/>
    <w:pitch w:val="default"/>
    <w:sig w:usb0="00000001" w:usb1="080E0000" w:usb2="00000000" w:usb3="00000000" w:csb0="00040000" w:csb1="00000000"/>
    <w:embedRegular r:id="rId3" w:fontKey="{5D7B8871-9200-447E-9926-0A47FC39EDC5}"/>
  </w:font>
  <w:font w:name="仿宋">
    <w:panose1 w:val="02010609060101010101"/>
    <w:charset w:val="86"/>
    <w:family w:val="modern"/>
    <w:pitch w:val="default"/>
    <w:sig w:usb0="800002BF" w:usb1="38CF7CFA" w:usb2="00000016" w:usb3="00000000" w:csb0="00040001" w:csb1="00000000"/>
    <w:embedRegular r:id="rId4" w:fontKey="{94735B2E-96F9-4E04-A004-2EA8757655C9}"/>
  </w:font>
  <w:font w:name="方正小标宋_GBK">
    <w:panose1 w:val="03000509000000000000"/>
    <w:charset w:val="86"/>
    <w:family w:val="auto"/>
    <w:pitch w:val="default"/>
    <w:sig w:usb0="00000001" w:usb1="080E0000" w:usb2="00000000" w:usb3="00000000" w:csb0="00040000" w:csb1="00000000"/>
    <w:embedRegular r:id="rId5" w:fontKey="{C85DA40C-6528-413A-BF3B-DCB7969FAA66}"/>
  </w:font>
  <w:font w:name="方正楷体_GB2312">
    <w:altName w:val="楷体_GB2312"/>
    <w:panose1 w:val="02000000000000000000"/>
    <w:charset w:val="86"/>
    <w:family w:val="auto"/>
    <w:pitch w:val="default"/>
    <w:sig w:usb0="00000000" w:usb1="00000000" w:usb2="00000012" w:usb3="00000000" w:csb0="00040001" w:csb1="00000000"/>
    <w:embedRegular r:id="rId6" w:fontKey="{1C2F5471-447A-4C1D-9938-EA84F89E6812}"/>
  </w:font>
  <w:font w:name="方正仿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7" w:fontKey="{BEE273DC-50DD-4C5F-82BA-2A07584CD86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sdtPr>
                          <w:sdtContent>
                            <w:p>
                              <w:pPr>
                                <w:pStyle w:val="12"/>
                                <w:jc w:val="center"/>
                              </w:pPr>
                              <w:r>
                                <w:fldChar w:fldCharType="begin"/>
                              </w:r>
                              <w:r>
                                <w:instrText xml:space="preserve">PAGE   \* MERGEFORMAT</w:instrText>
                              </w:r>
                              <w:r>
                                <w:fldChar w:fldCharType="separate"/>
                              </w:r>
                              <w:r>
                                <w:rPr>
                                  <w:lang w:val="zh-CN"/>
                                </w:rPr>
                                <w:t>8</w:t>
                              </w:r>
                              <w:r>
                                <w:fldChar w:fldCharType="end"/>
                              </w:r>
                            </w:p>
                          </w:sdtContent>
                        </w:sdt>
                        <w:p>
                          <w:pPr>
                            <w:pStyle w:val="6"/>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kHQ0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kHQ0VAgAAFQQAAA4AAAAAAAAA&#10;AQAgAAAAHwEAAGRycy9lMm9Eb2MueG1sUEsFBgAAAAAGAAYAWQEAAKYFAAAAAA==&#10;">
              <v:fill on="f" focussize="0,0"/>
              <v:stroke on="f" weight="0.5pt"/>
              <v:imagedata o:title=""/>
              <o:lock v:ext="edit" aspectratio="f"/>
              <v:textbox inset="0mm,0mm,0mm,0mm" style="mso-fit-shape-to-text:t;">
                <w:txbxContent>
                  <w:sdt>
                    <w:sdtPr>
                      <w:id w:val="-1994781956"/>
                    </w:sdtPr>
                    <w:sdtContent>
                      <w:p>
                        <w:pPr>
                          <w:pStyle w:val="12"/>
                          <w:jc w:val="center"/>
                        </w:pPr>
                        <w:r>
                          <w:fldChar w:fldCharType="begin"/>
                        </w:r>
                        <w:r>
                          <w:instrText xml:space="preserve">PAGE   \* MERGEFORMAT</w:instrText>
                        </w:r>
                        <w:r>
                          <w:fldChar w:fldCharType="separate"/>
                        </w:r>
                        <w:r>
                          <w:rPr>
                            <w:lang w:val="zh-CN"/>
                          </w:rPr>
                          <w:t>8</w:t>
                        </w:r>
                        <w:r>
                          <w:fldChar w:fldCharType="end"/>
                        </w:r>
                      </w:p>
                    </w:sdtContent>
                  </w:sdt>
                  <w:p>
                    <w:pPr>
                      <w:pStyle w:val="6"/>
                    </w:pPr>
                  </w:p>
                </w:txbxContent>
              </v:textbox>
            </v:shape>
          </w:pict>
        </mc:Fallback>
      </mc:AlternateContent>
    </w:r>
  </w:p>
  <w:p>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2">
    <w:nsid w:val="1272550B"/>
    <w:multiLevelType w:val="multilevel"/>
    <w:tmpl w:val="1272550B"/>
    <w:lvl w:ilvl="0" w:tentative="0">
      <w:start w:val="1"/>
      <w:numFmt w:val="japaneseCounting"/>
      <w:lvlText w:val="%1、"/>
      <w:lvlJc w:val="left"/>
      <w:pPr>
        <w:ind w:left="135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HorizontalSpacing w:val="105"/>
  <w:drawingGridVerticalSpacing w:val="16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yZmMyNmJmNTU5YjkzMzIzMGM2MjVmMmQ0Mjk1MWEifQ=="/>
  </w:docVars>
  <w:rsids>
    <w:rsidRoot w:val="00172A27"/>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A324E9"/>
    <w:rsid w:val="02104022"/>
    <w:rsid w:val="02804781"/>
    <w:rsid w:val="0313597B"/>
    <w:rsid w:val="038A5CBF"/>
    <w:rsid w:val="04912ACD"/>
    <w:rsid w:val="04E83035"/>
    <w:rsid w:val="04EC5FA1"/>
    <w:rsid w:val="0503619E"/>
    <w:rsid w:val="05051262"/>
    <w:rsid w:val="051A66FF"/>
    <w:rsid w:val="052F278A"/>
    <w:rsid w:val="058A5E9A"/>
    <w:rsid w:val="064C58F4"/>
    <w:rsid w:val="064F66D0"/>
    <w:rsid w:val="070A0FB6"/>
    <w:rsid w:val="079051CE"/>
    <w:rsid w:val="093A6304"/>
    <w:rsid w:val="09994F63"/>
    <w:rsid w:val="09EC3026"/>
    <w:rsid w:val="0A2032A3"/>
    <w:rsid w:val="0A334D52"/>
    <w:rsid w:val="0A642EF8"/>
    <w:rsid w:val="0AC2719D"/>
    <w:rsid w:val="0AC41309"/>
    <w:rsid w:val="0B483E9D"/>
    <w:rsid w:val="0B8A37D8"/>
    <w:rsid w:val="0C4E2D9B"/>
    <w:rsid w:val="0CA6783E"/>
    <w:rsid w:val="0CA67C78"/>
    <w:rsid w:val="0CC1096F"/>
    <w:rsid w:val="0CF46EE0"/>
    <w:rsid w:val="0D477772"/>
    <w:rsid w:val="0E01381C"/>
    <w:rsid w:val="100D5D9A"/>
    <w:rsid w:val="105F4C46"/>
    <w:rsid w:val="106141CB"/>
    <w:rsid w:val="10830601"/>
    <w:rsid w:val="10C055FF"/>
    <w:rsid w:val="11315C41"/>
    <w:rsid w:val="118107EC"/>
    <w:rsid w:val="11DD6519"/>
    <w:rsid w:val="12A060A0"/>
    <w:rsid w:val="133D09EF"/>
    <w:rsid w:val="13A75E69"/>
    <w:rsid w:val="14381579"/>
    <w:rsid w:val="15866285"/>
    <w:rsid w:val="15CC7C19"/>
    <w:rsid w:val="15DC6BB3"/>
    <w:rsid w:val="15E32AE6"/>
    <w:rsid w:val="15F32F2A"/>
    <w:rsid w:val="16BB723D"/>
    <w:rsid w:val="16D82999"/>
    <w:rsid w:val="16E3365C"/>
    <w:rsid w:val="17855862"/>
    <w:rsid w:val="179B7A92"/>
    <w:rsid w:val="17B91E87"/>
    <w:rsid w:val="18015F3F"/>
    <w:rsid w:val="18652784"/>
    <w:rsid w:val="186654EF"/>
    <w:rsid w:val="18CA00F8"/>
    <w:rsid w:val="19836A30"/>
    <w:rsid w:val="1A014B3C"/>
    <w:rsid w:val="1B593387"/>
    <w:rsid w:val="1B9C14FB"/>
    <w:rsid w:val="1BCA7CE3"/>
    <w:rsid w:val="1BE8440E"/>
    <w:rsid w:val="1D155CEE"/>
    <w:rsid w:val="1D9E348E"/>
    <w:rsid w:val="1DFB7338"/>
    <w:rsid w:val="1E392547"/>
    <w:rsid w:val="1EC56ACD"/>
    <w:rsid w:val="1F5667AB"/>
    <w:rsid w:val="204C4020"/>
    <w:rsid w:val="20F57F95"/>
    <w:rsid w:val="214A2820"/>
    <w:rsid w:val="215F5FD5"/>
    <w:rsid w:val="2219696F"/>
    <w:rsid w:val="22D239F4"/>
    <w:rsid w:val="23A11AC8"/>
    <w:rsid w:val="240371BF"/>
    <w:rsid w:val="248037C2"/>
    <w:rsid w:val="24A27EC1"/>
    <w:rsid w:val="24C13436"/>
    <w:rsid w:val="24C3240F"/>
    <w:rsid w:val="255E782B"/>
    <w:rsid w:val="25C26B32"/>
    <w:rsid w:val="25C741E6"/>
    <w:rsid w:val="263C7598"/>
    <w:rsid w:val="26D66D39"/>
    <w:rsid w:val="27842671"/>
    <w:rsid w:val="28254BE0"/>
    <w:rsid w:val="282E7077"/>
    <w:rsid w:val="283C5301"/>
    <w:rsid w:val="286D55A2"/>
    <w:rsid w:val="288B5901"/>
    <w:rsid w:val="291F4A13"/>
    <w:rsid w:val="29A355EF"/>
    <w:rsid w:val="29BD40AE"/>
    <w:rsid w:val="29FD04D3"/>
    <w:rsid w:val="2A06225A"/>
    <w:rsid w:val="2A930A9D"/>
    <w:rsid w:val="2ABE7A3E"/>
    <w:rsid w:val="2AD6021E"/>
    <w:rsid w:val="2AE86910"/>
    <w:rsid w:val="2B0C35B0"/>
    <w:rsid w:val="2C583C14"/>
    <w:rsid w:val="2D3866C7"/>
    <w:rsid w:val="2D982BAC"/>
    <w:rsid w:val="2E5C5D76"/>
    <w:rsid w:val="2EFA178C"/>
    <w:rsid w:val="2F066385"/>
    <w:rsid w:val="2F6E5408"/>
    <w:rsid w:val="30502ADC"/>
    <w:rsid w:val="30962CF8"/>
    <w:rsid w:val="30981123"/>
    <w:rsid w:val="30A45562"/>
    <w:rsid w:val="30A74DBA"/>
    <w:rsid w:val="30B46D73"/>
    <w:rsid w:val="31083F93"/>
    <w:rsid w:val="319A7E57"/>
    <w:rsid w:val="319F7F4E"/>
    <w:rsid w:val="31AE1BC2"/>
    <w:rsid w:val="32276572"/>
    <w:rsid w:val="32D52F2A"/>
    <w:rsid w:val="33E45355"/>
    <w:rsid w:val="341501CF"/>
    <w:rsid w:val="3517210B"/>
    <w:rsid w:val="35E40250"/>
    <w:rsid w:val="361433DA"/>
    <w:rsid w:val="3697114F"/>
    <w:rsid w:val="375159CA"/>
    <w:rsid w:val="377B1375"/>
    <w:rsid w:val="381D6FDB"/>
    <w:rsid w:val="38860F57"/>
    <w:rsid w:val="38F00BB2"/>
    <w:rsid w:val="3905700A"/>
    <w:rsid w:val="39AE70AB"/>
    <w:rsid w:val="3A330458"/>
    <w:rsid w:val="3A377CAA"/>
    <w:rsid w:val="3A603230"/>
    <w:rsid w:val="3AC73D3A"/>
    <w:rsid w:val="3ACC045B"/>
    <w:rsid w:val="3BCB44F6"/>
    <w:rsid w:val="3BD76CB6"/>
    <w:rsid w:val="3BFF3D55"/>
    <w:rsid w:val="3C0C0783"/>
    <w:rsid w:val="3C126CFF"/>
    <w:rsid w:val="3D6B75E0"/>
    <w:rsid w:val="3D7E6C00"/>
    <w:rsid w:val="3DEC3DEC"/>
    <w:rsid w:val="3E5720B6"/>
    <w:rsid w:val="3E7B6399"/>
    <w:rsid w:val="3EC05B5C"/>
    <w:rsid w:val="3F2253B6"/>
    <w:rsid w:val="3F397A0D"/>
    <w:rsid w:val="3F9F3A96"/>
    <w:rsid w:val="40501396"/>
    <w:rsid w:val="4131552A"/>
    <w:rsid w:val="41662610"/>
    <w:rsid w:val="41696860"/>
    <w:rsid w:val="42D50E19"/>
    <w:rsid w:val="430420E0"/>
    <w:rsid w:val="43165F32"/>
    <w:rsid w:val="44753538"/>
    <w:rsid w:val="45383A0F"/>
    <w:rsid w:val="462E5B29"/>
    <w:rsid w:val="47C00CCC"/>
    <w:rsid w:val="48247721"/>
    <w:rsid w:val="489F2FD7"/>
    <w:rsid w:val="48BF5427"/>
    <w:rsid w:val="48D8709A"/>
    <w:rsid w:val="493C27E9"/>
    <w:rsid w:val="496F39ED"/>
    <w:rsid w:val="49F746C9"/>
    <w:rsid w:val="49FF41D3"/>
    <w:rsid w:val="4A58168F"/>
    <w:rsid w:val="4AC06D1D"/>
    <w:rsid w:val="4AD91BAD"/>
    <w:rsid w:val="4AF62C56"/>
    <w:rsid w:val="4BE068DB"/>
    <w:rsid w:val="4BF46279"/>
    <w:rsid w:val="4BF6002B"/>
    <w:rsid w:val="4C12586E"/>
    <w:rsid w:val="4C5D6D52"/>
    <w:rsid w:val="4C673035"/>
    <w:rsid w:val="4CC90623"/>
    <w:rsid w:val="4D98449C"/>
    <w:rsid w:val="4DBC3243"/>
    <w:rsid w:val="4E754DC9"/>
    <w:rsid w:val="4ECE2238"/>
    <w:rsid w:val="4EFD14F8"/>
    <w:rsid w:val="4F5B752C"/>
    <w:rsid w:val="501C315F"/>
    <w:rsid w:val="5105062B"/>
    <w:rsid w:val="51705511"/>
    <w:rsid w:val="51DB4B86"/>
    <w:rsid w:val="52555459"/>
    <w:rsid w:val="53646E1B"/>
    <w:rsid w:val="5365037B"/>
    <w:rsid w:val="537946CE"/>
    <w:rsid w:val="54381B2A"/>
    <w:rsid w:val="54F41FB5"/>
    <w:rsid w:val="55016CEF"/>
    <w:rsid w:val="55333C3E"/>
    <w:rsid w:val="55F26AC3"/>
    <w:rsid w:val="56E3092F"/>
    <w:rsid w:val="578857FD"/>
    <w:rsid w:val="5885516D"/>
    <w:rsid w:val="59D46859"/>
    <w:rsid w:val="5A277D54"/>
    <w:rsid w:val="5A557999"/>
    <w:rsid w:val="5AC021DC"/>
    <w:rsid w:val="5ADF3794"/>
    <w:rsid w:val="5B12588A"/>
    <w:rsid w:val="5B977B3E"/>
    <w:rsid w:val="5BAE24DB"/>
    <w:rsid w:val="5C304F05"/>
    <w:rsid w:val="5C731040"/>
    <w:rsid w:val="5C950521"/>
    <w:rsid w:val="5D2A3EF4"/>
    <w:rsid w:val="5DE66B11"/>
    <w:rsid w:val="5E113649"/>
    <w:rsid w:val="5F991C7B"/>
    <w:rsid w:val="5FF730C6"/>
    <w:rsid w:val="60B70BB1"/>
    <w:rsid w:val="612509EF"/>
    <w:rsid w:val="61DD5961"/>
    <w:rsid w:val="62515E41"/>
    <w:rsid w:val="63352116"/>
    <w:rsid w:val="63842600"/>
    <w:rsid w:val="64294BC9"/>
    <w:rsid w:val="64CA39A1"/>
    <w:rsid w:val="65B00D5D"/>
    <w:rsid w:val="65E41BD1"/>
    <w:rsid w:val="66334195"/>
    <w:rsid w:val="663D12E2"/>
    <w:rsid w:val="6646288C"/>
    <w:rsid w:val="68407038"/>
    <w:rsid w:val="68FF25EE"/>
    <w:rsid w:val="69285399"/>
    <w:rsid w:val="696E6D5D"/>
    <w:rsid w:val="697C3D79"/>
    <w:rsid w:val="6A5F669B"/>
    <w:rsid w:val="6AB1004F"/>
    <w:rsid w:val="6AB730F3"/>
    <w:rsid w:val="6ABE200F"/>
    <w:rsid w:val="6ABF352E"/>
    <w:rsid w:val="6B6B38EE"/>
    <w:rsid w:val="6B7741C5"/>
    <w:rsid w:val="6B7E377C"/>
    <w:rsid w:val="6B905823"/>
    <w:rsid w:val="6BD422E0"/>
    <w:rsid w:val="6C4A05C8"/>
    <w:rsid w:val="6C6B74A5"/>
    <w:rsid w:val="6C6E79A6"/>
    <w:rsid w:val="6CA37225"/>
    <w:rsid w:val="6CF272CA"/>
    <w:rsid w:val="6CFB4368"/>
    <w:rsid w:val="6D483E82"/>
    <w:rsid w:val="70311C02"/>
    <w:rsid w:val="70D72A5F"/>
    <w:rsid w:val="72734D90"/>
    <w:rsid w:val="72FA147C"/>
    <w:rsid w:val="73E10EE1"/>
    <w:rsid w:val="742D0BE7"/>
    <w:rsid w:val="743738F4"/>
    <w:rsid w:val="74E051D7"/>
    <w:rsid w:val="75181898"/>
    <w:rsid w:val="75706FDE"/>
    <w:rsid w:val="75B570E6"/>
    <w:rsid w:val="75D67109"/>
    <w:rsid w:val="768C43DE"/>
    <w:rsid w:val="76E00193"/>
    <w:rsid w:val="76F433E5"/>
    <w:rsid w:val="77565351"/>
    <w:rsid w:val="7798281C"/>
    <w:rsid w:val="78EE7FB1"/>
    <w:rsid w:val="793B5FD5"/>
    <w:rsid w:val="794F772B"/>
    <w:rsid w:val="79E7B28D"/>
    <w:rsid w:val="7A802114"/>
    <w:rsid w:val="7A9E7086"/>
    <w:rsid w:val="7AB13ECC"/>
    <w:rsid w:val="7ABC0A67"/>
    <w:rsid w:val="7B37287F"/>
    <w:rsid w:val="7B6D0775"/>
    <w:rsid w:val="7CDE0CA4"/>
    <w:rsid w:val="7D267B68"/>
    <w:rsid w:val="7D6A4526"/>
    <w:rsid w:val="7D975247"/>
    <w:rsid w:val="7E202F82"/>
    <w:rsid w:val="7E27538E"/>
    <w:rsid w:val="7E9E7B50"/>
    <w:rsid w:val="7EF65DBB"/>
    <w:rsid w:val="7F9F20EE"/>
    <w:rsid w:val="9E3A10E2"/>
    <w:rsid w:val="F2E1F9D4"/>
    <w:rsid w:val="F78808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99"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4"/>
    <w:unhideWhenUsed/>
    <w:qFormat/>
    <w:uiPriority w:val="9"/>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27"/>
    <w:qFormat/>
    <w:uiPriority w:val="99"/>
    <w:pPr>
      <w:spacing w:beforeLines="30"/>
    </w:pPr>
    <w:rPr>
      <w:rFonts w:ascii="仿宋_GB2312" w:eastAsia="仿宋_GB2312"/>
      <w:kern w:val="0"/>
      <w:sz w:val="30"/>
    </w:rPr>
  </w:style>
  <w:style w:type="paragraph" w:styleId="6">
    <w:name w:val="Normal Indent"/>
    <w:basedOn w:val="1"/>
    <w:qFormat/>
    <w:uiPriority w:val="0"/>
    <w:pPr>
      <w:ind w:firstLine="420" w:firstLineChars="200"/>
    </w:pPr>
  </w:style>
  <w:style w:type="paragraph" w:styleId="7">
    <w:name w:val="Body Text Indent"/>
    <w:basedOn w:val="1"/>
    <w:next w:val="8"/>
    <w:qFormat/>
    <w:uiPriority w:val="0"/>
    <w:pPr>
      <w:ind w:firstLine="640" w:firstLineChars="200"/>
    </w:pPr>
    <w:rPr>
      <w:rFonts w:eastAsia="仿宋_GB2312"/>
      <w:sz w:val="32"/>
    </w:rPr>
  </w:style>
  <w:style w:type="paragraph" w:styleId="8">
    <w:name w:val="Body Text First Indent 2"/>
    <w:basedOn w:val="7"/>
    <w:next w:val="1"/>
    <w:unhideWhenUsed/>
    <w:qFormat/>
    <w:uiPriority w:val="99"/>
    <w:pPr>
      <w:widowControl/>
      <w:spacing w:line="360" w:lineRule="auto"/>
      <w:ind w:firstLine="420" w:firstLineChars="200"/>
    </w:pPr>
    <w:rPr>
      <w:rFonts w:eastAsia="黑体"/>
      <w:sz w:val="28"/>
      <w:lang w:bidi="en-US"/>
    </w:rPr>
  </w:style>
  <w:style w:type="paragraph" w:styleId="9">
    <w:name w:val="toc 3"/>
    <w:basedOn w:val="1"/>
    <w:next w:val="1"/>
    <w:unhideWhenUsed/>
    <w:qFormat/>
    <w:uiPriority w:val="39"/>
    <w:pPr>
      <w:tabs>
        <w:tab w:val="right" w:leader="dot" w:pos="8296"/>
      </w:tabs>
      <w:ind w:left="840" w:leftChars="400"/>
    </w:pPr>
  </w:style>
  <w:style w:type="paragraph" w:styleId="10">
    <w:name w:val="Plain Text"/>
    <w:basedOn w:val="1"/>
    <w:qFormat/>
    <w:uiPriority w:val="0"/>
    <w:rPr>
      <w:rFonts w:ascii="宋体" w:hAnsi="Courier New" w:eastAsia="宋体" w:cs="Courier New"/>
      <w:sz w:val="21"/>
      <w:szCs w:val="21"/>
    </w:rPr>
  </w:style>
  <w:style w:type="paragraph" w:styleId="11">
    <w:name w:val="Balloon Text"/>
    <w:basedOn w:val="1"/>
    <w:link w:val="33"/>
    <w:semiHidden/>
    <w:unhideWhenUsed/>
    <w:qFormat/>
    <w:uiPriority w:val="99"/>
    <w:rPr>
      <w:sz w:val="18"/>
      <w:szCs w:val="18"/>
    </w:rPr>
  </w:style>
  <w:style w:type="paragraph" w:styleId="12">
    <w:name w:val="footer"/>
    <w:basedOn w:val="1"/>
    <w:link w:val="25"/>
    <w:qFormat/>
    <w:uiPriority w:val="99"/>
    <w:pPr>
      <w:tabs>
        <w:tab w:val="center" w:pos="4153"/>
        <w:tab w:val="right" w:pos="8306"/>
      </w:tabs>
      <w:snapToGrid w:val="0"/>
      <w:jc w:val="left"/>
    </w:pPr>
    <w:rPr>
      <w:rFonts w:ascii="Calibri" w:hAnsi="Calibri"/>
      <w:kern w:val="0"/>
      <w:sz w:val="18"/>
      <w:szCs w:val="18"/>
    </w:rPr>
  </w:style>
  <w:style w:type="paragraph" w:styleId="13">
    <w:name w:val="header"/>
    <w:basedOn w:val="1"/>
    <w:link w:val="23"/>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4">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5">
    <w:name w:val="toc 2"/>
    <w:basedOn w:val="1"/>
    <w:next w:val="1"/>
    <w:unhideWhenUsed/>
    <w:qFormat/>
    <w:uiPriority w:val="39"/>
    <w:pPr>
      <w:tabs>
        <w:tab w:val="right" w:leader="dot" w:pos="8296"/>
      </w:tabs>
      <w:ind w:left="420" w:leftChars="200"/>
    </w:pPr>
  </w:style>
  <w:style w:type="paragraph" w:styleId="1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9">
    <w:name w:val="Strong"/>
    <w:basedOn w:val="18"/>
    <w:qFormat/>
    <w:uiPriority w:val="99"/>
    <w:rPr>
      <w:b/>
    </w:rPr>
  </w:style>
  <w:style w:type="character" w:styleId="20">
    <w:name w:val="FollowedHyperlink"/>
    <w:basedOn w:val="18"/>
    <w:semiHidden/>
    <w:unhideWhenUsed/>
    <w:qFormat/>
    <w:uiPriority w:val="99"/>
    <w:rPr>
      <w:color w:val="800080"/>
      <w:u w:val="single"/>
    </w:rPr>
  </w:style>
  <w:style w:type="character" w:styleId="21">
    <w:name w:val="Hyperlink"/>
    <w:basedOn w:val="18"/>
    <w:unhideWhenUsed/>
    <w:qFormat/>
    <w:uiPriority w:val="99"/>
    <w:rPr>
      <w:color w:val="0000FF" w:themeColor="hyperlink"/>
      <w:u w:val="single"/>
      <w14:textFill>
        <w14:solidFill>
          <w14:schemeClr w14:val="hlink"/>
        </w14:solidFill>
      </w14:textFill>
    </w:rPr>
  </w:style>
  <w:style w:type="character" w:customStyle="1" w:styleId="22">
    <w:name w:val="Header Char"/>
    <w:basedOn w:val="18"/>
    <w:semiHidden/>
    <w:qFormat/>
    <w:uiPriority w:val="99"/>
    <w:rPr>
      <w:rFonts w:ascii="Times New Roman" w:hAnsi="Times New Roman"/>
      <w:sz w:val="18"/>
      <w:szCs w:val="18"/>
    </w:rPr>
  </w:style>
  <w:style w:type="character" w:customStyle="1" w:styleId="23">
    <w:name w:val="页眉 Char"/>
    <w:link w:val="13"/>
    <w:semiHidden/>
    <w:qFormat/>
    <w:locked/>
    <w:uiPriority w:val="99"/>
    <w:rPr>
      <w:sz w:val="18"/>
    </w:rPr>
  </w:style>
  <w:style w:type="character" w:customStyle="1" w:styleId="24">
    <w:name w:val="Footer Char"/>
    <w:basedOn w:val="18"/>
    <w:semiHidden/>
    <w:qFormat/>
    <w:uiPriority w:val="99"/>
    <w:rPr>
      <w:rFonts w:ascii="Times New Roman" w:hAnsi="Times New Roman"/>
      <w:sz w:val="18"/>
      <w:szCs w:val="18"/>
    </w:rPr>
  </w:style>
  <w:style w:type="character" w:customStyle="1" w:styleId="25">
    <w:name w:val="页脚 Char"/>
    <w:link w:val="12"/>
    <w:qFormat/>
    <w:locked/>
    <w:uiPriority w:val="99"/>
    <w:rPr>
      <w:sz w:val="18"/>
    </w:rPr>
  </w:style>
  <w:style w:type="character" w:customStyle="1" w:styleId="26">
    <w:name w:val="Body Text Char"/>
    <w:basedOn w:val="18"/>
    <w:semiHidden/>
    <w:qFormat/>
    <w:uiPriority w:val="99"/>
    <w:rPr>
      <w:rFonts w:ascii="Times New Roman" w:hAnsi="Times New Roman"/>
      <w:szCs w:val="24"/>
    </w:rPr>
  </w:style>
  <w:style w:type="character" w:customStyle="1" w:styleId="27">
    <w:name w:val="正文文本 Char"/>
    <w:link w:val="2"/>
    <w:qFormat/>
    <w:locked/>
    <w:uiPriority w:val="99"/>
    <w:rPr>
      <w:rFonts w:ascii="仿宋_GB2312" w:hAnsi="Times New Roman" w:eastAsia="仿宋_GB2312"/>
      <w:sz w:val="24"/>
    </w:rPr>
  </w:style>
  <w:style w:type="paragraph" w:customStyle="1" w:styleId="28">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9">
    <w:name w:val="List Paragraph"/>
    <w:basedOn w:val="1"/>
    <w:qFormat/>
    <w:uiPriority w:val="34"/>
    <w:pPr>
      <w:ind w:firstLine="420" w:firstLineChars="200"/>
    </w:pPr>
  </w:style>
  <w:style w:type="character" w:customStyle="1" w:styleId="30">
    <w:name w:val="标题 1 Char"/>
    <w:basedOn w:val="18"/>
    <w:link w:val="3"/>
    <w:qFormat/>
    <w:uiPriority w:val="9"/>
    <w:rPr>
      <w:rFonts w:ascii="Times New Roman" w:hAnsi="Times New Roman"/>
      <w:b/>
      <w:bCs/>
      <w:kern w:val="44"/>
      <w:sz w:val="44"/>
      <w:szCs w:val="44"/>
    </w:rPr>
  </w:style>
  <w:style w:type="character" w:customStyle="1" w:styleId="31">
    <w:name w:val="标题 2 Char"/>
    <w:basedOn w:val="18"/>
    <w:link w:val="4"/>
    <w:qFormat/>
    <w:uiPriority w:val="9"/>
    <w:rPr>
      <w:rFonts w:asciiTheme="majorHAnsi" w:hAnsiTheme="majorHAnsi" w:eastAsiaTheme="majorEastAsia" w:cstheme="majorBidi"/>
      <w:b/>
      <w:bCs/>
      <w:kern w:val="2"/>
      <w:sz w:val="32"/>
      <w:szCs w:val="32"/>
    </w:rPr>
  </w:style>
  <w:style w:type="paragraph" w:customStyle="1" w:styleId="32">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3">
    <w:name w:val="批注框文本 Char"/>
    <w:basedOn w:val="18"/>
    <w:link w:val="11"/>
    <w:semiHidden/>
    <w:qFormat/>
    <w:uiPriority w:val="99"/>
    <w:rPr>
      <w:rFonts w:ascii="Times New Roman" w:hAnsi="Times New Roman"/>
      <w:kern w:val="2"/>
      <w:sz w:val="18"/>
      <w:szCs w:val="18"/>
    </w:rPr>
  </w:style>
  <w:style w:type="character" w:customStyle="1" w:styleId="34">
    <w:name w:val="标题 3 Char"/>
    <w:basedOn w:val="18"/>
    <w:link w:val="5"/>
    <w:qFormat/>
    <w:uiPriority w:val="9"/>
    <w:rPr>
      <w:rFonts w:ascii="Times New Roman" w:hAnsi="Times New Roman"/>
      <w:b/>
      <w:bCs/>
      <w:kern w:val="2"/>
      <w:sz w:val="32"/>
      <w:szCs w:val="32"/>
    </w:rPr>
  </w:style>
  <w:style w:type="paragraph" w:customStyle="1" w:styleId="35">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6">
    <w:name w:val="擎业正文"/>
    <w:basedOn w:val="1"/>
    <w:qFormat/>
    <w:uiPriority w:val="0"/>
    <w:pPr>
      <w:spacing w:line="600" w:lineRule="exact"/>
      <w:ind w:firstLine="200" w:firstLineChars="200"/>
    </w:pPr>
    <w:rPr>
      <w:rFonts w:ascii="Times New Roman" w:hAnsi="Times New Roman" w:eastAsia="仿宋_GB2312" w:cs="Times New Roman"/>
      <w:sz w:val="32"/>
      <w:szCs w:val="28"/>
      <w:lang w:val="zh-CN"/>
    </w:rPr>
  </w:style>
  <w:style w:type="character" w:customStyle="1" w:styleId="37">
    <w:name w:val="font141"/>
    <w:basedOn w:val="18"/>
    <w:qFormat/>
    <w:uiPriority w:val="0"/>
    <w:rPr>
      <w:rFonts w:hint="eastAsia" w:ascii="宋体" w:hAnsi="宋体" w:eastAsia="宋体" w:cs="宋体"/>
      <w:b/>
      <w:color w:val="000000"/>
      <w:sz w:val="40"/>
      <w:szCs w:val="40"/>
      <w:u w:val="none"/>
    </w:rPr>
  </w:style>
  <w:style w:type="character" w:customStyle="1" w:styleId="38">
    <w:name w:val="font51"/>
    <w:basedOn w:val="18"/>
    <w:qFormat/>
    <w:uiPriority w:val="0"/>
    <w:rPr>
      <w:rFonts w:hint="eastAsia" w:ascii="宋体" w:hAnsi="宋体" w:eastAsia="宋体" w:cs="宋体"/>
      <w:b/>
      <w:color w:val="000000"/>
      <w:sz w:val="24"/>
      <w:szCs w:val="24"/>
      <w:u w:val="none"/>
    </w:rPr>
  </w:style>
  <w:style w:type="character" w:customStyle="1" w:styleId="39">
    <w:name w:val="font71"/>
    <w:basedOn w:val="18"/>
    <w:qFormat/>
    <w:uiPriority w:val="0"/>
    <w:rPr>
      <w:rFonts w:hint="eastAsia" w:ascii="宋体" w:hAnsi="宋体" w:eastAsia="宋体" w:cs="宋体"/>
      <w:color w:val="000000"/>
      <w:sz w:val="24"/>
      <w:szCs w:val="24"/>
      <w:u w:val="none"/>
    </w:rPr>
  </w:style>
  <w:style w:type="paragraph" w:customStyle="1" w:styleId="40">
    <w:name w:val="章标题"/>
    <w:basedOn w:val="1"/>
    <w:next w:val="41"/>
    <w:qFormat/>
    <w:uiPriority w:val="0"/>
    <w:pPr>
      <w:widowControl/>
      <w:spacing w:before="158" w:after="153" w:line="323" w:lineRule="atLeast"/>
      <w:ind w:right="-120"/>
      <w:jc w:val="center"/>
      <w:textAlignment w:val="baseline"/>
    </w:pPr>
    <w:rPr>
      <w:rFonts w:hint="eastAsia"/>
      <w:color w:val="FF0000"/>
      <w:sz w:val="18"/>
    </w:rPr>
  </w:style>
  <w:style w:type="paragraph" w:customStyle="1" w:styleId="41">
    <w:name w:val="节标题"/>
    <w:basedOn w:val="1"/>
    <w:next w:val="1"/>
    <w:qFormat/>
    <w:uiPriority w:val="0"/>
    <w:pPr>
      <w:widowControl/>
      <w:spacing w:line="289" w:lineRule="atLeast"/>
      <w:jc w:val="center"/>
      <w:textAlignment w:val="baseline"/>
    </w:pPr>
    <w:rPr>
      <w:color w:val="000000"/>
      <w:kern w:val="0"/>
      <w:sz w:val="28"/>
      <w:szCs w:val="20"/>
      <w:u w:val="none" w:color="000000"/>
    </w:rPr>
  </w:style>
  <w:style w:type="paragraph" w:customStyle="1" w:styleId="42">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43">
    <w:name w:val="text-tag"/>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4.emf"/><Relationship Id="rId3" Type="http://schemas.openxmlformats.org/officeDocument/2006/relationships/header" Target="header1.xml"/><Relationship Id="rId29" Type="http://schemas.openxmlformats.org/officeDocument/2006/relationships/image" Target="media/image13.emf"/><Relationship Id="rId28" Type="http://schemas.openxmlformats.org/officeDocument/2006/relationships/image" Target="media/image12.emf"/><Relationship Id="rId27" Type="http://schemas.openxmlformats.org/officeDocument/2006/relationships/image" Target="media/image11.emf"/><Relationship Id="rId26" Type="http://schemas.openxmlformats.org/officeDocument/2006/relationships/image" Target="media/image10.emf"/><Relationship Id="rId25" Type="http://schemas.openxmlformats.org/officeDocument/2006/relationships/image" Target="media/image9.emf"/><Relationship Id="rId24" Type="http://schemas.openxmlformats.org/officeDocument/2006/relationships/image" Target="media/image8.emf"/><Relationship Id="rId23" Type="http://schemas.openxmlformats.org/officeDocument/2006/relationships/image" Target="media/image7.emf"/><Relationship Id="rId22" Type="http://schemas.openxmlformats.org/officeDocument/2006/relationships/image" Target="media/image6.emf"/><Relationship Id="rId21" Type="http://schemas.openxmlformats.org/officeDocument/2006/relationships/image" Target="media/image5.emf"/><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image" Target="media/image2.emf"/><Relationship Id="rId17" Type="http://schemas.openxmlformats.org/officeDocument/2006/relationships/image" Target="media/image1.emf"/><Relationship Id="rId16" Type="http://schemas.openxmlformats.org/officeDocument/2006/relationships/chart" Target="charts/chart7.xml"/><Relationship Id="rId15" Type="http://schemas.openxmlformats.org/officeDocument/2006/relationships/chart" Target="charts/chart6.xml"/><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chartUserShapes" Target="../drawings/drawing1.xml"/><Relationship Id="rId1" Type="http://schemas.openxmlformats.org/officeDocument/2006/relationships/oleObject" Target="file:///D:\360MoveData\Users\86139\Desktop\&#20915;&#31639;&#22270;&#34920;&#21046;&#20316;2023.xlsx"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chartUserShapes" Target="../drawings/drawing2.xml"/><Relationship Id="rId1" Type="http://schemas.openxmlformats.org/officeDocument/2006/relationships/oleObject" Target="file:///D:\360MoveData\Users\86139\Desktop\&#20915;&#31639;&#22270;&#34920;&#21046;&#20316;2023.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360MoveData\Users\86139\Desktop\&#20915;&#31639;&#22270;&#34920;&#21046;&#20316;2023.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360MoveData\Users\86139\Desktop\&#20915;&#31639;&#22270;&#34920;&#21046;&#20316;2023.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360MoveData\Users\86139\Desktop\&#20915;&#31639;&#22270;&#34920;&#21046;&#20316;2023.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D:\360MoveData\Users\86139\Desktop\&#20915;&#31639;&#22270;&#34920;&#21046;&#20316;2023.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D:\360MoveData\Users\86139\Desktop\&#20915;&#31639;&#22270;&#34920;&#21046;&#20316;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rPr>
                <a:latin typeface="方正仿宋简体" panose="02010601030101010101" charset="-122"/>
                <a:ea typeface="方正仿宋简体" panose="02010601030101010101" charset="-122"/>
              </a:rPr>
              <a:t>收、支决算总计变动情况图（</a:t>
            </a:r>
            <a:r>
              <a:rPr altLang="en-US">
                <a:latin typeface="方正仿宋简体" panose="02010601030101010101" charset="-122"/>
                <a:ea typeface="方正仿宋简体" panose="02010601030101010101" charset="-122"/>
              </a:rPr>
              <a:t>单位：万元）</a:t>
            </a:r>
            <a:endParaRPr lang="en-US" altLang="zh-CN">
              <a:latin typeface="方正仿宋简体" panose="02010601030101010101" charset="-122"/>
              <a:ea typeface="方正仿宋简体" panose="02010601030101010101" charset="-122"/>
            </a:endParaRPr>
          </a:p>
        </c:rich>
      </c:tx>
      <c:layout>
        <c:manualLayout>
          <c:xMode val="edge"/>
          <c:yMode val="edge"/>
          <c:x val="0.176523010424612"/>
          <c:y val="0.111144759780547"/>
        </c:manualLayout>
      </c:layout>
      <c:overlay val="0"/>
      <c:spPr>
        <a:noFill/>
        <a:ln>
          <a:noFill/>
        </a:ln>
        <a:effectLst/>
      </c:spPr>
    </c:title>
    <c:autoTitleDeleted val="0"/>
    <c:plotArea>
      <c:layout>
        <c:manualLayout>
          <c:layoutTarget val="inner"/>
          <c:xMode val="edge"/>
          <c:yMode val="edge"/>
          <c:x val="0.101806806637318"/>
          <c:y val="0.266666666666667"/>
          <c:w val="0.888210526315789"/>
          <c:h val="0.606342592592593"/>
        </c:manualLayout>
      </c:layout>
      <c:barChart>
        <c:barDir val="col"/>
        <c:grouping val="clustered"/>
        <c:varyColors val="0"/>
        <c:ser>
          <c:idx val="0"/>
          <c:order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Pt>
            <c:idx val="0"/>
            <c:invertIfNegative val="0"/>
            <c:bubble3D val="0"/>
            <c:spPr>
              <a:gradFill>
                <a:gsLst>
                  <a:gs pos="0">
                    <a:schemeClr val="accent2">
                      <a:lumOff val="17500"/>
                    </a:schemeClr>
                  </a:gs>
                  <a:gs pos="100000">
                    <a:schemeClr val="accent2"/>
                  </a:gs>
                </a:gsLst>
                <a:lin ang="2700000" scaled="0"/>
              </a:gradFill>
              <a:ln>
                <a:gradFill>
                  <a:gsLst>
                    <a:gs pos="0">
                      <a:schemeClr val="accent1"/>
                    </a:gs>
                    <a:gs pos="100000">
                      <a:schemeClr val="accent1">
                        <a:lumMod val="75000"/>
                      </a:schemeClr>
                    </a:gs>
                  </a:gsLst>
                  <a:lin ang="5400000" scaled="1"/>
                </a:gradFill>
              </a:ln>
              <a:effectLst>
                <a:outerShdw blurRad="101600" dist="50800" dir="5400000" algn="ctr" rotWithShape="0">
                  <a:schemeClr val="accent2">
                    <a:alpha val="60000"/>
                  </a:schemeClr>
                </a:outerShdw>
              </a:effectLst>
              <a:sp3d>
                <a:extrusionClr>
                  <a:srgbClr val="FFFFFF"/>
                </a:extrusionClr>
                <a:contourClr>
                  <a:srgbClr val="FFFFFF"/>
                </a:contourClr>
              </a:sp3d>
            </c:spPr>
          </c:dPt>
          <c:dPt>
            <c:idx val="1"/>
            <c:invertIfNegative val="0"/>
            <c:bubble3D val="0"/>
            <c:spPr>
              <a:gradFill>
                <a:gsLst>
                  <a:gs pos="0">
                    <a:schemeClr val="accent1">
                      <a:lumOff val="17500"/>
                    </a:schemeClr>
                  </a:gs>
                  <a:gs pos="100000">
                    <a:schemeClr val="accent1"/>
                  </a:gs>
                </a:gsLst>
                <a:lin ang="27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a:sp3d>
                <a:extrusionClr>
                  <a:srgbClr val="FFFFFF"/>
                </a:extrusionClr>
                <a:contourClr>
                  <a:srgbClr val="FFFFFF"/>
                </a:contourClr>
              </a:sp3d>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[决算图表制作2023.xlsx]Sheet1!$A$19:$A$20</c:f>
              <c:strCache>
                <c:ptCount val="2"/>
                <c:pt idx="0">
                  <c:v>2022年收支总计</c:v>
                </c:pt>
                <c:pt idx="1">
                  <c:v>2023年收支总计</c:v>
                </c:pt>
              </c:strCache>
            </c:strRef>
          </c:cat>
          <c:val>
            <c:numRef>
              <c:f>[决算图表制作2023.xlsx]Sheet1!$B$19:$B$20</c:f>
              <c:numCache>
                <c:formatCode>General</c:formatCode>
                <c:ptCount val="2"/>
                <c:pt idx="0">
                  <c:v>3808.36</c:v>
                </c:pt>
                <c:pt idx="1">
                  <c:v>9390.54</c:v>
                </c:pt>
              </c:numCache>
            </c:numRef>
          </c:val>
        </c:ser>
        <c:dLbls>
          <c:showLegendKey val="0"/>
          <c:showVal val="1"/>
          <c:showCatName val="0"/>
          <c:showSerName val="0"/>
          <c:showPercent val="0"/>
          <c:showBubbleSize val="0"/>
        </c:dLbls>
        <c:gapWidth val="246"/>
        <c:overlap val="-28"/>
        <c:axId val="551733941"/>
        <c:axId val="991892916"/>
      </c:barChart>
      <c:catAx>
        <c:axId val="551733941"/>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892916"/>
        <c:crosses val="autoZero"/>
        <c:auto val="1"/>
        <c:lblAlgn val="ctr"/>
        <c:lblOffset val="100"/>
        <c:noMultiLvlLbl val="0"/>
      </c:catAx>
      <c:valAx>
        <c:axId val="991892916"/>
        <c:scaling>
          <c:orientation val="minMax"/>
        </c:scaling>
        <c:delete val="0"/>
        <c:axPos val="l"/>
        <c:majorGridlines>
          <c:spPr>
            <a:ln w="9525" cap="flat" cmpd="sng" algn="ctr">
              <a:solidFill>
                <a:schemeClr val="bg1">
                  <a:lumMod val="90200"/>
                </a:schemeClr>
              </a:solidFill>
              <a:round/>
            </a:ln>
            <a:effectLst/>
          </c:spPr>
        </c:majorGridlines>
        <c:numFmt formatCode="0.00_);[Red]\(0.00\)" sourceLinked="0"/>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173394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80" b="1" i="0" u="none" strike="noStrike" kern="1200" baseline="0">
                <a:solidFill>
                  <a:schemeClr val="dk1">
                    <a:lumMod val="75000"/>
                    <a:lumOff val="25000"/>
                  </a:schemeClr>
                </a:solidFill>
                <a:latin typeface="+mn-lt"/>
                <a:ea typeface="+mn-ea"/>
                <a:cs typeface="+mn-cs"/>
              </a:defRPr>
            </a:pPr>
            <a:r>
              <a:rPr sz="1400">
                <a:latin typeface="方正仿宋简体" panose="02010601030101010101" charset="-122"/>
                <a:ea typeface="方正仿宋简体" panose="02010601030101010101" charset="-122"/>
                <a:cs typeface="方正仿宋简体" panose="02010601030101010101" charset="-122"/>
              </a:rPr>
              <a:t>图</a:t>
            </a:r>
            <a:r>
              <a:rPr lang="en-US" altLang="zh-CN" sz="1400">
                <a:latin typeface="方正仿宋简体" panose="02010601030101010101" charset="-122"/>
                <a:ea typeface="方正仿宋简体" panose="02010601030101010101" charset="-122"/>
                <a:cs typeface="方正仿宋简体" panose="02010601030101010101" charset="-122"/>
              </a:rPr>
              <a:t> 2 </a:t>
            </a:r>
            <a:r>
              <a:rPr altLang="en-US" sz="1400">
                <a:latin typeface="方正仿宋简体" panose="02010601030101010101" charset="-122"/>
                <a:ea typeface="方正仿宋简体" panose="02010601030101010101" charset="-122"/>
                <a:cs typeface="方正仿宋简体" panose="02010601030101010101" charset="-122"/>
              </a:rPr>
              <a:t>：收</a:t>
            </a:r>
            <a:r>
              <a:rPr altLang="en-US" sz="1400">
                <a:latin typeface="方正仿宋简体" panose="02010601030101010101" charset="-122"/>
                <a:ea typeface="方正仿宋简体" panose="02010601030101010101" charset="-122"/>
              </a:rPr>
              <a:t>入决算结构图</a:t>
            </a:r>
            <a:endParaRPr lang="en-US" altLang="en-US" sz="1400">
              <a:latin typeface="方正仿宋简体" panose="02010601030101010101" charset="-122"/>
              <a:ea typeface="方正仿宋简体" panose="02010601030101010101" charset="-122"/>
            </a:endParaRPr>
          </a:p>
        </c:rich>
      </c:tx>
      <c:layout/>
      <c:overlay val="0"/>
      <c:spPr>
        <a:noFill/>
        <a:ln>
          <a:noFill/>
        </a:ln>
        <a:effectLst/>
      </c:spPr>
    </c:title>
    <c:autoTitleDeleted val="0"/>
    <c:plotArea>
      <c:layout/>
      <c:pieChart>
        <c:varyColors val="1"/>
        <c:ser>
          <c:idx val="0"/>
          <c:order val="0"/>
          <c:spPr>
            <a:gradFill>
              <a:gsLst>
                <a:gs pos="0">
                  <a:srgbClr val="FECF40"/>
                </a:gs>
                <a:gs pos="100000">
                  <a:srgbClr val="846C21"/>
                </a:gs>
              </a:gsLst>
              <a:lin scaled="0"/>
            </a:gradFill>
          </c:spPr>
          <c:explosion val="0"/>
          <c:dPt>
            <c:idx val="0"/>
            <c:bubble3D val="0"/>
            <c:spPr>
              <a:gradFill>
                <a:gsLst>
                  <a:gs pos="0">
                    <a:schemeClr val="accent1">
                      <a:lumOff val="17500"/>
                    </a:schemeClr>
                  </a:gs>
                  <a:gs pos="100000">
                    <a:schemeClr val="accent1"/>
                  </a:gs>
                </a:gsLst>
                <a:lin ang="2700000" scaled="0"/>
              </a:gradFill>
              <a:ln>
                <a:solidFill>
                  <a:schemeClr val="bg1"/>
                </a:solidFill>
              </a:ln>
              <a:effectLst/>
              <a:sp3d>
                <a:extrusionClr>
                  <a:srgbClr val="FFFFFF"/>
                </a:extrusionClr>
                <a:contourClr>
                  <a:srgbClr val="FFFFFF"/>
                </a:contourClr>
              </a:sp3d>
            </c:spPr>
          </c:dPt>
          <c:dPt>
            <c:idx val="1"/>
            <c:bubble3D val="0"/>
            <c:spPr>
              <a:gradFill>
                <a:gsLst>
                  <a:gs pos="0">
                    <a:srgbClr val="FECF40"/>
                  </a:gs>
                  <a:gs pos="100000">
                    <a:srgbClr val="846C21"/>
                  </a:gs>
                </a:gsLst>
                <a:lin scaled="0"/>
              </a:gradFill>
              <a:ln>
                <a:solidFill>
                  <a:schemeClr val="bg1"/>
                </a:solidFill>
              </a:ln>
              <a:effectLst/>
            </c:spPr>
          </c:dPt>
          <c:dPt>
            <c:idx val="2"/>
            <c:bubble3D val="0"/>
            <c:spPr>
              <a:gradFill>
                <a:gsLst>
                  <a:gs pos="0">
                    <a:srgbClr val="FECF40"/>
                  </a:gs>
                  <a:gs pos="100000">
                    <a:srgbClr val="846C21"/>
                  </a:gs>
                </a:gsLst>
                <a:lin scaled="0"/>
              </a:gradFill>
              <a:ln>
                <a:solidFill>
                  <a:schemeClr val="bg1"/>
                </a:solidFill>
              </a:ln>
              <a:effectLst/>
            </c:spPr>
          </c:dPt>
          <c:dPt>
            <c:idx val="3"/>
            <c:bubble3D val="0"/>
            <c:spPr>
              <a:gradFill>
                <a:gsLst>
                  <a:gs pos="0">
                    <a:srgbClr val="FECF40"/>
                  </a:gs>
                  <a:gs pos="100000">
                    <a:srgbClr val="846C21"/>
                  </a:gs>
                </a:gsLst>
                <a:lin scaled="0"/>
              </a:gradFill>
              <a:ln>
                <a:solidFill>
                  <a:schemeClr val="bg1"/>
                </a:solidFill>
              </a:ln>
              <a:effectLst/>
            </c:spPr>
          </c:dPt>
          <c:dPt>
            <c:idx val="4"/>
            <c:bubble3D val="0"/>
            <c:spPr>
              <a:gradFill>
                <a:gsLst>
                  <a:gs pos="0">
                    <a:srgbClr val="FECF40"/>
                  </a:gs>
                  <a:gs pos="100000">
                    <a:srgbClr val="846C21"/>
                  </a:gs>
                </a:gsLst>
                <a:lin scaled="0"/>
              </a:gradFill>
              <a:ln>
                <a:solidFill>
                  <a:schemeClr val="bg1"/>
                </a:solidFill>
              </a:ln>
              <a:effectLst/>
            </c:spPr>
          </c:dPt>
          <c:dPt>
            <c:idx val="5"/>
            <c:bubble3D val="0"/>
            <c:spPr>
              <a:gradFill>
                <a:gsLst>
                  <a:gs pos="0">
                    <a:srgbClr val="FECF40"/>
                  </a:gs>
                  <a:gs pos="100000">
                    <a:srgbClr val="846C21"/>
                  </a:gs>
                </a:gsLst>
                <a:lin scaled="0"/>
              </a:gradFill>
              <a:ln>
                <a:solidFill>
                  <a:schemeClr val="bg1"/>
                </a:solidFill>
              </a:ln>
              <a:effectLst/>
            </c:spPr>
          </c:dPt>
          <c:dPt>
            <c:idx val="6"/>
            <c:bubble3D val="0"/>
            <c:spPr>
              <a:gradFill>
                <a:gsLst>
                  <a:gs pos="0">
                    <a:srgbClr val="FECF40"/>
                  </a:gs>
                  <a:gs pos="100000">
                    <a:srgbClr val="846C21"/>
                  </a:gs>
                </a:gsLst>
                <a:lin scaled="0"/>
              </a:gradFill>
              <a:ln>
                <a:solidFill>
                  <a:schemeClr val="bg1"/>
                </a:solidFill>
              </a:ln>
              <a:effectLst/>
            </c:spPr>
          </c:dPt>
          <c:dPt>
            <c:idx val="7"/>
            <c:bubble3D val="0"/>
            <c:spPr>
              <a:gradFill>
                <a:gsLst>
                  <a:gs pos="0">
                    <a:schemeClr val="accent2">
                      <a:lumOff val="17500"/>
                    </a:schemeClr>
                  </a:gs>
                  <a:gs pos="100000">
                    <a:schemeClr val="accent2"/>
                  </a:gs>
                </a:gsLst>
                <a:lin ang="2700000" scaled="0"/>
              </a:gradFill>
              <a:ln>
                <a:solidFill>
                  <a:schemeClr val="bg1"/>
                </a:solidFill>
              </a:ln>
              <a:effectLst/>
              <a:sp3d>
                <a:extrusionClr>
                  <a:srgbClr val="FFFFFF"/>
                </a:extrusionClr>
                <a:contourClr>
                  <a:srgbClr val="FFFFFF"/>
                </a:contourClr>
              </a:sp3d>
            </c:spPr>
          </c:dPt>
          <c:dLbls>
            <c:dLbl>
              <c:idx val="1"/>
              <c:delete val="1"/>
            </c:dLbl>
            <c:dLbl>
              <c:idx val="2"/>
              <c:delete val="1"/>
            </c:dLbl>
            <c:dLbl>
              <c:idx val="3"/>
              <c:delete val="1"/>
            </c:dLbl>
            <c:dLbl>
              <c:idx val="4"/>
              <c:delete val="1"/>
            </c:dLbl>
            <c:dLbl>
              <c:idx val="5"/>
              <c:delete val="1"/>
            </c:dLbl>
            <c:dLbl>
              <c:idx val="6"/>
              <c:delete val="1"/>
            </c:dLbl>
            <c:numFmt formatCode="#,##0.00_);[Red]\(#,##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[决算图表制作2023.xlsx]Sheet1!$A$22:$A$29</c:f>
              <c:strCache>
                <c:ptCount val="8"/>
                <c:pt idx="0">
                  <c:v>一般公共预算财政拨款收入</c:v>
                </c:pt>
                <c:pt idx="1">
                  <c:v>政府性基金预算财政拨款收入</c:v>
                </c:pt>
                <c:pt idx="2">
                  <c:v>国有资本经营预算财政拨款收入</c:v>
                </c:pt>
                <c:pt idx="3">
                  <c:v>上级补助收入</c:v>
                </c:pt>
                <c:pt idx="4">
                  <c:v>事业收入</c:v>
                </c:pt>
                <c:pt idx="5">
                  <c:v>经营收入</c:v>
                </c:pt>
                <c:pt idx="6">
                  <c:v>附属单位上缴收入</c:v>
                </c:pt>
                <c:pt idx="7">
                  <c:v>其他收入</c:v>
                </c:pt>
              </c:strCache>
            </c:strRef>
          </c:cat>
          <c:val>
            <c:numRef>
              <c:f>[决算图表制作2023.xlsx]Sheet1!$B$22:$B$29</c:f>
              <c:numCache>
                <c:formatCode>General</c:formatCode>
                <c:ptCount val="8"/>
                <c:pt idx="0">
                  <c:v>850.4</c:v>
                </c:pt>
                <c:pt idx="1">
                  <c:v>0</c:v>
                </c:pt>
                <c:pt idx="2">
                  <c:v>0</c:v>
                </c:pt>
                <c:pt idx="3">
                  <c:v>0</c:v>
                </c:pt>
                <c:pt idx="4">
                  <c:v>0</c:v>
                </c:pt>
                <c:pt idx="5">
                  <c:v>0</c:v>
                </c:pt>
                <c:pt idx="6">
                  <c:v>0</c:v>
                </c:pt>
                <c:pt idx="7">
                  <c:v>8540.14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egendEntry>
        <c:idx val="3"/>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egendEntry>
        <c:idx val="4"/>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egendEntry>
        <c:idx val="5"/>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egendEntry>
        <c:idx val="6"/>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egendEntry>
        <c:idx val="7"/>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sz="900"/>
      </a:pP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rPr>
                <a:latin typeface="方正仿宋简体" panose="02010601030101010101" charset="-122"/>
                <a:ea typeface="方正仿宋简体" panose="02010601030101010101" charset="-122"/>
                <a:cs typeface="方正仿宋简体" panose="02010601030101010101" charset="-122"/>
              </a:rPr>
              <a:t>图</a:t>
            </a:r>
            <a:r>
              <a:rPr lang="en-US" altLang="zh-CN">
                <a:latin typeface="方正仿宋简体" panose="02010601030101010101" charset="-122"/>
                <a:ea typeface="方正仿宋简体" panose="02010601030101010101" charset="-122"/>
                <a:cs typeface="方正仿宋简体" panose="02010601030101010101" charset="-122"/>
              </a:rPr>
              <a:t> 3 </a:t>
            </a:r>
            <a:r>
              <a:rPr altLang="en-US">
                <a:latin typeface="方正仿宋简体" panose="02010601030101010101" charset="-122"/>
                <a:ea typeface="方正仿宋简体" panose="02010601030101010101" charset="-122"/>
                <a:cs typeface="方正仿宋简体" panose="02010601030101010101" charset="-122"/>
              </a:rPr>
              <a:t>：</a:t>
            </a:r>
            <a:r>
              <a:rPr sz="1600">
                <a:latin typeface="方正仿宋简体" panose="02010601030101010101" charset="-122"/>
                <a:ea typeface="方正仿宋简体" panose="02010601030101010101" charset="-122"/>
              </a:rPr>
              <a:t>支出决算结构图</a:t>
            </a:r>
            <a:endParaRPr sz="1600">
              <a:latin typeface="方正仿宋简体" panose="02010601030101010101" charset="-122"/>
              <a:ea typeface="方正仿宋简体" panose="02010601030101010101" charset="-122"/>
            </a:endParaRPr>
          </a:p>
        </c:rich>
      </c:tx>
      <c:layout/>
      <c:overlay val="0"/>
      <c:spPr>
        <a:noFill/>
        <a:ln>
          <a:noFill/>
        </a:ln>
        <a:effectLst/>
      </c:spPr>
    </c:title>
    <c:autoTitleDeleted val="0"/>
    <c:plotArea>
      <c:layout/>
      <c:pieChart>
        <c:varyColors val="1"/>
        <c:ser>
          <c:idx val="0"/>
          <c:order val="0"/>
          <c:spPr/>
          <c:explosion val="0"/>
          <c:dPt>
            <c:idx val="0"/>
            <c:bubble3D val="0"/>
            <c:spPr>
              <a:solidFill>
                <a:schemeClr val="accent2">
                  <a:shade val="76667"/>
                </a:schemeClr>
              </a:solidFill>
              <a:ln>
                <a:solidFill>
                  <a:schemeClr val="bg1"/>
                </a:solidFill>
              </a:ln>
              <a:effectLst/>
            </c:spPr>
          </c:dPt>
          <c:dPt>
            <c:idx val="1"/>
            <c:bubble3D val="0"/>
            <c:spPr>
              <a:solidFill>
                <a:schemeClr val="accent2">
                  <a:tint val="76667"/>
                </a:schemeClr>
              </a:solidFill>
              <a:ln>
                <a:solidFill>
                  <a:schemeClr val="bg1"/>
                </a:solidFill>
              </a:ln>
              <a:effectLst/>
            </c:spPr>
          </c:dPt>
          <c:dLbls>
            <c:dLbl>
              <c:idx val="0"/>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2">
                            <a:shade val="76667"/>
                          </a:schemeClr>
                        </a:solidFill>
                        <a:latin typeface="+mn-lt"/>
                        <a:ea typeface="+mn-ea"/>
                        <a:cs typeface="+mn-cs"/>
                      </a:defRPr>
                    </a:pPr>
                    <a:r>
                      <a:rPr b="0">
                        <a:solidFill>
                          <a:sysClr val="windowText" lastClr="000000"/>
                        </a:solidFill>
                      </a:rPr>
                      <a:t>基本支出</a:t>
                    </a:r>
                    <a:endParaRPr b="0">
                      <a:solidFill>
                        <a:sysClr val="windowText" lastClr="000000"/>
                      </a:solidFill>
                    </a:endParaRPr>
                  </a:p>
                  <a:p>
                    <a:pPr defTabSz="914400">
                      <a:defRPr lang="zh-CN" sz="1000" b="1" i="0" u="none" strike="noStrike" kern="1200" spc="0" baseline="0">
                        <a:solidFill>
                          <a:schemeClr val="accent2">
                            <a:shade val="76667"/>
                          </a:schemeClr>
                        </a:solidFill>
                        <a:latin typeface="+mn-lt"/>
                        <a:ea typeface="+mn-ea"/>
                        <a:cs typeface="+mn-cs"/>
                      </a:defRPr>
                    </a:pPr>
                    <a:r>
                      <a:rPr lang="en-US" altLang="zh-CN" b="0">
                        <a:solidFill>
                          <a:sysClr val="windowText" lastClr="000000"/>
                        </a:solidFill>
                      </a:rPr>
                      <a:t>8</a:t>
                    </a:r>
                    <a:r>
                      <a:rPr b="0">
                        <a:solidFill>
                          <a:sysClr val="windowText" lastClr="000000"/>
                        </a:solidFill>
                      </a:rPr>
                      <a:t>%</a:t>
                    </a:r>
                    <a:endParaRPr b="0">
                      <a:solidFill>
                        <a:sysClr val="windowText" lastClr="000000"/>
                      </a:solidFill>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hade val="76667"/>
                        </a:schemeClr>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2">
                            <a:tint val="76667"/>
                          </a:schemeClr>
                        </a:solidFill>
                        <a:latin typeface="+mn-lt"/>
                        <a:ea typeface="+mn-ea"/>
                        <a:cs typeface="+mn-cs"/>
                      </a:defRPr>
                    </a:pPr>
                    <a:r>
                      <a:rPr b="0">
                        <a:solidFill>
                          <a:sysClr val="windowText" lastClr="000000"/>
                        </a:solidFill>
                      </a:rPr>
                      <a:t>项目支出</a:t>
                    </a:r>
                    <a:endParaRPr b="0">
                      <a:solidFill>
                        <a:sysClr val="windowText" lastClr="000000"/>
                      </a:solidFill>
                    </a:endParaRPr>
                  </a:p>
                  <a:p>
                    <a:pPr defTabSz="914400">
                      <a:defRPr lang="zh-CN" sz="1000" b="1" i="0" u="none" strike="noStrike" kern="1200" spc="0" baseline="0">
                        <a:solidFill>
                          <a:schemeClr val="accent2">
                            <a:tint val="76667"/>
                          </a:schemeClr>
                        </a:solidFill>
                        <a:latin typeface="+mn-lt"/>
                        <a:ea typeface="+mn-ea"/>
                        <a:cs typeface="+mn-cs"/>
                      </a:defRPr>
                    </a:pPr>
                    <a:r>
                      <a:rPr lang="en-US" altLang="zh-CN" b="0">
                        <a:solidFill>
                          <a:sysClr val="windowText" lastClr="000000"/>
                        </a:solidFill>
                      </a:rPr>
                      <a:t>92</a:t>
                    </a:r>
                    <a:r>
                      <a:rPr b="0">
                        <a:solidFill>
                          <a:sysClr val="windowText" lastClr="000000"/>
                        </a:solidFill>
                      </a:rPr>
                      <a:t>%</a:t>
                    </a:r>
                    <a:endParaRPr b="0">
                      <a:solidFill>
                        <a:sysClr val="windowText" lastClr="000000"/>
                      </a:solidFill>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tint val="76667"/>
                        </a:schemeClr>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[决算图表制作2023.xlsx]Sheet1!$B$51:$B$52</c:f>
              <c:strCache>
                <c:ptCount val="2"/>
                <c:pt idx="0">
                  <c:v>基本支出</c:v>
                </c:pt>
                <c:pt idx="1">
                  <c:v>项目支出</c:v>
                </c:pt>
              </c:strCache>
            </c:strRef>
          </c:cat>
          <c:val>
            <c:numRef>
              <c:f>[决算图表制作2023.xlsx]Sheet1!$C$51:$C$52</c:f>
              <c:numCache>
                <c:formatCode>General</c:formatCode>
                <c:ptCount val="2"/>
                <c:pt idx="0">
                  <c:v>766.11</c:v>
                </c:pt>
                <c:pt idx="1">
                  <c:v>8791.83</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rPr>
                <a:latin typeface="方正仿宋简体" panose="02010601030101010101" charset="-122"/>
                <a:ea typeface="方正仿宋简体" panose="02010601030101010101" charset="-122"/>
              </a:rPr>
              <a:t>图</a:t>
            </a:r>
            <a:r>
              <a:rPr lang="en-US" altLang="zh-CN">
                <a:latin typeface="方正仿宋简体" panose="02010601030101010101" charset="-122"/>
                <a:ea typeface="方正仿宋简体" panose="02010601030101010101" charset="-122"/>
              </a:rPr>
              <a:t>4</a:t>
            </a:r>
            <a:r>
              <a:rPr altLang="en-US">
                <a:latin typeface="方正仿宋简体" panose="02010601030101010101" charset="-122"/>
                <a:ea typeface="方正仿宋简体" panose="02010601030101010101" charset="-122"/>
              </a:rPr>
              <a:t>：</a:t>
            </a:r>
            <a:r>
              <a:rPr>
                <a:latin typeface="方正仿宋简体" panose="02010601030101010101" charset="-122"/>
                <a:ea typeface="方正仿宋简体" panose="02010601030101010101" charset="-122"/>
              </a:rPr>
              <a:t>财政拨款收、支决算总计变动情况图</a:t>
            </a:r>
            <a:endParaRPr>
              <a:latin typeface="方正仿宋简体" panose="02010601030101010101" charset="-122"/>
              <a:ea typeface="方正仿宋简体" panose="02010601030101010101" charset="-122"/>
            </a:endParaRPr>
          </a:p>
          <a:p>
            <a:pPr defTabSz="914400">
              <a:defRPr lang="zh-CN" sz="1400" b="1" i="0" u="none" strike="noStrike" kern="1200" baseline="0">
                <a:solidFill>
                  <a:schemeClr val="dk1">
                    <a:lumMod val="75000"/>
                    <a:lumOff val="25000"/>
                  </a:schemeClr>
                </a:solidFill>
                <a:latin typeface="+mn-lt"/>
                <a:ea typeface="+mn-ea"/>
                <a:cs typeface="+mn-cs"/>
              </a:defRPr>
            </a:pPr>
            <a:r>
              <a:rPr>
                <a:latin typeface="方正仿宋简体" panose="02010601030101010101" charset="-122"/>
                <a:ea typeface="方正仿宋简体" panose="02010601030101010101" charset="-122"/>
              </a:rPr>
              <a:t>（单位：万元）</a:t>
            </a:r>
            <a:endParaRPr>
              <a:latin typeface="方正仿宋简体" panose="02010601030101010101" charset="-122"/>
              <a:ea typeface="方正仿宋简体" panose="02010601030101010101" charset="-122"/>
            </a:endParaRPr>
          </a:p>
        </c:rich>
      </c:tx>
      <c:layout>
        <c:manualLayout>
          <c:xMode val="edge"/>
          <c:yMode val="edge"/>
          <c:x val="0.14365455273907"/>
          <c:y val="0.0124636476942252"/>
        </c:manualLayout>
      </c:layout>
      <c:overlay val="0"/>
      <c:spPr>
        <a:noFill/>
        <a:ln>
          <a:noFill/>
        </a:ln>
        <a:effectLst/>
      </c:spPr>
    </c:title>
    <c:autoTitleDeleted val="0"/>
    <c:plotArea>
      <c:layout/>
      <c:barChart>
        <c:barDir val="col"/>
        <c:grouping val="clustered"/>
        <c:varyColors val="0"/>
        <c:ser>
          <c:idx val="0"/>
          <c:order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Pt>
            <c:idx val="0"/>
            <c:invertIfNegative val="0"/>
            <c:bubble3D val="0"/>
            <c:spPr>
              <a:gradFill>
                <a:gsLst>
                  <a:gs pos="0">
                    <a:schemeClr val="accent2">
                      <a:lumOff val="17500"/>
                    </a:schemeClr>
                  </a:gs>
                  <a:gs pos="100000">
                    <a:schemeClr val="accent2"/>
                  </a:gs>
                </a:gsLst>
                <a:lin ang="27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a:sp3d>
                <a:extrusionClr>
                  <a:srgbClr val="FFFFFF"/>
                </a:extrusionClr>
                <a:contourClr>
                  <a:srgbClr val="FFFFFF"/>
                </a:contourClr>
              </a:sp3d>
            </c:spPr>
          </c:dPt>
          <c:dPt>
            <c:idx val="1"/>
            <c:invertIfNegative val="0"/>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[决算图表制作2023.xlsx]Sheet1!$A$71:$A$72</c:f>
              <c:strCache>
                <c:ptCount val="2"/>
                <c:pt idx="0">
                  <c:v>2022年财政拨款收支总计</c:v>
                </c:pt>
                <c:pt idx="1">
                  <c:v>2023年财政拨款收支总计</c:v>
                </c:pt>
              </c:strCache>
            </c:strRef>
          </c:cat>
          <c:val>
            <c:numRef>
              <c:f>[决算图表制作2023.xlsx]Sheet1!$B$71:$B$72</c:f>
              <c:numCache>
                <c:formatCode>General</c:formatCode>
                <c:ptCount val="2"/>
                <c:pt idx="0">
                  <c:v>1237.48</c:v>
                </c:pt>
                <c:pt idx="1">
                  <c:v>850.4</c:v>
                </c:pt>
              </c:numCache>
            </c:numRef>
          </c:val>
        </c:ser>
        <c:dLbls>
          <c:showLegendKey val="0"/>
          <c:showVal val="1"/>
          <c:showCatName val="0"/>
          <c:showSerName val="0"/>
          <c:showPercent val="0"/>
          <c:showBubbleSize val="0"/>
        </c:dLbls>
        <c:gapWidth val="246"/>
        <c:overlap val="-28"/>
        <c:axId val="940289327"/>
        <c:axId val="971145700"/>
      </c:barChart>
      <c:catAx>
        <c:axId val="94028932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1145700"/>
        <c:crosses val="autoZero"/>
        <c:auto val="1"/>
        <c:lblAlgn val="ctr"/>
        <c:lblOffset val="100"/>
        <c:noMultiLvlLbl val="0"/>
      </c:catAx>
      <c:valAx>
        <c:axId val="971145700"/>
        <c:scaling>
          <c:orientation val="minMax"/>
        </c:scaling>
        <c:delete val="0"/>
        <c:axPos val="l"/>
        <c:majorGridlines>
          <c:spPr>
            <a:ln w="9525" cap="flat" cmpd="sng" algn="ctr">
              <a:solidFill>
                <a:schemeClr val="bg1">
                  <a:lumMod val="90200"/>
                </a:schemeClr>
              </a:solidFill>
              <a:round/>
            </a:ln>
            <a:effectLst/>
          </c:spPr>
        </c:majorGridlines>
        <c:numFmt formatCode="0.00_);[Red]\(0.00\)" sourceLinked="0"/>
        <c:majorTickMark val="none"/>
        <c:minorTickMark val="out"/>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028932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rPr>
                <a:latin typeface="方正仿宋简体" panose="02010601030101010101" charset="-122"/>
                <a:ea typeface="方正仿宋简体" panose="02010601030101010101" charset="-122"/>
                <a:cs typeface="方正仿宋简体" panose="02010601030101010101" charset="-122"/>
              </a:rPr>
              <a:t>图 </a:t>
            </a:r>
            <a:r>
              <a:rPr lang="en-US" altLang="zh-CN">
                <a:latin typeface="方正仿宋简体" panose="02010601030101010101" charset="-122"/>
                <a:ea typeface="方正仿宋简体" panose="02010601030101010101" charset="-122"/>
                <a:cs typeface="方正仿宋简体" panose="02010601030101010101" charset="-122"/>
              </a:rPr>
              <a:t>5</a:t>
            </a:r>
            <a:r>
              <a:rPr>
                <a:latin typeface="方正仿宋简体" panose="02010601030101010101" charset="-122"/>
                <a:ea typeface="方正仿宋简体" panose="02010601030101010101" charset="-122"/>
                <a:cs typeface="方正仿宋简体" panose="02010601030101010101" charset="-122"/>
              </a:rPr>
              <a:t> ：</a:t>
            </a:r>
            <a:r>
              <a:rPr>
                <a:latin typeface="方正仿宋简体" panose="02010601030101010101" charset="-122"/>
                <a:ea typeface="方正仿宋简体" panose="02010601030101010101" charset="-122"/>
              </a:rPr>
              <a:t>一般公共预算财政拨款支出决算</a:t>
            </a:r>
            <a:endParaRPr>
              <a:latin typeface="方正仿宋简体" panose="02010601030101010101" charset="-122"/>
              <a:ea typeface="方正仿宋简体" panose="02010601030101010101" charset="-122"/>
            </a:endParaRPr>
          </a:p>
          <a:p>
            <a:pPr defTabSz="914400">
              <a:defRPr lang="zh-CN" sz="1400" b="1" i="0" u="none" strike="noStrike" kern="1200" baseline="0">
                <a:solidFill>
                  <a:schemeClr val="dk1">
                    <a:lumMod val="75000"/>
                    <a:lumOff val="25000"/>
                  </a:schemeClr>
                </a:solidFill>
                <a:latin typeface="+mn-lt"/>
                <a:ea typeface="+mn-ea"/>
                <a:cs typeface="+mn-cs"/>
              </a:defRPr>
            </a:pPr>
            <a:r>
              <a:rPr>
                <a:latin typeface="方正仿宋简体" panose="02010601030101010101" charset="-122"/>
                <a:ea typeface="方正仿宋简体" panose="02010601030101010101" charset="-122"/>
              </a:rPr>
              <a:t>变动情况图（单位：万元）</a:t>
            </a:r>
            <a:endParaRPr>
              <a:latin typeface="方正仿宋简体" panose="02010601030101010101" charset="-122"/>
              <a:ea typeface="方正仿宋简体" panose="02010601030101010101" charset="-122"/>
            </a:endParaRPr>
          </a:p>
        </c:rich>
      </c:tx>
      <c:layout/>
      <c:overlay val="0"/>
      <c:spPr>
        <a:noFill/>
        <a:ln>
          <a:noFill/>
        </a:ln>
        <a:effectLst/>
      </c:spPr>
    </c:title>
    <c:autoTitleDeleted val="0"/>
    <c:plotArea>
      <c:layout/>
      <c:barChart>
        <c:barDir val="col"/>
        <c:grouping val="clustered"/>
        <c:varyColors val="0"/>
        <c:ser>
          <c:idx val="0"/>
          <c:order val="0"/>
          <c:spPr>
            <a:gradFill>
              <a:gsLst>
                <a:gs pos="0">
                  <a:schemeClr val="accent1">
                    <a:lumOff val="17500"/>
                  </a:schemeClr>
                </a:gs>
                <a:gs pos="100000">
                  <a:schemeClr val="accent1"/>
                </a:gs>
              </a:gsLst>
              <a:lin ang="2700000" scaled="0"/>
            </a:gradFill>
            <a:ln>
              <a:noFill/>
            </a:ln>
            <a:effectLst>
              <a:outerShdw blurRad="76200" dist="25400" dir="2700000" algn="tl" rotWithShape="0">
                <a:schemeClr val="accent1">
                  <a:lumMod val="50000"/>
                  <a:alpha val="30000"/>
                </a:schemeClr>
              </a:outerShdw>
            </a:effectLst>
            <a:sp3d>
              <a:extrusionClr>
                <a:srgbClr val="FFFFFF"/>
              </a:extrusionClr>
              <a:contourClr>
                <a:srgbClr val="FFFFFF"/>
              </a:contourClr>
            </a:sp3d>
          </c:spPr>
          <c:invertIfNegative val="0"/>
          <c:dPt>
            <c:idx val="0"/>
            <c:invertIfNegative val="0"/>
            <c:bubble3D val="0"/>
            <c:spPr>
              <a:gradFill>
                <a:gsLst>
                  <a:gs pos="0">
                    <a:schemeClr val="accent2">
                      <a:lumOff val="17500"/>
                    </a:schemeClr>
                  </a:gs>
                  <a:gs pos="100000">
                    <a:schemeClr val="accent2"/>
                  </a:gs>
                </a:gsLst>
                <a:lin ang="2700000" scaled="0"/>
              </a:gradFill>
              <a:ln>
                <a:noFill/>
              </a:ln>
              <a:effectLst>
                <a:outerShdw blurRad="76200" dist="25400" dir="2700000" algn="tl" rotWithShape="0">
                  <a:schemeClr val="accent1">
                    <a:lumMod val="50000"/>
                    <a:alpha val="30000"/>
                  </a:schemeClr>
                </a:outerShdw>
              </a:effectLst>
              <a:sp3d>
                <a:extrusionClr>
                  <a:srgbClr val="FFFFFF"/>
                </a:extrusionClr>
                <a:contourClr>
                  <a:srgbClr val="FFFFFF"/>
                </a:contourClr>
              </a:sp3d>
            </c:spPr>
          </c:dPt>
          <c:dLbls>
            <c:dLbl>
              <c:idx val="0"/>
              <c:layout/>
              <c:dLblPos val="outEnd"/>
              <c:showLegendKey val="0"/>
              <c:showVal val="1"/>
              <c:showCatName val="0"/>
              <c:showSerName val="0"/>
              <c:showPercent val="0"/>
              <c:showBubbleSize val="0"/>
              <c:extLst>
                <c:ext xmlns:c15="http://schemas.microsoft.com/office/drawing/2012/chart" uri="{CE6537A1-D6FC-4f65-9D91-7224C49458BB}"/>
              </c:extLst>
            </c:dLbl>
            <c:dLbl>
              <c:idx val="1"/>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[决算图表制作2023.xlsx]Sheet1!$A$95:$A$96</c:f>
              <c:strCache>
                <c:ptCount val="2"/>
                <c:pt idx="0">
                  <c:v>2022年</c:v>
                </c:pt>
                <c:pt idx="1">
                  <c:v>2023年</c:v>
                </c:pt>
              </c:strCache>
            </c:strRef>
          </c:cat>
          <c:val>
            <c:numRef>
              <c:f>[决算图表制作2023.xlsx]Sheet1!$B$95:$B$96</c:f>
              <c:numCache>
                <c:formatCode>General</c:formatCode>
                <c:ptCount val="2"/>
                <c:pt idx="0">
                  <c:v>1237.48</c:v>
                </c:pt>
                <c:pt idx="1">
                  <c:v>850.4</c:v>
                </c:pt>
              </c:numCache>
            </c:numRef>
          </c:val>
        </c:ser>
        <c:dLbls>
          <c:showLegendKey val="0"/>
          <c:showVal val="0"/>
          <c:showCatName val="0"/>
          <c:showSerName val="0"/>
          <c:showPercent val="0"/>
          <c:showBubbleSize val="0"/>
        </c:dLbls>
        <c:gapWidth val="246"/>
        <c:overlap val="-28"/>
        <c:axId val="916065090"/>
        <c:axId val="872025437"/>
      </c:barChart>
      <c:catAx>
        <c:axId val="91606509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2025437"/>
        <c:crosses val="autoZero"/>
        <c:auto val="1"/>
        <c:lblAlgn val="ctr"/>
        <c:lblOffset val="100"/>
        <c:noMultiLvlLbl val="0"/>
      </c:catAx>
      <c:valAx>
        <c:axId val="872025437"/>
        <c:scaling>
          <c:orientation val="minMax"/>
        </c:scaling>
        <c:delete val="0"/>
        <c:axPos val="l"/>
        <c:majorGridlines>
          <c:spPr>
            <a:ln w="9525" cap="flat" cmpd="sng" algn="ctr">
              <a:solidFill>
                <a:schemeClr val="bg1">
                  <a:lumMod val="90200"/>
                </a:schemeClr>
              </a:solidFill>
              <a:round/>
            </a:ln>
            <a:effectLst/>
          </c:spPr>
        </c:majorGridlines>
        <c:numFmt formatCode="0.00_);[Red]\(0.0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606509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40" b="1" i="0" u="none" strike="noStrike" kern="1200" baseline="0">
                <a:solidFill>
                  <a:schemeClr val="dk1">
                    <a:lumMod val="75000"/>
                    <a:lumOff val="25000"/>
                  </a:schemeClr>
                </a:solidFill>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defRPr>
            </a:pPr>
            <a:r>
              <a:rPr sz="1440">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rPr>
              <a:t>图 </a:t>
            </a:r>
            <a:r>
              <a:rPr lang="en-US" altLang="zh-CN" sz="1440">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rPr>
              <a:t>6</a:t>
            </a:r>
            <a:r>
              <a:rPr sz="1440">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rPr>
              <a:t> ：一般公共预算财政拨款支出</a:t>
            </a:r>
            <a:endParaRPr sz="1440">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endParaRPr>
          </a:p>
          <a:p>
            <a:pPr defTabSz="914400">
              <a:defRPr lang="zh-CN" sz="1440" b="1" i="0" u="none" strike="noStrike" kern="1200" baseline="0">
                <a:solidFill>
                  <a:schemeClr val="dk1">
                    <a:lumMod val="75000"/>
                    <a:lumOff val="25000"/>
                  </a:schemeClr>
                </a:solidFill>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defRPr>
            </a:pPr>
            <a:r>
              <a:rPr sz="1440">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rPr>
              <a:t>决算结构图</a:t>
            </a:r>
            <a:endParaRPr sz="1440">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endParaRPr>
          </a:p>
        </c:rich>
      </c:tx>
      <c:layout>
        <c:manualLayout>
          <c:xMode val="edge"/>
          <c:yMode val="edge"/>
          <c:x val="0.17373682202802"/>
          <c:y val="0.00954966633983892"/>
        </c:manualLayout>
      </c:layout>
      <c:overlay val="0"/>
      <c:spPr>
        <a:noFill/>
        <a:ln>
          <a:noFill/>
        </a:ln>
        <a:effectLst/>
      </c:spPr>
    </c:title>
    <c:autoTitleDeleted val="0"/>
    <c:plotArea>
      <c:layout/>
      <c:pieChart>
        <c:varyColors val="1"/>
        <c:ser>
          <c:idx val="0"/>
          <c:order val="0"/>
          <c:spPr>
            <a:gradFill>
              <a:gsLst>
                <a:gs pos="0">
                  <a:schemeClr val="accent1">
                    <a:lumMod val="37000"/>
                    <a:lumOff val="63000"/>
                  </a:schemeClr>
                </a:gs>
                <a:gs pos="90000">
                  <a:schemeClr val="accent1"/>
                </a:gs>
              </a:gsLst>
              <a:lin ang="5400000" scaled="0"/>
            </a:gradFill>
          </c:spPr>
          <c:explosion val="0"/>
          <c:dPt>
            <c:idx val="0"/>
            <c:bubble3D val="0"/>
            <c:spPr>
              <a:gradFill>
                <a:gsLst>
                  <a:gs pos="0">
                    <a:schemeClr val="accent1">
                      <a:lumMod val="37000"/>
                      <a:lumOff val="63000"/>
                    </a:schemeClr>
                  </a:gs>
                  <a:gs pos="90000">
                    <a:schemeClr val="accent1"/>
                  </a:gs>
                </a:gsLst>
                <a:lin ang="5400000" scaled="0"/>
              </a:gradFill>
              <a:ln>
                <a:gradFill>
                  <a:gsLst>
                    <a:gs pos="0">
                      <a:schemeClr val="accent1"/>
                    </a:gs>
                    <a:gs pos="100000">
                      <a:schemeClr val="accent1">
                        <a:lumMod val="75000"/>
                      </a:schemeClr>
                    </a:gs>
                  </a:gsLst>
                  <a:lin ang="5400000" scaled="1"/>
                </a:gradFill>
              </a:ln>
              <a:effectLst/>
            </c:spPr>
          </c:dPt>
          <c:dPt>
            <c:idx val="1"/>
            <c:bubble3D val="0"/>
            <c:spPr>
              <a:gradFill>
                <a:gsLst>
                  <a:gs pos="0">
                    <a:schemeClr val="accent6">
                      <a:lumOff val="17500"/>
                    </a:schemeClr>
                  </a:gs>
                  <a:gs pos="100000">
                    <a:schemeClr val="accent6"/>
                  </a:gs>
                </a:gsLst>
                <a:lin ang="2700000" scaled="0"/>
              </a:gradFill>
              <a:ln>
                <a:gradFill>
                  <a:gsLst>
                    <a:gs pos="0">
                      <a:schemeClr val="accent2"/>
                    </a:gs>
                    <a:gs pos="100000">
                      <a:schemeClr val="accent2">
                        <a:lumMod val="75000"/>
                      </a:schemeClr>
                    </a:gs>
                  </a:gsLst>
                  <a:lin ang="5400000" scaled="1"/>
                </a:gradFill>
              </a:ln>
              <a:effectLst/>
              <a:sp3d>
                <a:extrusionClr>
                  <a:srgbClr val="FFFFFF"/>
                </a:extrusionClr>
                <a:contourClr>
                  <a:srgbClr val="FFFFFF"/>
                </a:contourClr>
              </a:sp3d>
            </c:spPr>
          </c:dPt>
          <c:dPt>
            <c:idx val="2"/>
            <c:bubble3D val="0"/>
            <c:spPr>
              <a:gradFill>
                <a:gsLst>
                  <a:gs pos="0">
                    <a:schemeClr val="accent2">
                      <a:lumOff val="17500"/>
                    </a:schemeClr>
                  </a:gs>
                  <a:gs pos="100000">
                    <a:schemeClr val="accent2"/>
                  </a:gs>
                </a:gsLst>
                <a:lin ang="2700000" scaled="0"/>
              </a:gradFill>
              <a:ln>
                <a:gradFill>
                  <a:gsLst>
                    <a:gs pos="0">
                      <a:schemeClr val="accent3"/>
                    </a:gs>
                    <a:gs pos="100000">
                      <a:schemeClr val="accent3">
                        <a:lumMod val="75000"/>
                      </a:schemeClr>
                    </a:gs>
                  </a:gsLst>
                  <a:lin ang="5400000" scaled="1"/>
                </a:gradFill>
              </a:ln>
              <a:effectLst/>
              <a:sp3d>
                <a:extrusionClr>
                  <a:srgbClr val="FFFFFF"/>
                </a:extrusionClr>
                <a:contourClr>
                  <a:srgbClr val="FFFFFF"/>
                </a:contourClr>
              </a:sp3d>
            </c:spPr>
          </c:dPt>
          <c:dPt>
            <c:idx val="3"/>
            <c:bubble3D val="0"/>
            <c:spPr>
              <a:gradFill>
                <a:gsLst>
                  <a:gs pos="0">
                    <a:schemeClr val="accent4">
                      <a:lumOff val="17500"/>
                    </a:schemeClr>
                  </a:gs>
                  <a:gs pos="100000">
                    <a:schemeClr val="accent4"/>
                  </a:gs>
                </a:gsLst>
                <a:lin ang="2700000" scaled="0"/>
              </a:gradFill>
              <a:ln>
                <a:gradFill>
                  <a:gsLst>
                    <a:gs pos="0">
                      <a:schemeClr val="accent4"/>
                    </a:gs>
                    <a:gs pos="100000">
                      <a:schemeClr val="accent4">
                        <a:lumMod val="75000"/>
                      </a:schemeClr>
                    </a:gs>
                  </a:gsLst>
                  <a:lin ang="5400000" scaled="1"/>
                </a:gradFill>
              </a:ln>
              <a:effectLst/>
              <a:sp3d>
                <a:extrusionClr>
                  <a:srgbClr val="FFFFFF"/>
                </a:extrusionClr>
                <a:contourClr>
                  <a:srgbClr val="FFFFFF"/>
                </a:contourClr>
              </a:sp3d>
            </c:spPr>
          </c:dPt>
          <c:dLbls>
            <c:dLbl>
              <c:idx val="0"/>
              <c:layout>
                <c:manualLayout>
                  <c:x val="0.0534446544892741"/>
                  <c:y val="0.018759996670322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11906520505437"/>
                  <c:y val="0.047010411976123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19177117013575"/>
                  <c:y val="-0.205656535723326"/>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0929565342131688"/>
                      <c:h val="0.0880557977332171"/>
                    </c:manualLayout>
                  </c15:layout>
                </c:ext>
              </c:extLst>
            </c:dLbl>
            <c:dLbl>
              <c:idx val="3"/>
              <c:layout>
                <c:manualLayout>
                  <c:x val="-0.104712907013858"/>
                  <c:y val="0.0194004161602543"/>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0677668539325843"/>
                      <c:h val="0.0618238021638331"/>
                    </c:manualLayout>
                  </c15:layout>
                </c:ext>
              </c:extLst>
            </c:dLbl>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lumMod val="75000"/>
                        <a:lumOff val="25000"/>
                      </a:schemeClr>
                    </a:solidFill>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[决算图表制作2023.xlsx]Sheet1!$A$116:$A$119</c:f>
              <c:strCache>
                <c:ptCount val="4"/>
                <c:pt idx="0">
                  <c:v>社会保障和就业支出</c:v>
                </c:pt>
                <c:pt idx="1">
                  <c:v>卫生健康支出</c:v>
                </c:pt>
                <c:pt idx="2">
                  <c:v>节能环保支出</c:v>
                </c:pt>
                <c:pt idx="3">
                  <c:v>住房保障支出</c:v>
                </c:pt>
              </c:strCache>
            </c:strRef>
          </c:cat>
          <c:val>
            <c:numRef>
              <c:f>[决算图表制作2023.xlsx]Sheet1!$B$116:$B$119</c:f>
              <c:numCache>
                <c:formatCode>General</c:formatCode>
                <c:ptCount val="4"/>
                <c:pt idx="0">
                  <c:v>52.83</c:v>
                </c:pt>
                <c:pt idx="1">
                  <c:v>42.35</c:v>
                </c:pt>
                <c:pt idx="2">
                  <c:v>713.04</c:v>
                </c:pt>
                <c:pt idx="3">
                  <c:v>42.18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defRPr>
            </a:pPr>
          </a:p>
        </c:txPr>
      </c:legendEntry>
      <c:legendEntry>
        <c:idx val="1"/>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defRPr>
            </a:pPr>
          </a:p>
        </c:txPr>
      </c:legendEntry>
      <c:legendEntry>
        <c:idx val="2"/>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defRPr>
            </a:pPr>
          </a:p>
        </c:txPr>
      </c:legendEntry>
      <c:legendEntry>
        <c:idx val="3"/>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defRPr>
            </a:pPr>
          </a:p>
        </c:txPr>
      </c:legendEntry>
      <c:layout>
        <c:manualLayout>
          <c:xMode val="edge"/>
          <c:yMode val="edge"/>
          <c:x val="0.104497354497354"/>
          <c:y val="0.826994343670763"/>
          <c:w val="0.778071722516167"/>
          <c:h val="0.116637409791301"/>
        </c:manualLayout>
      </c:layout>
      <c:overlay val="0"/>
      <c:spPr>
        <a:noFill/>
        <a:ln>
          <a:noFill/>
        </a:ln>
        <a:effectLst/>
      </c:spPr>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defRPr>
          </a:pPr>
        </a:p>
      </c:txPr>
    </c:legend>
    <c:plotVisOnly val="1"/>
    <c:dispBlanksAs val="gap"/>
    <c:showDLblsOverMax val="0"/>
  </c:chart>
  <c:spPr>
    <a:solidFill>
      <a:schemeClr val="bg1"/>
    </a:solidFill>
    <a:ln w="9525" cap="flat" cmpd="sng" algn="ctr">
      <a:noFill/>
      <a:round/>
    </a:ln>
    <a:effectLst/>
  </c:spPr>
  <c:txPr>
    <a:bodyPr/>
    <a:lstStyle/>
    <a:p>
      <a:pPr>
        <a:defRPr lang="zh-CN" sz="1200">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40" b="1" i="0" u="none" strike="noStrike" kern="1200" baseline="0">
                <a:solidFill>
                  <a:schemeClr val="dk1">
                    <a:lumMod val="75000"/>
                    <a:lumOff val="25000"/>
                  </a:schemeClr>
                </a:solidFill>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defRPr>
            </a:pPr>
            <a:r>
              <a:rPr sz="1440">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rPr>
              <a:t>图 </a:t>
            </a:r>
            <a:r>
              <a:rPr lang="en-US" altLang="zh-CN" sz="1440">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rPr>
              <a:t>7</a:t>
            </a:r>
            <a:r>
              <a:rPr sz="1440">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rPr>
              <a:t> ：</a:t>
            </a:r>
            <a:r>
              <a:rPr lang="en-US" altLang="zh-CN" sz="1440">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rPr>
              <a:t>“</a:t>
            </a:r>
            <a:r>
              <a:rPr altLang="en-US" sz="1440">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rPr>
              <a:t>三公</a:t>
            </a:r>
            <a:r>
              <a:rPr lang="en-US" altLang="zh-CN" sz="1440">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rPr>
              <a:t>”</a:t>
            </a:r>
            <a:r>
              <a:rPr sz="1440">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rPr>
              <a:t>财政拨款支出决算结构图</a:t>
            </a:r>
            <a:endParaRPr sz="1440">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endParaRPr>
          </a:p>
        </c:rich>
      </c:tx>
      <c:layout/>
      <c:overlay val="0"/>
      <c:spPr>
        <a:noFill/>
        <a:ln>
          <a:noFill/>
        </a:ln>
        <a:effectLst/>
      </c:spPr>
    </c:title>
    <c:autoTitleDeleted val="0"/>
    <c:plotArea>
      <c:layout/>
      <c:pieChart>
        <c:varyColors val="1"/>
        <c:ser>
          <c:idx val="0"/>
          <c:order val="0"/>
          <c:spPr>
            <a:gradFill>
              <a:gsLst>
                <a:gs pos="0">
                  <a:schemeClr val="accent1">
                    <a:lumOff val="17500"/>
                  </a:schemeClr>
                </a:gs>
                <a:gs pos="100000">
                  <a:schemeClr val="accent1"/>
                </a:gs>
              </a:gsLst>
              <a:lin ang="2700000" scaled="0"/>
            </a:gradFill>
            <a:ln>
              <a:solidFill>
                <a:schemeClr val="bg1"/>
              </a:solidFill>
            </a:ln>
            <a:sp3d>
              <a:extrusionClr>
                <a:srgbClr val="FFFFFF"/>
              </a:extrusionClr>
              <a:contourClr>
                <a:srgbClr val="FFFFFF"/>
              </a:contourClr>
            </a:sp3d>
          </c:spPr>
          <c:explosion val="0"/>
          <c:dPt>
            <c:idx val="0"/>
            <c:bubble3D val="0"/>
            <c:spPr>
              <a:gradFill>
                <a:gsLst>
                  <a:gs pos="0">
                    <a:schemeClr val="accent1">
                      <a:lumOff val="17500"/>
                    </a:schemeClr>
                  </a:gs>
                  <a:gs pos="100000">
                    <a:schemeClr val="accent1"/>
                  </a:gs>
                </a:gsLst>
                <a:lin ang="2700000" scaled="0"/>
              </a:gradFill>
              <a:ln>
                <a:solidFill>
                  <a:schemeClr val="bg1"/>
                </a:solidFill>
              </a:ln>
              <a:effectLst/>
              <a:sp3d>
                <a:extrusionClr>
                  <a:srgbClr val="FFFFFF"/>
                </a:extrusionClr>
                <a:contourClr>
                  <a:srgbClr val="FFFFFF"/>
                </a:contourClr>
              </a:sp3d>
            </c:spPr>
          </c:dPt>
          <c:dPt>
            <c:idx val="1"/>
            <c:bubble3D val="0"/>
            <c:spPr>
              <a:gradFill>
                <a:gsLst>
                  <a:gs pos="0">
                    <a:schemeClr val="accent1">
                      <a:lumOff val="17500"/>
                    </a:schemeClr>
                  </a:gs>
                  <a:gs pos="100000">
                    <a:schemeClr val="accent1"/>
                  </a:gs>
                </a:gsLst>
                <a:lin ang="2700000" scaled="0"/>
              </a:gradFill>
              <a:ln>
                <a:solidFill>
                  <a:schemeClr val="bg1"/>
                </a:solidFill>
              </a:ln>
              <a:effectLst/>
              <a:sp3d>
                <a:extrusionClr>
                  <a:srgbClr val="FFFFFF"/>
                </a:extrusionClr>
                <a:contourClr>
                  <a:srgbClr val="FFFFFF"/>
                </a:contourClr>
              </a:sp3d>
            </c:spPr>
          </c:dPt>
          <c:dPt>
            <c:idx val="2"/>
            <c:bubble3D val="0"/>
            <c:spPr>
              <a:gradFill>
                <a:gsLst>
                  <a:gs pos="0">
                    <a:schemeClr val="accent2">
                      <a:lumOff val="17500"/>
                    </a:schemeClr>
                  </a:gs>
                  <a:gs pos="100000">
                    <a:schemeClr val="accent2"/>
                  </a:gs>
                </a:gsLst>
                <a:lin ang="2700000" scaled="0"/>
              </a:gradFill>
              <a:ln>
                <a:solidFill>
                  <a:schemeClr val="bg1"/>
                </a:solidFill>
              </a:ln>
              <a:effectLst/>
              <a:sp3d>
                <a:extrusionClr>
                  <a:srgbClr val="FFFFFF"/>
                </a:extrusionClr>
                <a:contourClr>
                  <a:srgbClr val="FFFFFF"/>
                </a:contourClr>
              </a:sp3d>
            </c:spPr>
          </c:dPt>
          <c:dLbls>
            <c:dLbl>
              <c:idx val="0"/>
              <c:layout>
                <c:manualLayout>
                  <c:x val="0.0986840026334984"/>
                  <c:y val="0.0322627314809796"/>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0878195075227362"/>
                  <c:y val="-0.306187505238047"/>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13552631578947"/>
                      <c:h val="0.116898148148148"/>
                    </c:manualLayout>
                  </c15:layout>
                </c:ext>
              </c:extLst>
            </c:dLbl>
            <c:dLbl>
              <c:idx val="2"/>
              <c:layout>
                <c:manualLayout>
                  <c:x val="-0.0633581131173747"/>
                  <c:y val="0.02146528422419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lumMod val="75000"/>
                        <a:lumOff val="25000"/>
                      </a:schemeClr>
                    </a:solidFill>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[决算图表制作2023.xlsx]Sheet1!$A$140:$A$142</c:f>
              <c:strCache>
                <c:ptCount val="3"/>
                <c:pt idx="0">
                  <c:v>因公出国（境）费</c:v>
                </c:pt>
                <c:pt idx="1">
                  <c:v>公务用车购置及运行维护费</c:v>
                </c:pt>
                <c:pt idx="2">
                  <c:v>公务接待费</c:v>
                </c:pt>
              </c:strCache>
            </c:strRef>
          </c:cat>
          <c:val>
            <c:numRef>
              <c:f>[决算图表制作2023.xlsx]Sheet1!$B$140:$B$142</c:f>
              <c:numCache>
                <c:formatCode>General</c:formatCode>
                <c:ptCount val="3"/>
                <c:pt idx="0">
                  <c:v>0</c:v>
                </c:pt>
                <c:pt idx="1">
                  <c:v>8</c:v>
                </c:pt>
                <c:pt idx="2">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defRPr>
            </a:pPr>
          </a:p>
        </c:txPr>
      </c:legendEntry>
      <c:legendEntry>
        <c:idx val="1"/>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defRPr>
            </a:pPr>
          </a:p>
        </c:txPr>
      </c:legendEntry>
      <c:legendEntry>
        <c:idx val="2"/>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defRPr>
            </a:pPr>
          </a:p>
        </c:txPr>
      </c:legendEntry>
      <c:layout>
        <c:manualLayout>
          <c:xMode val="edge"/>
          <c:yMode val="edge"/>
          <c:x val="0.663919413919414"/>
          <c:y val="0.646532926297427"/>
          <c:w val="0.332155939298796"/>
          <c:h val="0.346925425207152"/>
        </c:manualLayout>
      </c:layout>
      <c:overlay val="0"/>
      <c:spPr>
        <a:noFill/>
        <a:ln>
          <a:noFill/>
        </a:ln>
        <a:effectLst/>
      </c:spPr>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defRPr>
          </a:pPr>
        </a:p>
      </c:txPr>
    </c:legend>
    <c:plotVisOnly val="1"/>
    <c:dispBlanksAs val="gap"/>
    <c:showDLblsOverMax val="0"/>
  </c:chart>
  <c:spPr>
    <a:solidFill>
      <a:schemeClr val="bg1"/>
    </a:solidFill>
    <a:ln w="9525" cap="flat" cmpd="sng" algn="ctr">
      <a:noFill/>
      <a:round/>
    </a:ln>
    <a:effectLst/>
  </c:spPr>
  <c:txPr>
    <a:bodyPr/>
    <a:lstStyle/>
    <a:p>
      <a:pPr>
        <a:defRPr lang="zh-CN" sz="1200">
          <a:latin typeface="方正仿宋简体" panose="02010601030101010101" charset="-122"/>
          <a:ea typeface="方正仿宋简体" panose="02010601030101010101" charset="-122"/>
          <a:cs typeface="方正仿宋简体" panose="02010601030101010101" charset="-122"/>
          <a:sym typeface="方正仿宋简体" panose="02010601030101010101"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cs:styleClr val="auto"/>
    </cs:fontRef>
    <cs:defRPr sz="1000" b="1" i="0" u="none" strike="noStrike" kern="1200" spc="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0.236389796956158</cdr:x>
      <cdr:y>0.0115965065203644</cdr:y>
    </cdr:from>
    <cdr:to>
      <cdr:x>0.755205586429843</cdr:x>
      <cdr:y>0.136596506520364</cdr:y>
    </cdr:to>
    <cdr:sp>
      <cdr:nvSpPr>
        <cdr:cNvPr id="2" name="矩形 1"/>
        <cdr:cNvSpPr/>
      </cdr:nvSpPr>
      <cdr:spPr xmlns:a="http://schemas.openxmlformats.org/drawingml/2006/main">
        <a:xfrm xmlns:a="http://schemas.openxmlformats.org/drawingml/2006/main">
          <a:off x="1305035" y="31915"/>
          <a:ext cx="2864221" cy="344011"/>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p>
          <a:r>
            <a:rPr lang="zh-CN" altLang="en-US" sz="1200" b="1">
              <a:latin typeface="仿宋" panose="02010609060101010101" pitchFamily="3" charset="-122"/>
              <a:ea typeface="仿宋" panose="02010609060101010101" pitchFamily="3" charset="-122"/>
              <a:cs typeface="仿宋" panose="02010609060101010101" pitchFamily="3" charset="-122"/>
            </a:rPr>
            <a:t>图</a:t>
          </a:r>
          <a:r>
            <a:rPr lang="en-US" altLang="zh-CN" sz="1200" b="1">
              <a:latin typeface="仿宋" panose="02010609060101010101" pitchFamily="3" charset="-122"/>
              <a:ea typeface="仿宋" panose="02010609060101010101" pitchFamily="3" charset="-122"/>
              <a:cs typeface="仿宋" panose="02010609060101010101" pitchFamily="3" charset="-122"/>
            </a:rPr>
            <a:t> 1 </a:t>
          </a:r>
          <a:r>
            <a:rPr lang="zh-CN" altLang="en-US" sz="1200" b="1">
              <a:latin typeface="仿宋" panose="02010609060101010101" pitchFamily="3" charset="-122"/>
              <a:ea typeface="仿宋" panose="02010609060101010101" pitchFamily="3" charset="-122"/>
              <a:cs typeface="仿宋" panose="02010609060101010101" pitchFamily="3" charset="-122"/>
            </a:rPr>
            <a:t>：收支决算总计变动情况图</a:t>
          </a:r>
          <a:endParaRPr lang="zh-CN" altLang="en-US" sz="1200" b="1">
            <a:latin typeface="仿宋" panose="02010609060101010101" pitchFamily="3" charset="-122"/>
            <a:ea typeface="仿宋" panose="02010609060101010101" pitchFamily="3" charset="-122"/>
            <a:cs typeface="仿宋" panose="02010609060101010101" pitchFamily="3" charset="-122"/>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0.632368421052632</cdr:x>
      <cdr:y>0.374163879598662</cdr:y>
    </cdr:from>
    <cdr:to>
      <cdr:x>0.981578947368421</cdr:x>
      <cdr:y>0.490175585284281</cdr:y>
    </cdr:to>
    <cdr:sp>
      <cdr:nvSpPr>
        <cdr:cNvPr id="2" name="矩形 1"/>
        <cdr:cNvSpPr/>
      </cdr:nvSpPr>
      <cdr:spPr xmlns:a="http://schemas.openxmlformats.org/drawingml/2006/main">
        <a:xfrm xmlns:a="http://schemas.openxmlformats.org/drawingml/2006/main">
          <a:off x="3051810" y="1136650"/>
          <a:ext cx="1685290" cy="35242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p>
          <a:endParaRPr lang="zh-CN" alt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47</Pages>
  <Words>14517</Words>
  <Characters>15431</Characters>
  <Lines>61</Lines>
  <Paragraphs>17</Paragraphs>
  <TotalTime>39</TotalTime>
  <ScaleCrop>false</ScaleCrop>
  <LinksUpToDate>false</LinksUpToDate>
  <CharactersWithSpaces>17563</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Administrator</cp:lastModifiedBy>
  <cp:lastPrinted>2023-09-21T05:58:00Z</cp:lastPrinted>
  <dcterms:modified xsi:type="dcterms:W3CDTF">2024-09-27T01:54:30Z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778AC0E8FFCA46E999A92D1F510E2512_13</vt:lpwstr>
  </property>
</Properties>
</file>