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0F60E">
      <w:pPr>
        <w:spacing w:line="600" w:lineRule="exact"/>
        <w:jc w:val="left"/>
        <w:outlineLvl w:val="0"/>
        <w:rPr>
          <w:rFonts w:hint="eastAsia" w:ascii="方正小标宋简体" w:hAnsi="宋体" w:eastAsia="方正小标宋简体"/>
          <w:szCs w:val="21"/>
        </w:rPr>
      </w:pPr>
      <w:bookmarkStart w:id="0" w:name="_Toc15306267"/>
    </w:p>
    <w:p w14:paraId="1CFC6F93">
      <w:pPr>
        <w:pStyle w:val="2"/>
        <w:spacing w:before="93"/>
      </w:pPr>
    </w:p>
    <w:p w14:paraId="1B5110E1">
      <w:pPr>
        <w:spacing w:line="600" w:lineRule="exact"/>
        <w:jc w:val="center"/>
        <w:outlineLvl w:val="0"/>
        <w:rPr>
          <w:rFonts w:hint="eastAsia" w:ascii="方正小标宋简体" w:hAnsi="宋体" w:eastAsia="方正小标宋简体"/>
          <w:sz w:val="72"/>
          <w:szCs w:val="72"/>
        </w:rPr>
      </w:pPr>
    </w:p>
    <w:p w14:paraId="10013D3E">
      <w:pPr>
        <w:spacing w:line="600" w:lineRule="exact"/>
        <w:jc w:val="center"/>
        <w:outlineLvl w:val="0"/>
        <w:rPr>
          <w:rFonts w:hint="eastAsia" w:ascii="方正小标宋简体" w:hAnsi="宋体" w:eastAsia="方正小标宋简体"/>
          <w:sz w:val="72"/>
          <w:szCs w:val="72"/>
        </w:rPr>
      </w:pPr>
    </w:p>
    <w:p w14:paraId="1A971B2A">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597"/>
      <w:bookmarkStart w:id="2" w:name="_Toc15396475"/>
      <w:bookmarkStart w:id="3" w:name="_Toc15377425"/>
      <w:bookmarkStart w:id="4" w:name="_Toc15377193"/>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000125D3">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bookmarkStart w:id="6" w:name="_Toc15377426"/>
      <w:bookmarkStart w:id="7" w:name="_Toc15396598"/>
      <w:bookmarkStart w:id="8" w:name="_Toc15396476"/>
      <w:bookmarkStart w:id="9" w:name="_Toc15378442"/>
      <w:bookmarkStart w:id="10" w:name="_Toc15306268"/>
      <w:bookmarkStart w:id="11" w:name="_Toc15377194"/>
      <w:r>
        <w:rPr>
          <w:rFonts w:hint="eastAsia" w:ascii="方正小标宋简体" w:hAnsi="方正小标宋简体" w:eastAsia="方正小标宋简体" w:cs="方正小标宋简体"/>
          <w:sz w:val="72"/>
          <w:szCs w:val="72"/>
          <w:highlight w:val="none"/>
        </w:rPr>
        <w:t>大竹县朝阳乡卫生院</w:t>
      </w:r>
    </w:p>
    <w:p w14:paraId="31F9D11B">
      <w:pPr>
        <w:adjustRightInd w:val="0"/>
        <w:snapToGrid w:val="0"/>
        <w:spacing w:line="360" w:lineRule="auto"/>
        <w:jc w:val="center"/>
        <w:outlineLvl w:val="0"/>
        <w:rPr>
          <w:rFonts w:hint="eastAsia"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72"/>
          <w:szCs w:val="72"/>
          <w:highlight w:val="none"/>
        </w:rPr>
        <w:t>单位决算</w:t>
      </w:r>
      <w:bookmarkEnd w:id="6"/>
      <w:bookmarkEnd w:id="7"/>
      <w:bookmarkEnd w:id="8"/>
      <w:bookmarkEnd w:id="9"/>
      <w:bookmarkEnd w:id="10"/>
      <w:bookmarkEnd w:id="11"/>
    </w:p>
    <w:p w14:paraId="0D7F7E91">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F273965">
      <w:pPr>
        <w:widowControl/>
        <w:jc w:val="center"/>
        <w:rPr>
          <w:rFonts w:hint="eastAsia" w:ascii="黑体" w:hAnsi="黑体" w:eastAsia="黑体" w:cstheme="minorBidi"/>
          <w:sz w:val="28"/>
          <w:szCs w:val="28"/>
        </w:rPr>
      </w:pPr>
    </w:p>
    <w:p w14:paraId="4ED1C4C9">
      <w:pPr>
        <w:pStyle w:val="11"/>
        <w:rPr>
          <w:rFonts w:hint="eastAsia"/>
        </w:rPr>
      </w:pPr>
      <w:r>
        <w:rPr>
          <w:rFonts w:hint="eastAsia"/>
        </w:rPr>
        <w:t>公开时间：2024年10月18日</w:t>
      </w:r>
    </w:p>
    <w:p w14:paraId="60773ED7"/>
    <w:p w14:paraId="59B2A68E">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14:paraId="75EFB9EA">
      <w:pPr>
        <w:pStyle w:val="12"/>
        <w:adjustRightInd w:val="0"/>
        <w:snapToGrid w:val="0"/>
        <w:spacing w:line="440" w:lineRule="exact"/>
        <w:jc w:val="left"/>
        <w:rPr>
          <w:rFonts w:hint="eastAsia" w:ascii="仿宋" w:hAnsi="仿宋" w:eastAsia="仿宋" w:cs="仿宋"/>
          <w:sz w:val="24"/>
          <w:lang w:val="en-US" w:eastAsia="zh-CN"/>
        </w:rPr>
      </w:pPr>
      <w:r>
        <w:rPr>
          <w:rFonts w:hint="eastAsia"/>
          <w:sz w:val="24"/>
        </w:rPr>
        <w:t>一、主要职责</w:t>
      </w:r>
      <w:r>
        <w:rPr>
          <w:rFonts w:hint="eastAsia" w:ascii="仿宋" w:hAnsi="仿宋" w:eastAsia="仿宋" w:cs="仿宋"/>
          <w:sz w:val="24"/>
          <w:lang w:val="en-US" w:eastAsia="zh-CN"/>
        </w:rPr>
        <w:t>.............................................4</w:t>
      </w:r>
    </w:p>
    <w:p w14:paraId="346C2C90">
      <w:pPr>
        <w:pStyle w:val="12"/>
        <w:adjustRightInd w:val="0"/>
        <w:snapToGrid w:val="0"/>
        <w:spacing w:line="440" w:lineRule="exact"/>
        <w:jc w:val="left"/>
        <w:rPr>
          <w:rFonts w:hint="default" w:ascii="仿宋" w:hAnsi="仿宋" w:eastAsia="仿宋" w:cs="仿宋"/>
          <w:lang w:val="en-US" w:eastAsia="zh-CN"/>
        </w:rPr>
      </w:pPr>
      <w:r>
        <w:rPr>
          <w:rFonts w:hint="eastAsia"/>
          <w:sz w:val="24"/>
        </w:rPr>
        <w:t>二、机构设置</w:t>
      </w:r>
      <w:r>
        <w:rPr>
          <w:rFonts w:hint="eastAsia" w:ascii="仿宋" w:hAnsi="仿宋" w:eastAsia="仿宋" w:cs="仿宋"/>
          <w:sz w:val="24"/>
          <w:lang w:val="en-US" w:eastAsia="zh-CN"/>
        </w:rPr>
        <w:t>.............................................4</w:t>
      </w:r>
    </w:p>
    <w:p w14:paraId="34F65ADE">
      <w:pPr>
        <w:pStyle w:val="11"/>
        <w:adjustRightInd w:val="0"/>
        <w:snapToGrid w:val="0"/>
        <w:spacing w:before="0" w:line="440" w:lineRule="exact"/>
        <w:jc w:val="left"/>
        <w:rPr>
          <w:rFonts w:hint="default" w:ascii="仿宋" w:hAnsi="仿宋" w:eastAsia="仿宋" w:cs="仿宋"/>
          <w:sz w:val="24"/>
          <w:szCs w:val="24"/>
          <w:lang w:val="en-US" w:eastAsia="zh-CN"/>
        </w:rPr>
      </w:pPr>
      <w:r>
        <w:rPr>
          <w:rFonts w:hint="eastAsia"/>
          <w:sz w:val="24"/>
        </w:rPr>
        <w:t>第二部分 2023年度单位决算情况说明</w:t>
      </w:r>
      <w:r>
        <w:rPr>
          <w:rFonts w:hint="eastAsia" w:cs="仿宋"/>
          <w:sz w:val="24"/>
          <w:lang w:val="en-US" w:eastAsia="zh-CN"/>
        </w:rPr>
        <w:t>...........................4</w:t>
      </w:r>
    </w:p>
    <w:p w14:paraId="6A08C638">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ascii="仿宋" w:hAnsi="仿宋" w:eastAsia="仿宋" w:cs="仿宋"/>
          <w:sz w:val="24"/>
          <w:lang w:val="en-US" w:eastAsia="zh-CN"/>
        </w:rPr>
        <w:t>.............................4</w:t>
      </w:r>
    </w:p>
    <w:p w14:paraId="74197BE4">
      <w:pPr>
        <w:pStyle w:val="12"/>
        <w:adjustRightInd w:val="0"/>
        <w:snapToGrid w:val="0"/>
        <w:spacing w:line="440" w:lineRule="exact"/>
        <w:jc w:val="left"/>
        <w:rPr>
          <w:rFonts w:hint="eastAsia" w:ascii="仿宋" w:hAnsi="仿宋" w:eastAsia="仿宋" w:cstheme="minorBidi"/>
          <w:sz w:val="24"/>
          <w:lang w:val="en-US" w:eastAsia="zh-CN"/>
        </w:rPr>
      </w:pPr>
      <w:r>
        <w:rPr>
          <w:rFonts w:hint="eastAsia"/>
          <w:sz w:val="24"/>
        </w:rPr>
        <w:t>二、收入决算情况说明</w:t>
      </w:r>
      <w:r>
        <w:rPr>
          <w:rFonts w:hint="eastAsia" w:ascii="仿宋" w:hAnsi="仿宋" w:eastAsia="仿宋" w:cstheme="minorBidi"/>
          <w:sz w:val="24"/>
          <w:lang w:val="en-US" w:eastAsia="zh-CN"/>
        </w:rPr>
        <w:t>.....................................5</w:t>
      </w:r>
    </w:p>
    <w:p w14:paraId="1340DD00">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ascii="仿宋" w:hAnsi="仿宋" w:eastAsia="仿宋" w:cs="仿宋"/>
          <w:sz w:val="24"/>
          <w:lang w:val="en-US" w:eastAsia="zh-CN"/>
        </w:rPr>
        <w:t>.....................................6</w:t>
      </w:r>
    </w:p>
    <w:p w14:paraId="3A6B0A43">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ascii="仿宋" w:hAnsi="仿宋" w:eastAsia="仿宋" w:cs="仿宋"/>
          <w:sz w:val="24"/>
          <w:lang w:val="en-US" w:eastAsia="zh-CN"/>
        </w:rPr>
        <w:t>.....................6</w:t>
      </w:r>
    </w:p>
    <w:p w14:paraId="37758E32">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ascii="仿宋" w:hAnsi="仿宋" w:eastAsia="仿宋" w:cs="仿宋"/>
          <w:sz w:val="24"/>
          <w:lang w:val="en-US" w:eastAsia="zh-CN"/>
        </w:rPr>
        <w:t>.................7</w:t>
      </w:r>
    </w:p>
    <w:p w14:paraId="33DCF68C">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六、一般公共预算财政拨款基本支出决算情况说明</w:t>
      </w:r>
      <w:r>
        <w:rPr>
          <w:rFonts w:hint="eastAsia" w:ascii="仿宋" w:hAnsi="仿宋" w:eastAsia="仿宋" w:cs="仿宋"/>
          <w:sz w:val="24"/>
          <w:lang w:val="en-US" w:eastAsia="zh-CN"/>
        </w:rPr>
        <w:t>.............9</w:t>
      </w:r>
    </w:p>
    <w:p w14:paraId="3EEB1F4B">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七、财政拨款“三公”经费支出决算情况说明</w:t>
      </w:r>
      <w:r>
        <w:rPr>
          <w:rFonts w:hint="eastAsia" w:ascii="仿宋" w:hAnsi="仿宋" w:eastAsia="仿宋" w:cs="仿宋"/>
          <w:sz w:val="24"/>
          <w:lang w:val="en-US" w:eastAsia="zh-CN"/>
        </w:rPr>
        <w:t>.................10</w:t>
      </w:r>
    </w:p>
    <w:p w14:paraId="5D1C5031">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ascii="仿宋" w:hAnsi="仿宋" w:eastAsia="仿宋" w:cs="仿宋"/>
          <w:sz w:val="24"/>
          <w:lang w:val="en-US" w:eastAsia="zh-CN"/>
        </w:rPr>
        <w:t>.......................11</w:t>
      </w:r>
    </w:p>
    <w:p w14:paraId="33987C35">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九、国有资本经营预算支出决算情况说明</w:t>
      </w:r>
      <w:r>
        <w:rPr>
          <w:rFonts w:hint="eastAsia" w:ascii="仿宋" w:hAnsi="仿宋" w:eastAsia="仿宋" w:cs="仿宋"/>
          <w:sz w:val="24"/>
          <w:lang w:val="en-US" w:eastAsia="zh-CN"/>
        </w:rPr>
        <w:t>.....................12</w:t>
      </w:r>
    </w:p>
    <w:p w14:paraId="27B4EC95">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十、其他重要事项的情况说明</w:t>
      </w:r>
      <w:r>
        <w:rPr>
          <w:rFonts w:hint="eastAsia" w:ascii="仿宋" w:hAnsi="仿宋" w:eastAsia="仿宋" w:cs="仿宋"/>
          <w:sz w:val="24"/>
          <w:lang w:val="en-US" w:eastAsia="zh-CN"/>
        </w:rPr>
        <w:t>...............................12</w:t>
      </w:r>
    </w:p>
    <w:p w14:paraId="62E4D343">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...........................................13</w:t>
      </w:r>
    </w:p>
    <w:p w14:paraId="7F89A7F3">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...............................................16</w:t>
      </w:r>
    </w:p>
    <w:p w14:paraId="5EFD03B8">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...............................................17</w:t>
      </w:r>
    </w:p>
    <w:p w14:paraId="2B84A028">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一、收入支出决算总表</w:t>
      </w:r>
      <w:r>
        <w:rPr>
          <w:rFonts w:hint="eastAsia" w:ascii="仿宋" w:hAnsi="仿宋" w:eastAsia="仿宋" w:cs="仿宋"/>
          <w:sz w:val="24"/>
          <w:lang w:val="en-US" w:eastAsia="zh-CN"/>
        </w:rPr>
        <w:t>....................................17</w:t>
      </w:r>
    </w:p>
    <w:p w14:paraId="1A00F11B">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二、收入决算表</w:t>
      </w:r>
      <w:r>
        <w:rPr>
          <w:rFonts w:hint="eastAsia" w:ascii="仿宋" w:hAnsi="仿宋" w:eastAsia="仿宋" w:cs="仿宋"/>
          <w:sz w:val="24"/>
          <w:lang w:val="en-US" w:eastAsia="zh-CN"/>
        </w:rPr>
        <w:t>..........................................17</w:t>
      </w:r>
    </w:p>
    <w:p w14:paraId="312E52BB">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三、支出决算表</w:t>
      </w:r>
      <w:r>
        <w:rPr>
          <w:rFonts w:hint="eastAsia" w:ascii="仿宋" w:hAnsi="仿宋" w:eastAsia="仿宋" w:cs="仿宋"/>
          <w:sz w:val="24"/>
          <w:lang w:val="en-US" w:eastAsia="zh-CN"/>
        </w:rPr>
        <w:t>..........................................17</w:t>
      </w:r>
    </w:p>
    <w:p w14:paraId="59289311">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四、财政拨款收入支出决算总表</w:t>
      </w:r>
      <w:r>
        <w:rPr>
          <w:rFonts w:hint="eastAsia" w:ascii="仿宋" w:hAnsi="仿宋" w:eastAsia="仿宋" w:cs="仿宋"/>
          <w:sz w:val="24"/>
          <w:lang w:val="en-US" w:eastAsia="zh-CN"/>
        </w:rPr>
        <w:t>............................17</w:t>
      </w:r>
    </w:p>
    <w:p w14:paraId="049EE9CB">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五、财政拨款支出决算明细表</w:t>
      </w:r>
      <w:r>
        <w:rPr>
          <w:rFonts w:hint="eastAsia" w:ascii="仿宋" w:hAnsi="仿宋" w:eastAsia="仿宋" w:cs="仿宋"/>
          <w:sz w:val="24"/>
          <w:lang w:val="en-US" w:eastAsia="zh-CN"/>
        </w:rPr>
        <w:t>..............................17</w:t>
      </w:r>
    </w:p>
    <w:p w14:paraId="5F7BB276">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六、一般公共预算财政拨款支出决算表</w:t>
      </w:r>
      <w:r>
        <w:rPr>
          <w:rFonts w:hint="eastAsia" w:ascii="仿宋" w:hAnsi="仿宋" w:eastAsia="仿宋" w:cs="仿宋"/>
          <w:sz w:val="24"/>
          <w:lang w:val="en-US" w:eastAsia="zh-CN"/>
        </w:rPr>
        <w:t>......................17</w:t>
      </w:r>
    </w:p>
    <w:p w14:paraId="277A4F08">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七、一般公共预算财政拨款支出决算明细表</w:t>
      </w:r>
      <w:r>
        <w:rPr>
          <w:rFonts w:hint="eastAsia" w:ascii="仿宋" w:hAnsi="仿宋" w:eastAsia="仿宋" w:cs="仿宋"/>
          <w:sz w:val="24"/>
          <w:lang w:val="en-US" w:eastAsia="zh-CN"/>
        </w:rPr>
        <w:t>..................17</w:t>
      </w:r>
    </w:p>
    <w:p w14:paraId="1A36AA8B">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八、一般公共预算财政拨款基本支出决算明细表</w:t>
      </w:r>
      <w:r>
        <w:rPr>
          <w:rFonts w:hint="eastAsia" w:ascii="仿宋" w:hAnsi="仿宋" w:eastAsia="仿宋" w:cs="仿宋"/>
          <w:sz w:val="24"/>
          <w:lang w:val="en-US" w:eastAsia="zh-CN"/>
        </w:rPr>
        <w:t>..............17</w:t>
      </w:r>
    </w:p>
    <w:p w14:paraId="3E3958A9">
      <w:pPr>
        <w:pStyle w:val="12"/>
        <w:adjustRightInd w:val="0"/>
        <w:snapToGrid w:val="0"/>
        <w:spacing w:line="440" w:lineRule="exact"/>
        <w:jc w:val="left"/>
        <w:rPr>
          <w:rFonts w:hint="default" w:ascii="仿宋" w:hAnsi="仿宋" w:eastAsia="宋体" w:cs="仿宋"/>
          <w:sz w:val="24"/>
          <w:lang w:val="en-US" w:eastAsia="zh-CN"/>
        </w:rPr>
      </w:pPr>
      <w:r>
        <w:rPr>
          <w:rFonts w:hint="eastAsia"/>
          <w:sz w:val="24"/>
        </w:rPr>
        <w:t>九、一般公共预算财政拨款项目支出决算表</w:t>
      </w:r>
      <w:r>
        <w:rPr>
          <w:rFonts w:hint="eastAsia" w:ascii="仿宋" w:hAnsi="仿宋" w:eastAsia="仿宋" w:cs="仿宋"/>
          <w:sz w:val="24"/>
          <w:lang w:val="en-US" w:eastAsia="zh-CN"/>
        </w:rPr>
        <w:t>..................17</w:t>
      </w:r>
    </w:p>
    <w:p w14:paraId="390B0DC8">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十、政府性基金预算财政拨款收入支出决算表</w:t>
      </w:r>
      <w:r>
        <w:rPr>
          <w:rFonts w:hint="eastAsia" w:ascii="仿宋" w:hAnsi="仿宋" w:eastAsia="仿宋" w:cs="仿宋"/>
          <w:sz w:val="24"/>
          <w:lang w:val="en-US" w:eastAsia="zh-CN"/>
        </w:rPr>
        <w:t>..............17</w:t>
      </w:r>
    </w:p>
    <w:p w14:paraId="781C88F2">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十一、国有资本经营预算财政拨款收入支出决算表</w:t>
      </w:r>
      <w:r>
        <w:rPr>
          <w:rFonts w:hint="eastAsia" w:ascii="仿宋" w:hAnsi="仿宋" w:eastAsia="仿宋" w:cs="仿宋"/>
          <w:sz w:val="24"/>
          <w:lang w:val="en-US" w:eastAsia="zh-CN"/>
        </w:rPr>
        <w:t>..........17</w:t>
      </w:r>
    </w:p>
    <w:p w14:paraId="79BE9D34">
      <w:pPr>
        <w:pStyle w:val="12"/>
        <w:adjustRightInd w:val="0"/>
        <w:snapToGrid w:val="0"/>
        <w:spacing w:line="440" w:lineRule="exact"/>
        <w:jc w:val="left"/>
        <w:rPr>
          <w:rFonts w:hint="default" w:ascii="仿宋" w:hAnsi="仿宋" w:eastAsia="仿宋" w:cs="仿宋"/>
          <w:sz w:val="24"/>
          <w:lang w:val="en-US" w:eastAsia="zh-CN"/>
        </w:rPr>
      </w:pPr>
      <w:r>
        <w:rPr>
          <w:rFonts w:hint="eastAsia"/>
          <w:sz w:val="24"/>
        </w:rPr>
        <w:t>十二、国有资本经营预算财政拨款支出决算表</w:t>
      </w:r>
      <w:r>
        <w:rPr>
          <w:rFonts w:hint="eastAsia" w:ascii="仿宋" w:hAnsi="仿宋" w:eastAsia="仿宋" w:cs="仿宋"/>
          <w:sz w:val="24"/>
          <w:lang w:val="en-US" w:eastAsia="zh-CN"/>
        </w:rPr>
        <w:t>..............17</w:t>
      </w:r>
    </w:p>
    <w:p w14:paraId="20A1C64F">
      <w:pPr>
        <w:pStyle w:val="12"/>
        <w:adjustRightInd w:val="0"/>
        <w:snapToGrid w:val="0"/>
        <w:spacing w:line="440" w:lineRule="exact"/>
        <w:jc w:val="left"/>
        <w:rPr>
          <w:rFonts w:hint="default" w:ascii="仿宋" w:hAnsi="仿宋" w:eastAsia="宋体" w:cs="仿宋"/>
          <w:sz w:val="24"/>
          <w:lang w:val="en-US" w:eastAsia="zh-CN"/>
        </w:rPr>
      </w:pPr>
      <w:r>
        <w:rPr>
          <w:rFonts w:hint="eastAsia"/>
          <w:sz w:val="24"/>
        </w:rPr>
        <w:t>十三、财政拨款“三公”经费支出决算表</w:t>
      </w:r>
      <w:r>
        <w:rPr>
          <w:rFonts w:hint="eastAsia" w:ascii="仿宋" w:hAnsi="仿宋" w:eastAsia="仿宋" w:cs="仿宋"/>
          <w:sz w:val="24"/>
          <w:lang w:val="en-US" w:eastAsia="zh-CN"/>
        </w:rPr>
        <w:t>..................17</w:t>
      </w:r>
    </w:p>
    <w:p w14:paraId="61C88FB4">
      <w:pPr>
        <w:widowControl/>
        <w:spacing w:line="440" w:lineRule="exact"/>
        <w:jc w:val="left"/>
        <w:rPr>
          <w:rFonts w:hint="eastAsia" w:ascii="仿宋" w:hAnsi="仿宋" w:eastAsia="仿宋"/>
          <w:bCs/>
          <w:kern w:val="44"/>
          <w:sz w:val="24"/>
        </w:rPr>
      </w:pPr>
      <w:bookmarkStart w:id="12" w:name="_Toc15377196"/>
      <w:bookmarkStart w:id="13" w:name="_Toc15396599"/>
      <w:r>
        <w:rPr>
          <w:rFonts w:ascii="仿宋" w:hAnsi="仿宋" w:eastAsia="仿宋"/>
          <w:b/>
          <w:sz w:val="24"/>
        </w:rPr>
        <w:br w:type="page"/>
      </w:r>
      <w:bookmarkStart w:id="67" w:name="_GoBack"/>
      <w:bookmarkEnd w:id="67"/>
    </w:p>
    <w:p w14:paraId="663DE4CC">
      <w:pPr>
        <w:pStyle w:val="3"/>
        <w:jc w:val="center"/>
        <w:rPr>
          <w:rStyle w:val="27"/>
          <w:rFonts w:hint="eastAsia"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6F7F6257">
      <w:pPr>
        <w:widowControl/>
        <w:jc w:val="left"/>
        <w:rPr>
          <w:rFonts w:ascii="黑体" w:eastAsia="黑体"/>
          <w:sz w:val="32"/>
          <w:szCs w:val="32"/>
        </w:rPr>
      </w:pPr>
    </w:p>
    <w:p w14:paraId="05174395">
      <w:pPr>
        <w:pStyle w:val="4"/>
        <w:ind w:firstLine="643" w:firstLineChars="200"/>
        <w:rPr>
          <w:rStyle w:val="33"/>
          <w:rFonts w:hint="eastAsia" w:ascii="黑体" w:hAnsi="黑体" w:eastAsia="黑体"/>
          <w:b w:val="0"/>
          <w:bCs w:val="0"/>
        </w:rPr>
      </w:pPr>
      <w:bookmarkStart w:id="14" w:name="_Toc15377197"/>
      <w:bookmarkStart w:id="15" w:name="_Toc15396600"/>
      <w:r>
        <w:rPr>
          <w:rStyle w:val="33"/>
          <w:rFonts w:hint="eastAsia" w:ascii="黑体" w:hAnsi="黑体" w:eastAsia="黑体"/>
          <w:b/>
          <w:bCs/>
        </w:rPr>
        <w:t>一、主要职责</w:t>
      </w:r>
    </w:p>
    <w:p w14:paraId="688852D7">
      <w:pPr>
        <w:pStyle w:val="4"/>
        <w:ind w:firstLine="640" w:firstLineChars="200"/>
        <w:rPr>
          <w:rFonts w:hint="eastAsia" w:ascii="仿宋_GB2312" w:hAnsi="仿宋_GB2312" w:eastAsia="仿宋_GB2312" w:cs="仿宋_GB2312"/>
          <w:b w:val="0"/>
          <w:color w:val="000000"/>
        </w:rPr>
      </w:pPr>
      <w:r>
        <w:rPr>
          <w:rFonts w:hint="eastAsia" w:ascii="仿宋" w:hAnsi="仿宋" w:eastAsia="仿宋" w:cs="仿宋"/>
          <w:b w:val="0"/>
          <w:color w:val="000000"/>
        </w:rPr>
        <w:t>贯彻执行党的卫生工作方针政策和国家卫生法律、法规，以公共卫生服务为主，面向社区和农村居民提供综合性卫生服务，为人民身体健康提供基本医疗与预防保健、对乡村医生的业务进行指导和培训、卫生监督与卫生信息管理。</w:t>
      </w:r>
    </w:p>
    <w:p w14:paraId="50DEE649">
      <w:pPr>
        <w:pStyle w:val="4"/>
        <w:numPr>
          <w:ilvl w:val="0"/>
          <w:numId w:val="1"/>
        </w:numPr>
        <w:rPr>
          <w:rFonts w:hint="default" w:ascii="Times New Roman" w:hAnsi="Times New Roman" w:eastAsia="黑体" w:cs="Times New Roman"/>
          <w:b w:val="0"/>
        </w:rPr>
      </w:pPr>
      <w:r>
        <w:rPr>
          <w:rFonts w:hint="default" w:ascii="Times New Roman" w:hAnsi="Times New Roman" w:eastAsia="黑体" w:cs="Times New Roman"/>
          <w:b w:val="0"/>
        </w:rPr>
        <w:t>机构设置</w:t>
      </w:r>
    </w:p>
    <w:p w14:paraId="123552BE">
      <w:pPr>
        <w:pStyle w:val="2"/>
        <w:adjustRightInd w:val="0"/>
        <w:snapToGrid w:val="0"/>
        <w:spacing w:before="93" w:line="578" w:lineRule="exact"/>
        <w:ind w:firstLine="64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大竹县朝阳乡卫生院下属二级预算单位0个，其中行政单位0个，参照公务员法管理的事业单位0个，其他事业单位0个。</w:t>
      </w:r>
    </w:p>
    <w:p w14:paraId="0081058F">
      <w:pPr>
        <w:pStyle w:val="2"/>
        <w:adjustRightInd w:val="0"/>
        <w:snapToGrid w:val="0"/>
        <w:spacing w:before="93" w:line="578" w:lineRule="exact"/>
        <w:ind w:firstLine="64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纳入本单位2023年度部门决算编制范围的二级预算单位包括：无。</w:t>
      </w:r>
    </w:p>
    <w:bookmarkEnd w:id="14"/>
    <w:bookmarkEnd w:id="15"/>
    <w:p w14:paraId="6A7AD958">
      <w:pPr>
        <w:pStyle w:val="3"/>
        <w:ind w:right="440"/>
        <w:jc w:val="center"/>
        <w:rPr>
          <w:rStyle w:val="27"/>
          <w:rFonts w:hint="default" w:ascii="Times New Roman" w:hAnsi="Times New Roman" w:eastAsia="黑体" w:cs="Times New Roman"/>
          <w:b w:val="0"/>
          <w:bCs/>
        </w:rPr>
      </w:pPr>
      <w:bookmarkStart w:id="16" w:name="_Toc15396602"/>
      <w:bookmarkStart w:id="17" w:name="_Toc15377204"/>
      <w:r>
        <w:rPr>
          <w:rFonts w:hint="default" w:ascii="Times New Roman" w:hAnsi="Times New Roman" w:eastAsia="黑体" w:cs="Times New Roman"/>
          <w:b w:val="0"/>
        </w:rPr>
        <w:t>第二部分 2023年度</w:t>
      </w:r>
      <w:r>
        <w:rPr>
          <w:rStyle w:val="27"/>
          <w:rFonts w:hint="default" w:ascii="Times New Roman" w:hAnsi="Times New Roman" w:eastAsia="黑体" w:cs="Times New Roman"/>
          <w:b w:val="0"/>
          <w:bCs/>
        </w:rPr>
        <w:t>单位决算情况说明</w:t>
      </w:r>
      <w:bookmarkEnd w:id="16"/>
      <w:bookmarkEnd w:id="17"/>
    </w:p>
    <w:p w14:paraId="0707A133">
      <w:pPr>
        <w:pStyle w:val="26"/>
        <w:numPr>
          <w:ilvl w:val="0"/>
          <w:numId w:val="2"/>
        </w:numPr>
        <w:spacing w:line="600" w:lineRule="exact"/>
        <w:ind w:firstLineChars="0"/>
        <w:outlineLvl w:val="1"/>
        <w:rPr>
          <w:rStyle w:val="28"/>
          <w:rFonts w:hint="default" w:ascii="Times New Roman" w:hAnsi="Times New Roman" w:eastAsia="黑体" w:cs="Times New Roman"/>
          <w:b w:val="0"/>
        </w:rPr>
      </w:pPr>
      <w:bookmarkStart w:id="18" w:name="_Toc15377205"/>
      <w:bookmarkStart w:id="19" w:name="_Toc15396603"/>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rPr>
        <w:t>入支出决算总体情况说明</w:t>
      </w:r>
      <w:bookmarkEnd w:id="18"/>
      <w:bookmarkEnd w:id="19"/>
    </w:p>
    <w:p w14:paraId="4ABFD501">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2023年度收、支总计均为</w:t>
      </w:r>
      <w:r>
        <w:rPr>
          <w:rFonts w:hint="eastAsia" w:ascii="仿宋" w:hAnsi="仿宋" w:eastAsia="仿宋" w:cs="仿宋"/>
          <w:b/>
          <w:sz w:val="32"/>
          <w:szCs w:val="32"/>
        </w:rPr>
        <w:t>261.63</w:t>
      </w:r>
      <w:r>
        <w:rPr>
          <w:rFonts w:hint="eastAsia" w:ascii="仿宋" w:hAnsi="仿宋" w:eastAsia="仿宋" w:cs="仿宋"/>
          <w:sz w:val="32"/>
          <w:szCs w:val="32"/>
        </w:rPr>
        <w:t>万元。与2022年度相比，收、支总计各增加50.23万元，增长23.76%。主要变动原因是2022年本院的财政拨款收入由大竹县卫生健康局统一上报。</w:t>
      </w:r>
    </w:p>
    <w:p w14:paraId="1B88D745">
      <w:pPr>
        <w:pStyle w:val="18"/>
        <w:rPr>
          <w:rFonts w:hint="default" w:ascii="Times New Roman" w:hAnsi="Times New Roman" w:cs="Times New Roman"/>
        </w:rPr>
      </w:pPr>
      <w:r>
        <w:rPr>
          <w:rFonts w:hint="default" w:ascii="Times New Roman" w:hAnsi="Times New Roman" w:cs="Times New Roman"/>
        </w:rPr>
        <w:drawing>
          <wp:inline distT="0" distB="0" distL="0" distR="0">
            <wp:extent cx="5274310" cy="3262630"/>
            <wp:effectExtent l="0" t="0" r="2540" b="0"/>
            <wp:docPr id="7363951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95182" name="图片 1"/>
                    <pic:cNvPicPr>
                      <a:picLocks noChangeAspect="1"/>
                    </pic:cNvPicPr>
                  </pic:nvPicPr>
                  <pic:blipFill>
                    <a:blip r:embed="rId6"/>
                    <a:stretch>
                      <a:fillRect/>
                    </a:stretch>
                  </pic:blipFill>
                  <pic:spPr>
                    <a:xfrm>
                      <a:off x="0" y="0"/>
                      <a:ext cx="5274310" cy="3262630"/>
                    </a:xfrm>
                    <a:prstGeom prst="rect">
                      <a:avLst/>
                    </a:prstGeom>
                  </pic:spPr>
                </pic:pic>
              </a:graphicData>
            </a:graphic>
          </wp:inline>
        </w:drawing>
      </w:r>
    </w:p>
    <w:p w14:paraId="3C5B5909">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（图1：收、支决算总计变动情况图）（柱状图）</w:t>
      </w:r>
    </w:p>
    <w:p w14:paraId="46282C9F">
      <w:pPr>
        <w:pStyle w:val="26"/>
        <w:numPr>
          <w:ilvl w:val="0"/>
          <w:numId w:val="2"/>
        </w:numPr>
        <w:spacing w:line="600" w:lineRule="exact"/>
        <w:ind w:firstLineChars="0"/>
        <w:outlineLvl w:val="1"/>
        <w:rPr>
          <w:rStyle w:val="28"/>
          <w:rFonts w:hint="default" w:ascii="Times New Roman" w:hAnsi="Times New Roman" w:eastAsia="黑体" w:cs="Times New Roman"/>
          <w:b w:val="0"/>
        </w:rPr>
      </w:pPr>
      <w:bookmarkStart w:id="20" w:name="_Toc15396604"/>
      <w:bookmarkStart w:id="21" w:name="_Toc15377206"/>
      <w:r>
        <w:rPr>
          <w:rFonts w:hint="default" w:ascii="Times New Roman" w:hAnsi="Times New Roman" w:eastAsia="黑体" w:cs="Times New Roman"/>
          <w:sz w:val="32"/>
          <w:szCs w:val="32"/>
        </w:rPr>
        <w:t>收</w:t>
      </w:r>
      <w:r>
        <w:rPr>
          <w:rStyle w:val="28"/>
          <w:rFonts w:hint="default" w:ascii="Times New Roman" w:hAnsi="Times New Roman" w:eastAsia="黑体" w:cs="Times New Roman"/>
          <w:b w:val="0"/>
        </w:rPr>
        <w:t>入决算情况说明</w:t>
      </w:r>
      <w:bookmarkEnd w:id="20"/>
      <w:bookmarkEnd w:id="21"/>
    </w:p>
    <w:p w14:paraId="4EB7ED1A">
      <w:pPr>
        <w:spacing w:line="60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2023年度本年收入合计</w:t>
      </w:r>
      <w:r>
        <w:rPr>
          <w:rFonts w:hint="eastAsia" w:ascii="仿宋" w:hAnsi="仿宋" w:eastAsia="仿宋" w:cs="仿宋"/>
          <w:b/>
          <w:sz w:val="32"/>
          <w:szCs w:val="32"/>
        </w:rPr>
        <w:t>258.26</w:t>
      </w:r>
      <w:r>
        <w:rPr>
          <w:rFonts w:hint="eastAsia" w:ascii="仿宋" w:hAnsi="仿宋" w:eastAsia="仿宋" w:cs="仿宋"/>
          <w:sz w:val="32"/>
          <w:szCs w:val="32"/>
        </w:rPr>
        <w:t>万元，其中：一般公共预算财政拨款收入</w:t>
      </w:r>
      <w:r>
        <w:rPr>
          <w:rFonts w:hint="eastAsia" w:ascii="仿宋" w:hAnsi="仿宋" w:eastAsia="仿宋" w:cs="仿宋"/>
          <w:b/>
          <w:sz w:val="32"/>
          <w:szCs w:val="32"/>
        </w:rPr>
        <w:t>43.21</w:t>
      </w:r>
      <w:r>
        <w:rPr>
          <w:rFonts w:hint="eastAsia" w:ascii="仿宋" w:hAnsi="仿宋" w:eastAsia="仿宋" w:cs="仿宋"/>
          <w:sz w:val="32"/>
          <w:szCs w:val="32"/>
        </w:rPr>
        <w:t>万元，占</w:t>
      </w:r>
      <w:r>
        <w:rPr>
          <w:rFonts w:hint="eastAsia" w:ascii="仿宋" w:hAnsi="仿宋" w:eastAsia="仿宋" w:cs="仿宋"/>
          <w:b/>
          <w:sz w:val="32"/>
          <w:szCs w:val="32"/>
        </w:rPr>
        <w:t>16.73%</w:t>
      </w:r>
      <w:r>
        <w:rPr>
          <w:rFonts w:hint="eastAsia" w:ascii="仿宋" w:hAnsi="仿宋" w:eastAsia="仿宋" w:cs="仿宋"/>
          <w:sz w:val="32"/>
          <w:szCs w:val="32"/>
        </w:rPr>
        <w:t>；政府性基金预算财政拨款收入</w:t>
      </w:r>
      <w:r>
        <w:rPr>
          <w:rFonts w:hint="eastAsia" w:ascii="仿宋" w:hAnsi="仿宋" w:eastAsia="仿宋" w:cs="仿宋"/>
          <w:b/>
          <w:sz w:val="32"/>
          <w:szCs w:val="32"/>
        </w:rPr>
        <w:t>0</w:t>
      </w:r>
      <w:r>
        <w:rPr>
          <w:rFonts w:hint="eastAsia" w:ascii="仿宋" w:hAnsi="仿宋" w:eastAsia="仿宋" w:cs="仿宋"/>
          <w:sz w:val="32"/>
          <w:szCs w:val="32"/>
        </w:rPr>
        <w:t>万元，占</w:t>
      </w:r>
      <w:r>
        <w:rPr>
          <w:rFonts w:hint="eastAsia" w:ascii="仿宋" w:hAnsi="仿宋" w:eastAsia="仿宋" w:cs="仿宋"/>
          <w:b/>
          <w:sz w:val="32"/>
          <w:szCs w:val="32"/>
        </w:rPr>
        <w:t>0</w:t>
      </w:r>
      <w:r>
        <w:rPr>
          <w:rFonts w:hint="eastAsia" w:ascii="仿宋" w:hAnsi="仿宋" w:eastAsia="仿宋" w:cs="仿宋"/>
          <w:sz w:val="32"/>
          <w:szCs w:val="32"/>
        </w:rPr>
        <w:t>%；国有资本经营预算财政拨款收入</w:t>
      </w:r>
      <w:r>
        <w:rPr>
          <w:rFonts w:hint="eastAsia" w:ascii="仿宋" w:hAnsi="仿宋" w:eastAsia="仿宋" w:cs="仿宋"/>
          <w:b/>
          <w:sz w:val="32"/>
          <w:szCs w:val="32"/>
        </w:rPr>
        <w:t>0</w:t>
      </w:r>
      <w:r>
        <w:rPr>
          <w:rFonts w:hint="eastAsia" w:ascii="仿宋" w:hAnsi="仿宋" w:eastAsia="仿宋" w:cs="仿宋"/>
          <w:sz w:val="32"/>
          <w:szCs w:val="32"/>
        </w:rPr>
        <w:t>万元，占</w:t>
      </w:r>
      <w:r>
        <w:rPr>
          <w:rFonts w:hint="eastAsia" w:ascii="仿宋" w:hAnsi="仿宋" w:eastAsia="仿宋" w:cs="仿宋"/>
          <w:b/>
          <w:sz w:val="32"/>
          <w:szCs w:val="32"/>
        </w:rPr>
        <w:t>0</w:t>
      </w:r>
      <w:r>
        <w:rPr>
          <w:rFonts w:hint="eastAsia" w:ascii="仿宋" w:hAnsi="仿宋" w:eastAsia="仿宋" w:cs="仿宋"/>
          <w:sz w:val="32"/>
          <w:szCs w:val="32"/>
        </w:rPr>
        <w:t>%；上级补助收入</w:t>
      </w:r>
      <w:r>
        <w:rPr>
          <w:rFonts w:hint="eastAsia" w:ascii="仿宋" w:hAnsi="仿宋" w:eastAsia="仿宋" w:cs="仿宋"/>
          <w:b/>
          <w:sz w:val="32"/>
          <w:szCs w:val="32"/>
        </w:rPr>
        <w:t>0</w:t>
      </w:r>
      <w:r>
        <w:rPr>
          <w:rFonts w:hint="eastAsia" w:ascii="仿宋" w:hAnsi="仿宋" w:eastAsia="仿宋" w:cs="仿宋"/>
          <w:sz w:val="32"/>
          <w:szCs w:val="32"/>
        </w:rPr>
        <w:t>万元，占0%；事业收入</w:t>
      </w:r>
      <w:r>
        <w:rPr>
          <w:rFonts w:hint="eastAsia" w:ascii="仿宋" w:hAnsi="仿宋" w:eastAsia="仿宋" w:cs="仿宋"/>
          <w:b/>
          <w:sz w:val="32"/>
          <w:szCs w:val="32"/>
        </w:rPr>
        <w:t>214.99</w:t>
      </w:r>
      <w:r>
        <w:rPr>
          <w:rFonts w:hint="eastAsia" w:ascii="仿宋" w:hAnsi="仿宋" w:eastAsia="仿宋" w:cs="仿宋"/>
          <w:sz w:val="32"/>
          <w:szCs w:val="32"/>
        </w:rPr>
        <w:t>万元，占</w:t>
      </w:r>
      <w:r>
        <w:rPr>
          <w:rFonts w:hint="eastAsia" w:ascii="仿宋" w:hAnsi="仿宋" w:eastAsia="仿宋" w:cs="仿宋"/>
          <w:b/>
          <w:sz w:val="32"/>
          <w:szCs w:val="32"/>
        </w:rPr>
        <w:t>83.25</w:t>
      </w:r>
      <w:r>
        <w:rPr>
          <w:rFonts w:hint="eastAsia" w:ascii="仿宋" w:hAnsi="仿宋" w:eastAsia="仿宋" w:cs="仿宋"/>
          <w:sz w:val="32"/>
          <w:szCs w:val="32"/>
        </w:rPr>
        <w:t>%；经营收入</w:t>
      </w:r>
      <w:r>
        <w:rPr>
          <w:rFonts w:hint="eastAsia" w:ascii="仿宋" w:hAnsi="仿宋" w:eastAsia="仿宋" w:cs="仿宋"/>
          <w:b/>
          <w:sz w:val="32"/>
          <w:szCs w:val="32"/>
        </w:rPr>
        <w:t>0</w:t>
      </w:r>
      <w:r>
        <w:rPr>
          <w:rFonts w:hint="eastAsia" w:ascii="仿宋" w:hAnsi="仿宋" w:eastAsia="仿宋" w:cs="仿宋"/>
          <w:sz w:val="32"/>
          <w:szCs w:val="32"/>
        </w:rPr>
        <w:t>万元，占</w:t>
      </w:r>
      <w:r>
        <w:rPr>
          <w:rFonts w:hint="eastAsia" w:ascii="仿宋" w:hAnsi="仿宋" w:eastAsia="仿宋" w:cs="仿宋"/>
          <w:b/>
          <w:sz w:val="32"/>
          <w:szCs w:val="32"/>
        </w:rPr>
        <w:t>0</w:t>
      </w:r>
      <w:r>
        <w:rPr>
          <w:rFonts w:hint="eastAsia" w:ascii="仿宋" w:hAnsi="仿宋" w:eastAsia="仿宋" w:cs="仿宋"/>
          <w:sz w:val="32"/>
          <w:szCs w:val="32"/>
        </w:rPr>
        <w:t>%；附属单位上缴收入</w:t>
      </w:r>
      <w:r>
        <w:rPr>
          <w:rFonts w:hint="eastAsia" w:ascii="仿宋" w:hAnsi="仿宋" w:eastAsia="仿宋" w:cs="仿宋"/>
          <w:b/>
          <w:sz w:val="32"/>
          <w:szCs w:val="32"/>
        </w:rPr>
        <w:t>0</w:t>
      </w:r>
      <w:r>
        <w:rPr>
          <w:rFonts w:hint="eastAsia" w:ascii="仿宋" w:hAnsi="仿宋" w:eastAsia="仿宋" w:cs="仿宋"/>
          <w:sz w:val="32"/>
          <w:szCs w:val="32"/>
        </w:rPr>
        <w:t>万元，占</w:t>
      </w:r>
      <w:r>
        <w:rPr>
          <w:rFonts w:hint="eastAsia" w:ascii="仿宋" w:hAnsi="仿宋" w:eastAsia="仿宋" w:cs="仿宋"/>
          <w:b/>
          <w:sz w:val="32"/>
          <w:szCs w:val="32"/>
        </w:rPr>
        <w:t>0</w:t>
      </w:r>
      <w:r>
        <w:rPr>
          <w:rFonts w:hint="eastAsia" w:ascii="仿宋" w:hAnsi="仿宋" w:eastAsia="仿宋" w:cs="仿宋"/>
          <w:sz w:val="32"/>
          <w:szCs w:val="32"/>
        </w:rPr>
        <w:t>%；其他收入</w:t>
      </w:r>
      <w:r>
        <w:rPr>
          <w:rFonts w:hint="eastAsia" w:ascii="仿宋" w:hAnsi="仿宋" w:eastAsia="仿宋" w:cs="仿宋"/>
          <w:b/>
          <w:sz w:val="32"/>
          <w:szCs w:val="32"/>
        </w:rPr>
        <w:t>0.06</w:t>
      </w:r>
      <w:r>
        <w:rPr>
          <w:rFonts w:hint="eastAsia" w:ascii="仿宋" w:hAnsi="仿宋" w:eastAsia="仿宋" w:cs="仿宋"/>
          <w:sz w:val="32"/>
          <w:szCs w:val="32"/>
        </w:rPr>
        <w:t>万元，占</w:t>
      </w:r>
      <w:r>
        <w:rPr>
          <w:rFonts w:hint="eastAsia" w:ascii="仿宋" w:hAnsi="仿宋" w:eastAsia="仿宋" w:cs="仿宋"/>
          <w:b/>
          <w:sz w:val="32"/>
          <w:szCs w:val="32"/>
        </w:rPr>
        <w:t>0.02</w:t>
      </w:r>
      <w:r>
        <w:rPr>
          <w:rFonts w:hint="eastAsia" w:ascii="仿宋" w:hAnsi="仿宋" w:eastAsia="仿宋" w:cs="仿宋"/>
          <w:sz w:val="32"/>
          <w:szCs w:val="32"/>
        </w:rPr>
        <w:t>%。</w:t>
      </w:r>
    </w:p>
    <w:p w14:paraId="5614AF45">
      <w:pPr>
        <w:rPr>
          <w:rFonts w:hint="default" w:ascii="Times New Roman" w:hAnsi="Times New Roman" w:cs="Times New Roman"/>
        </w:rPr>
      </w:pPr>
      <w:r>
        <w:rPr>
          <w:rFonts w:hint="default" w:ascii="Times New Roman" w:hAnsi="Times New Roman" w:cs="Times New Roman"/>
        </w:rPr>
        <w:drawing>
          <wp:inline distT="0" distB="0" distL="0" distR="0">
            <wp:extent cx="3413760" cy="2211705"/>
            <wp:effectExtent l="0" t="0" r="0" b="0"/>
            <wp:docPr id="2826155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15571"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2021" cy="2217364"/>
                    </a:xfrm>
                    <a:prstGeom prst="rect">
                      <a:avLst/>
                    </a:prstGeom>
                    <a:noFill/>
                    <a:ln>
                      <a:noFill/>
                    </a:ln>
                  </pic:spPr>
                </pic:pic>
              </a:graphicData>
            </a:graphic>
          </wp:inline>
        </w:drawing>
      </w:r>
    </w:p>
    <w:p w14:paraId="57E7F590">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（图2：收入决算结构图）（饼状图）</w:t>
      </w:r>
    </w:p>
    <w:p w14:paraId="2353580F">
      <w:pPr>
        <w:pStyle w:val="26"/>
        <w:numPr>
          <w:ilvl w:val="0"/>
          <w:numId w:val="2"/>
        </w:numPr>
        <w:spacing w:line="600" w:lineRule="exact"/>
        <w:ind w:firstLineChars="0"/>
        <w:outlineLvl w:val="1"/>
        <w:rPr>
          <w:rStyle w:val="28"/>
          <w:rFonts w:hint="default" w:ascii="Times New Roman" w:hAnsi="Times New Roman" w:eastAsia="黑体" w:cs="Times New Roman"/>
          <w:b w:val="0"/>
        </w:rPr>
      </w:pPr>
      <w:bookmarkStart w:id="22" w:name="_Toc15377207"/>
      <w:bookmarkStart w:id="23" w:name="_Toc15396605"/>
      <w:r>
        <w:rPr>
          <w:rFonts w:hint="default" w:ascii="Times New Roman" w:hAnsi="Times New Roman" w:eastAsia="黑体" w:cs="Times New Roman"/>
          <w:sz w:val="32"/>
          <w:szCs w:val="32"/>
        </w:rPr>
        <w:t>支</w:t>
      </w:r>
      <w:r>
        <w:rPr>
          <w:rStyle w:val="28"/>
          <w:rFonts w:hint="default" w:ascii="Times New Roman" w:hAnsi="Times New Roman" w:eastAsia="黑体" w:cs="Times New Roman"/>
          <w:b w:val="0"/>
        </w:rPr>
        <w:t>出决算情况说明</w:t>
      </w:r>
      <w:bookmarkEnd w:id="22"/>
      <w:bookmarkEnd w:id="23"/>
    </w:p>
    <w:p w14:paraId="4F65EB86">
      <w:pPr>
        <w:spacing w:line="60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2023年度本年支出合计</w:t>
      </w:r>
      <w:r>
        <w:rPr>
          <w:rFonts w:hint="eastAsia" w:ascii="仿宋" w:hAnsi="仿宋" w:eastAsia="仿宋" w:cs="仿宋"/>
          <w:b/>
          <w:sz w:val="32"/>
          <w:szCs w:val="32"/>
        </w:rPr>
        <w:t>256.22</w:t>
      </w:r>
      <w:r>
        <w:rPr>
          <w:rFonts w:hint="eastAsia" w:ascii="仿宋" w:hAnsi="仿宋" w:eastAsia="仿宋" w:cs="仿宋"/>
          <w:sz w:val="32"/>
          <w:szCs w:val="32"/>
        </w:rPr>
        <w:t>万元，其中：基本支出</w:t>
      </w:r>
      <w:r>
        <w:rPr>
          <w:rFonts w:hint="eastAsia" w:ascii="仿宋" w:hAnsi="仿宋" w:eastAsia="仿宋" w:cs="仿宋"/>
          <w:b/>
          <w:sz w:val="32"/>
          <w:szCs w:val="32"/>
        </w:rPr>
        <w:t>256.22</w:t>
      </w:r>
      <w:r>
        <w:rPr>
          <w:rFonts w:hint="eastAsia" w:ascii="仿宋" w:hAnsi="仿宋" w:eastAsia="仿宋" w:cs="仿宋"/>
          <w:sz w:val="32"/>
          <w:szCs w:val="32"/>
        </w:rPr>
        <w:t>万元，占</w:t>
      </w:r>
      <w:r>
        <w:rPr>
          <w:rFonts w:hint="eastAsia" w:ascii="仿宋" w:hAnsi="仿宋" w:eastAsia="仿宋" w:cs="仿宋"/>
          <w:b/>
          <w:sz w:val="32"/>
          <w:szCs w:val="32"/>
        </w:rPr>
        <w:t>100.00</w:t>
      </w:r>
      <w:r>
        <w:rPr>
          <w:rFonts w:hint="eastAsia" w:ascii="仿宋" w:hAnsi="仿宋" w:eastAsia="仿宋" w:cs="仿宋"/>
          <w:sz w:val="32"/>
          <w:szCs w:val="32"/>
        </w:rPr>
        <w:t>%；项目支出</w:t>
      </w:r>
      <w:r>
        <w:rPr>
          <w:rFonts w:hint="eastAsia" w:ascii="仿宋" w:hAnsi="仿宋" w:eastAsia="仿宋" w:cs="仿宋"/>
          <w:b/>
          <w:sz w:val="32"/>
          <w:szCs w:val="32"/>
        </w:rPr>
        <w:t>0</w:t>
      </w:r>
      <w:r>
        <w:rPr>
          <w:rFonts w:hint="eastAsia" w:ascii="仿宋" w:hAnsi="仿宋" w:eastAsia="仿宋" w:cs="仿宋"/>
          <w:sz w:val="32"/>
          <w:szCs w:val="32"/>
        </w:rPr>
        <w:t>万元，占</w:t>
      </w:r>
      <w:r>
        <w:rPr>
          <w:rFonts w:hint="eastAsia" w:ascii="仿宋" w:hAnsi="仿宋" w:eastAsia="仿宋" w:cs="仿宋"/>
          <w:b/>
          <w:sz w:val="32"/>
          <w:szCs w:val="32"/>
        </w:rPr>
        <w:t>0</w:t>
      </w:r>
      <w:r>
        <w:rPr>
          <w:rFonts w:hint="eastAsia" w:ascii="仿宋" w:hAnsi="仿宋" w:eastAsia="仿宋" w:cs="仿宋"/>
          <w:sz w:val="32"/>
          <w:szCs w:val="32"/>
        </w:rPr>
        <w:t>%；上缴上级支出</w:t>
      </w:r>
      <w:r>
        <w:rPr>
          <w:rFonts w:hint="eastAsia" w:ascii="仿宋" w:hAnsi="仿宋" w:eastAsia="仿宋" w:cs="仿宋"/>
          <w:b/>
          <w:sz w:val="32"/>
          <w:szCs w:val="32"/>
        </w:rPr>
        <w:t>0</w:t>
      </w:r>
      <w:r>
        <w:rPr>
          <w:rFonts w:hint="eastAsia" w:ascii="仿宋" w:hAnsi="仿宋" w:eastAsia="仿宋" w:cs="仿宋"/>
          <w:sz w:val="32"/>
          <w:szCs w:val="32"/>
        </w:rPr>
        <w:t>万元，占</w:t>
      </w:r>
      <w:r>
        <w:rPr>
          <w:rFonts w:hint="eastAsia" w:ascii="仿宋" w:hAnsi="仿宋" w:eastAsia="仿宋" w:cs="仿宋"/>
          <w:b/>
          <w:sz w:val="32"/>
          <w:szCs w:val="32"/>
        </w:rPr>
        <w:t>0</w:t>
      </w:r>
      <w:r>
        <w:rPr>
          <w:rFonts w:hint="eastAsia" w:ascii="仿宋" w:hAnsi="仿宋" w:eastAsia="仿宋" w:cs="仿宋"/>
          <w:sz w:val="32"/>
          <w:szCs w:val="32"/>
        </w:rPr>
        <w:t>%；经营支出</w:t>
      </w:r>
      <w:r>
        <w:rPr>
          <w:rFonts w:hint="eastAsia" w:ascii="仿宋" w:hAnsi="仿宋" w:eastAsia="仿宋" w:cs="仿宋"/>
          <w:b/>
          <w:sz w:val="32"/>
          <w:szCs w:val="32"/>
        </w:rPr>
        <w:t>0</w:t>
      </w:r>
      <w:r>
        <w:rPr>
          <w:rFonts w:hint="eastAsia" w:ascii="仿宋" w:hAnsi="仿宋" w:eastAsia="仿宋" w:cs="仿宋"/>
          <w:sz w:val="32"/>
          <w:szCs w:val="32"/>
        </w:rPr>
        <w:t>万元，占</w:t>
      </w:r>
      <w:r>
        <w:rPr>
          <w:rFonts w:hint="eastAsia" w:ascii="仿宋" w:hAnsi="仿宋" w:eastAsia="仿宋" w:cs="仿宋"/>
          <w:b/>
          <w:sz w:val="32"/>
          <w:szCs w:val="32"/>
        </w:rPr>
        <w:t>0</w:t>
      </w:r>
      <w:r>
        <w:rPr>
          <w:rFonts w:hint="eastAsia" w:ascii="仿宋" w:hAnsi="仿宋" w:eastAsia="仿宋" w:cs="仿宋"/>
          <w:sz w:val="32"/>
          <w:szCs w:val="32"/>
        </w:rPr>
        <w:t>%；对附属单位补助支出</w:t>
      </w:r>
      <w:r>
        <w:rPr>
          <w:rFonts w:hint="eastAsia" w:ascii="仿宋" w:hAnsi="仿宋" w:eastAsia="仿宋" w:cs="仿宋"/>
          <w:b/>
          <w:sz w:val="32"/>
          <w:szCs w:val="32"/>
        </w:rPr>
        <w:t>0</w:t>
      </w:r>
      <w:r>
        <w:rPr>
          <w:rFonts w:hint="eastAsia" w:ascii="仿宋" w:hAnsi="仿宋" w:eastAsia="仿宋" w:cs="仿宋"/>
          <w:sz w:val="32"/>
          <w:szCs w:val="32"/>
        </w:rPr>
        <w:t>万元，占</w:t>
      </w:r>
      <w:r>
        <w:rPr>
          <w:rFonts w:hint="eastAsia" w:ascii="仿宋" w:hAnsi="仿宋" w:eastAsia="仿宋" w:cs="仿宋"/>
          <w:b/>
          <w:sz w:val="32"/>
          <w:szCs w:val="32"/>
        </w:rPr>
        <w:t>0</w:t>
      </w:r>
      <w:r>
        <w:rPr>
          <w:rFonts w:hint="eastAsia" w:ascii="仿宋" w:hAnsi="仿宋" w:eastAsia="仿宋" w:cs="仿宋"/>
          <w:sz w:val="32"/>
          <w:szCs w:val="32"/>
        </w:rPr>
        <w:t>%。</w:t>
      </w:r>
    </w:p>
    <w:p w14:paraId="141DBFC3">
      <w:pPr>
        <w:rPr>
          <w:rFonts w:hint="default" w:ascii="Times New Roman" w:hAnsi="Times New Roman" w:cs="Times New Roman"/>
        </w:rPr>
      </w:pPr>
      <w:r>
        <w:rPr>
          <w:rFonts w:hint="default" w:ascii="Times New Roman" w:hAnsi="Times New Roman" w:cs="Times New Roman"/>
        </w:rPr>
        <w:drawing>
          <wp:inline distT="0" distB="0" distL="114300" distR="114300">
            <wp:extent cx="4314190" cy="2537460"/>
            <wp:effectExtent l="0" t="0" r="0" b="0"/>
            <wp:docPr id="2982299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29976" name="图片 3"/>
                    <pic:cNvPicPr>
                      <a:picLocks noChangeAspect="1"/>
                    </pic:cNvPicPr>
                  </pic:nvPicPr>
                  <pic:blipFill>
                    <a:blip r:embed="rId8"/>
                    <a:stretch>
                      <a:fillRect/>
                    </a:stretch>
                  </pic:blipFill>
                  <pic:spPr>
                    <a:xfrm>
                      <a:off x="0" y="0"/>
                      <a:ext cx="4315455" cy="2538073"/>
                    </a:xfrm>
                    <a:prstGeom prst="rect">
                      <a:avLst/>
                    </a:prstGeom>
                    <a:noFill/>
                    <a:ln>
                      <a:noFill/>
                    </a:ln>
                  </pic:spPr>
                </pic:pic>
              </a:graphicData>
            </a:graphic>
          </wp:inline>
        </w:drawing>
      </w:r>
    </w:p>
    <w:p w14:paraId="08DF127C">
      <w:pPr>
        <w:spacing w:line="600" w:lineRule="exact"/>
        <w:ind w:firstLine="640" w:firstLineChars="200"/>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（图3：支出决算结构图）（饼状图</w:t>
      </w:r>
      <w:r>
        <w:rPr>
          <w:rFonts w:hint="default" w:ascii="Times New Roman" w:hAnsi="Times New Roman" w:eastAsia="仿宋" w:cs="Times New Roman"/>
          <w:sz w:val="32"/>
          <w:szCs w:val="32"/>
        </w:rPr>
        <w:t>）</w:t>
      </w:r>
      <w:bookmarkStart w:id="24" w:name="_Toc15396606"/>
      <w:bookmarkStart w:id="25" w:name="_Toc15377208"/>
    </w:p>
    <w:p w14:paraId="548495AA">
      <w:pPr>
        <w:spacing w:line="600" w:lineRule="exact"/>
        <w:ind w:firstLine="640" w:firstLineChars="200"/>
        <w:rPr>
          <w:rStyle w:val="28"/>
          <w:rFonts w:hint="default" w:ascii="Times New Roman" w:hAnsi="Times New Roman" w:eastAsia="黑体" w:cs="Times New Roman"/>
          <w:b w:val="0"/>
        </w:rPr>
      </w:pPr>
      <w:r>
        <w:rPr>
          <w:rFonts w:hint="default" w:ascii="Times New Roman" w:hAnsi="Times New Roman" w:eastAsia="黑体" w:cs="Times New Roman"/>
          <w:sz w:val="32"/>
          <w:szCs w:val="32"/>
        </w:rPr>
        <w:t>四、财</w:t>
      </w:r>
      <w:r>
        <w:rPr>
          <w:rStyle w:val="28"/>
          <w:rFonts w:hint="default" w:ascii="Times New Roman" w:hAnsi="Times New Roman" w:eastAsia="黑体" w:cs="Times New Roman"/>
          <w:b w:val="0"/>
        </w:rPr>
        <w:t>政拨款收入支出决算总体情况说明</w:t>
      </w:r>
      <w:bookmarkEnd w:id="24"/>
      <w:bookmarkEnd w:id="25"/>
    </w:p>
    <w:p w14:paraId="14C8FD3C">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2023年度财政拨款收、支总计均为</w:t>
      </w:r>
      <w:r>
        <w:rPr>
          <w:rFonts w:hint="eastAsia" w:ascii="仿宋" w:hAnsi="仿宋" w:eastAsia="仿宋" w:cs="仿宋"/>
          <w:b/>
          <w:sz w:val="32"/>
          <w:szCs w:val="32"/>
        </w:rPr>
        <w:t>43.21</w:t>
      </w:r>
      <w:r>
        <w:rPr>
          <w:rFonts w:hint="eastAsia" w:ascii="仿宋" w:hAnsi="仿宋" w:eastAsia="仿宋" w:cs="仿宋"/>
          <w:sz w:val="32"/>
          <w:szCs w:val="32"/>
        </w:rPr>
        <w:t>万元。与2022年度相比，财政拨款收、支总计各增加43.21万元，增长100.00%。主要变动原因是2022年乡镇卫生院暂未启动预算一体化平台，全年财政拨款指标下达在卫健局，财政拨款支出由县卫健局代为列支。</w:t>
      </w:r>
    </w:p>
    <w:p w14:paraId="139EF02F">
      <w:pPr>
        <w:pStyle w:val="18"/>
        <w:rPr>
          <w:rFonts w:hint="default" w:ascii="Times New Roman" w:hAnsi="Times New Roman" w:cs="Times New Roman"/>
        </w:rPr>
      </w:pPr>
      <w:r>
        <w:rPr>
          <w:rFonts w:hint="default" w:ascii="Times New Roman" w:hAnsi="Times New Roman" w:cs="Times New Roman"/>
        </w:rPr>
        <w:drawing>
          <wp:inline distT="0" distB="0" distL="0" distR="0">
            <wp:extent cx="4754880" cy="2895600"/>
            <wp:effectExtent l="0" t="0" r="7620" b="0"/>
            <wp:docPr id="9459818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81849"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54880" cy="2895600"/>
                    </a:xfrm>
                    <a:prstGeom prst="rect">
                      <a:avLst/>
                    </a:prstGeom>
                    <a:noFill/>
                    <a:ln>
                      <a:noFill/>
                    </a:ln>
                  </pic:spPr>
                </pic:pic>
              </a:graphicData>
            </a:graphic>
          </wp:inline>
        </w:drawing>
      </w:r>
    </w:p>
    <w:p w14:paraId="242C263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（图4：财政拨款收、支决算总计变动情况）（柱状图）</w:t>
      </w:r>
    </w:p>
    <w:p w14:paraId="58B2D8E2">
      <w:pPr>
        <w:spacing w:line="600" w:lineRule="exact"/>
        <w:ind w:firstLine="640" w:firstLineChars="200"/>
        <w:outlineLvl w:val="1"/>
        <w:rPr>
          <w:rStyle w:val="28"/>
          <w:rFonts w:hint="default" w:ascii="Times New Roman" w:hAnsi="Times New Roman" w:eastAsia="黑体" w:cs="Times New Roman"/>
          <w:b w:val="0"/>
        </w:rPr>
      </w:pPr>
      <w:bookmarkStart w:id="26" w:name="_Toc15377209"/>
      <w:bookmarkStart w:id="27"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般公共预算财政拨款支出决算情况说明</w:t>
      </w:r>
      <w:bookmarkEnd w:id="26"/>
      <w:bookmarkEnd w:id="27"/>
    </w:p>
    <w:p w14:paraId="60373C61">
      <w:pPr>
        <w:spacing w:line="600" w:lineRule="exact"/>
        <w:ind w:firstLine="643" w:firstLineChars="200"/>
        <w:outlineLvl w:val="2"/>
        <w:rPr>
          <w:rFonts w:hint="default" w:ascii="Times New Roman" w:hAnsi="Times New Roman" w:eastAsia="仿宋" w:cs="Times New Roman"/>
          <w:b/>
          <w:sz w:val="32"/>
          <w:szCs w:val="32"/>
        </w:rPr>
      </w:pPr>
      <w:bookmarkStart w:id="28" w:name="_Toc15377210"/>
      <w:r>
        <w:rPr>
          <w:rFonts w:hint="default" w:ascii="Times New Roman" w:hAnsi="Times New Roman" w:eastAsia="仿宋" w:cs="Times New Roman"/>
          <w:b/>
          <w:sz w:val="32"/>
          <w:szCs w:val="32"/>
        </w:rPr>
        <w:t>（一）一般公共预算财政拨款支出决算总体情况</w:t>
      </w:r>
      <w:bookmarkEnd w:id="28"/>
    </w:p>
    <w:p w14:paraId="04EF97C0">
      <w:pPr>
        <w:spacing w:line="60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2023年度一般公共预算财政拨款支出</w:t>
      </w:r>
      <w:r>
        <w:rPr>
          <w:rFonts w:hint="default" w:ascii="Times New Roman" w:hAnsi="Times New Roman" w:eastAsia="仿宋" w:cs="Times New Roman"/>
          <w:b/>
          <w:sz w:val="32"/>
          <w:szCs w:val="32"/>
        </w:rPr>
        <w:t>43.21</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b/>
          <w:sz w:val="32"/>
          <w:szCs w:val="32"/>
        </w:rPr>
        <w:t>16.86</w:t>
      </w:r>
      <w:r>
        <w:rPr>
          <w:rFonts w:hint="default" w:ascii="Times New Roman" w:hAnsi="Times New Roman" w:eastAsia="仿宋" w:cs="Times New Roman"/>
          <w:sz w:val="32"/>
          <w:szCs w:val="32"/>
        </w:rPr>
        <w:t>%。与2022年度相比，一般公共预算财政拨款支出增加43.21万元，增长100.00%。主要变动原因是2022年乡镇卫生院暂未启动预算一体化平台，全年财政拨款指标下达在卫健局，财政拨款支出由县卫健局代为列支。</w:t>
      </w:r>
    </w:p>
    <w:p w14:paraId="0D2241D5">
      <w:pPr>
        <w:rPr>
          <w:rFonts w:hint="default" w:ascii="Times New Roman" w:hAnsi="Times New Roman" w:cs="Times New Roman"/>
        </w:rPr>
      </w:pPr>
      <w:r>
        <w:rPr>
          <w:rFonts w:hint="default" w:ascii="Times New Roman" w:hAnsi="Times New Roman" w:cs="Times New Roman"/>
        </w:rPr>
        <w:drawing>
          <wp:inline distT="0" distB="0" distL="0" distR="0">
            <wp:extent cx="4572000" cy="2514600"/>
            <wp:effectExtent l="0" t="0" r="0" b="0"/>
            <wp:docPr id="19749485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48582"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72000" cy="2514600"/>
                    </a:xfrm>
                    <a:prstGeom prst="rect">
                      <a:avLst/>
                    </a:prstGeom>
                    <a:noFill/>
                    <a:ln>
                      <a:noFill/>
                    </a:ln>
                  </pic:spPr>
                </pic:pic>
              </a:graphicData>
            </a:graphic>
          </wp:inline>
        </w:drawing>
      </w:r>
    </w:p>
    <w:p w14:paraId="47D474F7">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（图5：一般公共预算财政拨款支出决算变动情况）（柱状图）</w:t>
      </w:r>
    </w:p>
    <w:p w14:paraId="30C5B597">
      <w:pPr>
        <w:spacing w:line="600" w:lineRule="exact"/>
        <w:ind w:firstLine="643" w:firstLineChars="200"/>
        <w:outlineLvl w:val="2"/>
        <w:rPr>
          <w:rFonts w:hint="default" w:ascii="Times New Roman" w:hAnsi="Times New Roman" w:eastAsia="仿宋" w:cs="Times New Roman"/>
          <w:b/>
          <w:sz w:val="32"/>
          <w:szCs w:val="32"/>
        </w:rPr>
      </w:pPr>
      <w:bookmarkStart w:id="29" w:name="_Toc15377211"/>
      <w:r>
        <w:rPr>
          <w:rFonts w:hint="default" w:ascii="Times New Roman" w:hAnsi="Times New Roman" w:eastAsia="仿宋" w:cs="Times New Roman"/>
          <w:b/>
          <w:sz w:val="32"/>
          <w:szCs w:val="32"/>
        </w:rPr>
        <w:t>（二）一般公共预算财政拨款支出决算结构情况</w:t>
      </w:r>
      <w:bookmarkEnd w:id="29"/>
    </w:p>
    <w:p w14:paraId="2BD4206C">
      <w:pPr>
        <w:spacing w:line="600" w:lineRule="exact"/>
        <w:ind w:firstLine="640"/>
        <w:rPr>
          <w:rFonts w:hint="default" w:ascii="Times New Roman" w:hAnsi="Times New Roman" w:eastAsia="仿宋" w:cs="Times New Roman"/>
          <w:b/>
          <w:sz w:val="32"/>
          <w:szCs w:val="32"/>
          <w:highlight w:val="yellow"/>
        </w:rPr>
      </w:pPr>
      <w:r>
        <w:rPr>
          <w:rFonts w:hint="default" w:ascii="Times New Roman" w:hAnsi="Times New Roman" w:eastAsia="仿宋" w:cs="Times New Roman"/>
          <w:sz w:val="32"/>
          <w:szCs w:val="32"/>
        </w:rPr>
        <w:t>2023年度一般公共预算财政拨款支出</w:t>
      </w:r>
      <w:r>
        <w:rPr>
          <w:rFonts w:hint="default" w:ascii="Times New Roman" w:hAnsi="Times New Roman" w:eastAsia="仿宋" w:cs="Times New Roman"/>
          <w:b/>
          <w:sz w:val="32"/>
          <w:szCs w:val="32"/>
        </w:rPr>
        <w:t>43.21</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0万元，占0%；</w:t>
      </w:r>
      <w:r>
        <w:rPr>
          <w:rFonts w:hint="default" w:ascii="Times New Roman" w:hAnsi="Times New Roman" w:eastAsia="仿宋" w:cs="Times New Roman"/>
          <w:b/>
          <w:sz w:val="32"/>
          <w:szCs w:val="32"/>
        </w:rPr>
        <w:t>教育支出</w:t>
      </w:r>
      <w:r>
        <w:rPr>
          <w:rFonts w:hint="default" w:ascii="Times New Roman" w:hAnsi="Times New Roman" w:eastAsia="仿宋" w:cs="Times New Roman"/>
          <w:sz w:val="32"/>
          <w:szCs w:val="32"/>
        </w:rPr>
        <w:t>0万元，占0%；</w:t>
      </w:r>
      <w:r>
        <w:rPr>
          <w:rFonts w:hint="default" w:ascii="Times New Roman" w:hAnsi="Times New Roman" w:eastAsia="仿宋" w:cs="Times New Roman"/>
          <w:b/>
          <w:sz w:val="32"/>
          <w:szCs w:val="32"/>
        </w:rPr>
        <w:t>科学技术</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0万元，占0%；</w:t>
      </w:r>
      <w:r>
        <w:rPr>
          <w:rFonts w:hint="default" w:ascii="Times New Roman" w:hAnsi="Times New Roman" w:eastAsia="仿宋" w:cs="Times New Roman"/>
          <w:b/>
          <w:bCs/>
          <w:sz w:val="32"/>
          <w:szCs w:val="32"/>
        </w:rPr>
        <w:t>文化旅游体育与传媒支出0万元，占0%</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10.40万元，占31.70%；</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rPr>
        <w:t>32.81万元，占68.30%；</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rPr>
        <w:t>0万元，占0%。</w:t>
      </w:r>
    </w:p>
    <w:p w14:paraId="4325D23A">
      <w:pPr>
        <w:rPr>
          <w:rFonts w:hint="default" w:ascii="Times New Roman" w:hAnsi="Times New Roman" w:cs="Times New Roman"/>
        </w:rPr>
      </w:pPr>
      <w:r>
        <w:rPr>
          <w:rFonts w:hint="default" w:ascii="Times New Roman" w:hAnsi="Times New Roman" w:cs="Times New Roman"/>
        </w:rPr>
        <w:drawing>
          <wp:inline distT="0" distB="0" distL="0" distR="0">
            <wp:extent cx="4495800" cy="2887980"/>
            <wp:effectExtent l="0" t="0" r="0" b="7620"/>
            <wp:docPr id="6956781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78155"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95800" cy="2887980"/>
                    </a:xfrm>
                    <a:prstGeom prst="rect">
                      <a:avLst/>
                    </a:prstGeom>
                    <a:noFill/>
                    <a:ln>
                      <a:noFill/>
                    </a:ln>
                  </pic:spPr>
                </pic:pic>
              </a:graphicData>
            </a:graphic>
          </wp:inline>
        </w:drawing>
      </w:r>
    </w:p>
    <w:p w14:paraId="5B296C45">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（图6：一般公共预算财政拨款支出决算结构）（饼状图）</w:t>
      </w:r>
    </w:p>
    <w:p w14:paraId="2042CEDA">
      <w:pPr>
        <w:spacing w:line="600" w:lineRule="exact"/>
        <w:ind w:firstLine="643" w:firstLineChars="200"/>
        <w:outlineLvl w:val="2"/>
        <w:rPr>
          <w:rFonts w:hint="default" w:ascii="Times New Roman" w:hAnsi="Times New Roman" w:eastAsia="仿宋" w:cs="Times New Roman"/>
          <w:b/>
          <w:sz w:val="32"/>
          <w:szCs w:val="32"/>
        </w:rPr>
      </w:pPr>
      <w:bookmarkStart w:id="30" w:name="_Toc15377212"/>
      <w:r>
        <w:rPr>
          <w:rFonts w:hint="default" w:ascii="Times New Roman" w:hAnsi="Times New Roman" w:eastAsia="仿宋" w:cs="Times New Roman"/>
          <w:b/>
          <w:sz w:val="32"/>
          <w:szCs w:val="32"/>
        </w:rPr>
        <w:t>（三）一般公共预算财政拨款支出决算具体情况</w:t>
      </w:r>
      <w:bookmarkEnd w:id="30"/>
    </w:p>
    <w:p w14:paraId="3E064468">
      <w:pPr>
        <w:spacing w:line="600" w:lineRule="exact"/>
        <w:ind w:firstLine="643" w:firstLineChars="200"/>
        <w:outlineLvl w:val="2"/>
        <w:rPr>
          <w:rFonts w:hint="default" w:ascii="Times New Roman" w:hAnsi="Times New Roman" w:eastAsia="仿宋" w:cs="Times New Roman"/>
          <w:sz w:val="32"/>
          <w:szCs w:val="32"/>
        </w:rPr>
      </w:pPr>
      <w:bookmarkStart w:id="31" w:name="_Toc15378460"/>
      <w:bookmarkStart w:id="32" w:name="_Toc15377213"/>
      <w:bookmarkStart w:id="33" w:name="_Toc15377444"/>
      <w:r>
        <w:rPr>
          <w:rFonts w:hint="default" w:ascii="Times New Roman" w:hAnsi="Times New Roman" w:eastAsia="仿宋" w:cs="Times New Roman"/>
          <w:b/>
          <w:sz w:val="32"/>
          <w:szCs w:val="32"/>
        </w:rPr>
        <w:t>2023年度一般公共预算支出决算数为43.21万元</w:t>
      </w:r>
      <w:r>
        <w:rPr>
          <w:rFonts w:hint="default" w:ascii="Times New Roman" w:hAnsi="Times New Roman" w:eastAsia="仿宋" w:cs="Times New Roman"/>
          <w:sz w:val="32"/>
          <w:szCs w:val="32"/>
        </w:rPr>
        <w:t>，</w:t>
      </w:r>
      <w:r>
        <w:rPr>
          <w:rStyle w:val="16"/>
          <w:rFonts w:hint="default" w:ascii="Times New Roman" w:hAnsi="Times New Roman" w:eastAsia="仿宋" w:cs="Times New Roman"/>
          <w:bCs/>
          <w:sz w:val="32"/>
          <w:szCs w:val="32"/>
        </w:rPr>
        <w:t>完成预算100.00%。其中：</w:t>
      </w:r>
      <w:bookmarkEnd w:id="31"/>
      <w:bookmarkEnd w:id="32"/>
      <w:bookmarkEnd w:id="33"/>
    </w:p>
    <w:p w14:paraId="60412CFB">
      <w:pPr>
        <w:spacing w:line="600" w:lineRule="exact"/>
        <w:ind w:firstLine="643" w:firstLineChars="200"/>
        <w:rPr>
          <w:rFonts w:hint="default" w:ascii="Times New Roman" w:hAnsi="Times New Roman" w:eastAsia="仿宋_GB2312" w:cs="Times New Roman"/>
          <w:b w:val="0"/>
          <w:bCs/>
          <w:color w:val="000000"/>
          <w:sz w:val="32"/>
          <w:szCs w:val="32"/>
        </w:rPr>
      </w:pPr>
      <w:r>
        <w:rPr>
          <w:rStyle w:val="16"/>
          <w:rFonts w:hint="default" w:ascii="Times New Roman" w:hAnsi="Times New Roman" w:eastAsia="仿宋" w:cs="Times New Roman"/>
          <w:bCs/>
          <w:sz w:val="32"/>
          <w:szCs w:val="32"/>
        </w:rPr>
        <w:t>1.</w:t>
      </w:r>
      <w:r>
        <w:rPr>
          <w:rStyle w:val="24"/>
          <w:rFonts w:hint="default" w:ascii="Times New Roman" w:hAnsi="Times New Roman" w:cs="Times New Roman"/>
          <w:bCs/>
          <w:color w:val="000000"/>
          <w:sz w:val="32"/>
          <w:szCs w:val="32"/>
        </w:rPr>
        <w:t xml:space="preserve"> </w:t>
      </w:r>
      <w:r>
        <w:rPr>
          <w:rStyle w:val="16"/>
          <w:rFonts w:hint="default" w:ascii="Times New Roman" w:hAnsi="Times New Roman" w:eastAsia="仿宋_GB2312" w:cs="Times New Roman"/>
          <w:color w:val="000000"/>
          <w:sz w:val="32"/>
          <w:szCs w:val="32"/>
        </w:rPr>
        <w:t>社会保障和就业支出（208）</w:t>
      </w:r>
      <w:r>
        <w:rPr>
          <w:rStyle w:val="16"/>
          <w:rFonts w:hint="default" w:ascii="Times New Roman" w:hAnsi="Times New Roman" w:eastAsia="仿宋_GB2312" w:cs="Times New Roman"/>
          <w:b w:val="0"/>
          <w:bCs/>
          <w:color w:val="000000"/>
          <w:sz w:val="32"/>
          <w:szCs w:val="32"/>
        </w:rPr>
        <w:t>行政事业单位养老支出（05）其他行政事业单位养老支出（99）: 支出决算为10.40万元，完成预算100.00%。</w:t>
      </w:r>
    </w:p>
    <w:p w14:paraId="3F679617">
      <w:pPr>
        <w:spacing w:line="600" w:lineRule="exact"/>
        <w:ind w:firstLine="643" w:firstLineChars="200"/>
        <w:rPr>
          <w:rStyle w:val="16"/>
          <w:rFonts w:hint="default" w:ascii="Times New Roman" w:hAnsi="Times New Roman" w:eastAsia="仿宋_GB2312" w:cs="Times New Roman"/>
          <w:b w:val="0"/>
          <w:bCs/>
          <w:color w:val="000000"/>
          <w:sz w:val="32"/>
          <w:szCs w:val="32"/>
        </w:rPr>
      </w:pPr>
      <w:r>
        <w:rPr>
          <w:rStyle w:val="16"/>
          <w:rFonts w:hint="default" w:ascii="Times New Roman" w:hAnsi="Times New Roman" w:eastAsia="仿宋_GB2312" w:cs="Times New Roman"/>
          <w:bCs/>
          <w:color w:val="000000"/>
          <w:sz w:val="32"/>
          <w:szCs w:val="32"/>
        </w:rPr>
        <w:t>2.</w:t>
      </w:r>
      <w:r>
        <w:rPr>
          <w:rStyle w:val="24"/>
          <w:rFonts w:hint="default" w:ascii="Times New Roman" w:hAnsi="Times New Roman" w:cs="Times New Roman"/>
          <w:bCs/>
          <w:color w:val="000000"/>
          <w:sz w:val="32"/>
          <w:szCs w:val="32"/>
        </w:rPr>
        <w:t xml:space="preserve"> </w:t>
      </w:r>
      <w:r>
        <w:rPr>
          <w:rStyle w:val="16"/>
          <w:rFonts w:hint="default" w:ascii="Times New Roman" w:hAnsi="Times New Roman" w:eastAsia="仿宋_GB2312" w:cs="Times New Roman"/>
          <w:color w:val="000000"/>
          <w:sz w:val="32"/>
          <w:szCs w:val="32"/>
        </w:rPr>
        <w:t>社会保障和就业支出（208）</w:t>
      </w:r>
      <w:r>
        <w:rPr>
          <w:rStyle w:val="16"/>
          <w:rFonts w:hint="default" w:ascii="Times New Roman" w:hAnsi="Times New Roman" w:eastAsia="仿宋_GB2312" w:cs="Times New Roman"/>
          <w:b w:val="0"/>
          <w:bCs/>
          <w:color w:val="000000"/>
          <w:sz w:val="32"/>
          <w:szCs w:val="32"/>
        </w:rPr>
        <w:t>行政事业单位养老支出（05）机关事业单位职业年金缴费支出（06）: 支出决算为0万元，完成预算0%。</w:t>
      </w:r>
    </w:p>
    <w:p w14:paraId="03F5C255">
      <w:pPr>
        <w:spacing w:line="578" w:lineRule="exact"/>
        <w:ind w:firstLine="643" w:firstLineChars="200"/>
        <w:rPr>
          <w:rFonts w:hint="default" w:ascii="Times New Roman" w:hAnsi="Times New Roman" w:eastAsia="仿宋_GB2312" w:cs="Times New Roman"/>
          <w:sz w:val="32"/>
          <w:szCs w:val="32"/>
        </w:rPr>
      </w:pPr>
      <w:r>
        <w:rPr>
          <w:rStyle w:val="16"/>
          <w:rFonts w:hint="default" w:ascii="Times New Roman" w:hAnsi="Times New Roman" w:eastAsia="仿宋_GB2312" w:cs="Times New Roman"/>
          <w:color w:val="000000"/>
          <w:sz w:val="32"/>
          <w:szCs w:val="32"/>
        </w:rPr>
        <w:t>3.卫生健康支出</w:t>
      </w:r>
      <w:r>
        <w:rPr>
          <w:rFonts w:hint="default" w:ascii="Times New Roman" w:hAnsi="Times New Roman" w:eastAsia="仿宋_GB2312" w:cs="Times New Roman"/>
          <w:sz w:val="32"/>
          <w:szCs w:val="32"/>
        </w:rPr>
        <w:t>(210）卫生健康管理事务（01）其他卫生健康管理事务支出（99）：支出决算数为0万元，完成预算0%。</w:t>
      </w:r>
    </w:p>
    <w:p w14:paraId="062CDF6B">
      <w:pPr>
        <w:spacing w:line="600" w:lineRule="exact"/>
        <w:ind w:firstLine="643" w:firstLineChars="200"/>
        <w:rPr>
          <w:rFonts w:hint="default" w:ascii="Times New Roman" w:hAnsi="Times New Roman" w:eastAsia="仿宋_GB2312" w:cs="Times New Roman"/>
          <w:sz w:val="32"/>
          <w:szCs w:val="32"/>
        </w:rPr>
      </w:pPr>
      <w:r>
        <w:rPr>
          <w:rStyle w:val="16"/>
          <w:rFonts w:hint="default" w:ascii="Times New Roman" w:hAnsi="Times New Roman" w:eastAsia="仿宋_GB2312" w:cs="Times New Roman"/>
          <w:bCs/>
          <w:color w:val="000000"/>
          <w:sz w:val="32"/>
          <w:szCs w:val="32"/>
        </w:rPr>
        <w:t>4.</w:t>
      </w:r>
      <w:r>
        <w:rPr>
          <w:rStyle w:val="16"/>
          <w:rFonts w:hint="default" w:ascii="Times New Roman" w:hAnsi="Times New Roman" w:eastAsia="仿宋_GB2312" w:cs="Times New Roman"/>
          <w:color w:val="000000"/>
          <w:sz w:val="32"/>
          <w:szCs w:val="32"/>
        </w:rPr>
        <w:t>卫生健康支出</w:t>
      </w:r>
      <w:r>
        <w:rPr>
          <w:rFonts w:hint="default" w:ascii="Times New Roman" w:hAnsi="Times New Roman" w:eastAsia="仿宋_GB2312" w:cs="Times New Roman"/>
          <w:sz w:val="32"/>
          <w:szCs w:val="32"/>
        </w:rPr>
        <w:t>(210）基层医疗卫生机构（03）乡镇卫生院（02）：支出决算数为0万元，完成预算0%。</w:t>
      </w:r>
    </w:p>
    <w:p w14:paraId="0283C99E">
      <w:pPr>
        <w:spacing w:line="578" w:lineRule="exact"/>
        <w:ind w:firstLine="643" w:firstLineChars="200"/>
        <w:rPr>
          <w:rFonts w:hint="default" w:ascii="Times New Roman" w:hAnsi="Times New Roman" w:eastAsia="仿宋_GB2312" w:cs="Times New Roman"/>
          <w:sz w:val="32"/>
          <w:szCs w:val="32"/>
        </w:rPr>
      </w:pPr>
      <w:r>
        <w:rPr>
          <w:rStyle w:val="16"/>
          <w:rFonts w:hint="default" w:ascii="Times New Roman" w:hAnsi="Times New Roman" w:eastAsia="仿宋_GB2312" w:cs="Times New Roman"/>
          <w:bCs/>
          <w:color w:val="000000"/>
          <w:sz w:val="32"/>
          <w:szCs w:val="32"/>
        </w:rPr>
        <w:t>5.</w:t>
      </w:r>
      <w:r>
        <w:rPr>
          <w:rStyle w:val="16"/>
          <w:rFonts w:hint="default" w:ascii="Times New Roman" w:hAnsi="Times New Roman" w:eastAsia="仿宋_GB2312" w:cs="Times New Roman"/>
          <w:color w:val="000000"/>
          <w:sz w:val="32"/>
          <w:szCs w:val="32"/>
        </w:rPr>
        <w:t>卫生健康支出</w:t>
      </w:r>
      <w:r>
        <w:rPr>
          <w:rFonts w:hint="default" w:ascii="Times New Roman" w:hAnsi="Times New Roman" w:eastAsia="仿宋_GB2312" w:cs="Times New Roman"/>
          <w:sz w:val="32"/>
          <w:szCs w:val="32"/>
        </w:rPr>
        <w:t>(210）基层医疗卫生机构（03）其他基层医疗卫生机构支出（99）：支出决算数为32.81万元，完成预算100.00%。</w:t>
      </w:r>
    </w:p>
    <w:p w14:paraId="14DA594A">
      <w:pPr>
        <w:spacing w:line="600" w:lineRule="exact"/>
        <w:ind w:firstLine="643" w:firstLineChars="200"/>
        <w:rPr>
          <w:rFonts w:hint="default" w:ascii="Times New Roman" w:hAnsi="Times New Roman" w:eastAsia="仿宋_GB2312" w:cs="Times New Roman"/>
          <w:sz w:val="32"/>
          <w:szCs w:val="32"/>
        </w:rPr>
      </w:pPr>
      <w:r>
        <w:rPr>
          <w:rStyle w:val="16"/>
          <w:rFonts w:hint="default" w:ascii="Times New Roman" w:hAnsi="Times New Roman" w:eastAsia="仿宋_GB2312" w:cs="Times New Roman"/>
          <w:bCs/>
          <w:color w:val="000000"/>
          <w:sz w:val="32"/>
          <w:szCs w:val="32"/>
        </w:rPr>
        <w:t>6.</w:t>
      </w:r>
      <w:r>
        <w:rPr>
          <w:rStyle w:val="16"/>
          <w:rFonts w:hint="default" w:ascii="Times New Roman" w:hAnsi="Times New Roman" w:eastAsia="仿宋_GB2312" w:cs="Times New Roman"/>
          <w:color w:val="000000"/>
          <w:sz w:val="32"/>
          <w:szCs w:val="32"/>
        </w:rPr>
        <w:t>卫生健康支出</w:t>
      </w:r>
      <w:r>
        <w:rPr>
          <w:rFonts w:hint="default" w:ascii="Times New Roman" w:hAnsi="Times New Roman" w:eastAsia="仿宋_GB2312" w:cs="Times New Roman"/>
          <w:sz w:val="32"/>
          <w:szCs w:val="32"/>
        </w:rPr>
        <w:t>(210）公共卫生（04）基本公共卫生服务（08）：支出决算数为0万元，完成预算0%。</w:t>
      </w:r>
    </w:p>
    <w:p w14:paraId="17A029C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7.</w:t>
      </w:r>
      <w:r>
        <w:rPr>
          <w:rStyle w:val="16"/>
          <w:rFonts w:hint="default" w:ascii="Times New Roman" w:hAnsi="Times New Roman" w:eastAsia="仿宋_GB2312" w:cs="Times New Roman"/>
          <w:color w:val="000000"/>
          <w:sz w:val="32"/>
          <w:szCs w:val="32"/>
        </w:rPr>
        <w:t>卫生健康支出</w:t>
      </w:r>
      <w:r>
        <w:rPr>
          <w:rFonts w:hint="default" w:ascii="Times New Roman" w:hAnsi="Times New Roman" w:eastAsia="仿宋_GB2312" w:cs="Times New Roman"/>
          <w:sz w:val="32"/>
          <w:szCs w:val="32"/>
        </w:rPr>
        <w:t>(210）中医药（06）其他中医药支出（99）：支出决算数为0万元，完成预算0%。</w:t>
      </w:r>
    </w:p>
    <w:p w14:paraId="766F831E">
      <w:pPr>
        <w:spacing w:line="600" w:lineRule="exact"/>
        <w:ind w:firstLine="640"/>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8.卫生健康支出（210）其他卫生健康支出（99）其他卫生健康支出（01）：支出决算数为0万元，完成预算0%。</w:t>
      </w:r>
    </w:p>
    <w:p w14:paraId="136D2CAD">
      <w:pPr>
        <w:tabs>
          <w:tab w:val="right" w:pos="8306"/>
        </w:tabs>
        <w:spacing w:line="600" w:lineRule="exact"/>
        <w:ind w:firstLine="640"/>
        <w:outlineLvl w:val="1"/>
        <w:rPr>
          <w:rStyle w:val="28"/>
          <w:rFonts w:hint="default" w:ascii="Times New Roman" w:hAnsi="Times New Roman"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8"/>
          <w:rFonts w:hint="default" w:ascii="Times New Roman" w:hAnsi="Times New Roman" w:eastAsia="黑体" w:cs="Times New Roman"/>
          <w:b w:val="0"/>
        </w:rPr>
        <w:t>般公共预算财政拨款基本支出决算情况说明</w:t>
      </w:r>
      <w:bookmarkEnd w:id="34"/>
      <w:bookmarkEnd w:id="35"/>
      <w:r>
        <w:rPr>
          <w:rStyle w:val="28"/>
          <w:rFonts w:hint="default" w:ascii="Times New Roman" w:hAnsi="Times New Roman" w:eastAsia="黑体" w:cs="Times New Roman"/>
          <w:b w:val="0"/>
        </w:rPr>
        <w:tab/>
      </w:r>
    </w:p>
    <w:p w14:paraId="5E57A8D6">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2023年度一般公共预算财政拨款基本支出</w:t>
      </w:r>
      <w:r>
        <w:rPr>
          <w:rFonts w:hint="default" w:ascii="Times New Roman" w:hAnsi="Times New Roman" w:eastAsia="仿宋" w:cs="Times New Roman"/>
          <w:b/>
          <w:sz w:val="32"/>
          <w:szCs w:val="32"/>
        </w:rPr>
        <w:t>43.21</w:t>
      </w:r>
      <w:r>
        <w:rPr>
          <w:rFonts w:hint="default" w:ascii="Times New Roman" w:hAnsi="Times New Roman" w:eastAsia="仿宋" w:cs="Times New Roman"/>
          <w:sz w:val="32"/>
          <w:szCs w:val="32"/>
        </w:rPr>
        <w:t>万元，其中：</w:t>
      </w:r>
    </w:p>
    <w:p w14:paraId="63F4F83A">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b/>
          <w:sz w:val="32"/>
          <w:szCs w:val="32"/>
        </w:rPr>
        <w:t>43.21</w:t>
      </w:r>
      <w:r>
        <w:rPr>
          <w:rFonts w:hint="default" w:ascii="Times New Roman" w:hAnsi="Times New Roman" w:eastAsia="仿宋" w:cs="Times New Roman"/>
          <w:sz w:val="32"/>
          <w:szCs w:val="32"/>
        </w:rPr>
        <w:t>万元，主要包括：基本工资30.92万元、津贴补贴0万元、奖金0万元、伙食补助费0万元、绩效工资0万元、机关事业单位基本养老保险缴费0万元、职业年金缴费0万元、其他社会保障缴费0万元、其他工资福利支出1.90万元、离休费0万元、退休费0万元、抚恤金0万元、生活补助10.40万元、医疗费补助0万元、奖励金0万元、住房公积金0万元、其他对个人和家庭的补助支出0万元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48CD215">
      <w:pPr>
        <w:spacing w:line="600" w:lineRule="exact"/>
        <w:ind w:firstLine="640"/>
        <w:outlineLvl w:val="1"/>
        <w:rPr>
          <w:rStyle w:val="28"/>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28"/>
          <w:rFonts w:hint="default" w:ascii="Times New Roman" w:hAnsi="Times New Roman" w:eastAsia="黑体" w:cs="Times New Roman"/>
          <w:b w:val="0"/>
        </w:rPr>
        <w:t>财政拨款</w:t>
      </w:r>
      <w:r>
        <w:rPr>
          <w:rStyle w:val="28"/>
          <w:rFonts w:hint="default" w:ascii="Times New Roman" w:hAnsi="Times New Roman" w:eastAsia="黑体" w:cs="Times New Roman"/>
        </w:rPr>
        <w:t>“</w:t>
      </w:r>
      <w:r>
        <w:rPr>
          <w:rStyle w:val="28"/>
          <w:rFonts w:hint="default" w:ascii="Times New Roman" w:hAnsi="Times New Roman" w:eastAsia="黑体" w:cs="Times New Roman"/>
          <w:b w:val="0"/>
        </w:rPr>
        <w:t>三公”经费支出决算情况说明</w:t>
      </w:r>
      <w:bookmarkEnd w:id="36"/>
      <w:bookmarkEnd w:id="37"/>
    </w:p>
    <w:p w14:paraId="1964473A">
      <w:pPr>
        <w:spacing w:line="600" w:lineRule="exact"/>
        <w:ind w:firstLine="640"/>
        <w:outlineLvl w:val="2"/>
        <w:rPr>
          <w:rFonts w:hint="default" w:ascii="Times New Roman" w:hAnsi="Times New Roman" w:eastAsia="仿宋" w:cs="Times New Roman"/>
          <w:b/>
          <w:sz w:val="32"/>
          <w:szCs w:val="32"/>
        </w:rPr>
      </w:pPr>
      <w:bookmarkStart w:id="38" w:name="_Toc15377216"/>
      <w:r>
        <w:rPr>
          <w:rFonts w:hint="default" w:ascii="Times New Roman" w:hAnsi="Times New Roman" w:eastAsia="仿宋" w:cs="Times New Roman"/>
          <w:b/>
          <w:sz w:val="32"/>
          <w:szCs w:val="32"/>
        </w:rPr>
        <w:t>（一）“三公”经费财政拨款支出决算总体情况说明</w:t>
      </w:r>
      <w:bookmarkEnd w:id="38"/>
    </w:p>
    <w:p w14:paraId="370D2D26">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2023年度“三公”经费财政拨款支出决算为</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万元，完成预算</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%，较上年度增加/减少0万元，增长/下降0%。</w:t>
      </w:r>
    </w:p>
    <w:p w14:paraId="37F0014C">
      <w:pPr>
        <w:spacing w:line="600" w:lineRule="exact"/>
        <w:ind w:firstLine="640"/>
        <w:outlineLvl w:val="2"/>
        <w:rPr>
          <w:rFonts w:hint="default" w:ascii="Times New Roman" w:hAnsi="Times New Roman" w:eastAsia="仿宋" w:cs="Times New Roman"/>
          <w:b/>
          <w:sz w:val="32"/>
          <w:szCs w:val="32"/>
        </w:rPr>
      </w:pPr>
      <w:bookmarkStart w:id="39" w:name="_Toc15377217"/>
      <w:r>
        <w:rPr>
          <w:rFonts w:hint="default" w:ascii="Times New Roman" w:hAnsi="Times New Roman" w:eastAsia="仿宋" w:cs="Times New Roman"/>
          <w:b/>
          <w:sz w:val="32"/>
          <w:szCs w:val="32"/>
        </w:rPr>
        <w:t>（二）“三公”经费财政拨款支出决算具体情况说明</w:t>
      </w:r>
      <w:bookmarkEnd w:id="39"/>
    </w:p>
    <w:p w14:paraId="562A4603">
      <w:pPr>
        <w:spacing w:line="600" w:lineRule="exact"/>
        <w:ind w:firstLine="640"/>
        <w:rPr>
          <w:rFonts w:hint="default" w:ascii="Times New Roman" w:hAnsi="Times New Roman" w:cs="Times New Roman"/>
        </w:rPr>
      </w:pPr>
      <w:r>
        <w:rPr>
          <w:rFonts w:hint="default" w:ascii="Times New Roman" w:hAnsi="Times New Roman" w:eastAsia="仿宋" w:cs="Times New Roman"/>
          <w:sz w:val="32"/>
          <w:szCs w:val="32"/>
        </w:rPr>
        <w:t>2023年度“三公”经费财政拨款支出决算中，因公出国（境）费支出决算</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%；公务用车购置及运行维护费支出决算</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%；公务接待费支出决算</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%。具体情况如下：</w:t>
      </w:r>
    </w:p>
    <w:p w14:paraId="639E882F">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（图7：“三公”经费财政拨款支出结构）（饼状图）</w:t>
      </w:r>
    </w:p>
    <w:p w14:paraId="51BA8217">
      <w:pPr>
        <w:spacing w:line="600" w:lineRule="exact"/>
        <w:ind w:firstLine="640"/>
        <w:rPr>
          <w:rFonts w:hint="default" w:ascii="Times New Roman" w:hAnsi="Times New Roman" w:eastAsia="仿宋_GB2312" w:cs="Times New Roman"/>
          <w:b/>
          <w:sz w:val="32"/>
          <w:szCs w:val="32"/>
        </w:rPr>
      </w:pPr>
      <w:bookmarkStart w:id="40" w:name="_Toc15377218"/>
      <w:bookmarkStart w:id="41" w:name="_Toc15396610"/>
      <w:r>
        <w:rPr>
          <w:rFonts w:hint="default" w:ascii="Times New Roman" w:hAnsi="Times New Roman" w:eastAsia="仿宋_GB2312" w:cs="Times New Roman"/>
          <w:b/>
          <w:sz w:val="32"/>
          <w:szCs w:val="32"/>
        </w:rPr>
        <w:t>1. 因公出国（境）经费支出</w:t>
      </w:r>
      <w:r>
        <w:rPr>
          <w:rFonts w:hint="default" w:ascii="Times New Roman" w:hAnsi="Times New Roman" w:eastAsia="仿宋_GB2312" w:cs="Times New Roman"/>
          <w:sz w:val="32"/>
          <w:szCs w:val="32"/>
        </w:rPr>
        <w:t>0万元，</w:t>
      </w:r>
      <w:r>
        <w:rPr>
          <w:rStyle w:val="16"/>
          <w:rFonts w:hint="default" w:ascii="Times New Roman" w:hAnsi="Times New Roman" w:eastAsia="仿宋" w:cs="Times New Roman"/>
          <w:bCs/>
          <w:sz w:val="32"/>
          <w:szCs w:val="32"/>
        </w:rPr>
        <w:t>完成预算0%。</w:t>
      </w:r>
      <w:r>
        <w:rPr>
          <w:rFonts w:hint="default" w:ascii="Times New Roman" w:hAnsi="Times New Roman" w:eastAsia="仿宋_GB2312" w:cs="Times New Roman"/>
          <w:sz w:val="32"/>
          <w:szCs w:val="32"/>
        </w:rPr>
        <w:t>全年安排因公出国（境）团组0次，出国（境）0人。因公出国（境）支出决算比2022年增加/减少0万元，增长/下降0%。主要原因是无。</w:t>
      </w:r>
    </w:p>
    <w:p w14:paraId="7B1D9028">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0万元,</w:t>
      </w:r>
      <w:r>
        <w:rPr>
          <w:rStyle w:val="16"/>
          <w:rFonts w:hint="default" w:ascii="Times New Roman" w:hAnsi="Times New Roman" w:eastAsia="仿宋" w:cs="Times New Roman"/>
          <w:bCs/>
          <w:sz w:val="32"/>
          <w:szCs w:val="32"/>
        </w:rPr>
        <w:t>完成预算0%。</w:t>
      </w:r>
      <w:r>
        <w:rPr>
          <w:rFonts w:hint="default" w:ascii="Times New Roman" w:hAnsi="Times New Roman" w:eastAsia="仿宋_GB2312" w:cs="Times New Roman"/>
          <w:sz w:val="32"/>
          <w:szCs w:val="32"/>
        </w:rPr>
        <w:t>公务用车购置及运行维护费支出决算比2022年增加/减少0万元，增长/下降0%。主要原因是无。</w:t>
      </w:r>
    </w:p>
    <w:p w14:paraId="38304CA3">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主要用于无。截至2023年12月底，单位共有公务用车0辆，其中：轿车0辆、越野车0辆、载客汽车0辆。</w:t>
      </w:r>
    </w:p>
    <w:p w14:paraId="2FF8D7AB">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0万元。无公务用车燃料费、维修费、过路过桥费、保险费等支出。</w:t>
      </w:r>
    </w:p>
    <w:p w14:paraId="7876756A">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3.公务接待费支0</w:t>
      </w:r>
      <w:r>
        <w:rPr>
          <w:rFonts w:hint="default" w:ascii="Times New Roman" w:hAnsi="Times New Roman" w:eastAsia="仿宋_GB2312" w:cs="Times New Roman"/>
          <w:sz w:val="32"/>
          <w:szCs w:val="32"/>
        </w:rPr>
        <w:t>万元，</w:t>
      </w:r>
      <w:r>
        <w:rPr>
          <w:rStyle w:val="16"/>
          <w:rFonts w:hint="default" w:ascii="Times New Roman" w:hAnsi="Times New Roman" w:eastAsia="仿宋" w:cs="Times New Roman"/>
          <w:bCs/>
          <w:sz w:val="32"/>
          <w:szCs w:val="32"/>
        </w:rPr>
        <w:t>完成预算0%。</w:t>
      </w:r>
      <w:r>
        <w:rPr>
          <w:rFonts w:hint="default" w:ascii="Times New Roman" w:hAnsi="Times New Roman" w:eastAsia="仿宋_GB2312" w:cs="Times New Roman"/>
          <w:sz w:val="32"/>
          <w:szCs w:val="32"/>
        </w:rPr>
        <w:t>公务接待费支出决算比2022年减少0万元，下降0%。主要原因是</w:t>
      </w:r>
      <w:r>
        <w:rPr>
          <w:rFonts w:hint="default" w:ascii="Times New Roman" w:hAnsi="Times New Roman" w:eastAsia="仿宋" w:cs="Times New Roman"/>
          <w:sz w:val="32"/>
          <w:szCs w:val="32"/>
        </w:rPr>
        <w:t>本年未安排财政经费支出三公经费</w:t>
      </w:r>
      <w:r>
        <w:rPr>
          <w:rFonts w:hint="default" w:ascii="Times New Roman" w:hAnsi="Times New Roman" w:eastAsia="仿宋_GB2312" w:cs="Times New Roman"/>
          <w:sz w:val="32"/>
          <w:szCs w:val="32"/>
        </w:rPr>
        <w:t>。其中：</w:t>
      </w:r>
    </w:p>
    <w:p w14:paraId="7383497B">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万元，主要用于执行公务、开展业务活动开支的交通费、住宿费、用餐费等。国内公务接待0批次，0人次（不包括陪同人员），共计支出0万元，具体内容包括：无。</w:t>
      </w:r>
    </w:p>
    <w:p w14:paraId="0EA6FC22">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万元，主要用于接待无。外事接待0批次，0人次（不包括陪同人员），共计支出0万元。</w:t>
      </w:r>
    </w:p>
    <w:p w14:paraId="2D9AB009">
      <w:pPr>
        <w:spacing w:line="600" w:lineRule="exact"/>
        <w:ind w:firstLine="640"/>
        <w:outlineLvl w:val="1"/>
        <w:rPr>
          <w:rStyle w:val="28"/>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8"/>
          <w:rFonts w:hint="default" w:ascii="Times New Roman" w:hAnsi="Times New Roman" w:eastAsia="黑体" w:cs="Times New Roman"/>
          <w:b w:val="0"/>
        </w:rPr>
        <w:t>政府性基金预算支出决算情况说明</w:t>
      </w:r>
      <w:bookmarkEnd w:id="40"/>
      <w:bookmarkEnd w:id="41"/>
    </w:p>
    <w:p w14:paraId="2260066A">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14:paraId="0FC75DBD">
      <w:pPr>
        <w:numPr>
          <w:ilvl w:val="0"/>
          <w:numId w:val="3"/>
        </w:numPr>
        <w:spacing w:line="600" w:lineRule="exact"/>
        <w:ind w:firstLine="640"/>
        <w:outlineLvl w:val="1"/>
        <w:rPr>
          <w:rStyle w:val="28"/>
          <w:rFonts w:hint="default" w:ascii="Times New Roman" w:hAnsi="Times New Roman" w:eastAsia="黑体" w:cs="Times New Roman"/>
          <w:b w:val="0"/>
        </w:rPr>
      </w:pPr>
      <w:bookmarkStart w:id="42" w:name="_Toc15377219"/>
      <w:bookmarkStart w:id="43" w:name="_Toc15396611"/>
      <w:r>
        <w:rPr>
          <w:rStyle w:val="28"/>
          <w:rFonts w:hint="default" w:ascii="Times New Roman" w:hAnsi="Times New Roman" w:eastAsia="黑体" w:cs="Times New Roman"/>
          <w:b w:val="0"/>
        </w:rPr>
        <w:t>国有资本经营预算支出决算情况说明</w:t>
      </w:r>
      <w:bookmarkEnd w:id="42"/>
      <w:bookmarkEnd w:id="43"/>
    </w:p>
    <w:p w14:paraId="6E63CD7C">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14:paraId="722EECC2">
      <w:pPr>
        <w:numPr>
          <w:ilvl w:val="0"/>
          <w:numId w:val="3"/>
        </w:numPr>
        <w:spacing w:line="600" w:lineRule="exact"/>
        <w:ind w:firstLine="640"/>
        <w:outlineLvl w:val="1"/>
        <w:rPr>
          <w:rStyle w:val="28"/>
          <w:rFonts w:hint="default" w:ascii="Times New Roman" w:hAnsi="Times New Roman" w:eastAsia="黑体" w:cs="Times New Roman"/>
          <w:b w:val="0"/>
        </w:rPr>
      </w:pPr>
      <w:bookmarkStart w:id="44" w:name="_Toc15396612"/>
      <w:bookmarkStart w:id="45" w:name="_Toc15377221"/>
      <w:r>
        <w:rPr>
          <w:rStyle w:val="28"/>
          <w:rFonts w:hint="default" w:ascii="Times New Roman" w:hAnsi="Times New Roman" w:eastAsia="黑体" w:cs="Times New Roman"/>
          <w:b w:val="0"/>
        </w:rPr>
        <w:t>其他重要事项的情况说明</w:t>
      </w:r>
      <w:bookmarkEnd w:id="44"/>
      <w:bookmarkEnd w:id="45"/>
    </w:p>
    <w:p w14:paraId="0D3DBAD4">
      <w:pPr>
        <w:spacing w:line="600" w:lineRule="exact"/>
        <w:ind w:firstLine="643" w:firstLineChars="200"/>
        <w:outlineLvl w:val="2"/>
        <w:rPr>
          <w:rFonts w:hint="default" w:ascii="Times New Roman" w:hAnsi="Times New Roman" w:eastAsia="仿宋" w:cs="Times New Roman"/>
          <w:sz w:val="32"/>
          <w:szCs w:val="32"/>
        </w:rPr>
      </w:pPr>
      <w:bookmarkStart w:id="46" w:name="_Toc15377222"/>
      <w:r>
        <w:rPr>
          <w:rFonts w:hint="default" w:ascii="Times New Roman" w:hAnsi="Times New Roman" w:eastAsia="仿宋" w:cs="Times New Roman"/>
          <w:b/>
          <w:sz w:val="32"/>
          <w:szCs w:val="32"/>
        </w:rPr>
        <w:t>（一）机关运行经费支出情况</w:t>
      </w:r>
      <w:bookmarkEnd w:id="46"/>
    </w:p>
    <w:p w14:paraId="1434FD4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val="0"/>
          <w:bCs/>
          <w:sz w:val="32"/>
          <w:szCs w:val="32"/>
        </w:rPr>
        <w:t>大竹县朝阳乡卫生院</w:t>
      </w:r>
      <w:r>
        <w:rPr>
          <w:rFonts w:hint="default" w:ascii="Times New Roman" w:hAnsi="Times New Roman" w:eastAsia="仿宋_GB2312" w:cs="Times New Roman"/>
          <w:sz w:val="32"/>
          <w:szCs w:val="32"/>
        </w:rPr>
        <w:t>机关运行经费支出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万元，比2022年度增加/减少0万元，增长/下降0%（或与2022年度决算数持平）。主要原因是无。</w:t>
      </w:r>
    </w:p>
    <w:p w14:paraId="55D2030C">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7" w:name="_Toc15377223"/>
      <w:r>
        <w:rPr>
          <w:rFonts w:hint="default" w:ascii="Times New Roman" w:hAnsi="Times New Roman" w:eastAsia="仿宋" w:cs="Times New Roman"/>
          <w:b/>
          <w:sz w:val="32"/>
          <w:szCs w:val="32"/>
        </w:rPr>
        <w:t>（二）政府采购支出情况</w:t>
      </w:r>
      <w:bookmarkEnd w:id="47"/>
    </w:p>
    <w:p w14:paraId="74CBBC5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大竹县朝阳乡卫生院</w:t>
      </w:r>
      <w:r>
        <w:rPr>
          <w:rFonts w:hint="default" w:ascii="Times New Roman" w:hAnsi="Times New Roman" w:eastAsia="仿宋_GB2312" w:cs="Times New Roman"/>
          <w:sz w:val="32"/>
          <w:szCs w:val="32"/>
        </w:rPr>
        <w:t>政府采购支出总额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万元，占政府采购支出总额的0%，其中：授予小微企业合同金额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p>
    <w:p w14:paraId="5F813431">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8" w:name="_Toc15377224"/>
      <w:r>
        <w:rPr>
          <w:rFonts w:hint="default" w:ascii="Times New Roman" w:hAnsi="Times New Roman" w:eastAsia="仿宋" w:cs="Times New Roman"/>
          <w:b/>
          <w:sz w:val="32"/>
          <w:szCs w:val="32"/>
        </w:rPr>
        <w:t>（三）国有资产占有使用情况</w:t>
      </w:r>
      <w:bookmarkEnd w:id="48"/>
    </w:p>
    <w:p w14:paraId="7ABC333C">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截至2023年12月31日，</w:t>
      </w:r>
      <w:r>
        <w:rPr>
          <w:rFonts w:hint="default" w:ascii="Times New Roman" w:hAnsi="Times New Roman" w:eastAsia="仿宋_GB2312" w:cs="Times New Roman"/>
          <w:b/>
          <w:sz w:val="32"/>
          <w:szCs w:val="32"/>
        </w:rPr>
        <w:t>大竹县朝阳乡卫生院</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辆，其中：主要领导干部用车0辆、机要通信用车0辆、应急保障用车0辆、其他用车0辆，其他用车主要是用于无。单价100万元以上设备（不含车辆）</w:t>
      </w:r>
      <w:r>
        <w:rPr>
          <w:rFonts w:hint="default" w:ascii="Times New Roman" w:hAnsi="Times New Roman" w:eastAsia="仿宋_GB2312" w:cs="Times New Roman"/>
          <w:b/>
          <w:sz w:val="32"/>
          <w:szCs w:val="32"/>
        </w:rPr>
        <w:t>1</w:t>
      </w:r>
      <w:r>
        <w:rPr>
          <w:rFonts w:hint="default" w:ascii="Times New Roman" w:hAnsi="Times New Roman" w:eastAsia="仿宋_GB2312" w:cs="Times New Roman"/>
          <w:sz w:val="32"/>
          <w:szCs w:val="32"/>
        </w:rPr>
        <w:t>台（套）。</w:t>
      </w:r>
    </w:p>
    <w:p w14:paraId="0F89AE3C">
      <w:pPr>
        <w:spacing w:line="600" w:lineRule="exact"/>
        <w:ind w:firstLine="640" w:firstLineChars="200"/>
        <w:rPr>
          <w:rFonts w:hint="default" w:ascii="Times New Roman" w:hAnsi="Times New Roman" w:eastAsia="仿宋_GB2312" w:cs="Times New Roman"/>
          <w:sz w:val="32"/>
          <w:szCs w:val="32"/>
        </w:rPr>
      </w:pPr>
    </w:p>
    <w:p w14:paraId="463A9324">
      <w:pPr>
        <w:pStyle w:val="18"/>
        <w:rPr>
          <w:rFonts w:hint="default" w:ascii="Times New Roman" w:hAnsi="Times New Roman" w:eastAsia="仿宋_GB2312" w:cs="Times New Roman"/>
          <w:sz w:val="32"/>
          <w:szCs w:val="32"/>
        </w:rPr>
      </w:pPr>
    </w:p>
    <w:p w14:paraId="1315A8BF">
      <w:pPr>
        <w:rPr>
          <w:rFonts w:hint="default"/>
        </w:rPr>
      </w:pPr>
    </w:p>
    <w:p w14:paraId="2FEDFA15">
      <w:pPr>
        <w:numPr>
          <w:ilvl w:val="0"/>
          <w:numId w:val="4"/>
        </w:numPr>
        <w:spacing w:line="600" w:lineRule="exact"/>
        <w:ind w:firstLine="660" w:firstLineChars="150"/>
        <w:jc w:val="center"/>
        <w:outlineLvl w:val="0"/>
        <w:rPr>
          <w:rStyle w:val="27"/>
          <w:rFonts w:hint="eastAsia"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579FB9A4">
      <w:pPr>
        <w:spacing w:line="600" w:lineRule="exact"/>
        <w:jc w:val="left"/>
        <w:rPr>
          <w:rFonts w:ascii="宋体"/>
          <w:b/>
          <w:sz w:val="44"/>
          <w:szCs w:val="44"/>
        </w:rPr>
      </w:pPr>
    </w:p>
    <w:p w14:paraId="0AB56539">
      <w:pPr>
        <w:spacing w:line="600" w:lineRule="exact"/>
        <w:ind w:firstLine="640"/>
        <w:rPr>
          <w:rFonts w:hint="eastAsia" w:ascii="仿宋" w:hAnsi="仿宋" w:eastAsia="仿宋" w:cs="仿宋"/>
          <w:sz w:val="32"/>
          <w:szCs w:val="32"/>
        </w:rPr>
      </w:pPr>
      <w:bookmarkStart w:id="51" w:name="_Toc15396614"/>
      <w:bookmarkStart w:id="52" w:name="_Toc15377226"/>
      <w:r>
        <w:rPr>
          <w:rFonts w:hint="eastAsia" w:ascii="仿宋" w:hAnsi="仿宋" w:eastAsia="仿宋" w:cs="仿宋"/>
          <w:sz w:val="32"/>
          <w:szCs w:val="32"/>
        </w:rPr>
        <w:t>1.</w:t>
      </w:r>
      <w:r>
        <w:rPr>
          <w:rFonts w:hint="eastAsia" w:ascii="仿宋" w:hAnsi="仿宋" w:eastAsia="仿宋" w:cs="仿宋"/>
          <w:sz w:val="32"/>
          <w:szCs w:val="32"/>
        </w:rPr>
        <w:t>财政拨款收入：指单位从同级财政部门取得的财政预算资金。</w:t>
      </w:r>
    </w:p>
    <w:p w14:paraId="64F3D38C">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w:t>
      </w:r>
    </w:p>
    <w:p w14:paraId="5B701441">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3.其他收入：指单位取得的除上述收入以外的各项收入。 </w:t>
      </w:r>
    </w:p>
    <w:p w14:paraId="4E5F025A">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4.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192B49FF">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5.年初结转和结余：指以前年度尚未完成、结转到本年按有关规定继续使用的资金。 </w:t>
      </w:r>
    </w:p>
    <w:p w14:paraId="238D54FA">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6.结余分配：指事业单位按照事业单位会计制度的规定从非财政补助结余中分配的事业基金和职工福利基金等。</w:t>
      </w:r>
    </w:p>
    <w:p w14:paraId="6A84E60F">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7、年末结转和结余：指单位按有关规定结转到下年或以后年度继续使用的资金。</w:t>
      </w:r>
    </w:p>
    <w:p w14:paraId="08285F21">
      <w:pPr>
        <w:spacing w:line="600" w:lineRule="exact"/>
        <w:jc w:val="left"/>
        <w:outlineLvl w:val="0"/>
        <w:rPr>
          <w:rFonts w:hint="eastAsia" w:ascii="仿宋" w:hAnsi="仿宋" w:eastAsia="仿宋" w:cs="仿宋"/>
          <w:sz w:val="32"/>
          <w:szCs w:val="32"/>
        </w:rPr>
      </w:pPr>
      <w:r>
        <w:rPr>
          <w:rFonts w:hint="eastAsia" w:ascii="仿宋" w:hAnsi="仿宋" w:eastAsia="仿宋" w:cs="仿宋"/>
          <w:sz w:val="32"/>
          <w:szCs w:val="32"/>
        </w:rPr>
        <w:t>　　8. 医疗卫生与计划生育（210）基层医疗卫生机构（03）乡镇卫生院（02）：指反映用于乡镇卫生院的支出。</w:t>
      </w:r>
    </w:p>
    <w:p w14:paraId="4156CF1C">
      <w:pPr>
        <w:spacing w:line="600" w:lineRule="exact"/>
        <w:jc w:val="left"/>
        <w:outlineLvl w:val="0"/>
        <w:rPr>
          <w:rFonts w:hint="eastAsia" w:ascii="仿宋" w:hAnsi="仿宋" w:eastAsia="仿宋" w:cs="仿宋"/>
          <w:sz w:val="32"/>
          <w:szCs w:val="32"/>
        </w:rPr>
      </w:pPr>
      <w:r>
        <w:rPr>
          <w:rFonts w:hint="eastAsia" w:ascii="仿宋" w:hAnsi="仿宋" w:eastAsia="仿宋" w:cs="仿宋"/>
          <w:sz w:val="32"/>
          <w:szCs w:val="32"/>
        </w:rPr>
        <w:t>　　9. 医疗卫生与计划生育（210）基层医疗卫生机构（03）其他基层医疗卫生机构支出（99）：指反映除上述项目以外的其他用于基层医疗卫生机构的支出。</w:t>
      </w:r>
    </w:p>
    <w:p w14:paraId="720773D5">
      <w:pPr>
        <w:spacing w:line="600" w:lineRule="exact"/>
        <w:jc w:val="left"/>
        <w:outlineLvl w:val="0"/>
        <w:rPr>
          <w:rFonts w:hint="eastAsia" w:ascii="仿宋" w:hAnsi="仿宋" w:eastAsia="仿宋" w:cs="仿宋"/>
          <w:sz w:val="32"/>
          <w:szCs w:val="32"/>
        </w:rPr>
      </w:pPr>
      <w:r>
        <w:rPr>
          <w:rFonts w:hint="eastAsia" w:ascii="仿宋" w:hAnsi="仿宋" w:eastAsia="仿宋" w:cs="仿宋"/>
          <w:sz w:val="32"/>
          <w:szCs w:val="32"/>
        </w:rPr>
        <w:t>　　10. 医疗卫生与计划生育（210）公共卫生（04）基本公共卫生服务（08）：指反映基本公共卫生服务支出。</w:t>
      </w:r>
    </w:p>
    <w:p w14:paraId="0CA228C4">
      <w:pPr>
        <w:spacing w:line="600" w:lineRule="exact"/>
        <w:jc w:val="left"/>
        <w:outlineLvl w:val="0"/>
        <w:rPr>
          <w:rFonts w:hint="eastAsia" w:ascii="仿宋" w:hAnsi="仿宋" w:eastAsia="仿宋" w:cs="仿宋"/>
          <w:sz w:val="32"/>
          <w:szCs w:val="32"/>
        </w:rPr>
      </w:pPr>
      <w:r>
        <w:rPr>
          <w:rFonts w:hint="eastAsia" w:ascii="仿宋" w:hAnsi="仿宋" w:eastAsia="仿宋" w:cs="仿宋"/>
          <w:sz w:val="32"/>
          <w:szCs w:val="32"/>
        </w:rPr>
        <w:t>　　11.医疗卫生与计划生育（210）中医药（06）其他中医药支出（99）：指反映中医药项目的支出。</w:t>
      </w:r>
    </w:p>
    <w:p w14:paraId="1823251B">
      <w:pPr>
        <w:spacing w:line="600" w:lineRule="exact"/>
        <w:jc w:val="left"/>
        <w:outlineLvl w:val="0"/>
        <w:rPr>
          <w:rFonts w:hint="eastAsia" w:ascii="仿宋" w:hAnsi="仿宋" w:eastAsia="仿宋" w:cs="仿宋"/>
          <w:sz w:val="32"/>
          <w:szCs w:val="32"/>
        </w:rPr>
      </w:pPr>
      <w:r>
        <w:rPr>
          <w:rFonts w:hint="eastAsia" w:ascii="仿宋" w:hAnsi="仿宋" w:eastAsia="仿宋" w:cs="仿宋"/>
          <w:sz w:val="32"/>
          <w:szCs w:val="32"/>
        </w:rPr>
        <w:t>　　12. 医疗卫生与计划生育（210）公共卫生（04）其他公共卫生支出（99）：指反映除上述项目以外的其他用于公共卫生方面的支出。</w:t>
      </w:r>
    </w:p>
    <w:p w14:paraId="4AA640F4">
      <w:pPr>
        <w:spacing w:line="600" w:lineRule="exact"/>
        <w:jc w:val="left"/>
        <w:outlineLvl w:val="0"/>
        <w:rPr>
          <w:rFonts w:hint="eastAsia" w:ascii="仿宋" w:hAnsi="仿宋" w:eastAsia="仿宋" w:cs="仿宋"/>
          <w:sz w:val="32"/>
          <w:szCs w:val="32"/>
        </w:rPr>
      </w:pPr>
      <w:r>
        <w:rPr>
          <w:rFonts w:hint="eastAsia" w:ascii="仿宋" w:hAnsi="仿宋" w:eastAsia="仿宋" w:cs="仿宋"/>
          <w:sz w:val="32"/>
          <w:szCs w:val="32"/>
        </w:rPr>
        <w:t>　　13. 医疗卫生与计划生育（210）其他医疗卫生与计划生育支出（99）其他医疗卫生与计划生育支出（01）：指反映除上述项目以外其他用于医疗卫生与计划生育管理事务方面的支出。</w:t>
      </w:r>
    </w:p>
    <w:p w14:paraId="191C38B1">
      <w:pPr>
        <w:spacing w:line="600" w:lineRule="exact"/>
        <w:jc w:val="left"/>
        <w:outlineLvl w:val="0"/>
        <w:rPr>
          <w:rFonts w:hint="eastAsia" w:ascii="仿宋" w:hAnsi="仿宋" w:eastAsia="仿宋" w:cs="仿宋"/>
          <w:sz w:val="32"/>
          <w:szCs w:val="32"/>
        </w:rPr>
      </w:pPr>
      <w:r>
        <w:rPr>
          <w:rFonts w:hint="eastAsia" w:ascii="仿宋" w:hAnsi="仿宋" w:eastAsia="仿宋" w:cs="仿宋"/>
          <w:sz w:val="32"/>
          <w:szCs w:val="32"/>
        </w:rPr>
        <w:t>　　14. 农林水支出（213）扶贫（05）社会发展（09）：指反映用于农村贫困地区中小学教育、文化、广播、电视、医疗、卫生等方面的项目支出。</w:t>
      </w:r>
    </w:p>
    <w:p w14:paraId="00EC309F">
      <w:pPr>
        <w:spacing w:line="600" w:lineRule="exact"/>
        <w:jc w:val="left"/>
        <w:outlineLvl w:val="0"/>
        <w:rPr>
          <w:rFonts w:hint="eastAsia" w:ascii="仿宋" w:hAnsi="仿宋" w:eastAsia="仿宋" w:cs="仿宋"/>
          <w:sz w:val="32"/>
          <w:szCs w:val="32"/>
        </w:rPr>
      </w:pPr>
      <w:r>
        <w:rPr>
          <w:rFonts w:hint="eastAsia" w:ascii="仿宋" w:hAnsi="仿宋" w:eastAsia="仿宋" w:cs="仿宋"/>
          <w:sz w:val="32"/>
          <w:szCs w:val="32"/>
        </w:rPr>
        <w:t>　　15.住房保障（221）住房改革支出（02）住房公积金（01）：指反映行政事业单位按人力资源和社会保障部、财政部规定的基本工资和津贴补贴以及规定比例为职工缴纳的住房公积金。</w:t>
      </w:r>
    </w:p>
    <w:p w14:paraId="15AD73D0">
      <w:pPr>
        <w:spacing w:line="600" w:lineRule="exact"/>
        <w:ind w:firstLine="640"/>
        <w:jc w:val="left"/>
        <w:outlineLvl w:val="0"/>
        <w:rPr>
          <w:rFonts w:hint="eastAsia" w:ascii="仿宋" w:hAnsi="仿宋" w:eastAsia="仿宋" w:cs="仿宋"/>
          <w:sz w:val="32"/>
          <w:szCs w:val="32"/>
        </w:rPr>
      </w:pPr>
      <w:r>
        <w:rPr>
          <w:rFonts w:hint="eastAsia" w:ascii="仿宋" w:hAnsi="仿宋" w:eastAsia="仿宋" w:cs="仿宋"/>
          <w:sz w:val="32"/>
          <w:szCs w:val="32"/>
        </w:rPr>
        <w:t>16.其他支出（229）其他支出（99）其他支出（01）：指反映除上述项目以外其他不能划分到具体功能科目中的支出项目。</w:t>
      </w:r>
    </w:p>
    <w:p w14:paraId="22A6B3A9">
      <w:pPr>
        <w:spacing w:line="600" w:lineRule="exact"/>
        <w:ind w:firstLine="640"/>
        <w:jc w:val="left"/>
        <w:outlineLvl w:val="0"/>
        <w:rPr>
          <w:rFonts w:hint="eastAsia" w:ascii="仿宋" w:hAnsi="仿宋" w:eastAsia="仿宋" w:cs="仿宋"/>
          <w:sz w:val="32"/>
          <w:szCs w:val="32"/>
        </w:rPr>
      </w:pPr>
      <w:r>
        <w:rPr>
          <w:rFonts w:hint="eastAsia" w:ascii="仿宋" w:hAnsi="仿宋" w:eastAsia="仿宋" w:cs="仿宋"/>
          <w:sz w:val="32"/>
          <w:szCs w:val="32"/>
        </w:rPr>
        <w:t>17.基本支出：指为保障机构正常运转、完成日常工作任务而发生的人员支出和公用支出。</w:t>
      </w:r>
    </w:p>
    <w:p w14:paraId="1CAEA78C">
      <w:pPr>
        <w:spacing w:line="60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18.项目支出：指在基本支出之外为完成特定行政任务和事业发展目标所发生的支出。 </w:t>
      </w:r>
    </w:p>
    <w:p w14:paraId="210FFF79">
      <w:pPr>
        <w:spacing w:line="600" w:lineRule="exact"/>
        <w:ind w:firstLine="640"/>
        <w:jc w:val="left"/>
        <w:outlineLvl w:val="0"/>
        <w:rPr>
          <w:rFonts w:hint="eastAsia" w:ascii="仿宋" w:hAnsi="仿宋" w:eastAsia="仿宋" w:cs="仿宋"/>
          <w:sz w:val="32"/>
          <w:szCs w:val="32"/>
        </w:rPr>
      </w:pPr>
      <w:r>
        <w:rPr>
          <w:rFonts w:hint="eastAsia" w:ascii="仿宋" w:hAnsi="仿宋" w:eastAsia="仿宋" w:cs="仿宋"/>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AD2FA44">
      <w:pPr>
        <w:spacing w:line="600" w:lineRule="exact"/>
        <w:jc w:val="center"/>
        <w:outlineLvl w:val="0"/>
        <w:rPr>
          <w:rFonts w:hint="eastAsia" w:ascii="黑体" w:hAnsi="黑体" w:eastAsia="黑体"/>
          <w:sz w:val="44"/>
          <w:szCs w:val="44"/>
        </w:rPr>
      </w:pPr>
    </w:p>
    <w:p w14:paraId="18A43106">
      <w:pPr>
        <w:spacing w:line="600" w:lineRule="exact"/>
        <w:jc w:val="center"/>
        <w:outlineLvl w:val="0"/>
        <w:rPr>
          <w:rFonts w:hint="eastAsia" w:ascii="黑体" w:hAnsi="黑体" w:eastAsia="黑体"/>
          <w:sz w:val="44"/>
          <w:szCs w:val="44"/>
        </w:rPr>
      </w:pPr>
    </w:p>
    <w:p w14:paraId="647C942C">
      <w:pPr>
        <w:spacing w:line="600" w:lineRule="exact"/>
        <w:jc w:val="center"/>
        <w:outlineLvl w:val="0"/>
        <w:rPr>
          <w:rFonts w:hint="eastAsia" w:ascii="黑体" w:hAnsi="黑体" w:eastAsia="黑体"/>
          <w:sz w:val="44"/>
          <w:szCs w:val="44"/>
        </w:rPr>
      </w:pPr>
    </w:p>
    <w:p w14:paraId="67DD3DF4">
      <w:pPr>
        <w:spacing w:line="600" w:lineRule="exact"/>
        <w:jc w:val="center"/>
        <w:outlineLvl w:val="0"/>
        <w:rPr>
          <w:rFonts w:hint="eastAsia" w:ascii="黑体" w:hAnsi="黑体" w:eastAsia="黑体"/>
          <w:sz w:val="44"/>
          <w:szCs w:val="44"/>
        </w:rPr>
      </w:pPr>
    </w:p>
    <w:p w14:paraId="1E2A643F">
      <w:pPr>
        <w:spacing w:line="600" w:lineRule="exact"/>
        <w:jc w:val="center"/>
        <w:outlineLvl w:val="0"/>
        <w:rPr>
          <w:rFonts w:hint="eastAsia" w:ascii="黑体" w:hAnsi="黑体" w:eastAsia="黑体"/>
          <w:sz w:val="44"/>
          <w:szCs w:val="44"/>
        </w:rPr>
      </w:pPr>
    </w:p>
    <w:p w14:paraId="6925EB95">
      <w:pPr>
        <w:spacing w:line="600" w:lineRule="exact"/>
        <w:jc w:val="center"/>
        <w:outlineLvl w:val="0"/>
        <w:rPr>
          <w:rFonts w:hint="eastAsia" w:ascii="黑体" w:hAnsi="黑体" w:eastAsia="黑体"/>
          <w:sz w:val="44"/>
          <w:szCs w:val="44"/>
        </w:rPr>
      </w:pPr>
    </w:p>
    <w:p w14:paraId="485E563F">
      <w:pPr>
        <w:spacing w:line="600" w:lineRule="exact"/>
        <w:jc w:val="center"/>
        <w:outlineLvl w:val="0"/>
        <w:rPr>
          <w:rFonts w:hint="eastAsia" w:ascii="黑体" w:hAnsi="黑体" w:eastAsia="黑体"/>
          <w:sz w:val="44"/>
          <w:szCs w:val="44"/>
        </w:rPr>
      </w:pPr>
    </w:p>
    <w:p w14:paraId="77D0E93C">
      <w:pPr>
        <w:spacing w:line="600" w:lineRule="exact"/>
        <w:jc w:val="center"/>
        <w:outlineLvl w:val="0"/>
        <w:rPr>
          <w:rFonts w:hint="eastAsia" w:ascii="黑体" w:hAnsi="黑体" w:eastAsia="黑体"/>
          <w:sz w:val="44"/>
          <w:szCs w:val="44"/>
        </w:rPr>
      </w:pPr>
    </w:p>
    <w:p w14:paraId="0968505F">
      <w:pPr>
        <w:spacing w:line="600" w:lineRule="exact"/>
        <w:jc w:val="center"/>
        <w:outlineLvl w:val="0"/>
        <w:rPr>
          <w:rFonts w:hint="eastAsia" w:ascii="黑体" w:hAnsi="黑体" w:eastAsia="黑体"/>
          <w:sz w:val="44"/>
          <w:szCs w:val="44"/>
        </w:rPr>
      </w:pPr>
    </w:p>
    <w:p w14:paraId="21FC711E">
      <w:pPr>
        <w:spacing w:line="600" w:lineRule="exact"/>
        <w:jc w:val="center"/>
        <w:outlineLvl w:val="0"/>
        <w:rPr>
          <w:rFonts w:hint="eastAsia" w:ascii="黑体" w:hAnsi="黑体" w:eastAsia="黑体"/>
          <w:sz w:val="44"/>
          <w:szCs w:val="44"/>
        </w:rPr>
      </w:pPr>
    </w:p>
    <w:p w14:paraId="23FAD1A6">
      <w:pPr>
        <w:spacing w:line="600" w:lineRule="exact"/>
        <w:jc w:val="center"/>
        <w:outlineLvl w:val="0"/>
        <w:rPr>
          <w:rFonts w:hint="eastAsia" w:ascii="黑体" w:hAnsi="黑体" w:eastAsia="黑体"/>
          <w:sz w:val="44"/>
          <w:szCs w:val="44"/>
        </w:rPr>
      </w:pPr>
    </w:p>
    <w:p w14:paraId="2EA25C63">
      <w:pPr>
        <w:spacing w:line="600" w:lineRule="exact"/>
        <w:jc w:val="center"/>
        <w:outlineLvl w:val="0"/>
        <w:rPr>
          <w:rFonts w:hint="eastAsia" w:ascii="黑体" w:hAnsi="黑体" w:eastAsia="黑体"/>
          <w:sz w:val="44"/>
          <w:szCs w:val="44"/>
        </w:rPr>
      </w:pPr>
    </w:p>
    <w:p w14:paraId="1725B635">
      <w:pPr>
        <w:spacing w:line="600" w:lineRule="exact"/>
        <w:jc w:val="center"/>
        <w:outlineLvl w:val="0"/>
        <w:rPr>
          <w:rFonts w:hint="eastAsia" w:ascii="黑体" w:hAnsi="黑体" w:eastAsia="黑体"/>
          <w:sz w:val="44"/>
          <w:szCs w:val="44"/>
        </w:rPr>
      </w:pPr>
    </w:p>
    <w:p w14:paraId="55EE44BE">
      <w:pPr>
        <w:spacing w:line="600" w:lineRule="exact"/>
        <w:jc w:val="center"/>
        <w:outlineLvl w:val="0"/>
        <w:rPr>
          <w:rStyle w:val="27"/>
          <w:rFonts w:hint="eastAsia"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51"/>
    </w:p>
    <w:p w14:paraId="30D0231D">
      <w:pPr>
        <w:spacing w:line="572" w:lineRule="exact"/>
        <w:jc w:val="left"/>
        <w:outlineLvl w:val="0"/>
        <w:rPr>
          <w:rFonts w:hint="eastAsia" w:ascii="仿宋_GB2312" w:hAnsi="仿宋_GB2312" w:eastAsia="仿宋_GB2312" w:cs="仿宋_GB2312"/>
          <w:sz w:val="32"/>
          <w:szCs w:val="32"/>
        </w:rPr>
      </w:pPr>
    </w:p>
    <w:p w14:paraId="3BDFCD34">
      <w:pPr>
        <w:spacing w:line="600" w:lineRule="exact"/>
        <w:jc w:val="center"/>
        <w:outlineLvl w:val="0"/>
        <w:rPr>
          <w:rFonts w:hint="eastAsia"/>
          <w:sz w:val="32"/>
          <w:szCs w:val="32"/>
        </w:rPr>
      </w:pPr>
      <w:bookmarkStart w:id="53" w:name="_Toc15396618"/>
      <w:r>
        <w:rPr>
          <w:rFonts w:hint="eastAsia"/>
          <w:sz w:val="32"/>
          <w:szCs w:val="32"/>
        </w:rPr>
        <w:t>部门预算项目支出绩效自评表（2023年度）</w:t>
      </w:r>
    </w:p>
    <w:p w14:paraId="692E80E6">
      <w:pPr>
        <w:pStyle w:val="2"/>
        <w:rPr>
          <w:rFonts w:hint="eastAsia"/>
          <w:sz w:val="32"/>
          <w:szCs w:val="32"/>
        </w:rPr>
      </w:pPr>
    </w:p>
    <w:p w14:paraId="0DD53575">
      <w:pPr>
        <w:pStyle w:val="2"/>
        <w:rPr>
          <w:rFonts w:hint="eastAsia"/>
          <w:sz w:val="32"/>
          <w:szCs w:val="32"/>
        </w:rPr>
      </w:pPr>
    </w:p>
    <w:p w14:paraId="278D66DC">
      <w:pPr>
        <w:pStyle w:val="2"/>
        <w:rPr>
          <w:rFonts w:hint="eastAsia"/>
          <w:sz w:val="32"/>
          <w:szCs w:val="32"/>
        </w:rPr>
      </w:pPr>
    </w:p>
    <w:p w14:paraId="13D00A2D">
      <w:pPr>
        <w:pStyle w:val="13"/>
        <w:spacing w:line="560" w:lineRule="exact"/>
        <w:ind w:left="0" w:leftChars="0" w:firstLine="640"/>
        <w:rPr>
          <w:sz w:val="32"/>
        </w:rPr>
      </w:pPr>
    </w:p>
    <w:p w14:paraId="71E9FE3B">
      <w:pPr>
        <w:pStyle w:val="2"/>
        <w:spacing w:before="93"/>
        <w:rPr>
          <w:rFonts w:hAnsi="Calibri" w:cs="仿宋"/>
          <w:sz w:val="32"/>
          <w:szCs w:val="32"/>
        </w:rPr>
      </w:pPr>
    </w:p>
    <w:p w14:paraId="38CB2355">
      <w:pPr>
        <w:pStyle w:val="2"/>
        <w:spacing w:before="93"/>
        <w:rPr>
          <w:rFonts w:hAnsi="Calibri" w:cs="仿宋"/>
          <w:sz w:val="32"/>
          <w:szCs w:val="32"/>
        </w:rPr>
      </w:pPr>
    </w:p>
    <w:p w14:paraId="64173E22">
      <w:pPr>
        <w:pStyle w:val="2"/>
        <w:spacing w:before="93"/>
        <w:rPr>
          <w:rFonts w:hAnsi="Calibri" w:cs="仿宋"/>
          <w:sz w:val="32"/>
          <w:szCs w:val="32"/>
        </w:rPr>
      </w:pPr>
    </w:p>
    <w:p w14:paraId="6AB7786A">
      <w:pPr>
        <w:pStyle w:val="2"/>
        <w:spacing w:before="93"/>
        <w:rPr>
          <w:rFonts w:hAnsi="Calibri" w:cs="仿宋"/>
          <w:sz w:val="32"/>
          <w:szCs w:val="32"/>
        </w:rPr>
      </w:pPr>
    </w:p>
    <w:p w14:paraId="1B936116">
      <w:pPr>
        <w:pStyle w:val="2"/>
        <w:spacing w:before="93"/>
        <w:rPr>
          <w:rFonts w:hAnsi="Calibri" w:cs="仿宋"/>
          <w:sz w:val="32"/>
          <w:szCs w:val="32"/>
        </w:rPr>
      </w:pPr>
    </w:p>
    <w:p w14:paraId="00005606">
      <w:pPr>
        <w:pStyle w:val="2"/>
        <w:spacing w:before="93"/>
        <w:rPr>
          <w:rFonts w:hAnsi="Calibri" w:cs="仿宋"/>
          <w:sz w:val="32"/>
          <w:szCs w:val="32"/>
        </w:rPr>
      </w:pPr>
    </w:p>
    <w:p w14:paraId="27F0CD2B">
      <w:pPr>
        <w:pStyle w:val="2"/>
        <w:spacing w:before="93"/>
        <w:rPr>
          <w:rFonts w:hAnsi="Calibri" w:cs="仿宋"/>
          <w:sz w:val="32"/>
          <w:szCs w:val="32"/>
        </w:rPr>
      </w:pPr>
    </w:p>
    <w:p w14:paraId="5BFBABCF">
      <w:pPr>
        <w:pStyle w:val="2"/>
        <w:spacing w:before="93"/>
        <w:rPr>
          <w:rFonts w:hAnsi="Calibri" w:cs="仿宋"/>
          <w:sz w:val="32"/>
          <w:szCs w:val="32"/>
        </w:rPr>
      </w:pPr>
    </w:p>
    <w:p w14:paraId="60FB0CDF">
      <w:pPr>
        <w:pStyle w:val="2"/>
        <w:spacing w:before="93"/>
        <w:rPr>
          <w:rFonts w:hAnsi="Calibri" w:cs="仿宋"/>
          <w:sz w:val="32"/>
          <w:szCs w:val="32"/>
        </w:rPr>
      </w:pPr>
    </w:p>
    <w:p w14:paraId="1A29BDB3">
      <w:pPr>
        <w:pStyle w:val="2"/>
        <w:spacing w:before="93"/>
        <w:rPr>
          <w:rFonts w:hAnsi="Calibri" w:cs="仿宋"/>
          <w:sz w:val="32"/>
          <w:szCs w:val="32"/>
        </w:rPr>
      </w:pPr>
    </w:p>
    <w:p w14:paraId="4E5F4B13">
      <w:pPr>
        <w:pStyle w:val="2"/>
        <w:spacing w:before="93"/>
        <w:rPr>
          <w:rFonts w:hAnsi="Calibri" w:cs="仿宋"/>
          <w:sz w:val="32"/>
          <w:szCs w:val="32"/>
        </w:rPr>
      </w:pPr>
    </w:p>
    <w:p w14:paraId="38D009F2">
      <w:pPr>
        <w:pStyle w:val="2"/>
        <w:spacing w:before="93"/>
        <w:rPr>
          <w:rFonts w:hAnsi="Calibri" w:cs="仿宋"/>
          <w:sz w:val="32"/>
          <w:szCs w:val="32"/>
        </w:rPr>
      </w:pPr>
    </w:p>
    <w:p w14:paraId="201A4DED">
      <w:pPr>
        <w:pStyle w:val="2"/>
        <w:spacing w:before="93"/>
        <w:rPr>
          <w:rFonts w:hAnsi="Calibri" w:cs="仿宋"/>
          <w:sz w:val="32"/>
          <w:szCs w:val="32"/>
        </w:rPr>
      </w:pPr>
    </w:p>
    <w:p w14:paraId="2C2C3BBD">
      <w:pPr>
        <w:spacing w:line="600" w:lineRule="exact"/>
        <w:jc w:val="center"/>
        <w:outlineLvl w:val="0"/>
        <w:rPr>
          <w:rFonts w:hint="eastAsia"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2"/>
      <w:bookmarkEnd w:id="53"/>
      <w:bookmarkStart w:id="54" w:name="_Toc15396619"/>
    </w:p>
    <w:p w14:paraId="37FC95CE">
      <w:pPr>
        <w:pStyle w:val="4"/>
        <w:rPr>
          <w:rFonts w:hint="eastAsia"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700BD8FF">
      <w:pPr>
        <w:pStyle w:val="4"/>
        <w:rPr>
          <w:rFonts w:hint="eastAsia"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1190B4B0">
      <w:pPr>
        <w:pStyle w:val="4"/>
        <w:rPr>
          <w:rFonts w:hint="eastAsia"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777075C3">
      <w:pPr>
        <w:pStyle w:val="4"/>
        <w:rPr>
          <w:rFonts w:hint="eastAsia"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3062B207">
      <w:pPr>
        <w:pStyle w:val="4"/>
        <w:rPr>
          <w:rStyle w:val="28"/>
          <w:rFonts w:hint="eastAsia"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55547781">
      <w:pPr>
        <w:pStyle w:val="4"/>
        <w:rPr>
          <w:rFonts w:hint="eastAsia"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24797C36">
      <w:pPr>
        <w:pStyle w:val="4"/>
        <w:rPr>
          <w:rFonts w:hint="eastAsia"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639EF01E">
      <w:pPr>
        <w:pStyle w:val="4"/>
        <w:rPr>
          <w:rFonts w:hint="eastAsia"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636E9A32">
      <w:pPr>
        <w:pStyle w:val="4"/>
        <w:rPr>
          <w:rFonts w:hint="eastAsia"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251E4E33">
      <w:pPr>
        <w:pStyle w:val="4"/>
        <w:rPr>
          <w:rFonts w:hint="eastAsia"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16AAD2CC">
      <w:pPr>
        <w:pStyle w:val="4"/>
        <w:rPr>
          <w:rFonts w:hint="eastAsia"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32658E8A">
      <w:pPr>
        <w:pStyle w:val="4"/>
        <w:rPr>
          <w:rFonts w:hint="eastAsia"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7D1A00F9">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2DA394A">
        <w:pPr>
          <w:pStyle w:val="9"/>
          <w:jc w:val="center"/>
        </w:pPr>
        <w:r>
          <w:fldChar w:fldCharType="begin"/>
        </w:r>
        <w:r>
          <w:instrText xml:space="preserve">PAGE   \* MERGEFORMAT</w:instrText>
        </w:r>
        <w:r>
          <w:fldChar w:fldCharType="separate"/>
        </w:r>
        <w:r>
          <w:rPr>
            <w:lang w:val="zh-CN"/>
          </w:rPr>
          <w:t>15</w:t>
        </w:r>
        <w:r>
          <w:fldChar w:fldCharType="end"/>
        </w:r>
      </w:p>
    </w:sdtContent>
  </w:sdt>
  <w:p w14:paraId="38D4CAA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2496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D965FF3"/>
    <w:multiLevelType w:val="multilevel"/>
    <w:tmpl w:val="6D965FF3"/>
    <w:lvl w:ilvl="0" w:tentative="0">
      <w:start w:val="2"/>
      <w:numFmt w:val="japaneseCounting"/>
      <w:lvlText w:val="%1、"/>
      <w:lvlJc w:val="left"/>
      <w:pPr>
        <w:ind w:left="1520" w:hanging="720"/>
      </w:pPr>
      <w:rPr>
        <w:rFonts w:hint="default"/>
      </w:rPr>
    </w:lvl>
    <w:lvl w:ilvl="1" w:tentative="0">
      <w:start w:val="1"/>
      <w:numFmt w:val="lowerLetter"/>
      <w:lvlText w:val="%2)"/>
      <w:lvlJc w:val="left"/>
      <w:pPr>
        <w:ind w:left="1680" w:hanging="440"/>
      </w:pPr>
    </w:lvl>
    <w:lvl w:ilvl="2" w:tentative="0">
      <w:start w:val="1"/>
      <w:numFmt w:val="lowerRoman"/>
      <w:lvlText w:val="%3."/>
      <w:lvlJc w:val="right"/>
      <w:pPr>
        <w:ind w:left="2120" w:hanging="440"/>
      </w:pPr>
    </w:lvl>
    <w:lvl w:ilvl="3" w:tentative="0">
      <w:start w:val="1"/>
      <w:numFmt w:val="decimal"/>
      <w:lvlText w:val="%4."/>
      <w:lvlJc w:val="left"/>
      <w:pPr>
        <w:ind w:left="2560" w:hanging="440"/>
      </w:pPr>
    </w:lvl>
    <w:lvl w:ilvl="4" w:tentative="0">
      <w:start w:val="1"/>
      <w:numFmt w:val="lowerLetter"/>
      <w:lvlText w:val="%5)"/>
      <w:lvlJc w:val="left"/>
      <w:pPr>
        <w:ind w:left="3000" w:hanging="440"/>
      </w:pPr>
    </w:lvl>
    <w:lvl w:ilvl="5" w:tentative="0">
      <w:start w:val="1"/>
      <w:numFmt w:val="lowerRoman"/>
      <w:lvlText w:val="%6."/>
      <w:lvlJc w:val="right"/>
      <w:pPr>
        <w:ind w:left="3440" w:hanging="440"/>
      </w:pPr>
    </w:lvl>
    <w:lvl w:ilvl="6" w:tentative="0">
      <w:start w:val="1"/>
      <w:numFmt w:val="decimal"/>
      <w:lvlText w:val="%7."/>
      <w:lvlJc w:val="left"/>
      <w:pPr>
        <w:ind w:left="3880" w:hanging="440"/>
      </w:pPr>
    </w:lvl>
    <w:lvl w:ilvl="7" w:tentative="0">
      <w:start w:val="1"/>
      <w:numFmt w:val="lowerLetter"/>
      <w:lvlText w:val="%8)"/>
      <w:lvlJc w:val="left"/>
      <w:pPr>
        <w:ind w:left="4320" w:hanging="440"/>
      </w:pPr>
    </w:lvl>
    <w:lvl w:ilvl="8" w:tentative="0">
      <w:start w:val="1"/>
      <w:numFmt w:val="lowerRoman"/>
      <w:lvlText w:val="%9."/>
      <w:lvlJc w:val="right"/>
      <w:pPr>
        <w:ind w:left="4760" w:hanging="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DYzOGQ2ODc2ZGQ2ZjU3NWQ0N2QzZmI3NmFlMDMifQ=="/>
  </w:docVars>
  <w:rsids>
    <w:rsidRoot w:val="00F1361C"/>
    <w:rsid w:val="000222C6"/>
    <w:rsid w:val="0002549F"/>
    <w:rsid w:val="000468DB"/>
    <w:rsid w:val="0006487A"/>
    <w:rsid w:val="00065F8F"/>
    <w:rsid w:val="00070A43"/>
    <w:rsid w:val="000768F2"/>
    <w:rsid w:val="0009184B"/>
    <w:rsid w:val="00092C61"/>
    <w:rsid w:val="00094236"/>
    <w:rsid w:val="0009593C"/>
    <w:rsid w:val="00097322"/>
    <w:rsid w:val="000A6A92"/>
    <w:rsid w:val="000B047F"/>
    <w:rsid w:val="000B5923"/>
    <w:rsid w:val="000B5A48"/>
    <w:rsid w:val="000B6FF3"/>
    <w:rsid w:val="000C3467"/>
    <w:rsid w:val="000C3CA6"/>
    <w:rsid w:val="000D11C6"/>
    <w:rsid w:val="000D1267"/>
    <w:rsid w:val="000D1D50"/>
    <w:rsid w:val="000D5782"/>
    <w:rsid w:val="000E6613"/>
    <w:rsid w:val="000E7119"/>
    <w:rsid w:val="00114E9B"/>
    <w:rsid w:val="00142216"/>
    <w:rsid w:val="00144D6A"/>
    <w:rsid w:val="0014729F"/>
    <w:rsid w:val="00157BAB"/>
    <w:rsid w:val="001654D1"/>
    <w:rsid w:val="00174518"/>
    <w:rsid w:val="0018106D"/>
    <w:rsid w:val="00186A67"/>
    <w:rsid w:val="001877A7"/>
    <w:rsid w:val="00190CD9"/>
    <w:rsid w:val="00191536"/>
    <w:rsid w:val="00196687"/>
    <w:rsid w:val="001A1DAD"/>
    <w:rsid w:val="001C0962"/>
    <w:rsid w:val="001D7531"/>
    <w:rsid w:val="001E737D"/>
    <w:rsid w:val="001F0592"/>
    <w:rsid w:val="001F67FC"/>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768FB"/>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9472F"/>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92A1F"/>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77FA5"/>
    <w:rsid w:val="0058486E"/>
    <w:rsid w:val="00585B33"/>
    <w:rsid w:val="0059014D"/>
    <w:rsid w:val="00592829"/>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29"/>
    <w:rsid w:val="006A5E34"/>
    <w:rsid w:val="006B2422"/>
    <w:rsid w:val="006B2B9A"/>
    <w:rsid w:val="006C1937"/>
    <w:rsid w:val="006F020C"/>
    <w:rsid w:val="00701824"/>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A373F"/>
    <w:rsid w:val="007C54F4"/>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8F06DA"/>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7B2C"/>
    <w:rsid w:val="00B03C9D"/>
    <w:rsid w:val="00B060AE"/>
    <w:rsid w:val="00B10517"/>
    <w:rsid w:val="00B14E76"/>
    <w:rsid w:val="00B161B8"/>
    <w:rsid w:val="00B2048C"/>
    <w:rsid w:val="00B2294F"/>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D42"/>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7963"/>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F5FFB2F"/>
    <w:rsid w:val="0FFFCF60"/>
    <w:rsid w:val="10C055FF"/>
    <w:rsid w:val="118107EC"/>
    <w:rsid w:val="11DD6519"/>
    <w:rsid w:val="13603115"/>
    <w:rsid w:val="16BB723D"/>
    <w:rsid w:val="17E42975"/>
    <w:rsid w:val="18015F3F"/>
    <w:rsid w:val="1BE8440E"/>
    <w:rsid w:val="1D155CEE"/>
    <w:rsid w:val="1FDBBF84"/>
    <w:rsid w:val="20F57F95"/>
    <w:rsid w:val="240371BF"/>
    <w:rsid w:val="25711CC6"/>
    <w:rsid w:val="25BA7C7E"/>
    <w:rsid w:val="25C741E6"/>
    <w:rsid w:val="276F80C0"/>
    <w:rsid w:val="27842671"/>
    <w:rsid w:val="29FD04D3"/>
    <w:rsid w:val="2ABE7A3E"/>
    <w:rsid w:val="2AFF09B6"/>
    <w:rsid w:val="2CA234A8"/>
    <w:rsid w:val="2EFA178C"/>
    <w:rsid w:val="2EFDF86C"/>
    <w:rsid w:val="2F9D17E1"/>
    <w:rsid w:val="30B46D73"/>
    <w:rsid w:val="319F7F4E"/>
    <w:rsid w:val="31C96EF2"/>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B681D"/>
    <w:rsid w:val="42FF6694"/>
    <w:rsid w:val="48BF60AB"/>
    <w:rsid w:val="493C27E9"/>
    <w:rsid w:val="496F39ED"/>
    <w:rsid w:val="49FF41D3"/>
    <w:rsid w:val="4BE068DB"/>
    <w:rsid w:val="4BF6002B"/>
    <w:rsid w:val="4BFFC6BE"/>
    <w:rsid w:val="4ECE2238"/>
    <w:rsid w:val="502F4C40"/>
    <w:rsid w:val="51DB4B86"/>
    <w:rsid w:val="51F64DB0"/>
    <w:rsid w:val="55333C3E"/>
    <w:rsid w:val="56EF6E58"/>
    <w:rsid w:val="59E140AF"/>
    <w:rsid w:val="5F67802D"/>
    <w:rsid w:val="5F7DC4F2"/>
    <w:rsid w:val="5FB36814"/>
    <w:rsid w:val="5FBB8E56"/>
    <w:rsid w:val="5FFB5535"/>
    <w:rsid w:val="64CA39A1"/>
    <w:rsid w:val="66B5150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943B71"/>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5"/>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17</Pages>
  <Words>4886</Words>
  <Characters>5304</Characters>
  <Lines>41</Lines>
  <Paragraphs>11</Paragraphs>
  <TotalTime>19</TotalTime>
  <ScaleCrop>false</ScaleCrop>
  <LinksUpToDate>false</LinksUpToDate>
  <CharactersWithSpaces>5349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2024-10-23T12:10:00Z</dcterms:created>
  <dc:creator>曹颖</dc:creator>
  <cp:lastModifiedBy>jmx</cp:lastModifiedBy>
  <cp:lastPrinted>2023-08-03T02:35:00Z</cp:lastPrinted>
  <dcterms:modified xsi:type="dcterms:W3CDTF">2024-10-24T02:49:11Z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7119FCBC50254B0C9488BA92EA54B57E_13</vt:lpwstr>
  </property>
</Properties>
</file>