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193"/>
      <w:bookmarkStart w:id="1" w:name="_Toc15377425"/>
      <w:bookmarkStart w:id="2" w:name="_Toc15396597"/>
      <w:bookmarkStart w:id="3" w:name="_Toc15378441"/>
      <w:bookmarkStart w:id="4" w:name="_Toc15396475"/>
      <w:bookmarkStart w:id="5"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0277"/>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p>
    <w:bookmarkEnd w:id="5"/>
    <w:p>
      <w:pPr>
        <w:widowControl/>
        <w:jc w:val="center"/>
        <w:outlineLvl w:val="0"/>
        <w:rPr>
          <w:rFonts w:hint="eastAsia" w:ascii="方正小标宋简体" w:hAnsi="方正小标宋简体" w:eastAsia="方正小标宋简体" w:cs="方正小标宋简体"/>
          <w:sz w:val="72"/>
          <w:szCs w:val="72"/>
        </w:rPr>
      </w:pPr>
      <w:bookmarkStart w:id="7" w:name="_Toc12139"/>
      <w:r>
        <w:rPr>
          <w:rFonts w:hint="eastAsia" w:ascii="方正小标宋简体" w:hAnsi="方正小标宋简体" w:eastAsia="方正小标宋简体" w:cs="方正小标宋简体"/>
          <w:sz w:val="72"/>
          <w:szCs w:val="72"/>
        </w:rPr>
        <w:t>大竹县就业服务管理局</w:t>
      </w:r>
      <w:bookmarkEnd w:id="7"/>
    </w:p>
    <w:p>
      <w:pPr>
        <w:widowControl/>
        <w:jc w:val="center"/>
        <w:rPr>
          <w:rFonts w:hint="eastAsia" w:ascii="方正小标宋简体" w:hAnsi="方正小标宋简体" w:eastAsia="方正小标宋简体" w:cs="方正小标宋简体"/>
          <w:sz w:val="72"/>
          <w:szCs w:val="72"/>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方正小标宋简体" w:hAnsi="方正小标宋简体" w:eastAsia="方正小标宋简体" w:cs="方正小标宋简体"/>
          <w:sz w:val="72"/>
          <w:szCs w:val="72"/>
        </w:rPr>
        <w:t>决算</w:t>
      </w:r>
    </w:p>
    <w:p>
      <w:pPr>
        <w:pStyle w:val="13"/>
        <w:keepNext w:val="0"/>
        <w:keepLines w:val="0"/>
        <w:pageBreakBefore w:val="0"/>
        <w:shd w:val="clear" w:fill="FFFFFF" w:themeFill="background1"/>
        <w:kinsoku/>
        <w:wordWrap/>
        <w:overflowPunct/>
        <w:topLinePunct w:val="0"/>
        <w:autoSpaceDE/>
        <w:autoSpaceDN/>
        <w:bidi w:val="0"/>
        <w:spacing w:line="320" w:lineRule="exact"/>
        <w:textAlignment w:val="auto"/>
        <w:rPr>
          <w:rFonts w:hint="eastAsia" w:ascii="黑体" w:hAnsi="黑体" w:eastAsia="黑体"/>
          <w:sz w:val="48"/>
          <w:szCs w:val="48"/>
        </w:rPr>
      </w:pPr>
      <w:r>
        <w:rPr>
          <w:rFonts w:hint="eastAsia" w:ascii="黑体" w:hAnsi="黑体" w:eastAsia="黑体"/>
          <w:sz w:val="48"/>
          <w:szCs w:val="48"/>
        </w:rPr>
        <w:t>目录</w:t>
      </w:r>
    </w:p>
    <w:p>
      <w:pPr>
        <w:pStyle w:val="13"/>
        <w:keepNext w:val="0"/>
        <w:keepLines w:val="0"/>
        <w:pageBreakBefore w:val="0"/>
        <w:shd w:val="clear" w:fill="FFFFFF" w:themeFill="background1"/>
        <w:kinsoku/>
        <w:wordWrap/>
        <w:overflowPunct/>
        <w:topLinePunct w:val="0"/>
        <w:autoSpaceDE/>
        <w:autoSpaceDN/>
        <w:bidi w:val="0"/>
        <w:spacing w:line="320" w:lineRule="exact"/>
        <w:textAlignment w:val="auto"/>
        <w:rPr>
          <w:rFonts w:ascii="黑体" w:hAnsi="黑体" w:eastAsia="黑体"/>
          <w:sz w:val="48"/>
          <w:szCs w:val="48"/>
        </w:rPr>
      </w:pPr>
      <w:r>
        <w:rPr>
          <w:rFonts w:hint="eastAsia"/>
          <w:color w:val="000000" w:themeColor="text1"/>
          <w:highlight w:val="none"/>
          <w14:textFill>
            <w14:solidFill>
              <w14:schemeClr w14:val="tx1"/>
            </w14:solidFill>
          </w14:textFill>
        </w:rPr>
        <w:t>公开时间：2023年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日</w:t>
      </w:r>
    </w:p>
    <w:sdt>
      <w:sdtPr>
        <w:rPr>
          <w:rFonts w:ascii="宋体" w:hAnsi="宋体" w:eastAsia="宋体" w:cs="Times New Roman"/>
          <w:kern w:val="2"/>
          <w:sz w:val="21"/>
          <w:szCs w:val="24"/>
          <w:lang w:val="en-US" w:eastAsia="zh-CN" w:bidi="ar-SA"/>
        </w:rPr>
        <w:id w:val="147465586"/>
        <w15:color w:val="DBDBDB"/>
        <w:docPartObj>
          <w:docPartGallery w:val="Table of Contents"/>
          <w:docPartUnique/>
        </w:docPartObj>
      </w:sdtPr>
      <w:sdtEndPr>
        <w:rPr>
          <w:rFonts w:ascii="黑体" w:hAnsi="黑体" w:eastAsia="黑体" w:cstheme="minorBidi"/>
          <w:kern w:val="2"/>
          <w:sz w:val="21"/>
          <w:szCs w:val="28"/>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320" w:lineRule="exact"/>
            <w:ind w:left="0" w:leftChars="0" w:right="0" w:rightChars="0" w:firstLine="0" w:firstLineChars="0"/>
            <w:jc w:val="center"/>
            <w:textAlignment w:val="auto"/>
          </w:pP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 w:val="28"/>
              <w:szCs w:val="28"/>
            </w:rPr>
            <w:fldChar w:fldCharType="begin"/>
          </w:r>
          <w:r>
            <w:rPr>
              <w:rFonts w:ascii="黑体" w:hAnsi="黑体" w:eastAsia="黑体" w:cstheme="minorBidi"/>
              <w:sz w:val="28"/>
              <w:szCs w:val="28"/>
            </w:rPr>
            <w:instrText xml:space="preserve">TOC \o "1-3" \h \u </w:instrText>
          </w:r>
          <w:r>
            <w:rPr>
              <w:rFonts w:ascii="黑体" w:hAnsi="黑体" w:eastAsia="黑体" w:cstheme="minorBidi"/>
              <w:sz w:val="28"/>
              <w:szCs w:val="28"/>
            </w:rPr>
            <w:fldChar w:fldCharType="separate"/>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_Toc30908 </w:instrText>
          </w:r>
          <w:r>
            <w:rPr>
              <w:rFonts w:ascii="黑体" w:hAnsi="黑体" w:eastAsia="黑体" w:cstheme="minorBidi"/>
              <w:szCs w:val="28"/>
            </w:rP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_Toc30908 \h </w:instrText>
          </w:r>
          <w:r>
            <w:fldChar w:fldCharType="separate"/>
          </w:r>
          <w:r>
            <w:t>3</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_Toc28157 </w:instrText>
          </w:r>
          <w:r>
            <w:rPr>
              <w:rFonts w:ascii="黑体" w:hAnsi="黑体" w:eastAsia="黑体" w:cstheme="minorBidi"/>
              <w:szCs w:val="28"/>
            </w:rPr>
            <w:fldChar w:fldCharType="separate"/>
          </w:r>
          <w:r>
            <w:rPr>
              <w:rFonts w:hint="eastAsia" w:ascii="黑体" w:hAnsi="黑体" w:eastAsia="黑体"/>
            </w:rPr>
            <w:t>一、部门职责</w:t>
          </w:r>
          <w:r>
            <w:tab/>
          </w:r>
          <w:r>
            <w:fldChar w:fldCharType="begin"/>
          </w:r>
          <w:r>
            <w:instrText xml:space="preserve"> PAGEREF _Toc28157 \h </w:instrText>
          </w:r>
          <w:r>
            <w:fldChar w:fldCharType="separate"/>
          </w:r>
          <w:r>
            <w:t>3</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_Toc18163 </w:instrText>
          </w:r>
          <w:r>
            <w:rPr>
              <w:rFonts w:ascii="黑体" w:hAnsi="黑体" w:eastAsia="黑体" w:cstheme="minorBidi"/>
              <w:szCs w:val="28"/>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_Toc18163 \h </w:instrText>
          </w:r>
          <w:r>
            <w:fldChar w:fldCharType="separate"/>
          </w:r>
          <w:r>
            <w:t>3</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_Toc12452 </w:instrText>
          </w:r>
          <w:r>
            <w:rPr>
              <w:rFonts w:ascii="黑体" w:hAnsi="黑体" w:eastAsia="黑体" w:cstheme="minorBidi"/>
              <w:szCs w:val="28"/>
            </w:rPr>
            <w:fldChar w:fldCharType="separate"/>
          </w:r>
          <w:r>
            <w:rPr>
              <w:rFonts w:hint="eastAsia" w:ascii="黑体" w:hAnsi="黑体" w:eastAsia="黑体"/>
            </w:rPr>
            <w:t>第二部分 2023年度</w:t>
          </w:r>
          <w:r>
            <w:rPr>
              <w:rFonts w:hint="eastAsia" w:ascii="黑体" w:hAnsi="黑体" w:eastAsia="黑体"/>
              <w:bCs/>
            </w:rPr>
            <w:t>部门决算情况说明</w:t>
          </w:r>
          <w:r>
            <w:tab/>
          </w:r>
          <w:r>
            <w:fldChar w:fldCharType="begin"/>
          </w:r>
          <w:r>
            <w:instrText xml:space="preserve"> PAGEREF _Toc12452 \h </w:instrText>
          </w:r>
          <w:r>
            <w:fldChar w:fldCharType="separate"/>
          </w:r>
          <w:r>
            <w:t>4</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_Toc22387 </w:instrText>
          </w:r>
          <w:r>
            <w:rPr>
              <w:rFonts w:ascii="黑体" w:hAnsi="黑体" w:eastAsia="黑体" w:cstheme="minorBidi"/>
              <w:szCs w:val="28"/>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_Toc22387 \h </w:instrText>
          </w:r>
          <w:r>
            <w:fldChar w:fldCharType="separate"/>
          </w:r>
          <w:r>
            <w:t>4</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_Toc30285 </w:instrText>
          </w:r>
          <w:r>
            <w:rPr>
              <w:rFonts w:ascii="黑体" w:hAnsi="黑体" w:eastAsia="黑体" w:cstheme="minorBidi"/>
              <w:szCs w:val="28"/>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_Toc30285 \h </w:instrText>
          </w:r>
          <w:r>
            <w:fldChar w:fldCharType="separate"/>
          </w:r>
          <w:r>
            <w:t>4</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_Toc30480 </w:instrText>
          </w:r>
          <w:r>
            <w:rPr>
              <w:rFonts w:ascii="黑体" w:hAnsi="黑体" w:eastAsia="黑体" w:cstheme="minorBidi"/>
              <w:szCs w:val="28"/>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_Toc30480 \h </w:instrText>
          </w:r>
          <w:r>
            <w:fldChar w:fldCharType="separate"/>
          </w:r>
          <w:r>
            <w:t>5</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_Toc5345 </w:instrText>
          </w:r>
          <w:r>
            <w:rPr>
              <w:rFonts w:ascii="黑体" w:hAnsi="黑体" w:eastAsia="黑体" w:cstheme="minorBidi"/>
              <w:szCs w:val="28"/>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_Toc5345 \h </w:instrText>
          </w:r>
          <w:r>
            <w:fldChar w:fldCharType="separate"/>
          </w:r>
          <w:r>
            <w:t>5</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_Toc28426 </w:instrText>
          </w:r>
          <w:r>
            <w:rPr>
              <w:rFonts w:ascii="黑体" w:hAnsi="黑体" w:eastAsia="黑体" w:cstheme="minorBidi"/>
              <w:szCs w:val="28"/>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_Toc28426 \h </w:instrText>
          </w:r>
          <w:r>
            <w:fldChar w:fldCharType="separate"/>
          </w:r>
          <w:r>
            <w:t>6</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_Toc29071 </w:instrText>
          </w:r>
          <w:r>
            <w:rPr>
              <w:rFonts w:ascii="黑体" w:hAnsi="黑体" w:eastAsia="黑体" w:cstheme="minorBidi"/>
              <w:szCs w:val="28"/>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_Toc29071 \h </w:instrText>
          </w:r>
          <w:r>
            <w:fldChar w:fldCharType="separate"/>
          </w:r>
          <w:r>
            <w:t>9</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_Toc22491 </w:instrText>
          </w:r>
          <w:r>
            <w:rPr>
              <w:rFonts w:ascii="黑体" w:hAnsi="黑体" w:eastAsia="黑体" w:cstheme="minorBidi"/>
              <w:szCs w:val="28"/>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_Toc22491 \h </w:instrText>
          </w:r>
          <w:r>
            <w:fldChar w:fldCharType="separate"/>
          </w:r>
          <w:r>
            <w:t>9</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_Toc31974 </w:instrText>
          </w:r>
          <w:r>
            <w:rPr>
              <w:rFonts w:ascii="黑体" w:hAnsi="黑体" w:eastAsia="黑体" w:cstheme="minorBidi"/>
              <w:szCs w:val="28"/>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_Toc31974 \h </w:instrText>
          </w:r>
          <w:r>
            <w:fldChar w:fldCharType="separate"/>
          </w:r>
          <w:r>
            <w:t>11</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_Toc22008 </w:instrText>
          </w:r>
          <w:r>
            <w:rPr>
              <w:rFonts w:ascii="黑体" w:hAnsi="黑体" w:eastAsia="黑体" w:cstheme="minorBidi"/>
              <w:szCs w:val="28"/>
            </w:rPr>
            <w:fldChar w:fldCharType="separate"/>
          </w:r>
          <w:r>
            <w:rPr>
              <w:rFonts w:hint="eastAsia" w:ascii="黑体" w:hAnsi="黑体" w:eastAsia="黑体"/>
            </w:rPr>
            <w:t>九、 国有资本经营预算支出决算情况说明</w:t>
          </w:r>
          <w:r>
            <w:tab/>
          </w:r>
          <w:r>
            <w:fldChar w:fldCharType="begin"/>
          </w:r>
          <w:r>
            <w:instrText xml:space="preserve"> PAGEREF _Toc22008 \h </w:instrText>
          </w:r>
          <w:r>
            <w:fldChar w:fldCharType="separate"/>
          </w:r>
          <w:r>
            <w:t>11</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_Toc18912 </w:instrText>
          </w:r>
          <w:r>
            <w:rPr>
              <w:rFonts w:ascii="黑体" w:hAnsi="黑体" w:eastAsia="黑体" w:cstheme="minorBidi"/>
              <w:szCs w:val="28"/>
            </w:rPr>
            <w:fldChar w:fldCharType="separate"/>
          </w:r>
          <w:r>
            <w:rPr>
              <w:rFonts w:hint="eastAsia" w:ascii="黑体" w:hAnsi="黑体" w:eastAsia="黑体"/>
            </w:rPr>
            <w:t>十、 其他重要事项的情况说明</w:t>
          </w:r>
          <w:r>
            <w:tab/>
          </w:r>
          <w:r>
            <w:fldChar w:fldCharType="begin"/>
          </w:r>
          <w:r>
            <w:instrText xml:space="preserve"> PAGEREF _Toc18912 \h </w:instrText>
          </w:r>
          <w:r>
            <w:fldChar w:fldCharType="separate"/>
          </w:r>
          <w:r>
            <w:t>11</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_Toc32684 </w:instrText>
          </w:r>
          <w:r>
            <w:rPr>
              <w:rFonts w:ascii="黑体" w:hAnsi="黑体" w:eastAsia="黑体" w:cstheme="minorBidi"/>
              <w:szCs w:val="28"/>
            </w:rPr>
            <w:fldChar w:fldCharType="separate"/>
          </w:r>
          <w:r>
            <w:rPr>
              <w:rFonts w:hint="eastAsia" w:ascii="黑体" w:hAnsi="黑体" w:eastAsia="黑体" w:cs="Times New Roman"/>
            </w:rPr>
            <w:t>第三部分 名词解释</w:t>
          </w:r>
          <w:r>
            <w:rPr>
              <w:rFonts w:hint="eastAsia" w:ascii="黑体" w:hAnsi="黑体" w:eastAsia="黑体" w:cs="Times New Roman"/>
            </w:rPr>
            <w:tab/>
          </w:r>
          <w:r>
            <w:fldChar w:fldCharType="begin"/>
          </w:r>
          <w:r>
            <w:instrText xml:space="preserve"> PAGEREF _Toc32684 \h </w:instrText>
          </w:r>
          <w:r>
            <w:fldChar w:fldCharType="separate"/>
          </w:r>
          <w:r>
            <w:t>14</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_Toc25623 </w:instrText>
          </w:r>
          <w:r>
            <w:rPr>
              <w:rFonts w:ascii="黑体" w:hAnsi="黑体" w:eastAsia="黑体" w:cstheme="minorBidi"/>
              <w:szCs w:val="28"/>
            </w:rPr>
            <w:fldChar w:fldCharType="separate"/>
          </w:r>
          <w:r>
            <w:rPr>
              <w:rFonts w:hint="eastAsia" w:ascii="黑体" w:hAnsi="黑体" w:eastAsia="黑体"/>
            </w:rPr>
            <w:t>第四部分 附件</w:t>
          </w:r>
          <w:r>
            <w:tab/>
          </w:r>
          <w:r>
            <w:fldChar w:fldCharType="begin"/>
          </w:r>
          <w:r>
            <w:instrText xml:space="preserve"> PAGEREF _Toc25623 \h </w:instrText>
          </w:r>
          <w:r>
            <w:fldChar w:fldCharType="separate"/>
          </w:r>
          <w:r>
            <w:t>19</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_Toc25723 </w:instrText>
          </w:r>
          <w:r>
            <w:rPr>
              <w:rFonts w:ascii="黑体" w:hAnsi="黑体" w:eastAsia="黑体" w:cstheme="minorBidi"/>
              <w:szCs w:val="28"/>
            </w:rPr>
            <w:fldChar w:fldCharType="separate"/>
          </w:r>
          <w:r>
            <w:rPr>
              <w:rFonts w:hint="eastAsia" w:ascii="黑体" w:hAnsi="黑体" w:eastAsia="黑体"/>
            </w:rPr>
            <w:t>第五部分 附表</w:t>
          </w:r>
          <w:r>
            <w:tab/>
          </w:r>
          <w:r>
            <w:fldChar w:fldCharType="begin"/>
          </w:r>
          <w:r>
            <w:instrText xml:space="preserve"> PAGEREF _Toc25723 \h </w:instrText>
          </w:r>
          <w:r>
            <w:fldChar w:fldCharType="separate"/>
          </w:r>
          <w:r>
            <w:t>23</w:t>
          </w:r>
          <w:r>
            <w:fldChar w:fldCharType="end"/>
          </w:r>
          <w:r>
            <w:rPr>
              <w:rFonts w:ascii="黑体" w:hAnsi="黑体" w:eastAsia="黑体" w:cstheme="minorBidi"/>
              <w:szCs w:val="28"/>
            </w:rPr>
            <w:fldChar w:fldCharType="end"/>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ascii="黑体" w:hAnsi="黑体" w:eastAsia="黑体" w:cstheme="minorBidi"/>
              <w:szCs w:val="28"/>
            </w:rPr>
            <w:fldChar w:fldCharType="end"/>
          </w:r>
          <w:r>
            <w:rPr>
              <w:rFonts w:hint="eastAsia" w:ascii="Times New Roman" w:hAnsi="Times New Roman" w:eastAsia="宋体" w:cs="Times New Roman"/>
              <w:sz w:val="20"/>
              <w:szCs w:val="20"/>
            </w:rPr>
            <w:t>一、收入支出决算总表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二、收入决算表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三、支出决算表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四、财政拨款收入支出决算总表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五、财政拨款支出决算明细表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六、一般公共预算财政拨款支出决算表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七、一般公共预算财政拨款支出决算明细表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八、一般公共预算财政拨款基本支出决算明细表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九、一般公共预算财政拨款项目支出决算表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十、政府性基金预算财政拨款收入支出决算表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十一、国有资本经营预算财政拨款收入支出决算表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十二、国有资本经营预算财政拨款支出决算表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十三、财政拨款“三公”经费支出决算表</w:t>
          </w:r>
          <w:r>
            <w:rPr>
              <w:rFonts w:hint="eastAsia" w:cs="Times New Roman"/>
              <w:sz w:val="20"/>
              <w:szCs w:val="20"/>
              <w:lang w:val="en-US" w:eastAsia="zh-CN"/>
            </w:rPr>
            <w:t>...................................................................................23</w:t>
          </w:r>
        </w:p>
        <w:p>
          <w:pPr>
            <w:widowControl/>
            <w:jc w:val="both"/>
            <w:rPr>
              <w:rFonts w:ascii="黑体" w:hAnsi="黑体" w:eastAsia="黑体" w:cstheme="minorBidi"/>
              <w:kern w:val="2"/>
              <w:sz w:val="21"/>
              <w:szCs w:val="28"/>
              <w:lang w:val="en-US" w:eastAsia="zh-CN" w:bidi="ar-SA"/>
            </w:rPr>
          </w:pPr>
        </w:p>
      </w:sdtContent>
    </w:sdt>
    <w:p>
      <w:pPr>
        <w:pStyle w:val="2"/>
      </w:pPr>
    </w:p>
    <w:p/>
    <w:p>
      <w:pPr>
        <w:widowControl/>
        <w:spacing w:line="440" w:lineRule="exact"/>
        <w:jc w:val="left"/>
        <w:rPr>
          <w:rFonts w:ascii="仿宋" w:hAnsi="仿宋" w:eastAsia="仿宋"/>
          <w:bCs/>
          <w:kern w:val="44"/>
          <w:sz w:val="24"/>
        </w:rPr>
      </w:pPr>
      <w:bookmarkStart w:id="8" w:name="_Toc15396599"/>
      <w:bookmarkStart w:id="9" w:name="_Toc15377196"/>
      <w:r>
        <w:rPr>
          <w:rFonts w:ascii="仿宋" w:hAnsi="仿宋" w:eastAsia="仿宋"/>
          <w:b/>
          <w:sz w:val="24"/>
        </w:rPr>
        <w:br w:type="page"/>
      </w:r>
    </w:p>
    <w:p>
      <w:pPr>
        <w:pStyle w:val="3"/>
        <w:jc w:val="center"/>
        <w:rPr>
          <w:rStyle w:val="27"/>
          <w:rFonts w:ascii="黑体" w:hAnsi="黑体" w:eastAsia="黑体"/>
          <w:b/>
          <w:bCs w:val="0"/>
        </w:rPr>
      </w:pPr>
      <w:bookmarkStart w:id="10" w:name="_Toc30908"/>
      <w:r>
        <w:rPr>
          <w:rFonts w:hint="eastAsia" w:ascii="黑体" w:hAnsi="黑体" w:eastAsia="黑体"/>
          <w:b w:val="0"/>
        </w:rPr>
        <w:t xml:space="preserve">第一部分 </w:t>
      </w:r>
      <w:r>
        <w:rPr>
          <w:rStyle w:val="27"/>
          <w:rFonts w:hint="eastAsia" w:ascii="黑体" w:hAnsi="黑体" w:eastAsia="黑体"/>
          <w:b w:val="0"/>
          <w:bCs w:val="0"/>
        </w:rPr>
        <w:t>部门概况</w:t>
      </w:r>
      <w:bookmarkEnd w:id="8"/>
      <w:bookmarkEnd w:id="9"/>
      <w:bookmarkEnd w:id="10"/>
    </w:p>
    <w:p>
      <w:pPr>
        <w:widowControl/>
        <w:jc w:val="left"/>
        <w:rPr>
          <w:rFonts w:ascii="黑体" w:eastAsia="黑体"/>
          <w:sz w:val="32"/>
          <w:szCs w:val="32"/>
        </w:rPr>
      </w:pPr>
    </w:p>
    <w:p>
      <w:pPr>
        <w:pStyle w:val="4"/>
        <w:rPr>
          <w:rFonts w:hint="eastAsia" w:ascii="黑体" w:hAnsi="黑体" w:eastAsia="黑体"/>
          <w:b w:val="0"/>
        </w:rPr>
      </w:pPr>
      <w:bookmarkStart w:id="11" w:name="_Toc15396600"/>
      <w:bookmarkStart w:id="12" w:name="_Toc15377197"/>
      <w:bookmarkStart w:id="13" w:name="_Toc28157"/>
      <w:r>
        <w:rPr>
          <w:rFonts w:hint="eastAsia" w:ascii="黑体" w:hAnsi="黑体" w:eastAsia="黑体"/>
          <w:b w:val="0"/>
        </w:rPr>
        <w:t>一、</w:t>
      </w:r>
      <w:bookmarkEnd w:id="11"/>
      <w:bookmarkEnd w:id="12"/>
      <w:r>
        <w:rPr>
          <w:rFonts w:hint="eastAsia" w:ascii="黑体" w:hAnsi="黑体" w:eastAsia="黑体"/>
          <w:b w:val="0"/>
        </w:rPr>
        <w:t>部门职责</w:t>
      </w:r>
      <w:bookmarkEnd w:id="13"/>
    </w:p>
    <w:p>
      <w:pPr>
        <w:pStyle w:val="4"/>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outlineLvl w:val="1"/>
        <w:rPr>
          <w:rFonts w:hint="eastAsia" w:ascii="黑体" w:hAnsi="黑体" w:eastAsia="黑体"/>
          <w:b w:val="0"/>
          <w:color w:val="auto"/>
          <w:highlight w:val="none"/>
          <w:lang w:val="en-US" w:eastAsia="zh-CN"/>
        </w:rPr>
      </w:pPr>
      <w:bookmarkStart w:id="14" w:name="_Toc31227"/>
      <w:r>
        <w:rPr>
          <w:rFonts w:hint="eastAsia" w:ascii="仿宋_GB2312" w:hAnsi="仿宋_GB2312" w:eastAsia="仿宋_GB2312" w:cs="仿宋_GB2312"/>
          <w:b w:val="0"/>
          <w:bCs w:val="0"/>
          <w:color w:val="000000"/>
          <w:sz w:val="32"/>
          <w:szCs w:val="32"/>
          <w:lang w:eastAsia="zh-CN"/>
        </w:rPr>
        <w:t>大竹县就业服务管理</w:t>
      </w:r>
      <w:r>
        <w:rPr>
          <w:rFonts w:hint="eastAsia" w:ascii="仿宋_GB2312" w:hAnsi="仿宋_GB2312" w:eastAsia="仿宋_GB2312" w:cs="仿宋_GB2312"/>
          <w:b w:val="0"/>
          <w:bCs w:val="0"/>
          <w:color w:val="000000"/>
          <w:sz w:val="32"/>
          <w:szCs w:val="32"/>
        </w:rPr>
        <w:t>贯彻执行《</w:t>
      </w:r>
      <w:r>
        <w:rPr>
          <w:rFonts w:hint="eastAsia" w:ascii="仿宋_GB2312" w:hAnsi="仿宋_GB2312" w:eastAsia="仿宋_GB2312" w:cs="仿宋_GB2312"/>
          <w:b w:val="0"/>
          <w:bCs w:val="0"/>
          <w:color w:val="000000"/>
          <w:sz w:val="32"/>
          <w:szCs w:val="32"/>
          <w:lang w:eastAsia="zh-CN"/>
        </w:rPr>
        <w:t>中华人民共和国</w:t>
      </w:r>
      <w:r>
        <w:rPr>
          <w:rFonts w:hint="eastAsia" w:ascii="仿宋_GB2312" w:hAnsi="仿宋_GB2312" w:eastAsia="仿宋_GB2312" w:cs="仿宋_GB2312"/>
          <w:b w:val="0"/>
          <w:bCs w:val="0"/>
          <w:color w:val="000000"/>
          <w:sz w:val="32"/>
          <w:szCs w:val="32"/>
        </w:rPr>
        <w:t>就业促进法》党和国家相关法律、法规和方针政策，参与制定并具体落实全县城镇就业岗位开发、城镇登记失业率等工作规划和年度计划；负责全县公共就业服务的组织管理，负责就业和失业登记、创业指导、职业培训和职业介绍等就业服务；负责全县失业保险基金征收、发放、管理和稽核等工作。</w:t>
      </w:r>
      <w:bookmarkEnd w:id="14"/>
    </w:p>
    <w:p>
      <w:pPr>
        <w:pStyle w:val="4"/>
        <w:rPr>
          <w:rStyle w:val="28"/>
          <w:b w:val="0"/>
          <w:bCs w:val="0"/>
        </w:rPr>
      </w:pPr>
      <w:bookmarkStart w:id="15" w:name="_Toc15377200"/>
      <w:bookmarkStart w:id="16" w:name="_Toc15396601"/>
      <w:bookmarkStart w:id="17" w:name="_Toc18163"/>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5"/>
      <w:bookmarkEnd w:id="16"/>
      <w:bookmarkEnd w:id="17"/>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sz w:val="24"/>
          <w:szCs w:val="24"/>
          <w:lang w:val="en-US"/>
        </w:rPr>
      </w:pPr>
      <w:r>
        <w:rPr>
          <w:rFonts w:hint="eastAsia" w:ascii="Times New Roman" w:hAnsi="Times New Roman" w:eastAsia="华文仿宋" w:cs="Times New Roman"/>
          <w:color w:val="000000"/>
          <w:spacing w:val="0"/>
          <w:w w:val="100"/>
          <w:position w:val="0"/>
          <w:sz w:val="32"/>
          <w:szCs w:val="32"/>
          <w:lang w:eastAsia="zh-CN"/>
        </w:rPr>
        <w:t>大竹县就业服务管理局是人力资源和社会保障局下属财政全额拨款的参照公务员法管理事业单位。下属公益一类事业单位</w:t>
      </w:r>
      <w:r>
        <w:rPr>
          <w:rFonts w:hint="eastAsia" w:ascii="Times New Roman" w:hAnsi="Times New Roman" w:eastAsia="华文仿宋" w:cs="Times New Roman"/>
          <w:color w:val="000000"/>
          <w:spacing w:val="0"/>
          <w:w w:val="100"/>
          <w:position w:val="0"/>
          <w:sz w:val="32"/>
          <w:szCs w:val="32"/>
          <w:lang w:val="en-US" w:eastAsia="zh-CN"/>
        </w:rPr>
        <w:t>1</w:t>
      </w:r>
      <w:r>
        <w:rPr>
          <w:rFonts w:hint="eastAsia" w:ascii="Times New Roman" w:hAnsi="Times New Roman" w:eastAsia="华文仿宋" w:cs="Times New Roman"/>
          <w:color w:val="000000"/>
          <w:spacing w:val="0"/>
          <w:w w:val="100"/>
          <w:position w:val="0"/>
          <w:sz w:val="32"/>
          <w:szCs w:val="32"/>
          <w:lang w:eastAsia="zh-CN"/>
        </w:rPr>
        <w:t>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81" w:name="_GoBack"/>
      <w:bookmarkEnd w:id="81"/>
      <w:bookmarkStart w:id="18" w:name="_Toc12452"/>
      <w:bookmarkStart w:id="19" w:name="_Toc15396602"/>
      <w:bookmarkStart w:id="20" w:name="_Toc15377204"/>
      <w:r>
        <w:rPr>
          <w:rFonts w:hint="eastAsia" w:ascii="黑体" w:hAnsi="黑体" w:eastAsia="黑体"/>
          <w:b w:val="0"/>
        </w:rPr>
        <w:t>第二部分 2023年度</w:t>
      </w:r>
      <w:r>
        <w:rPr>
          <w:rStyle w:val="27"/>
          <w:rFonts w:hint="eastAsia" w:ascii="黑体" w:hAnsi="黑体" w:eastAsia="黑体"/>
          <w:b w:val="0"/>
          <w:bCs/>
        </w:rPr>
        <w:t>部门决算情况说明</w:t>
      </w:r>
      <w:bookmarkEnd w:id="18"/>
      <w:bookmarkEnd w:id="19"/>
      <w:bookmarkEnd w:id="20"/>
    </w:p>
    <w:p/>
    <w:p>
      <w:pPr>
        <w:pStyle w:val="26"/>
        <w:numPr>
          <w:ilvl w:val="0"/>
          <w:numId w:val="1"/>
        </w:numPr>
        <w:spacing w:line="600" w:lineRule="exact"/>
        <w:ind w:firstLineChars="0"/>
        <w:outlineLvl w:val="1"/>
        <w:rPr>
          <w:rStyle w:val="28"/>
          <w:rFonts w:ascii="黑体" w:hAnsi="黑体" w:eastAsia="黑体"/>
          <w:b w:val="0"/>
        </w:rPr>
      </w:pPr>
      <w:bookmarkStart w:id="21" w:name="_Toc15377205"/>
      <w:bookmarkStart w:id="22" w:name="_Toc22387"/>
      <w:bookmarkStart w:id="23"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1"/>
      <w:bookmarkEnd w:id="22"/>
      <w:bookmarkEnd w:id="23"/>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1,985.87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1882.06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48.66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Times New Roman"/>
          <w:color w:val="auto"/>
          <w:sz w:val="32"/>
          <w:szCs w:val="32"/>
          <w:highlight w:val="none"/>
          <w:lang w:val="en-US" w:eastAsia="zh-CN"/>
        </w:rPr>
        <w:t>2023年失地农民失业金支出减少</w:t>
      </w:r>
      <w:r>
        <w:rPr>
          <w:rFonts w:hint="eastAsia" w:ascii="仿宋" w:hAnsi="仿宋" w:eastAsia="仿宋"/>
          <w:color w:val="auto"/>
          <w:sz w:val="32"/>
          <w:szCs w:val="32"/>
          <w:highlight w:val="none"/>
          <w:lang w:eastAsia="zh-CN"/>
        </w:rPr>
        <w:t>。</w:t>
      </w:r>
    </w:p>
    <w:p>
      <w:pPr>
        <w:pStyle w:val="11"/>
        <w:rPr>
          <w:rFonts w:hint="eastAsia"/>
          <w:lang w:eastAsia="zh-CN"/>
        </w:rPr>
      </w:pPr>
      <w:r>
        <w:drawing>
          <wp:inline distT="0" distB="0" distL="114300" distR="114300">
            <wp:extent cx="4572000" cy="2743200"/>
            <wp:effectExtent l="4445" t="4445" r="14605" b="1460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4" w:name="_Toc15396604"/>
      <w:bookmarkStart w:id="25" w:name="_Toc30285"/>
      <w:bookmarkStart w:id="26" w:name="_Toc15377206"/>
      <w:r>
        <w:rPr>
          <w:rFonts w:hint="eastAsia" w:ascii="黑体" w:hAnsi="黑体" w:eastAsia="黑体"/>
          <w:sz w:val="32"/>
          <w:szCs w:val="32"/>
        </w:rPr>
        <w:t>收</w:t>
      </w:r>
      <w:r>
        <w:rPr>
          <w:rStyle w:val="28"/>
          <w:rFonts w:hint="eastAsia" w:ascii="黑体" w:hAnsi="黑体" w:eastAsia="黑体"/>
          <w:b w:val="0"/>
        </w:rPr>
        <w:t>入决算情况说明</w:t>
      </w:r>
      <w:bookmarkEnd w:id="24"/>
      <w:bookmarkEnd w:id="25"/>
      <w:bookmarkEnd w:id="26"/>
    </w:p>
    <w:p>
      <w:pPr>
        <w:spacing w:line="600" w:lineRule="exact"/>
        <w:ind w:firstLine="640" w:firstLineChars="200"/>
        <w:jc w:val="left"/>
        <w:outlineLvl w:val="1"/>
        <w:rPr>
          <w:rFonts w:ascii="仿宋" w:hAnsi="仿宋" w:eastAsia="仿宋"/>
          <w:sz w:val="32"/>
          <w:szCs w:val="32"/>
        </w:rPr>
      </w:pPr>
      <w:bookmarkStart w:id="27" w:name="_Toc25371"/>
      <w:r>
        <w:rPr>
          <w:rFonts w:hint="eastAsia" w:ascii="仿宋" w:hAnsi="仿宋" w:eastAsia="仿宋"/>
          <w:sz w:val="32"/>
          <w:szCs w:val="32"/>
        </w:rPr>
        <w:t>2023年度本年收入合计</w:t>
      </w:r>
      <w:r>
        <w:rPr>
          <w:rFonts w:hint="eastAsia"/>
          <w:sz w:val="32"/>
          <w:szCs w:val="32"/>
        </w:rPr>
        <w:t>1,981.80</w:t>
      </w:r>
      <w:r>
        <w:rPr>
          <w:rFonts w:hint="eastAsia" w:ascii="仿宋" w:hAnsi="仿宋" w:eastAsia="仿宋"/>
          <w:sz w:val="32"/>
          <w:szCs w:val="32"/>
        </w:rPr>
        <w:t>万元，其中：一般公共预算财政拨款收入</w:t>
      </w:r>
      <w:r>
        <w:rPr>
          <w:rFonts w:hint="eastAsia"/>
          <w:sz w:val="32"/>
          <w:szCs w:val="32"/>
        </w:rPr>
        <w:t>337.66</w:t>
      </w:r>
      <w:r>
        <w:rPr>
          <w:rFonts w:hint="eastAsia" w:ascii="仿宋" w:hAnsi="仿宋" w:eastAsia="仿宋"/>
          <w:sz w:val="32"/>
          <w:szCs w:val="32"/>
        </w:rPr>
        <w:t>万元，占</w:t>
      </w:r>
      <w:r>
        <w:rPr>
          <w:rFonts w:hint="eastAsia" w:eastAsia="仿宋"/>
          <w:sz w:val="32"/>
          <w:szCs w:val="32"/>
          <w:lang w:val="en-US" w:eastAsia="zh-CN"/>
        </w:rPr>
        <w:t>17.04</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sz w:val="32"/>
          <w:szCs w:val="32"/>
        </w:rPr>
        <w:t>1,644.14</w:t>
      </w:r>
      <w:r>
        <w:rPr>
          <w:rFonts w:hint="eastAsia" w:ascii="仿宋" w:hAnsi="仿宋" w:eastAsia="仿宋"/>
          <w:sz w:val="32"/>
          <w:szCs w:val="32"/>
        </w:rPr>
        <w:t>万元，占</w:t>
      </w:r>
      <w:r>
        <w:rPr>
          <w:rFonts w:hint="eastAsia" w:eastAsia="仿宋"/>
          <w:sz w:val="32"/>
          <w:szCs w:val="32"/>
          <w:lang w:val="en-US" w:eastAsia="zh-CN"/>
        </w:rPr>
        <w:t>82.96</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27"/>
    </w:p>
    <w:p>
      <w:pPr>
        <w:spacing w:line="600" w:lineRule="exact"/>
        <w:ind w:firstLine="640" w:firstLineChars="200"/>
        <w:rPr>
          <w:rFonts w:ascii="仿宋_GB2312" w:eastAsia="仿宋_GB2312"/>
          <w:sz w:val="32"/>
          <w:szCs w:val="32"/>
        </w:rPr>
      </w:pPr>
    </w:p>
    <w:p>
      <w:pPr>
        <w:pStyle w:val="11"/>
        <w:rPr>
          <w:rFonts w:ascii="仿宋_GB2312" w:eastAsia="仿宋_GB2312"/>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bookmarkStart w:id="30" w:name="_Toc30480"/>
      <w:r>
        <w:rPr>
          <w:rFonts w:hint="eastAsia" w:ascii="黑体" w:hAnsi="黑体" w:eastAsia="黑体"/>
          <w:sz w:val="32"/>
          <w:szCs w:val="32"/>
        </w:rPr>
        <w:t>支</w:t>
      </w:r>
      <w:r>
        <w:rPr>
          <w:rStyle w:val="28"/>
          <w:rFonts w:hint="eastAsia" w:ascii="黑体" w:hAnsi="黑体" w:eastAsia="黑体"/>
          <w:b w:val="0"/>
        </w:rPr>
        <w:t>出决算情况说明</w:t>
      </w:r>
      <w:bookmarkEnd w:id="28"/>
      <w:bookmarkEnd w:id="29"/>
      <w:bookmarkEnd w:id="30"/>
    </w:p>
    <w:p>
      <w:pPr>
        <w:spacing w:line="600" w:lineRule="exact"/>
        <w:ind w:firstLine="640" w:firstLineChars="200"/>
        <w:outlineLvl w:val="1"/>
        <w:rPr>
          <w:rFonts w:ascii="仿宋" w:hAnsi="仿宋" w:eastAsia="仿宋"/>
          <w:sz w:val="32"/>
          <w:szCs w:val="32"/>
        </w:rPr>
      </w:pPr>
      <w:bookmarkStart w:id="31" w:name="_Toc18628"/>
      <w:r>
        <w:rPr>
          <w:rFonts w:hint="eastAsia" w:ascii="仿宋" w:hAnsi="仿宋" w:eastAsia="仿宋"/>
          <w:sz w:val="32"/>
          <w:szCs w:val="32"/>
        </w:rPr>
        <w:t>2023年度本年支出合计</w:t>
      </w:r>
      <w:r>
        <w:rPr>
          <w:rFonts w:hint="eastAsia"/>
          <w:sz w:val="32"/>
          <w:szCs w:val="32"/>
        </w:rPr>
        <w:t>1,985.87</w:t>
      </w:r>
      <w:r>
        <w:rPr>
          <w:rFonts w:hint="eastAsia" w:ascii="仿宋" w:hAnsi="仿宋" w:eastAsia="仿宋"/>
          <w:sz w:val="32"/>
          <w:szCs w:val="32"/>
        </w:rPr>
        <w:t>万元，其中：基本支出</w:t>
      </w:r>
      <w:r>
        <w:rPr>
          <w:rFonts w:hint="eastAsia"/>
          <w:sz w:val="32"/>
          <w:szCs w:val="32"/>
        </w:rPr>
        <w:t>333.24</w:t>
      </w:r>
      <w:r>
        <w:rPr>
          <w:rFonts w:hint="eastAsia" w:ascii="仿宋" w:hAnsi="仿宋" w:eastAsia="仿宋"/>
          <w:sz w:val="32"/>
          <w:szCs w:val="32"/>
        </w:rPr>
        <w:t>万元，占</w:t>
      </w:r>
      <w:r>
        <w:rPr>
          <w:rFonts w:hint="eastAsia" w:eastAsia="仿宋"/>
          <w:sz w:val="32"/>
          <w:szCs w:val="32"/>
          <w:lang w:val="en-US" w:eastAsia="zh-CN"/>
        </w:rPr>
        <w:t>16.78</w:t>
      </w:r>
      <w:r>
        <w:rPr>
          <w:rFonts w:ascii="仿宋" w:hAnsi="仿宋" w:eastAsia="仿宋"/>
          <w:sz w:val="32"/>
          <w:szCs w:val="32"/>
        </w:rPr>
        <w:t>%</w:t>
      </w:r>
      <w:r>
        <w:rPr>
          <w:rFonts w:hint="eastAsia" w:ascii="仿宋" w:hAnsi="仿宋" w:eastAsia="仿宋"/>
          <w:sz w:val="32"/>
          <w:szCs w:val="32"/>
        </w:rPr>
        <w:t>；项目支出</w:t>
      </w:r>
      <w:r>
        <w:rPr>
          <w:rFonts w:hint="eastAsia"/>
          <w:sz w:val="32"/>
          <w:szCs w:val="32"/>
        </w:rPr>
        <w:t>1,652.63</w:t>
      </w:r>
      <w:r>
        <w:rPr>
          <w:rFonts w:hint="eastAsia" w:ascii="仿宋" w:hAnsi="仿宋" w:eastAsia="仿宋"/>
          <w:sz w:val="32"/>
          <w:szCs w:val="32"/>
        </w:rPr>
        <w:t>万元，占</w:t>
      </w:r>
      <w:r>
        <w:rPr>
          <w:rFonts w:hint="eastAsia" w:eastAsia="仿宋"/>
          <w:sz w:val="32"/>
          <w:szCs w:val="32"/>
          <w:lang w:val="en-US" w:eastAsia="zh-CN"/>
        </w:rPr>
        <w:t>83.22</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31"/>
    </w:p>
    <w:p>
      <w:pPr>
        <w:pStyle w:val="11"/>
        <w:rPr>
          <w:rFonts w:ascii="仿宋_GB2312" w:eastAsia="仿宋_GB2312"/>
          <w:sz w:val="32"/>
          <w:szCs w:val="32"/>
        </w:rPr>
      </w:pPr>
      <w:r>
        <w:drawing>
          <wp:inline distT="0" distB="0" distL="114300" distR="114300">
            <wp:extent cx="4572000" cy="2534285"/>
            <wp:effectExtent l="4445" t="4445" r="1460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8"/>
          <w:rFonts w:ascii="黑体" w:hAnsi="黑体" w:eastAsia="黑体"/>
          <w:b w:val="0"/>
        </w:rPr>
      </w:pPr>
      <w:bookmarkStart w:id="32" w:name="_Toc5345"/>
      <w:bookmarkStart w:id="33" w:name="_Toc15377208"/>
      <w:bookmarkStart w:id="34"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2"/>
      <w:bookmarkEnd w:id="33"/>
      <w:bookmarkEnd w:id="34"/>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ascii="仿宋" w:hAnsi="仿宋" w:eastAsia="仿宋"/>
          <w:b/>
          <w:sz w:val="32"/>
          <w:szCs w:val="32"/>
        </w:rPr>
        <w:t>1985.87</w:t>
      </w:r>
      <w:r>
        <w:rPr>
          <w:rFonts w:hint="eastAsia" w:ascii="仿宋" w:hAnsi="仿宋" w:eastAsia="仿宋"/>
          <w:sz w:val="32"/>
          <w:szCs w:val="32"/>
        </w:rPr>
        <w:t>万元。与2022年度相比，财政拨款收、支总计各减少</w:t>
      </w:r>
      <w:r>
        <w:rPr>
          <w:rFonts w:hint="eastAsia" w:ascii="仿宋" w:hAnsi="仿宋" w:eastAsia="仿宋"/>
          <w:color w:val="auto"/>
          <w:sz w:val="32"/>
          <w:szCs w:val="32"/>
          <w:highlight w:val="none"/>
          <w:lang w:val="en-US" w:eastAsia="zh-CN"/>
        </w:rPr>
        <w:t>1882.06</w:t>
      </w:r>
      <w:r>
        <w:rPr>
          <w:rFonts w:hint="eastAsia" w:ascii="仿宋" w:hAnsi="仿宋" w:eastAsia="仿宋"/>
          <w:sz w:val="32"/>
          <w:szCs w:val="32"/>
        </w:rPr>
        <w:t>万元，下降</w:t>
      </w:r>
      <w:r>
        <w:rPr>
          <w:rFonts w:hint="eastAsia" w:ascii="仿宋" w:hAnsi="仿宋" w:eastAsia="仿宋"/>
          <w:color w:val="auto"/>
          <w:sz w:val="32"/>
          <w:szCs w:val="32"/>
          <w:highlight w:val="none"/>
          <w:lang w:val="en-US" w:eastAsia="zh-CN"/>
        </w:rPr>
        <w:t>48.66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Times New Roman"/>
          <w:color w:val="auto"/>
          <w:sz w:val="32"/>
          <w:szCs w:val="32"/>
          <w:highlight w:val="none"/>
          <w:lang w:val="en-US" w:eastAsia="zh-CN"/>
        </w:rPr>
        <w:t>2023年失地农民失业金支出减少</w:t>
      </w:r>
      <w:r>
        <w:rPr>
          <w:rFonts w:hint="eastAsia" w:ascii="仿宋" w:hAnsi="仿宋" w:eastAsia="仿宋"/>
          <w:color w:val="auto"/>
          <w:sz w:val="32"/>
          <w:szCs w:val="32"/>
          <w:highlight w:val="none"/>
          <w:lang w:eastAsia="zh-CN"/>
        </w:rPr>
        <w:t>。</w:t>
      </w:r>
    </w:p>
    <w:p>
      <w:pPr>
        <w:pStyle w:val="11"/>
        <w:ind w:left="0" w:leftChars="0" w:firstLine="0" w:firstLineChars="0"/>
        <w:rPr>
          <w:rFonts w:hint="eastAsia"/>
          <w:lang w:val="en-US" w:eastAsia="zh-CN"/>
        </w:rPr>
      </w:pPr>
      <w:r>
        <w:rPr>
          <w:rFonts w:hint="eastAsia"/>
          <w:lang w:val="en-US" w:eastAsia="zh-CN"/>
        </w:rPr>
        <w:t xml:space="preserve">      </w:t>
      </w:r>
      <w:r>
        <w:drawing>
          <wp:inline distT="0" distB="0" distL="114300" distR="114300">
            <wp:extent cx="4572000" cy="2743200"/>
            <wp:effectExtent l="4445" t="4445" r="14605" b="1460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Style w:val="28"/>
          <w:rFonts w:ascii="黑体" w:hAnsi="黑体" w:eastAsia="黑体"/>
          <w:b w:val="0"/>
        </w:rPr>
      </w:pPr>
      <w:bookmarkStart w:id="35" w:name="_Toc15377209"/>
      <w:bookmarkStart w:id="36" w:name="_Toc15396607"/>
      <w:bookmarkStart w:id="37" w:name="_Toc28426"/>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仿宋" w:hAnsi="仿宋" w:eastAsia="仿宋"/>
          <w:b/>
          <w:sz w:val="32"/>
          <w:szCs w:val="32"/>
        </w:rPr>
      </w:pPr>
      <w:bookmarkStart w:id="38" w:name="_Toc15377210"/>
      <w:bookmarkStart w:id="39" w:name="_Toc24193"/>
      <w:r>
        <w:rPr>
          <w:rFonts w:hint="eastAsia" w:ascii="仿宋" w:hAnsi="仿宋" w:eastAsia="仿宋"/>
          <w:b/>
          <w:sz w:val="32"/>
          <w:szCs w:val="32"/>
        </w:rPr>
        <w:t>（一）一般公共预算财政拨款支出决算总体情况</w:t>
      </w:r>
      <w:bookmarkEnd w:id="38"/>
      <w:bookmarkEnd w:id="3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341.74</w:t>
      </w:r>
      <w:r>
        <w:rPr>
          <w:rFonts w:hint="eastAsia" w:ascii="仿宋" w:hAnsi="仿宋" w:eastAsia="仿宋"/>
          <w:sz w:val="32"/>
          <w:szCs w:val="32"/>
        </w:rPr>
        <w:t>万元，占本年支出合计的</w:t>
      </w:r>
      <w:r>
        <w:rPr>
          <w:rFonts w:ascii="仿宋" w:hAnsi="仿宋" w:eastAsia="仿宋"/>
          <w:b/>
          <w:sz w:val="32"/>
          <w:szCs w:val="32"/>
        </w:rPr>
        <w:t>17.2</w:t>
      </w:r>
      <w:r>
        <w:rPr>
          <w:rFonts w:hint="eastAsia" w:ascii="仿宋" w:hAnsi="仿宋" w:eastAsia="仿宋"/>
          <w:b/>
          <w:sz w:val="32"/>
          <w:szCs w:val="32"/>
          <w:lang w:val="en-US" w:eastAsia="zh-CN"/>
        </w:rPr>
        <w:t>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2.82</w:t>
      </w:r>
      <w:r>
        <w:rPr>
          <w:rFonts w:hint="eastAsia" w:ascii="仿宋" w:hAnsi="仿宋" w:eastAsia="仿宋"/>
          <w:sz w:val="32"/>
          <w:szCs w:val="32"/>
        </w:rPr>
        <w:t>万元，增长</w:t>
      </w:r>
      <w:r>
        <w:rPr>
          <w:rFonts w:hint="eastAsia" w:ascii="仿宋" w:hAnsi="仿宋" w:eastAsia="仿宋"/>
          <w:sz w:val="32"/>
          <w:szCs w:val="32"/>
          <w:lang w:val="en-US" w:eastAsia="zh-CN"/>
        </w:rPr>
        <w:t>0.83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2023年有人员新增，人员经费增加。</w:t>
      </w:r>
    </w:p>
    <w:p>
      <w:pPr>
        <w:pStyle w:val="11"/>
        <w:ind w:left="0" w:leftChars="0" w:firstLine="0" w:firstLineChars="0"/>
        <w:rPr>
          <w:rFonts w:ascii="仿宋" w:hAnsi="仿宋" w:eastAsia="仿宋"/>
          <w:sz w:val="32"/>
          <w:szCs w:val="32"/>
          <w:highlight w:val="yellow"/>
        </w:rPr>
      </w:pPr>
    </w:p>
    <w:p>
      <w:pPr>
        <w:pStyle w:val="11"/>
        <w:rPr>
          <w:rFonts w:ascii="仿宋" w:hAnsi="仿宋" w:eastAsia="仿宋"/>
          <w:sz w:val="32"/>
          <w:szCs w:val="32"/>
          <w:highlight w:val="yellow"/>
        </w:rPr>
      </w:pPr>
      <w:r>
        <w:drawing>
          <wp:inline distT="0" distB="0" distL="114300" distR="114300">
            <wp:extent cx="4572000" cy="212407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2"/>
        <w:rPr>
          <w:rFonts w:ascii="仿宋" w:hAnsi="仿宋" w:eastAsia="仿宋"/>
          <w:b/>
          <w:sz w:val="32"/>
          <w:szCs w:val="32"/>
        </w:rPr>
      </w:pPr>
      <w:bookmarkStart w:id="40" w:name="_Toc10743"/>
      <w:bookmarkStart w:id="41" w:name="_Toc15377211"/>
      <w:r>
        <w:rPr>
          <w:rFonts w:hint="eastAsia" w:ascii="仿宋" w:hAnsi="仿宋" w:eastAsia="仿宋"/>
          <w:b/>
          <w:sz w:val="32"/>
          <w:szCs w:val="32"/>
        </w:rPr>
        <w:t>（二）一般公共预算财政拨款支出决算结构情况</w:t>
      </w:r>
      <w:bookmarkEnd w:id="40"/>
      <w:bookmarkEnd w:id="41"/>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hint="eastAsia" w:eastAsia="仿宋"/>
          <w:sz w:val="32"/>
          <w:szCs w:val="32"/>
          <w:lang w:val="en-US" w:eastAsia="zh-CN"/>
        </w:rPr>
        <w:t>341.74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312.94</w:t>
      </w:r>
      <w:r>
        <w:rPr>
          <w:rFonts w:hint="eastAsia" w:ascii="仿宋" w:hAnsi="仿宋" w:eastAsia="仿宋"/>
          <w:sz w:val="32"/>
          <w:szCs w:val="32"/>
        </w:rPr>
        <w:t>万元，占</w:t>
      </w:r>
      <w:r>
        <w:rPr>
          <w:rFonts w:hint="eastAsia" w:ascii="仿宋" w:hAnsi="仿宋" w:eastAsia="仿宋"/>
          <w:sz w:val="32"/>
          <w:szCs w:val="32"/>
          <w:lang w:val="en-US" w:eastAsia="zh-CN"/>
        </w:rPr>
        <w:t>91.57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10.73</w:t>
      </w:r>
      <w:r>
        <w:rPr>
          <w:rFonts w:hint="eastAsia" w:ascii="仿宋" w:hAnsi="仿宋" w:eastAsia="仿宋"/>
          <w:sz w:val="32"/>
          <w:szCs w:val="32"/>
        </w:rPr>
        <w:t>万元，占</w:t>
      </w:r>
      <w:r>
        <w:rPr>
          <w:rFonts w:hint="eastAsia" w:ascii="仿宋" w:hAnsi="仿宋" w:eastAsia="仿宋"/>
          <w:sz w:val="32"/>
          <w:szCs w:val="32"/>
          <w:lang w:val="en-US" w:eastAsia="zh-CN"/>
        </w:rPr>
        <w:t>3.14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18.07</w:t>
      </w:r>
      <w:r>
        <w:rPr>
          <w:rFonts w:hint="eastAsia" w:ascii="仿宋" w:hAnsi="仿宋" w:eastAsia="仿宋"/>
          <w:sz w:val="32"/>
          <w:szCs w:val="32"/>
        </w:rPr>
        <w:t>万元，占</w:t>
      </w:r>
      <w:r>
        <w:rPr>
          <w:rFonts w:hint="eastAsia" w:ascii="仿宋" w:hAnsi="仿宋" w:eastAsia="仿宋"/>
          <w:sz w:val="32"/>
          <w:szCs w:val="32"/>
          <w:lang w:val="en-US" w:eastAsia="zh-CN"/>
        </w:rPr>
        <w:t>5.29</w:t>
      </w:r>
      <w:r>
        <w:rPr>
          <w:rFonts w:ascii="仿宋" w:hAnsi="仿宋" w:eastAsia="仿宋"/>
          <w:sz w:val="32"/>
          <w:szCs w:val="32"/>
        </w:rPr>
        <w:t>%</w:t>
      </w:r>
      <w:r>
        <w:rPr>
          <w:rFonts w:hint="eastAsia" w:ascii="仿宋" w:hAnsi="仿宋" w:eastAsia="仿宋"/>
          <w:sz w:val="32"/>
          <w:szCs w:val="32"/>
        </w:rPr>
        <w:t>。</w:t>
      </w:r>
    </w:p>
    <w:p>
      <w:pPr>
        <w:pStyle w:val="11"/>
        <w:rPr>
          <w:rFonts w:hint="eastAsia" w:ascii="仿宋" w:hAnsi="仿宋" w:eastAsia="仿宋"/>
          <w:sz w:val="32"/>
          <w:szCs w:val="32"/>
        </w:rPr>
      </w:pPr>
      <w:r>
        <w:drawing>
          <wp:inline distT="0" distB="0" distL="114300" distR="114300">
            <wp:extent cx="4572000" cy="2743200"/>
            <wp:effectExtent l="4445" t="4445" r="14605" b="14605"/>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2"/>
        <w:rPr>
          <w:rFonts w:ascii="仿宋" w:hAnsi="仿宋" w:eastAsia="仿宋"/>
          <w:b/>
          <w:sz w:val="32"/>
          <w:szCs w:val="32"/>
        </w:rPr>
      </w:pPr>
      <w:bookmarkStart w:id="42" w:name="_Toc15377212"/>
      <w:bookmarkStart w:id="43" w:name="_Toc32496"/>
      <w:r>
        <w:rPr>
          <w:rFonts w:hint="eastAsia" w:ascii="仿宋" w:hAnsi="仿宋" w:eastAsia="仿宋"/>
          <w:b/>
          <w:sz w:val="32"/>
          <w:szCs w:val="32"/>
        </w:rPr>
        <w:t>（三）一般公共预算财政拨款支出决算具体情况</w:t>
      </w:r>
      <w:bookmarkEnd w:id="42"/>
      <w:bookmarkEnd w:id="43"/>
    </w:p>
    <w:p>
      <w:pPr>
        <w:spacing w:line="600" w:lineRule="exact"/>
        <w:ind w:firstLine="640" w:firstLineChars="200"/>
        <w:outlineLvl w:val="1"/>
        <w:rPr>
          <w:rFonts w:ascii="仿宋" w:hAnsi="仿宋" w:eastAsia="仿宋"/>
          <w:sz w:val="32"/>
          <w:szCs w:val="32"/>
        </w:rPr>
      </w:pPr>
      <w:bookmarkStart w:id="44" w:name="_Toc15377444"/>
      <w:bookmarkStart w:id="45" w:name="_Toc15378460"/>
      <w:bookmarkStart w:id="46" w:name="_Toc15377213"/>
      <w:bookmarkStart w:id="47" w:name="_Toc2855"/>
      <w:r>
        <w:rPr>
          <w:rFonts w:hint="eastAsia" w:ascii="仿宋" w:hAnsi="仿宋" w:eastAsia="仿宋"/>
          <w:b/>
          <w:sz w:val="32"/>
          <w:szCs w:val="32"/>
        </w:rPr>
        <w:t>2023年度一般公共预算支出决算数为</w:t>
      </w:r>
      <w:r>
        <w:rPr>
          <w:rFonts w:ascii="仿宋" w:hAnsi="仿宋" w:eastAsia="仿宋"/>
          <w:b/>
          <w:sz w:val="32"/>
          <w:szCs w:val="32"/>
        </w:rPr>
        <w:t>341.74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4"/>
      <w:bookmarkEnd w:id="45"/>
      <w:bookmarkEnd w:id="46"/>
      <w:bookmarkEnd w:id="47"/>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一般公共服务（类）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auto"/>
          <w:sz w:val="32"/>
          <w:szCs w:val="32"/>
          <w:highlight w:val="none"/>
        </w:rPr>
        <w:t>教育（类）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 w:hAnsi="仿宋" w:eastAsia="仿宋"/>
          <w:bCs/>
          <w:color w:val="auto"/>
          <w:sz w:val="32"/>
          <w:szCs w:val="32"/>
          <w:highlight w:val="none"/>
        </w:rPr>
        <w:t>科学技术（类）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4.</w:t>
      </w:r>
      <w:r>
        <w:rPr>
          <w:rStyle w:val="16"/>
          <w:rFonts w:hint="eastAsia" w:ascii="仿宋" w:hAnsi="仿宋" w:eastAsia="仿宋"/>
          <w:bCs/>
          <w:color w:val="auto"/>
          <w:sz w:val="32"/>
          <w:szCs w:val="32"/>
          <w:highlight w:val="none"/>
        </w:rPr>
        <w:t>文化旅游体育与传媒（类）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5.</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）人力资源和社会保障管理事务（01）社会保险经办机构（09）</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290.95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）人力资源和社会保障管理事务（01）其他人力资源和社会保障管理事务支出（</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8.49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行政事业单位离退休</w:t>
      </w:r>
      <w:r>
        <w:rPr>
          <w:rStyle w:val="16"/>
          <w:rFonts w:hint="eastAsia" w:ascii="仿宋" w:hAnsi="仿宋" w:eastAsia="仿宋"/>
          <w:bCs/>
          <w:color w:val="000000"/>
          <w:sz w:val="32"/>
          <w:szCs w:val="32"/>
        </w:rPr>
        <w:t>（0</w:t>
      </w:r>
      <w:r>
        <w:rPr>
          <w:rStyle w:val="16"/>
          <w:rFonts w:hint="eastAsia" w:ascii="仿宋" w:hAnsi="仿宋" w:eastAsia="仿宋"/>
          <w:bCs/>
          <w:color w:val="000000"/>
          <w:sz w:val="32"/>
          <w:szCs w:val="32"/>
          <w:lang w:val="en-US" w:eastAsia="zh-CN"/>
        </w:rPr>
        <w:t>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（0</w:t>
      </w:r>
      <w:r>
        <w:rPr>
          <w:rStyle w:val="16"/>
          <w:rFonts w:hint="eastAsia" w:ascii="仿宋" w:hAnsi="仿宋" w:eastAsia="仿宋"/>
          <w:bCs/>
          <w:color w:val="000000"/>
          <w:sz w:val="32"/>
          <w:szCs w:val="32"/>
          <w:lang w:val="en-US" w:eastAsia="zh-CN"/>
        </w:rPr>
        <w:t>5</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9.33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抚恤</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死亡抚恤支出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4.16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6.50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3.13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hint="eastAsia" w:ascii="仿宋" w:hAnsi="仿宋" w:eastAsia="仿宋"/>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11.</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公务员医疗补助</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12.</w:t>
      </w:r>
      <w:r>
        <w:rPr>
          <w:rStyle w:val="16"/>
          <w:rFonts w:hint="eastAsia" w:ascii="仿宋" w:hAnsi="仿宋" w:eastAsia="仿宋"/>
          <w:bCs/>
          <w:color w:val="000000"/>
          <w:sz w:val="32"/>
          <w:szCs w:val="32"/>
          <w:lang w:val="en-US" w:eastAsia="zh-CN"/>
        </w:rPr>
        <w:t xml:space="preserve">住房保障支出（221）住房改革支出（02）住房公积金（01）: </w:t>
      </w:r>
      <w:r>
        <w:rPr>
          <w:rStyle w:val="16"/>
          <w:rFonts w:hint="eastAsia" w:ascii="仿宋" w:hAnsi="仿宋" w:eastAsia="仿宋"/>
          <w:b w:val="0"/>
          <w:bCs/>
          <w:color w:val="000000"/>
          <w:sz w:val="32"/>
          <w:szCs w:val="32"/>
          <w:lang w:val="en-US" w:eastAsia="zh-CN"/>
        </w:rPr>
        <w:t>支出决算为18.07万元，完成预算100%。</w:t>
      </w:r>
    </w:p>
    <w:p>
      <w:pPr>
        <w:tabs>
          <w:tab w:val="right" w:pos="8306"/>
        </w:tabs>
        <w:spacing w:line="600" w:lineRule="exact"/>
        <w:ind w:firstLine="640"/>
        <w:outlineLvl w:val="1"/>
        <w:rPr>
          <w:rStyle w:val="28"/>
        </w:rPr>
      </w:pPr>
      <w:bookmarkStart w:id="48" w:name="_Toc15377214"/>
      <w:bookmarkStart w:id="49" w:name="_Toc15396608"/>
      <w:bookmarkStart w:id="50" w:name="_Toc29071"/>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eastAsia="仿宋"/>
          <w:sz w:val="32"/>
          <w:szCs w:val="32"/>
          <w:lang w:val="en-US" w:eastAsia="zh-CN"/>
        </w:rPr>
        <w:t>333.24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295.1</w:t>
      </w:r>
      <w:r>
        <w:rPr>
          <w:rFonts w:hint="eastAsia" w:ascii="仿宋" w:hAnsi="仿宋" w:eastAsia="仿宋"/>
          <w:b/>
          <w:sz w:val="32"/>
          <w:szCs w:val="32"/>
          <w:lang w:val="en-US" w:eastAsia="zh-CN"/>
        </w:rPr>
        <w:t>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38.12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51" w:name="_Toc22491"/>
      <w:bookmarkStart w:id="52" w:name="_Toc15396609"/>
      <w:bookmarkStart w:id="53"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bookmarkStart w:id="55" w:name="_Toc26717"/>
      <w:r>
        <w:rPr>
          <w:rFonts w:hint="eastAsia" w:ascii="仿宋" w:hAnsi="仿宋" w:eastAsia="仿宋"/>
          <w:b/>
          <w:sz w:val="32"/>
          <w:szCs w:val="32"/>
        </w:rPr>
        <w:t>（一）“三公”经费财政拨款支出决算总体情况说明</w:t>
      </w:r>
      <w:bookmarkEnd w:id="54"/>
      <w:bookmarkEnd w:id="55"/>
    </w:p>
    <w:p>
      <w:pPr>
        <w:spacing w:line="600" w:lineRule="exact"/>
        <w:ind w:firstLine="640"/>
        <w:rPr>
          <w:rFonts w:ascii="仿宋" w:hAnsi="仿宋" w:eastAsia="仿宋"/>
          <w:color w:val="000000"/>
          <w:sz w:val="32"/>
          <w:szCs w:val="32"/>
          <w:shd w:val="clear"/>
        </w:rPr>
      </w:pPr>
      <w:r>
        <w:rPr>
          <w:rFonts w:hint="eastAsia" w:ascii="仿宋" w:hAnsi="仿宋" w:eastAsia="仿宋"/>
          <w:sz w:val="32"/>
          <w:szCs w:val="32"/>
        </w:rPr>
        <w:t>2023年度“三公”经费财政拨款支出决算为</w:t>
      </w:r>
      <w:r>
        <w:rPr>
          <w:rFonts w:ascii="仿宋" w:hAnsi="仿宋" w:eastAsia="仿宋"/>
          <w:b/>
          <w:sz w:val="32"/>
          <w:szCs w:val="32"/>
        </w:rPr>
        <w:t>0.3</w:t>
      </w:r>
      <w:r>
        <w:rPr>
          <w:rFonts w:hint="eastAsia" w:ascii="仿宋" w:hAnsi="仿宋" w:eastAsia="仿宋"/>
          <w:b/>
          <w:sz w:val="32"/>
          <w:szCs w:val="32"/>
          <w:lang w:val="en-US" w:eastAsia="zh-CN"/>
        </w:rPr>
        <w:t>0</w:t>
      </w:r>
      <w:r>
        <w:rPr>
          <w:rFonts w:hint="eastAsia" w:ascii="仿宋" w:hAnsi="仿宋" w:eastAsia="仿宋"/>
          <w:sz w:val="32"/>
          <w:szCs w:val="32"/>
        </w:rPr>
        <w:t>万元，完成预算</w:t>
      </w:r>
      <w:r>
        <w:rPr>
          <w:rFonts w:hint="eastAsia"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0.40</w:t>
      </w:r>
      <w:r>
        <w:rPr>
          <w:rFonts w:hint="eastAsia" w:ascii="仿宋" w:hAnsi="仿宋" w:eastAsia="仿宋"/>
          <w:sz w:val="32"/>
          <w:szCs w:val="32"/>
        </w:rPr>
        <w:t>万元，下降</w:t>
      </w:r>
      <w:r>
        <w:rPr>
          <w:rFonts w:hint="eastAsia" w:ascii="仿宋" w:hAnsi="仿宋" w:eastAsia="仿宋"/>
          <w:sz w:val="32"/>
          <w:szCs w:val="32"/>
          <w:lang w:val="en-US" w:eastAsia="zh-CN"/>
        </w:rPr>
        <w:t>57.14</w:t>
      </w:r>
      <w:r>
        <w:rPr>
          <w:rFonts w:hint="eastAsia" w:ascii="仿宋" w:hAnsi="仿宋" w:eastAsia="仿宋"/>
          <w:sz w:val="32"/>
          <w:szCs w:val="32"/>
        </w:rPr>
        <w:t>%。决算数小于预算数（或与预算数持平）的主要原因是</w:t>
      </w:r>
      <w:r>
        <w:rPr>
          <w:rFonts w:hint="eastAsia" w:ascii="仿宋" w:hAnsi="仿宋" w:eastAsia="仿宋"/>
          <w:color w:val="000000"/>
          <w:sz w:val="32"/>
          <w:szCs w:val="32"/>
          <w:shd w:val="clear"/>
          <w:lang w:eastAsia="zh-CN"/>
        </w:rPr>
        <w:t>单位严格控制三公经费支出</w:t>
      </w:r>
      <w:r>
        <w:rPr>
          <w:rFonts w:hint="eastAsia" w:ascii="仿宋" w:hAnsi="仿宋" w:eastAsia="仿宋"/>
          <w:color w:val="000000"/>
          <w:sz w:val="32"/>
          <w:szCs w:val="32"/>
          <w:shd w:val="clear"/>
        </w:rPr>
        <w:t>。</w:t>
      </w:r>
    </w:p>
    <w:p>
      <w:pPr>
        <w:spacing w:line="600" w:lineRule="exact"/>
        <w:ind w:firstLine="640"/>
        <w:rPr>
          <w:rFonts w:ascii="仿宋" w:hAnsi="仿宋" w:eastAsia="仿宋"/>
          <w:sz w:val="32"/>
          <w:szCs w:val="32"/>
          <w:highlight w:val="yellow"/>
        </w:rPr>
      </w:pPr>
    </w:p>
    <w:p>
      <w:pPr>
        <w:spacing w:line="600" w:lineRule="exact"/>
        <w:ind w:firstLine="640"/>
        <w:outlineLvl w:val="2"/>
        <w:rPr>
          <w:rFonts w:ascii="仿宋" w:hAnsi="仿宋" w:eastAsia="仿宋"/>
          <w:b/>
          <w:sz w:val="32"/>
          <w:szCs w:val="32"/>
        </w:rPr>
      </w:pPr>
      <w:bookmarkStart w:id="56" w:name="_Toc15377217"/>
      <w:bookmarkStart w:id="57" w:name="_Toc31957"/>
      <w:r>
        <w:rPr>
          <w:rFonts w:hint="eastAsia" w:ascii="仿宋" w:hAnsi="仿宋" w:eastAsia="仿宋"/>
          <w:b/>
          <w:sz w:val="32"/>
          <w:szCs w:val="32"/>
        </w:rPr>
        <w:t>（二）“三公”经费财政拨款支出决算具体情况说明</w:t>
      </w:r>
      <w:bookmarkEnd w:id="56"/>
      <w:bookmarkEnd w:id="57"/>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0.30</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
        <w:outlineLvl w:val="9"/>
        <w:rPr>
          <w:rFonts w:ascii="仿宋_GB2312" w:eastAsia="仿宋_GB2312"/>
          <w:b/>
          <w:sz w:val="32"/>
          <w:szCs w:val="32"/>
        </w:rPr>
      </w:pPr>
      <w:r>
        <w:rPr>
          <w:rFonts w:hint="eastAsia"/>
          <w:lang w:val="en-US" w:eastAsia="zh-CN"/>
        </w:rPr>
        <w:t xml:space="preserve">       </w:t>
      </w:r>
      <w:r>
        <w:drawing>
          <wp:inline distT="0" distB="0" distL="114300" distR="114300">
            <wp:extent cx="4572000" cy="2743200"/>
            <wp:effectExtent l="4445" t="4445" r="14605" b="14605"/>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hint="eastAsia" w:ascii="仿宋_GB2312" w:eastAsia="仿宋_GB2312"/>
          <w:sz w:val="32"/>
          <w:szCs w:val="32"/>
        </w:rPr>
      </w:pPr>
      <w:r>
        <w:rPr>
          <w:rFonts w:hint="eastAsia" w:ascii="仿宋_GB2312" w:eastAsia="仿宋_GB2312"/>
          <w:sz w:val="32"/>
          <w:szCs w:val="32"/>
        </w:rPr>
        <w:t>2.公务用车购置及运行维护费支出0万元,完成预算0%。公务用车购置及运行维护费支出决算比2022年度增加/减少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600" w:lineRule="exact"/>
        <w:ind w:firstLine="640"/>
        <w:rPr>
          <w:rFonts w:hint="eastAsia" w:ascii="仿宋_GB2312" w:eastAsia="仿宋_GB2312"/>
          <w:sz w:val="32"/>
          <w:szCs w:val="32"/>
        </w:rPr>
      </w:pPr>
      <w:r>
        <w:rPr>
          <w:rFonts w:hint="eastAsia" w:ascii="仿宋_GB2312" w:eastAsia="仿宋_GB2312"/>
          <w:sz w:val="32"/>
          <w:szCs w:val="32"/>
        </w:rPr>
        <w:t>其中：公务用车购置支出0万元。全年按规定更新购置公务用车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万元。截至2023年12月31日，单位共有公务用车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sz w:val="32"/>
          <w:szCs w:val="32"/>
        </w:rPr>
        <w:t>公务用车运行维护费支出0万元。</w:t>
      </w:r>
    </w:p>
    <w:p>
      <w:pPr>
        <w:spacing w:line="600" w:lineRule="exact"/>
        <w:ind w:firstLine="640"/>
        <w:rPr>
          <w:rFonts w:hint="eastAsia"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0.30</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0.40</w:t>
      </w:r>
      <w:r>
        <w:rPr>
          <w:rFonts w:hint="eastAsia" w:ascii="仿宋_GB2312" w:eastAsia="仿宋_GB2312"/>
          <w:sz w:val="32"/>
          <w:szCs w:val="32"/>
        </w:rPr>
        <w:t>万元，下降</w:t>
      </w:r>
      <w:r>
        <w:rPr>
          <w:rFonts w:hint="eastAsia" w:ascii="仿宋_GB2312" w:eastAsia="仿宋_GB2312"/>
          <w:sz w:val="32"/>
          <w:szCs w:val="32"/>
          <w:lang w:val="en-US" w:eastAsia="zh-CN"/>
        </w:rPr>
        <w:t>57.14</w:t>
      </w:r>
      <w:r>
        <w:rPr>
          <w:rFonts w:hint="eastAsia" w:ascii="仿宋_GB2312" w:eastAsia="仿宋_GB2312"/>
          <w:sz w:val="32"/>
          <w:szCs w:val="32"/>
        </w:rPr>
        <w:t>%。主要原因是</w:t>
      </w:r>
      <w:r>
        <w:rPr>
          <w:rFonts w:hint="eastAsia" w:ascii="仿宋_GB2312" w:eastAsia="仿宋_GB2312"/>
          <w:sz w:val="32"/>
          <w:szCs w:val="32"/>
          <w:lang w:eastAsia="zh-CN"/>
        </w:rPr>
        <w:t>单位严格控制三公经费支出</w:t>
      </w:r>
      <w:r>
        <w:rPr>
          <w:rFonts w:hint="eastAsia" w:ascii="仿宋_GB2312" w:eastAsia="仿宋_GB2312"/>
          <w:sz w:val="32"/>
          <w:szCs w:val="32"/>
        </w:rPr>
        <w:t>。</w:t>
      </w:r>
    </w:p>
    <w:p>
      <w:pPr>
        <w:spacing w:line="600" w:lineRule="exact"/>
        <w:ind w:firstLine="640"/>
        <w:rPr>
          <w:rFonts w:ascii="仿宋_GB2312" w:eastAsia="仿宋_GB2312"/>
          <w:color w:val="auto"/>
          <w:sz w:val="32"/>
          <w:szCs w:val="32"/>
          <w:highlight w:val="none"/>
        </w:rPr>
      </w:pPr>
      <w:r>
        <w:rPr>
          <w:rFonts w:hint="eastAsia" w:ascii="仿宋_GB2312" w:eastAsia="仿宋_GB2312"/>
          <w:sz w:val="32"/>
          <w:szCs w:val="32"/>
        </w:rPr>
        <w:t>国内公务接待支出</w:t>
      </w:r>
      <w:r>
        <w:rPr>
          <w:rFonts w:hint="eastAsia" w:ascii="仿宋_GB2312" w:eastAsia="仿宋_GB2312"/>
          <w:sz w:val="32"/>
          <w:szCs w:val="32"/>
          <w:lang w:val="en-US" w:eastAsia="zh-CN"/>
        </w:rPr>
        <w:t>0.30</w:t>
      </w:r>
      <w:r>
        <w:rPr>
          <w:rFonts w:hint="eastAsia" w:ascii="仿宋_GB2312" w:eastAsia="仿宋_GB2312"/>
          <w:sz w:val="32"/>
          <w:szCs w:val="32"/>
        </w:rPr>
        <w:t>万元，主要用于</w:t>
      </w:r>
      <w:r>
        <w:rPr>
          <w:rFonts w:hint="eastAsia" w:ascii="仿宋_GB2312" w:eastAsia="仿宋_GB2312"/>
          <w:color w:val="auto"/>
          <w:sz w:val="32"/>
          <w:szCs w:val="32"/>
          <w:highlight w:val="none"/>
        </w:rPr>
        <w:t>主要用于开展业务活动开支的用餐费。国内公务接待</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0.30</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接待市人社局关于开展就业领域专项资金内审督查接待费</w:t>
      </w:r>
      <w:r>
        <w:rPr>
          <w:rFonts w:hint="eastAsia" w:ascii="仿宋_GB2312" w:eastAsia="仿宋_GB2312"/>
          <w:color w:val="auto"/>
          <w:sz w:val="32"/>
          <w:szCs w:val="32"/>
          <w:highlight w:val="none"/>
          <w:lang w:val="en-US" w:eastAsia="zh-CN"/>
        </w:rPr>
        <w:t>0.13万元，接待达州市就业服务管理局关于开展失业保险基金、就业创业补助资金管理使用情况内部审计接待费0.12万元，接待省就业局一行人来竹开展就业创业服务专题调研接待费0.05万元</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bookmarkStart w:id="58" w:name="_Toc15396610"/>
      <w:bookmarkStart w:id="59" w:name="_Toc15377218"/>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8"/>
          <w:rFonts w:ascii="黑体" w:hAnsi="黑体" w:eastAsia="黑体"/>
        </w:rPr>
      </w:pPr>
      <w:bookmarkStart w:id="60" w:name="_Toc31974"/>
      <w:r>
        <w:rPr>
          <w:rFonts w:hint="eastAsia" w:ascii="黑体" w:eastAsia="黑体"/>
          <w:sz w:val="32"/>
          <w:szCs w:val="32"/>
        </w:rPr>
        <w:t>八、</w:t>
      </w:r>
      <w:r>
        <w:rPr>
          <w:rStyle w:val="28"/>
          <w:rFonts w:hint="eastAsia" w:ascii="黑体" w:hAnsi="黑体" w:eastAsia="黑体"/>
          <w:b w:val="0"/>
        </w:rPr>
        <w:t>政府性基金预算支出决算情况说明</w:t>
      </w:r>
      <w:bookmarkEnd w:id="58"/>
      <w:bookmarkEnd w:id="59"/>
      <w:bookmarkEnd w:id="60"/>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2023年度政府性基金预算财政拨款支出1644.14万元。</w:t>
      </w:r>
    </w:p>
    <w:p>
      <w:pPr>
        <w:numPr>
          <w:ilvl w:val="0"/>
          <w:numId w:val="2"/>
        </w:numPr>
        <w:spacing w:line="600" w:lineRule="exact"/>
        <w:ind w:firstLine="640"/>
        <w:outlineLvl w:val="1"/>
        <w:rPr>
          <w:rStyle w:val="28"/>
          <w:rFonts w:ascii="黑体" w:hAnsi="黑体" w:eastAsia="黑体"/>
          <w:b w:val="0"/>
        </w:rPr>
      </w:pPr>
      <w:bookmarkStart w:id="61" w:name="_Toc22008"/>
      <w:bookmarkStart w:id="62" w:name="_Toc15396611"/>
      <w:bookmarkStart w:id="63" w:name="_Toc15377219"/>
      <w:r>
        <w:rPr>
          <w:rStyle w:val="28"/>
          <w:rFonts w:hint="eastAsia" w:ascii="黑体" w:hAnsi="黑体" w:eastAsia="黑体"/>
          <w:b w:val="0"/>
        </w:rPr>
        <w:t>国有资本经营预算支出决算情况说明</w:t>
      </w:r>
      <w:bookmarkEnd w:id="61"/>
      <w:bookmarkEnd w:id="62"/>
      <w:bookmarkEnd w:id="6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64" w:name="_Toc15396612"/>
      <w:bookmarkStart w:id="65" w:name="_Toc15377221"/>
      <w:bookmarkStart w:id="66" w:name="_Toc18912"/>
      <w:r>
        <w:rPr>
          <w:rStyle w:val="28"/>
          <w:rFonts w:hint="eastAsia" w:ascii="黑体" w:hAnsi="黑体" w:eastAsia="黑体"/>
          <w:b w:val="0"/>
        </w:rPr>
        <w:t>其他重要事项的情况说明</w:t>
      </w:r>
      <w:bookmarkEnd w:id="64"/>
      <w:bookmarkEnd w:id="65"/>
      <w:bookmarkEnd w:id="66"/>
    </w:p>
    <w:p>
      <w:pPr>
        <w:spacing w:line="600" w:lineRule="exact"/>
        <w:ind w:firstLine="640" w:firstLineChars="200"/>
        <w:outlineLvl w:val="2"/>
        <w:rPr>
          <w:rFonts w:ascii="仿宋" w:hAnsi="仿宋" w:eastAsia="仿宋"/>
          <w:sz w:val="32"/>
          <w:szCs w:val="32"/>
        </w:rPr>
      </w:pPr>
      <w:bookmarkStart w:id="67" w:name="_Toc4095"/>
      <w:bookmarkStart w:id="68" w:name="_Toc15377222"/>
      <w:r>
        <w:rPr>
          <w:rFonts w:hint="eastAsia" w:ascii="仿宋" w:hAnsi="仿宋" w:eastAsia="仿宋"/>
          <w:b/>
          <w:sz w:val="32"/>
          <w:szCs w:val="32"/>
        </w:rPr>
        <w:t>（一）机关运行经费支出情况</w:t>
      </w:r>
      <w:bookmarkEnd w:id="67"/>
      <w:bookmarkEnd w:id="68"/>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大竹县就业服务管理局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38.12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7.76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16.91</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机关本着厉行节约的原则，尽量压缩机关运行经费的支出。</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69" w:name="_Toc15377223"/>
      <w:bookmarkStart w:id="70" w:name="_Toc14991"/>
      <w:r>
        <w:rPr>
          <w:rFonts w:hint="eastAsia" w:ascii="仿宋" w:hAnsi="仿宋" w:eastAsia="仿宋"/>
          <w:b/>
          <w:sz w:val="32"/>
          <w:szCs w:val="32"/>
        </w:rPr>
        <w:t>（二）政府采购支出情况</w:t>
      </w:r>
      <w:bookmarkEnd w:id="69"/>
      <w:bookmarkEnd w:id="70"/>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大竹县就业服务管理局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71" w:name="_Toc15377224"/>
      <w:bookmarkStart w:id="72" w:name="_Toc23749"/>
      <w:r>
        <w:rPr>
          <w:rFonts w:hint="eastAsia" w:ascii="仿宋" w:hAnsi="仿宋" w:eastAsia="仿宋"/>
          <w:b/>
          <w:sz w:val="32"/>
          <w:szCs w:val="32"/>
        </w:rPr>
        <w:t>（三）国有资产占有使用情况</w:t>
      </w:r>
      <w:bookmarkEnd w:id="71"/>
      <w:bookmarkEnd w:id="72"/>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73" w:name="_Toc1635"/>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大竹县就业服务管理局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bookmarkEnd w:id="73"/>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74" w:name="_Toc14068"/>
      <w:r>
        <w:rPr>
          <w:rFonts w:hint="eastAsia" w:ascii="仿宋" w:hAnsi="仿宋" w:eastAsia="仿宋"/>
          <w:b/>
          <w:sz w:val="32"/>
          <w:szCs w:val="32"/>
        </w:rPr>
        <w:t>（四）预算绩效管理情况</w:t>
      </w:r>
      <w:bookmarkEnd w:id="74"/>
    </w:p>
    <w:p>
      <w:pPr>
        <w:autoSpaceDE w:val="0"/>
        <w:autoSpaceDN w:val="0"/>
        <w:adjustRightInd w:val="0"/>
        <w:spacing w:line="600" w:lineRule="exact"/>
        <w:ind w:firstLine="640" w:firstLineChars="200"/>
        <w:jc w:val="left"/>
        <w:outlineLvl w:val="2"/>
        <w:rPr>
          <w:rFonts w:hint="eastAsia" w:ascii="仿宋_GB2312" w:eastAsia="仿宋_GB2312"/>
          <w:color w:val="auto"/>
          <w:sz w:val="32"/>
          <w:szCs w:val="32"/>
          <w:highlight w:val="none"/>
        </w:rPr>
      </w:pPr>
      <w:bookmarkStart w:id="75" w:name="_Toc17009"/>
      <w:r>
        <w:rPr>
          <w:rFonts w:hint="eastAsia" w:ascii="仿宋_GB2312" w:eastAsia="仿宋_GB2312"/>
          <w:color w:val="auto"/>
          <w:sz w:val="32"/>
          <w:szCs w:val="32"/>
          <w:highlight w:val="none"/>
        </w:rPr>
        <w:t>根据预算绩效管理要求，本部门在2023年度预算编制阶段，组织对</w:t>
      </w:r>
      <w:r>
        <w:rPr>
          <w:rFonts w:hint="eastAsia" w:ascii="仿宋_GB2312" w:eastAsia="仿宋_GB2312"/>
          <w:color w:val="auto"/>
          <w:sz w:val="32"/>
          <w:szCs w:val="32"/>
          <w:highlight w:val="none"/>
          <w:lang w:eastAsia="zh-CN"/>
        </w:rPr>
        <w:t>失地农民失业保险金</w:t>
      </w:r>
      <w:r>
        <w:rPr>
          <w:rFonts w:hint="eastAsia" w:ascii="仿宋_GB2312" w:eastAsia="仿宋_GB2312"/>
          <w:color w:val="auto"/>
          <w:sz w:val="32"/>
          <w:szCs w:val="32"/>
          <w:highlight w:val="none"/>
        </w:rPr>
        <w:t>项目等</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个项目开展了预算事前绩效评估，对</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个项目开展绩效监控。</w:t>
      </w:r>
      <w:bookmarkEnd w:id="75"/>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rPr>
        <w:t>组织对2023年度一般公共预算、政府性基金预算、国有资本经营预算、社会保险基金预算以及资本资产、债券资金等全面开展绩效自评，形成</w:t>
      </w:r>
      <w:r>
        <w:rPr>
          <w:rFonts w:hint="eastAsia" w:ascii="仿宋_GB2312" w:eastAsia="仿宋_GB2312"/>
          <w:color w:val="auto"/>
          <w:sz w:val="32"/>
          <w:szCs w:val="32"/>
          <w:highlight w:val="none"/>
          <w:lang w:val="en-US" w:eastAsia="zh-CN"/>
        </w:rPr>
        <w:t>大竹县就业服务管理局</w:t>
      </w:r>
      <w:r>
        <w:rPr>
          <w:rFonts w:hint="eastAsia" w:ascii="仿宋_GB2312" w:eastAsia="仿宋_GB2312"/>
          <w:color w:val="auto"/>
          <w:sz w:val="32"/>
          <w:szCs w:val="32"/>
          <w:highlight w:val="none"/>
        </w:rPr>
        <w:t>部门整体绩效自评报告、</w:t>
      </w:r>
      <w:r>
        <w:rPr>
          <w:rFonts w:hint="eastAsia" w:ascii="仿宋_GB2312" w:eastAsia="仿宋_GB2312"/>
          <w:color w:val="auto"/>
          <w:sz w:val="32"/>
          <w:szCs w:val="32"/>
          <w:highlight w:val="none"/>
          <w:lang w:val="en-US" w:eastAsia="zh-CN"/>
        </w:rPr>
        <w:t>失地农民失业保险金</w:t>
      </w:r>
      <w:r>
        <w:rPr>
          <w:rFonts w:hint="eastAsia" w:ascii="仿宋_GB2312" w:eastAsia="仿宋_GB2312"/>
          <w:color w:val="auto"/>
          <w:sz w:val="32"/>
          <w:szCs w:val="32"/>
          <w:highlight w:val="none"/>
        </w:rPr>
        <w:t>专项预算项目绩效自评报告，其中，</w:t>
      </w:r>
      <w:r>
        <w:rPr>
          <w:rFonts w:hint="eastAsia" w:ascii="仿宋_GB2312" w:eastAsia="仿宋_GB2312"/>
          <w:color w:val="auto"/>
          <w:sz w:val="32"/>
          <w:szCs w:val="32"/>
          <w:highlight w:val="none"/>
          <w:lang w:val="en-US" w:eastAsia="zh-CN"/>
        </w:rPr>
        <w:t>大竹县就业服务管理局</w:t>
      </w:r>
      <w:r>
        <w:rPr>
          <w:rFonts w:hint="eastAsia" w:ascii="仿宋_GB2312" w:eastAsia="仿宋_GB2312"/>
          <w:color w:val="auto"/>
          <w:sz w:val="32"/>
          <w:szCs w:val="32"/>
          <w:highlight w:val="none"/>
        </w:rPr>
        <w:t>部门整体（含部门预算项目）绩效自评得分为</w:t>
      </w:r>
      <w:r>
        <w:rPr>
          <w:rFonts w:hint="eastAsia" w:ascii="仿宋_GB2312" w:eastAsia="仿宋_GB2312"/>
          <w:color w:val="auto"/>
          <w:sz w:val="32"/>
          <w:szCs w:val="32"/>
          <w:highlight w:val="none"/>
          <w:lang w:val="en-US" w:eastAsia="zh-CN"/>
        </w:rPr>
        <w:t>91</w:t>
      </w:r>
      <w:r>
        <w:rPr>
          <w:rFonts w:hint="eastAsia" w:ascii="仿宋_GB2312" w:eastAsia="仿宋_GB2312"/>
          <w:color w:val="auto"/>
          <w:sz w:val="32"/>
          <w:szCs w:val="32"/>
          <w:highlight w:val="none"/>
        </w:rPr>
        <w:t>分</w:t>
      </w:r>
      <w:r>
        <w:rPr>
          <w:rFonts w:hint="eastAsia" w:ascii="仿宋_GB2312" w:hAnsi="Times New Roman" w:eastAsia="仿宋_GB2312" w:cs="Times New Roman"/>
          <w:color w:val="auto"/>
          <w:sz w:val="32"/>
          <w:szCs w:val="32"/>
          <w:highlight w:val="none"/>
          <w:lang w:val="en-US" w:eastAsia="zh-CN"/>
        </w:rPr>
        <w:t>，各项目标基本达到了相应时期执行进度，各项经费按预算实施，使财政收支预算执行都得到了良好的制度保障和实施效果。失地农民失业保险金</w:t>
      </w:r>
    </w:p>
    <w:p>
      <w:pPr>
        <w:autoSpaceDE w:val="0"/>
        <w:autoSpaceDN w:val="0"/>
        <w:adjustRightInd w:val="0"/>
        <w:spacing w:line="600" w:lineRule="exact"/>
        <w:jc w:val="left"/>
        <w:outlineLvl w:val="2"/>
        <w:rPr>
          <w:rFonts w:hint="eastAsia" w:ascii="仿宋_GB2312" w:hAnsi="Times New Roman" w:eastAsia="仿宋_GB2312" w:cs="Times New Roman"/>
          <w:color w:val="auto"/>
          <w:sz w:val="32"/>
          <w:szCs w:val="32"/>
          <w:highlight w:val="none"/>
          <w:lang w:val="en-US" w:eastAsia="zh-CN"/>
        </w:rPr>
      </w:pPr>
      <w:bookmarkStart w:id="76" w:name="_Toc6172"/>
      <w:r>
        <w:rPr>
          <w:rFonts w:hint="eastAsia" w:ascii="仿宋_GB2312" w:eastAsia="仿宋_GB2312"/>
          <w:color w:val="auto"/>
          <w:sz w:val="32"/>
          <w:szCs w:val="32"/>
          <w:highlight w:val="none"/>
        </w:rPr>
        <w:t>预算项目绩效自评得分为</w:t>
      </w:r>
      <w:r>
        <w:rPr>
          <w:rFonts w:hint="eastAsia" w:ascii="仿宋_GB2312" w:eastAsia="仿宋_GB2312"/>
          <w:color w:val="auto"/>
          <w:sz w:val="32"/>
          <w:szCs w:val="32"/>
          <w:highlight w:val="none"/>
          <w:lang w:val="en-US" w:eastAsia="zh-CN"/>
        </w:rPr>
        <w:t>94</w:t>
      </w:r>
      <w:r>
        <w:rPr>
          <w:rFonts w:hint="eastAsia" w:ascii="仿宋_GB2312" w:eastAsia="仿宋_GB2312"/>
          <w:color w:val="auto"/>
          <w:sz w:val="32"/>
          <w:szCs w:val="32"/>
          <w:highlight w:val="none"/>
        </w:rPr>
        <w:t>分，</w:t>
      </w:r>
      <w:r>
        <w:rPr>
          <w:rFonts w:hint="eastAsia" w:ascii="仿宋_GB2312" w:hAnsi="Times New Roman" w:eastAsia="仿宋_GB2312" w:cs="Times New Roman"/>
          <w:color w:val="auto"/>
          <w:sz w:val="32"/>
          <w:szCs w:val="32"/>
          <w:highlight w:val="none"/>
          <w:lang w:val="en-US" w:eastAsia="zh-CN"/>
        </w:rPr>
        <w:t>各项目标基本达到了相应时期执行进度，本年度的失地农民失业保险金基本上能做到准时、足额的发放。做好了稳定全县失地农民的工作，提高了群众的满意度。</w:t>
      </w:r>
      <w:bookmarkEnd w:id="76"/>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pStyle w:val="3"/>
        <w:jc w:val="center"/>
      </w:pPr>
      <w:bookmarkStart w:id="77" w:name="_Toc32684"/>
      <w:r>
        <w:rPr>
          <w:rFonts w:hint="eastAsia"/>
        </w:rPr>
        <w:t>第三部分 名词解释</w:t>
      </w:r>
      <w:bookmarkEnd w:id="77"/>
    </w:p>
    <w:p>
      <w:pPr>
        <w:pStyle w:val="25"/>
        <w:spacing w:line="560" w:lineRule="exact"/>
        <w:ind w:firstLine="640" w:firstLineChars="200"/>
        <w:outlineLvl w:val="1"/>
        <w:rPr>
          <w:rFonts w:ascii="仿宋_GB2312" w:eastAsia="仿宋_GB2312"/>
          <w:color w:val="auto"/>
          <w:sz w:val="32"/>
          <w:szCs w:val="32"/>
          <w:highlight w:val="none"/>
        </w:rPr>
      </w:pPr>
      <w:bookmarkStart w:id="78" w:name="_Toc23670"/>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8"/>
    </w:p>
    <w:p>
      <w:pPr>
        <w:spacing w:line="600" w:lineRule="exact"/>
        <w:ind w:firstLine="640"/>
        <w:rPr>
          <w:rFonts w:hint="eastAsia" w:ascii="仿宋_GB2312" w:hAnsi="仿宋_GB2312" w:eastAsia="仿宋_GB2312" w:cs="仿宋_GB2312"/>
          <w:sz w:val="32"/>
          <w:szCs w:val="32"/>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w:t>
      </w:r>
      <w:r>
        <w:rPr>
          <w:rFonts w:hint="eastAsia" w:ascii="仿宋_GB2312" w:hAnsi="仿宋_GB2312" w:eastAsia="仿宋_GB2312" w:cs="仿宋_GB2312"/>
          <w:sz w:val="32"/>
          <w:szCs w:val="32"/>
        </w:rPr>
        <w:t>指事业单位开展专业业务活动及辅助活动取得的收入。</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4.其他收入：指单位取得的除上述收入以外的各项收入。主要是</w:t>
      </w:r>
      <w:r>
        <w:rPr>
          <w:rFonts w:hint="eastAsia" w:ascii="仿宋_GB2312" w:hAnsi="仿宋_GB2312" w:eastAsia="仿宋_GB2312" w:cs="仿宋_GB2312"/>
          <w:sz w:val="32"/>
          <w:szCs w:val="32"/>
          <w:lang w:eastAsia="zh-CN"/>
        </w:rPr>
        <w:t>就业创业补助资金</w:t>
      </w:r>
      <w:r>
        <w:rPr>
          <w:rFonts w:hint="eastAsia" w:ascii="仿宋_GB2312" w:hAnsi="仿宋_GB2312" w:eastAsia="仿宋_GB2312" w:cs="仿宋_GB2312"/>
          <w:sz w:val="32"/>
          <w:szCs w:val="32"/>
        </w:rPr>
        <w:t xml:space="preserve">等。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5.用事业基金弥补收支差额：指事业单位在当年的财政拨款收入、事业收入、经营收入、其他收入不足以安排当年支出的情况下，使用以前年度积累的事业基金（事业单位当</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年收支相抵后按国家规定提取、用于弥补以后年度收支差额的基金）弥补本年度收支缺口的资金。 </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sz w:val="32"/>
          <w:szCs w:val="32"/>
        </w:rPr>
        <w:t>6.年初结转和结余：指以前年度尚未完成、结转到本年按有关规定继续使用的资金。</w:t>
      </w:r>
      <w:r>
        <w:rPr>
          <w:rFonts w:ascii="仿宋_GB2312" w:eastAsia="仿宋_GB2312"/>
          <w:color w:val="auto"/>
          <w:sz w:val="32"/>
          <w:szCs w:val="32"/>
          <w:highlight w:val="none"/>
        </w:rPr>
        <w:t xml:space="preserve">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sz w:val="32"/>
          <w:szCs w:val="32"/>
        </w:rPr>
        <w:t>8、年末结转和结余：指单位按有关规定结转到下年或以后年度继续使用的资金。</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）人力资源和社会保障管理事务（</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）社会保险经办机构（</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反应社会保险经办机构开展业务工作的支出</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）人力资源和社会保障管理事务（</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其他人力资源和社会保障管理事务支出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反应其他用于人力资源和社会保障事务方面的支出。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行政事业单位离退休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机关事业单位基本养老保险缴费支出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反应机关事业单位实施养老保险制度由单位缴纳的基本养老保险费支出</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抚恤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死亡服务支出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反应用于烈士和牺牲、病故人员家属的一次性和定期抚恤金以及丧葬补助费支出</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反应财政部门安排的行政单位（包括实行公务员管理的事业单位，下同）基本医疗保险缴费经费，未参加医疗保险的行政单位的公费医疗经费，按国家规定享受离退休人员、红军老战士待遇人员的医疗经费。</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反应财政部门安排的事业单位基本医疗保险缴费经费，未参加医疗保险的事业单位的公费医疗经费，按国家规定享受离退休人员的医疗经费。</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15.卫</w:t>
      </w:r>
      <w:r>
        <w:rPr>
          <w:rFonts w:hint="eastAsia" w:ascii="仿宋_GB2312" w:hAnsi="仿宋_GB2312" w:eastAsia="仿宋_GB2312" w:cs="仿宋_GB2312"/>
          <w:color w:val="auto"/>
          <w:sz w:val="32"/>
          <w:szCs w:val="32"/>
          <w:lang w:eastAsia="zh-CN"/>
        </w:rPr>
        <w:t>生健康支出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公务员医疗补助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反应财政部门安排的公务员医疗补助经费。</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职业培训补贴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反应财政用于落实相关职业培训政策方面的补贴支出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社会保险补贴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反应财政对符合条件人员就业后缴纳的社会保险费给予的补贴支出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公益性岗位补贴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反应财政对符合条件的就业困难人员在公益性岗位就业给予的岗位补贴支出。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）就业见习补贴（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反应财政对高校毕业生就业见习基本生活费给予的补贴支出。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）求职创业补贴（</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反应财政对符合规定的高校毕业生等求职创业给予的补贴支出。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）其他就业补助支出（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反应除了上述项目以外按规定确定的其他用于促进就业的补助支出。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.城乡社区支出（212）国有土地使用权出让收入及对应专项债务收入安排的支出（08）土地开发支出（02）:反应地方人民政府用于前期土地开发性支出以及与前期土地开发相关的费用等支出。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住房改革支出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住房公积金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反映行政事业单位按人力资源和社会保障部、财政部规定的基本工资和津贴补贴以及规定比例为职工缴纳的住房公积金</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反映除了上述项目以外其他不能划分到具体功能科目中的支出项目</w:t>
      </w:r>
      <w:r>
        <w:rPr>
          <w:rFonts w:hint="eastAsia" w:ascii="仿宋_GB2312" w:hAnsi="仿宋_GB2312" w:eastAsia="仿宋_GB2312" w:cs="仿宋_GB2312"/>
          <w:color w:val="auto"/>
          <w:sz w:val="32"/>
          <w:szCs w:val="32"/>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其他费用。</w:t>
      </w:r>
    </w:p>
    <w:p>
      <w:pPr>
        <w:ind w:firstLine="420" w:firstLineChars="200"/>
      </w:pPr>
    </w:p>
    <w:p>
      <w:pPr>
        <w:pStyle w:val="2"/>
      </w:pPr>
    </w:p>
    <w:p/>
    <w:p>
      <w:pPr>
        <w:pStyle w:val="2"/>
      </w:pPr>
    </w:p>
    <w:p/>
    <w:p>
      <w:pPr>
        <w:pStyle w:val="2"/>
      </w:pPr>
    </w:p>
    <w:p/>
    <w:p>
      <w:pPr>
        <w:pStyle w:val="2"/>
      </w:pPr>
    </w:p>
    <w:p/>
    <w:p>
      <w:pPr>
        <w:pStyle w:val="2"/>
      </w:pPr>
    </w:p>
    <w:p/>
    <w:p/>
    <w:p>
      <w:pPr>
        <w:rPr>
          <w:rFonts w:ascii="仿宋" w:hAnsi="仿宋" w:eastAsia="仿宋"/>
          <w:b/>
          <w:sz w:val="32"/>
          <w:szCs w:val="32"/>
        </w:rPr>
      </w:pPr>
    </w:p>
    <w:p>
      <w:pPr>
        <w:pStyle w:val="2"/>
        <w:sectPr>
          <w:footerReference r:id="rId6" w:type="default"/>
          <w:pgSz w:w="11906" w:h="16838"/>
          <w:pgMar w:top="1440" w:right="1800" w:bottom="1440" w:left="1800" w:header="851" w:footer="992" w:gutter="0"/>
          <w:pgNumType w:fmt="decimal"/>
          <w:cols w:space="425" w:num="1"/>
          <w:titlePg/>
          <w:docGrid w:type="lines" w:linePitch="312" w:charSpace="0"/>
        </w:sectPr>
      </w:pPr>
    </w:p>
    <w:p>
      <w:pPr>
        <w:pStyle w:val="3"/>
        <w:jc w:val="center"/>
        <w:rPr>
          <w:rFonts w:ascii="黑体" w:hAnsi="黑体" w:eastAsia="黑体"/>
          <w:b w:val="0"/>
        </w:rPr>
      </w:pPr>
      <w:bookmarkStart w:id="79" w:name="_Toc25623"/>
      <w:r>
        <w:rPr>
          <w:rFonts w:hint="eastAsia" w:ascii="黑体" w:hAnsi="黑体" w:eastAsia="黑体"/>
          <w:b w:val="0"/>
        </w:rPr>
        <w:t>第四部分 附件</w:t>
      </w:r>
      <w:bookmarkEnd w:id="79"/>
    </w:p>
    <w:p/>
    <w:tbl>
      <w:tblPr>
        <w:tblStyle w:val="18"/>
        <w:tblW w:w="12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0"/>
        <w:gridCol w:w="1642"/>
        <w:gridCol w:w="1629"/>
        <w:gridCol w:w="2500"/>
        <w:gridCol w:w="2467"/>
        <w:gridCol w:w="1535"/>
        <w:gridCol w:w="1033"/>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2855" w:type="dxa"/>
            <w:gridSpan w:val="8"/>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855" w:type="dxa"/>
            <w:gridSpan w:val="8"/>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855" w:type="dxa"/>
            <w:gridSpan w:val="8"/>
            <w:tcBorders>
              <w:bottom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部门名称</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大竹县就业服务管理局部门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年度部门整体支出预算</w:t>
            </w: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4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1,985.87</w:t>
            </w:r>
          </w:p>
        </w:tc>
        <w:tc>
          <w:tcPr>
            <w:tcW w:w="4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1,985.87</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年度总体目标</w:t>
            </w:r>
          </w:p>
        </w:tc>
        <w:tc>
          <w:tcPr>
            <w:tcW w:w="115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推动城镇新增就业、城镇失业人员和就业困难人员再就业等计划的实施，确保全县新增城镇就业6659人，城镇失业人员再就业1585人，就业困难人员就业451人，城镇登记失业率控制在4.2%以内；确保全县失业保险基金征收、发放、管理和稽核工作顺利开展；确保人才交流中心档案转递工作顺利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失业保险工作</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失业保险在做好保障民生的同时，强势助力于稳定就业和预防失业。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失业率工作</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城镇登记失业率控制在4.2%以为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促就业工作</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紧紧围绕</w:t>
            </w:r>
            <w:r>
              <w:rPr>
                <w:rFonts w:hint="eastAsia" w:ascii="宋体" w:hAnsi="宋体" w:cs="宋体"/>
                <w:i w:val="0"/>
                <w:color w:val="000000"/>
                <w:kern w:val="0"/>
                <w:sz w:val="18"/>
                <w:szCs w:val="18"/>
                <w:u w:val="none"/>
                <w:lang w:val="en-US" w:eastAsia="zh-CN" w:bidi="ar"/>
              </w:rPr>
              <w:t>党</w:t>
            </w:r>
            <w:r>
              <w:rPr>
                <w:rFonts w:ascii="宋体" w:hAnsi="宋体" w:eastAsia="宋体" w:cs="宋体"/>
                <w:i w:val="0"/>
                <w:color w:val="000000"/>
                <w:kern w:val="0"/>
                <w:sz w:val="18"/>
                <w:szCs w:val="18"/>
                <w:u w:val="none"/>
                <w:lang w:val="en-US" w:eastAsia="zh-CN" w:bidi="ar"/>
              </w:rPr>
              <w:t>中央、省、市重大决策部署，不折不扣落实省、市就业再就业有关文件精神，结合本县实际，以落实就业扶持政策为主线，努力扩大就业，积极促进再就业。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绩效指标性质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绩效度量单位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城镇失业人员再就业人员数量</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发放失地农民失业保险金</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就业困难人员就业</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资金发放准确率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资金在规定时间内下达率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年末城镇登记失业率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服务对象满意度、享受失业保险人员满意度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sectPr>
          <w:pgSz w:w="16838" w:h="11906" w:orient="landscape"/>
          <w:pgMar w:top="1800" w:right="1440" w:bottom="1800" w:left="1440" w:header="851" w:footer="992" w:gutter="0"/>
          <w:pgNumType w:fmt="decimal"/>
          <w:cols w:space="425" w:num="1"/>
          <w:titlePg/>
          <w:docGrid w:type="lines" w:linePitch="312" w:charSpace="0"/>
        </w:sectPr>
      </w:pPr>
    </w:p>
    <w:p>
      <w:pPr>
        <w:rPr>
          <w:rFonts w:hint="eastAsia"/>
          <w:lang w:val="en-US" w:eastAsia="zh-CN"/>
        </w:rPr>
      </w:pPr>
    </w:p>
    <w:tbl>
      <w:tblPr>
        <w:tblStyle w:val="18"/>
        <w:tblW w:w="14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867"/>
        <w:gridCol w:w="1656"/>
        <w:gridCol w:w="2095"/>
        <w:gridCol w:w="633"/>
        <w:gridCol w:w="1576"/>
        <w:gridCol w:w="1488"/>
        <w:gridCol w:w="1046"/>
        <w:gridCol w:w="486"/>
        <w:gridCol w:w="423"/>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5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51172422T000005494566-失地农民失业保险金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7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大竹县就业服务管理局部门</w:t>
            </w:r>
          </w:p>
        </w:tc>
        <w:tc>
          <w:tcPr>
            <w:tcW w:w="1046"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大竹县就业服务管理局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7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完成2023年失地农民失业保险金的发放、审核工作，按照标准为每人1576元/月，每个季度发放；失地农民丧葬补助金和抚恤金按实际发放；失地农民失业保险金价格补贴按照最新政策发放。</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全年完成2023年失地农民失业保险金的审核、发放工作，2023年1-3月1576元/月/人；4-12月1773元/月/人。做好了稳定全县失地农民的工作，提高了群众的满意度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5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失地农民失业保险金预算按照上一年实际支付资金预算，2023年人员变动较大，所以资金实际支付数据变化较大。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被征地农民失业保险金发放标准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发放准确率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发放及时率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坚持就业优先战略和积极就业政策，实现更高质量和更充分就业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失地农民失业保险金发放的可持续性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领取失业保险金群众的满意度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失地农民失业保险金发放预算金额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我单位失地农民失业保险金项目绩效总体良好，评价总分值94分，各项目标基本达到了相应时期执行进度，本年度的失地农民失业保险金基本上能做到准时、足额的发放。做好了稳定全县失地农民的工作，提高了群众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资金的拨付进度以及群众的满意度有待提高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spacing w:val="-20"/>
                <w:kern w:val="0"/>
                <w:sz w:val="18"/>
                <w:szCs w:val="18"/>
                <w:u w:val="none"/>
                <w:lang w:val="en-US" w:eastAsia="zh-CN" w:bidi="ar"/>
              </w:rPr>
              <w:t>改进措施</w:t>
            </w:r>
          </w:p>
        </w:tc>
        <w:tc>
          <w:tcPr>
            <w:tcW w:w="134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加强与相关部门及财政部门的沟通，积极做好失地农民失业保险金的预算、审核、拨付工作。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项目负责人：李良亚</w:t>
            </w:r>
          </w:p>
        </w:tc>
        <w:tc>
          <w:tcPr>
            <w:tcW w:w="72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财务负责人：张宗旭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适用用户：部门用户、单位用户</w:t>
            </w:r>
          </w:p>
        </w:tc>
      </w:tr>
    </w:tbl>
    <w:p>
      <w:pPr>
        <w:pStyle w:val="3"/>
        <w:jc w:val="center"/>
        <w:outlineLvl w:val="9"/>
        <w:rPr>
          <w:rFonts w:hint="eastAsia" w:ascii="黑体" w:hAnsi="黑体" w:eastAsia="黑体"/>
        </w:rPr>
        <w:sectPr>
          <w:pgSz w:w="16838" w:h="11906" w:orient="landscape"/>
          <w:pgMar w:top="1800" w:right="1440" w:bottom="1800" w:left="1440" w:header="851" w:footer="992" w:gutter="0"/>
          <w:pgNumType w:fmt="decimal"/>
          <w:cols w:space="425" w:num="1"/>
          <w:titlePg/>
          <w:docGrid w:type="lines" w:linePitch="312" w:charSpace="0"/>
        </w:sectPr>
      </w:pPr>
    </w:p>
    <w:p>
      <w:pPr>
        <w:pStyle w:val="3"/>
        <w:jc w:val="center"/>
        <w:rPr>
          <w:rFonts w:ascii="黑体" w:hAnsi="黑体" w:eastAsia="黑体"/>
        </w:rPr>
      </w:pPr>
      <w:bookmarkStart w:id="80" w:name="_Toc25723"/>
      <w:r>
        <w:rPr>
          <w:rFonts w:hint="eastAsia" w:ascii="黑体" w:hAnsi="黑体" w:eastAsia="黑体"/>
        </w:rPr>
        <w:t>第五部分 附表</w:t>
      </w:r>
      <w:bookmarkEnd w:id="80"/>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p>
      <w:pPr>
        <w:pStyle w:val="3"/>
        <w:jc w:val="center"/>
        <w:outlineLvl w:val="9"/>
        <w:rPr>
          <w:rFonts w:hint="eastAsia" w:ascii="黑体" w:hAnsi="黑体" w:eastAsia="黑体"/>
        </w:rPr>
      </w:pPr>
    </w:p>
    <w:p>
      <w:pPr>
        <w:pStyle w:val="3"/>
        <w:jc w:val="center"/>
        <w:outlineLvl w:val="9"/>
        <w:rPr>
          <w:rFonts w:hint="eastAsia" w:ascii="黑体" w:hAnsi="黑体" w:eastAsia="黑体"/>
        </w:rPr>
      </w:pPr>
    </w:p>
    <w:p>
      <w:pPr>
        <w:pStyle w:val="3"/>
        <w:jc w:val="center"/>
        <w:outlineLvl w:val="9"/>
        <w:rPr>
          <w:rFonts w:hint="eastAsia" w:ascii="黑体" w:hAnsi="黑体" w:eastAsia="黑体"/>
        </w:rPr>
      </w:pPr>
    </w:p>
    <w:p>
      <w:pPr>
        <w:pStyle w:val="3"/>
        <w:jc w:val="center"/>
        <w:outlineLvl w:val="9"/>
        <w:rPr>
          <w:rFonts w:hint="eastAsia" w:ascii="黑体" w:hAnsi="黑体" w:eastAsia="黑体"/>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1A0F3C52" w:usb2="00000010"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b w:val="0"/>
                              <w:bCs/>
                            </w:rPr>
                          </w:pPr>
                          <w:r>
                            <w:rPr>
                              <w:rFonts w:hint="eastAsia" w:ascii="仿宋" w:hAnsi="仿宋" w:eastAsia="仿宋" w:cs="仿宋"/>
                              <w:b w:val="0"/>
                              <w:bCs/>
                            </w:rPr>
                            <w:t xml:space="preserve">— </w:t>
                          </w:r>
                          <w:r>
                            <w:rPr>
                              <w:rFonts w:hint="eastAsia" w:ascii="仿宋" w:hAnsi="仿宋" w:eastAsia="仿宋" w:cs="仿宋"/>
                              <w:b w:val="0"/>
                              <w:bCs/>
                            </w:rPr>
                            <w:fldChar w:fldCharType="begin"/>
                          </w:r>
                          <w:r>
                            <w:rPr>
                              <w:rFonts w:hint="eastAsia" w:ascii="仿宋" w:hAnsi="仿宋" w:eastAsia="仿宋" w:cs="仿宋"/>
                              <w:b w:val="0"/>
                              <w:bCs/>
                            </w:rPr>
                            <w:instrText xml:space="preserve"> PAGE  \* MERGEFORMAT </w:instrText>
                          </w:r>
                          <w:r>
                            <w:rPr>
                              <w:rFonts w:hint="eastAsia" w:ascii="仿宋" w:hAnsi="仿宋" w:eastAsia="仿宋" w:cs="仿宋"/>
                              <w:b w:val="0"/>
                              <w:bCs/>
                            </w:rPr>
                            <w:fldChar w:fldCharType="separate"/>
                          </w:r>
                          <w:r>
                            <w:rPr>
                              <w:rFonts w:hint="eastAsia" w:ascii="仿宋" w:hAnsi="仿宋" w:eastAsia="仿宋" w:cs="仿宋"/>
                              <w:b w:val="0"/>
                              <w:bCs/>
                            </w:rPr>
                            <w:t>2</w:t>
                          </w:r>
                          <w:r>
                            <w:rPr>
                              <w:rFonts w:hint="eastAsia" w:ascii="仿宋" w:hAnsi="仿宋" w:eastAsia="仿宋" w:cs="仿宋"/>
                              <w:b w:val="0"/>
                              <w:bCs/>
                            </w:rPr>
                            <w:fldChar w:fldCharType="end"/>
                          </w:r>
                          <w:r>
                            <w:rPr>
                              <w:rFonts w:hint="eastAsia" w:ascii="仿宋" w:hAnsi="仿宋" w:eastAsia="仿宋" w:cs="仿宋"/>
                              <w:b w:val="0"/>
                              <w:bC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仿宋" w:hAnsi="仿宋" w:eastAsia="仿宋" w:cs="仿宋"/>
                        <w:b w:val="0"/>
                        <w:bCs/>
                      </w:rPr>
                    </w:pPr>
                    <w:r>
                      <w:rPr>
                        <w:rFonts w:hint="eastAsia" w:ascii="仿宋" w:hAnsi="仿宋" w:eastAsia="仿宋" w:cs="仿宋"/>
                        <w:b w:val="0"/>
                        <w:bCs/>
                      </w:rPr>
                      <w:t xml:space="preserve">— </w:t>
                    </w:r>
                    <w:r>
                      <w:rPr>
                        <w:rFonts w:hint="eastAsia" w:ascii="仿宋" w:hAnsi="仿宋" w:eastAsia="仿宋" w:cs="仿宋"/>
                        <w:b w:val="0"/>
                        <w:bCs/>
                      </w:rPr>
                      <w:fldChar w:fldCharType="begin"/>
                    </w:r>
                    <w:r>
                      <w:rPr>
                        <w:rFonts w:hint="eastAsia" w:ascii="仿宋" w:hAnsi="仿宋" w:eastAsia="仿宋" w:cs="仿宋"/>
                        <w:b w:val="0"/>
                        <w:bCs/>
                      </w:rPr>
                      <w:instrText xml:space="preserve"> PAGE  \* MERGEFORMAT </w:instrText>
                    </w:r>
                    <w:r>
                      <w:rPr>
                        <w:rFonts w:hint="eastAsia" w:ascii="仿宋" w:hAnsi="仿宋" w:eastAsia="仿宋" w:cs="仿宋"/>
                        <w:b w:val="0"/>
                        <w:bCs/>
                      </w:rPr>
                      <w:fldChar w:fldCharType="separate"/>
                    </w:r>
                    <w:r>
                      <w:rPr>
                        <w:rFonts w:hint="eastAsia" w:ascii="仿宋" w:hAnsi="仿宋" w:eastAsia="仿宋" w:cs="仿宋"/>
                        <w:b w:val="0"/>
                        <w:bCs/>
                      </w:rPr>
                      <w:t>2</w:t>
                    </w:r>
                    <w:r>
                      <w:rPr>
                        <w:rFonts w:hint="eastAsia" w:ascii="仿宋" w:hAnsi="仿宋" w:eastAsia="仿宋" w:cs="仿宋"/>
                        <w:b w:val="0"/>
                        <w:bCs/>
                      </w:rPr>
                      <w:fldChar w:fldCharType="end"/>
                    </w:r>
                    <w:r>
                      <w:rPr>
                        <w:rFonts w:hint="eastAsia" w:ascii="仿宋" w:hAnsi="仿宋" w:eastAsia="仿宋" w:cs="仿宋"/>
                        <w:b w:val="0"/>
                        <w:bCs/>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4NWM2MzU4MmI3MTE3MTM5ZjU3Y2ExNWYxMTU3NmU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5F391F"/>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D44"/>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1F4377"/>
    <w:rsid w:val="015975B8"/>
    <w:rsid w:val="018364B1"/>
    <w:rsid w:val="02EC7DD0"/>
    <w:rsid w:val="02FEBE30"/>
    <w:rsid w:val="036F8141"/>
    <w:rsid w:val="037E69DB"/>
    <w:rsid w:val="03F06AC3"/>
    <w:rsid w:val="04670E23"/>
    <w:rsid w:val="054C537A"/>
    <w:rsid w:val="06104849"/>
    <w:rsid w:val="066E0107"/>
    <w:rsid w:val="07996F6E"/>
    <w:rsid w:val="07BA7C1C"/>
    <w:rsid w:val="07DFD8BA"/>
    <w:rsid w:val="081B1FD3"/>
    <w:rsid w:val="08AD2B95"/>
    <w:rsid w:val="092C2254"/>
    <w:rsid w:val="09E74C6E"/>
    <w:rsid w:val="0A2032A3"/>
    <w:rsid w:val="0ADA00B5"/>
    <w:rsid w:val="0CA36911"/>
    <w:rsid w:val="0D35B1ED"/>
    <w:rsid w:val="0D93705D"/>
    <w:rsid w:val="0DCD761C"/>
    <w:rsid w:val="0E082F2A"/>
    <w:rsid w:val="0E7ED1F5"/>
    <w:rsid w:val="0F98263C"/>
    <w:rsid w:val="101860EC"/>
    <w:rsid w:val="10C055FF"/>
    <w:rsid w:val="118107EC"/>
    <w:rsid w:val="134E3CEC"/>
    <w:rsid w:val="13C649A4"/>
    <w:rsid w:val="13D50BC4"/>
    <w:rsid w:val="13F5616D"/>
    <w:rsid w:val="1425584F"/>
    <w:rsid w:val="16494968"/>
    <w:rsid w:val="16BB723D"/>
    <w:rsid w:val="17F9714D"/>
    <w:rsid w:val="1918F934"/>
    <w:rsid w:val="1A796C66"/>
    <w:rsid w:val="1AB74EEB"/>
    <w:rsid w:val="1BC60154"/>
    <w:rsid w:val="1BC60EF7"/>
    <w:rsid w:val="1BE8440E"/>
    <w:rsid w:val="1C9806A6"/>
    <w:rsid w:val="1D155CEE"/>
    <w:rsid w:val="1D8B6975"/>
    <w:rsid w:val="1DF02194"/>
    <w:rsid w:val="1DFBC4B3"/>
    <w:rsid w:val="1E740ACF"/>
    <w:rsid w:val="1E955270"/>
    <w:rsid w:val="1F19C781"/>
    <w:rsid w:val="1F33FCE5"/>
    <w:rsid w:val="1F4503B8"/>
    <w:rsid w:val="1F7F7398"/>
    <w:rsid w:val="1FD2DB6F"/>
    <w:rsid w:val="1FF35744"/>
    <w:rsid w:val="1FF6BC77"/>
    <w:rsid w:val="1FF9236D"/>
    <w:rsid w:val="222A38A4"/>
    <w:rsid w:val="223D188E"/>
    <w:rsid w:val="23177B95"/>
    <w:rsid w:val="2333840E"/>
    <w:rsid w:val="23860B96"/>
    <w:rsid w:val="240371BF"/>
    <w:rsid w:val="2429126A"/>
    <w:rsid w:val="257C638F"/>
    <w:rsid w:val="258A1BD8"/>
    <w:rsid w:val="25EB3F1D"/>
    <w:rsid w:val="277C5F2A"/>
    <w:rsid w:val="279E57CF"/>
    <w:rsid w:val="28C80183"/>
    <w:rsid w:val="28DC456E"/>
    <w:rsid w:val="29FD04D3"/>
    <w:rsid w:val="2A2140EB"/>
    <w:rsid w:val="2BFF7BC6"/>
    <w:rsid w:val="2C1C1131"/>
    <w:rsid w:val="2C8A61B5"/>
    <w:rsid w:val="2CD59C95"/>
    <w:rsid w:val="2CEB41BA"/>
    <w:rsid w:val="2DB73266"/>
    <w:rsid w:val="2DF04E50"/>
    <w:rsid w:val="2E4A04F6"/>
    <w:rsid w:val="2EFD05E5"/>
    <w:rsid w:val="2F040D46"/>
    <w:rsid w:val="2F287E63"/>
    <w:rsid w:val="2F4F95CE"/>
    <w:rsid w:val="2FACAFDD"/>
    <w:rsid w:val="2FAE5751"/>
    <w:rsid w:val="2FB1A395"/>
    <w:rsid w:val="2FCA74CF"/>
    <w:rsid w:val="2FCE1674"/>
    <w:rsid w:val="2FCF0B76"/>
    <w:rsid w:val="2FD9A7D8"/>
    <w:rsid w:val="319F7F4E"/>
    <w:rsid w:val="320774FC"/>
    <w:rsid w:val="3304709D"/>
    <w:rsid w:val="33FD4D33"/>
    <w:rsid w:val="34583633"/>
    <w:rsid w:val="36AA5135"/>
    <w:rsid w:val="36BE0DA7"/>
    <w:rsid w:val="376B6AA6"/>
    <w:rsid w:val="376D39B2"/>
    <w:rsid w:val="37B11D96"/>
    <w:rsid w:val="37E16F03"/>
    <w:rsid w:val="37F53A3B"/>
    <w:rsid w:val="38673A97"/>
    <w:rsid w:val="38D469F0"/>
    <w:rsid w:val="38EA462A"/>
    <w:rsid w:val="38F78389"/>
    <w:rsid w:val="397BAF1F"/>
    <w:rsid w:val="39E06601"/>
    <w:rsid w:val="39E7B272"/>
    <w:rsid w:val="39F7642F"/>
    <w:rsid w:val="39FF7B37"/>
    <w:rsid w:val="3AB79AF3"/>
    <w:rsid w:val="3AFDCB77"/>
    <w:rsid w:val="3B663904"/>
    <w:rsid w:val="3B7EF35A"/>
    <w:rsid w:val="3B9FDB6C"/>
    <w:rsid w:val="3BF5BC2F"/>
    <w:rsid w:val="3BF7C23A"/>
    <w:rsid w:val="3BFF223E"/>
    <w:rsid w:val="3C6EC0A1"/>
    <w:rsid w:val="3CC2766F"/>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0931E5C"/>
    <w:rsid w:val="41AA14A9"/>
    <w:rsid w:val="41CC6B57"/>
    <w:rsid w:val="42CB57E7"/>
    <w:rsid w:val="44E268DA"/>
    <w:rsid w:val="457F4F6B"/>
    <w:rsid w:val="45884C27"/>
    <w:rsid w:val="45FC173C"/>
    <w:rsid w:val="464750DE"/>
    <w:rsid w:val="467E4268"/>
    <w:rsid w:val="4737FB58"/>
    <w:rsid w:val="47CD4DB8"/>
    <w:rsid w:val="47ECCB02"/>
    <w:rsid w:val="47FA6A3F"/>
    <w:rsid w:val="48AD20AB"/>
    <w:rsid w:val="48FC1558"/>
    <w:rsid w:val="49D7AE48"/>
    <w:rsid w:val="4A3F6C7E"/>
    <w:rsid w:val="4A627F82"/>
    <w:rsid w:val="4B0E749A"/>
    <w:rsid w:val="4B4F25DA"/>
    <w:rsid w:val="4BBB4781"/>
    <w:rsid w:val="4BD709A5"/>
    <w:rsid w:val="4BDD9BFF"/>
    <w:rsid w:val="4BE068DB"/>
    <w:rsid w:val="4C837280"/>
    <w:rsid w:val="4C8F7C1A"/>
    <w:rsid w:val="4D577224"/>
    <w:rsid w:val="4DBF1CEB"/>
    <w:rsid w:val="4DBF6A6B"/>
    <w:rsid w:val="4DF6A672"/>
    <w:rsid w:val="4E572334"/>
    <w:rsid w:val="4EAB630A"/>
    <w:rsid w:val="4ECE2238"/>
    <w:rsid w:val="4ED66541"/>
    <w:rsid w:val="4F222835"/>
    <w:rsid w:val="4F7EA413"/>
    <w:rsid w:val="4FAB812F"/>
    <w:rsid w:val="4FE9BD67"/>
    <w:rsid w:val="4FEE4C07"/>
    <w:rsid w:val="4FFB052F"/>
    <w:rsid w:val="508E075E"/>
    <w:rsid w:val="522A0CB8"/>
    <w:rsid w:val="53151BF4"/>
    <w:rsid w:val="537E6D0A"/>
    <w:rsid w:val="53AB6B88"/>
    <w:rsid w:val="53F74C96"/>
    <w:rsid w:val="54E85D6F"/>
    <w:rsid w:val="551A02B1"/>
    <w:rsid w:val="5583522D"/>
    <w:rsid w:val="55B95381"/>
    <w:rsid w:val="56F950A1"/>
    <w:rsid w:val="57BD3DD4"/>
    <w:rsid w:val="57F9CD1E"/>
    <w:rsid w:val="5A293E1C"/>
    <w:rsid w:val="5AF92295"/>
    <w:rsid w:val="5AF9D8E9"/>
    <w:rsid w:val="5B9177C9"/>
    <w:rsid w:val="5BDD38BD"/>
    <w:rsid w:val="5BDD79E6"/>
    <w:rsid w:val="5BEFC772"/>
    <w:rsid w:val="5BFF5DFC"/>
    <w:rsid w:val="5CD71FC4"/>
    <w:rsid w:val="5D1F11B5"/>
    <w:rsid w:val="5D3647F9"/>
    <w:rsid w:val="5DA644D4"/>
    <w:rsid w:val="5DAE1B18"/>
    <w:rsid w:val="5DE35156"/>
    <w:rsid w:val="5DE7D9E5"/>
    <w:rsid w:val="5E155524"/>
    <w:rsid w:val="5ECEC941"/>
    <w:rsid w:val="5EFF8FC6"/>
    <w:rsid w:val="5F5BA39A"/>
    <w:rsid w:val="5F7D3B79"/>
    <w:rsid w:val="5F7F4610"/>
    <w:rsid w:val="5FBF9FF3"/>
    <w:rsid w:val="5FCD4E2C"/>
    <w:rsid w:val="5FEF394A"/>
    <w:rsid w:val="5FF67715"/>
    <w:rsid w:val="6030716F"/>
    <w:rsid w:val="60BA3318"/>
    <w:rsid w:val="60DF77AA"/>
    <w:rsid w:val="60EB55D6"/>
    <w:rsid w:val="61CA71D5"/>
    <w:rsid w:val="627EE9EA"/>
    <w:rsid w:val="62D47B4F"/>
    <w:rsid w:val="63B23AA5"/>
    <w:rsid w:val="63E62734"/>
    <w:rsid w:val="64097825"/>
    <w:rsid w:val="64542CC1"/>
    <w:rsid w:val="647F5392"/>
    <w:rsid w:val="64B51E9A"/>
    <w:rsid w:val="64BE42A2"/>
    <w:rsid w:val="64E322C4"/>
    <w:rsid w:val="651D75ED"/>
    <w:rsid w:val="65FB93B9"/>
    <w:rsid w:val="6633C463"/>
    <w:rsid w:val="67D55B77"/>
    <w:rsid w:val="67DF538B"/>
    <w:rsid w:val="67EE7F84"/>
    <w:rsid w:val="684A522B"/>
    <w:rsid w:val="686F5F53"/>
    <w:rsid w:val="68952C7B"/>
    <w:rsid w:val="69A7447D"/>
    <w:rsid w:val="6AFC2C43"/>
    <w:rsid w:val="6AFFCEAF"/>
    <w:rsid w:val="6B96E9E6"/>
    <w:rsid w:val="6BCE57B5"/>
    <w:rsid w:val="6BFEA4DB"/>
    <w:rsid w:val="6BFFB662"/>
    <w:rsid w:val="6C4A05C8"/>
    <w:rsid w:val="6CFF4FB8"/>
    <w:rsid w:val="6D6BD6E0"/>
    <w:rsid w:val="6D77E73C"/>
    <w:rsid w:val="6DBF5E93"/>
    <w:rsid w:val="6DFF077E"/>
    <w:rsid w:val="6E7E3605"/>
    <w:rsid w:val="6E7FDCC7"/>
    <w:rsid w:val="6ED03109"/>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3750D3"/>
    <w:rsid w:val="715C0E4B"/>
    <w:rsid w:val="719B7EC9"/>
    <w:rsid w:val="71FFD401"/>
    <w:rsid w:val="72233669"/>
    <w:rsid w:val="72734D90"/>
    <w:rsid w:val="7332FE48"/>
    <w:rsid w:val="73AD73D5"/>
    <w:rsid w:val="73B6EB34"/>
    <w:rsid w:val="73FA497D"/>
    <w:rsid w:val="744731E5"/>
    <w:rsid w:val="74BBD01D"/>
    <w:rsid w:val="74ED5379"/>
    <w:rsid w:val="75DEEEC2"/>
    <w:rsid w:val="767F479D"/>
    <w:rsid w:val="76933DAC"/>
    <w:rsid w:val="76E06315"/>
    <w:rsid w:val="76E3355F"/>
    <w:rsid w:val="76F51C80"/>
    <w:rsid w:val="76F742AF"/>
    <w:rsid w:val="76F7BE7D"/>
    <w:rsid w:val="76FF5125"/>
    <w:rsid w:val="77261F6D"/>
    <w:rsid w:val="77301B2D"/>
    <w:rsid w:val="773570D3"/>
    <w:rsid w:val="77597F31"/>
    <w:rsid w:val="776F6FFA"/>
    <w:rsid w:val="7777A522"/>
    <w:rsid w:val="77858688"/>
    <w:rsid w:val="778769C8"/>
    <w:rsid w:val="77CB741A"/>
    <w:rsid w:val="77D7BE3A"/>
    <w:rsid w:val="77DC22F5"/>
    <w:rsid w:val="796A1E81"/>
    <w:rsid w:val="797E3A6C"/>
    <w:rsid w:val="79CF70E2"/>
    <w:rsid w:val="79D7FD79"/>
    <w:rsid w:val="79E75806"/>
    <w:rsid w:val="79EE5BA4"/>
    <w:rsid w:val="7A641148"/>
    <w:rsid w:val="7A6F8BF5"/>
    <w:rsid w:val="7A894339"/>
    <w:rsid w:val="7ACF82B5"/>
    <w:rsid w:val="7AEB560E"/>
    <w:rsid w:val="7AEC52A5"/>
    <w:rsid w:val="7AFF28C9"/>
    <w:rsid w:val="7AFF72A0"/>
    <w:rsid w:val="7AFF7572"/>
    <w:rsid w:val="7B5A1607"/>
    <w:rsid w:val="7B6C7DFB"/>
    <w:rsid w:val="7B7D76A7"/>
    <w:rsid w:val="7BAE2FE2"/>
    <w:rsid w:val="7BAF6951"/>
    <w:rsid w:val="7BBFBED0"/>
    <w:rsid w:val="7BC3E394"/>
    <w:rsid w:val="7BF3FE4C"/>
    <w:rsid w:val="7BFB5035"/>
    <w:rsid w:val="7BFDE17E"/>
    <w:rsid w:val="7C0A6567"/>
    <w:rsid w:val="7CBFC87B"/>
    <w:rsid w:val="7CFE0F48"/>
    <w:rsid w:val="7D3DE31C"/>
    <w:rsid w:val="7D7EC23E"/>
    <w:rsid w:val="7D7F8A13"/>
    <w:rsid w:val="7DBBCB01"/>
    <w:rsid w:val="7DC765D0"/>
    <w:rsid w:val="7DDB0EE0"/>
    <w:rsid w:val="7DFF51D8"/>
    <w:rsid w:val="7E634199"/>
    <w:rsid w:val="7E7F74D0"/>
    <w:rsid w:val="7E8ADEBF"/>
    <w:rsid w:val="7EEF11D3"/>
    <w:rsid w:val="7EF78C20"/>
    <w:rsid w:val="7F3F679B"/>
    <w:rsid w:val="7F4FC4EF"/>
    <w:rsid w:val="7F5050CD"/>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Body Text First Indent 2"/>
    <w:basedOn w:val="7"/>
    <w:unhideWhenUsed/>
    <w:qFormat/>
    <w:uiPriority w:val="99"/>
    <w:pPr>
      <w:ind w:firstLine="420" w:firstLineChars="200"/>
    </w:p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2"/>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paragraph" w:customStyle="1" w:styleId="34">
    <w:name w:val="WPSOffice手动目录 1"/>
    <w:uiPriority w:val="0"/>
    <w:pPr>
      <w:ind w:leftChars="0"/>
    </w:pPr>
    <w:rPr>
      <w:rFonts w:ascii="Times New Roman" w:hAnsi="Times New Roman" w:eastAsia="宋体" w:cs="Times New Roman"/>
      <w:sz w:val="20"/>
      <w:szCs w:val="20"/>
    </w:rPr>
  </w:style>
  <w:style w:type="paragraph" w:customStyle="1" w:styleId="35">
    <w:name w:val="WPSOffice手动目录 2"/>
    <w:uiPriority w:val="0"/>
    <w:pPr>
      <w:ind w:leftChars="200"/>
    </w:pPr>
    <w:rPr>
      <w:rFonts w:ascii="Times New Roman" w:hAnsi="Times New Roman" w:eastAsia="宋体" w:cs="Times New Roman"/>
      <w:sz w:val="20"/>
      <w:szCs w:val="20"/>
    </w:rPr>
  </w:style>
  <w:style w:type="paragraph" w:customStyle="1" w:styleId="36">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[工作簿1]Sheet1!$B$2:$C$2</c:f>
              <c:numCache>
                <c:formatCode>General</c:formatCode>
                <c:ptCount val="2"/>
                <c:pt idx="0">
                  <c:v>3867.93</c:v>
                </c:pt>
                <c:pt idx="1">
                  <c:v>1985.87</c:v>
                </c:pt>
              </c:numCache>
            </c:numRef>
          </c:val>
        </c:ser>
        <c:ser>
          <c:idx val="1"/>
          <c:order val="1"/>
          <c:tx>
            <c:strRef>
              <c:f>[工作簿1]Sheet1!$A$3</c:f>
              <c:strCache>
                <c:ptCount val="1"/>
                <c:pt idx="0">
                  <c:v>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[工作簿1]Sheet1!$B$3:$C$3</c:f>
              <c:numCache>
                <c:formatCode>General</c:formatCode>
                <c:ptCount val="2"/>
                <c:pt idx="0">
                  <c:v>3867.93</c:v>
                </c:pt>
                <c:pt idx="1">
                  <c:v>1985.87</c:v>
                </c:pt>
              </c:numCache>
            </c:numRef>
          </c:val>
        </c:ser>
        <c:dLbls>
          <c:showLegendKey val="0"/>
          <c:showVal val="1"/>
          <c:showCatName val="0"/>
          <c:showSerName val="0"/>
          <c:showPercent val="0"/>
          <c:showBubbleSize val="0"/>
        </c:dLbls>
        <c:gapWidth val="219"/>
        <c:overlap val="-27"/>
        <c:axId val="753748938"/>
        <c:axId val="33033312"/>
      </c:barChart>
      <c:catAx>
        <c:axId val="753748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33312"/>
        <c:crosses val="autoZero"/>
        <c:auto val="1"/>
        <c:lblAlgn val="ctr"/>
        <c:lblOffset val="100"/>
        <c:noMultiLvlLbl val="0"/>
      </c:catAx>
      <c:valAx>
        <c:axId val="330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7489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本年收入合计</a:t>
            </a:r>
          </a:p>
        </c:rich>
      </c:tx>
      <c:layout>
        <c:manualLayout>
          <c:xMode val="edge"/>
          <c:yMode val="edge"/>
          <c:x val="0.410277777777778"/>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337.66  </a:t>
                    </a:r>
                    <a:r>
                      <a:rPr lang="en-US" altLang="zh-CN"/>
                      <a:t>17.04%</a:t>
                    </a:r>
                    <a:r>
                      <a:t>  </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60972222222222"/>
                      <c:h val="0.0673611111111111"/>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1,644.14  </a:t>
                    </a:r>
                    <a:r>
                      <a:rPr lang="en-US" altLang="zh-CN"/>
                      <a:t>82.96%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261944444444444"/>
                      <c:h val="0.0673611111111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一般公共预算财政拨款收入</c:v>
                </c:pt>
                <c:pt idx="1">
                  <c:v>政府性基金预算财政拨款收入</c:v>
                </c:pt>
              </c:strCache>
            </c:strRef>
          </c:cat>
          <c:val>
            <c:numRef>
              <c:f>[工作簿1]Sheet1!$A$2:$B$2</c:f>
              <c:numCache>
                <c:formatCode>General</c:formatCode>
                <c:ptCount val="2"/>
                <c:pt idx="0">
                  <c:v>337.66</c:v>
                </c:pt>
                <c:pt idx="1" c:formatCode="#,##0.00">
                  <c:v>1644.14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本年支出合计</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333.24  </a:t>
                    </a:r>
                    <a:r>
                      <a:rPr lang="en-US" altLang="zh-CN"/>
                      <a:t>16.78%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283055555555556"/>
                      <c:h val="0.0673611111111111"/>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1652.63 </a:t>
                    </a:r>
                    <a:r>
                      <a:rPr lang="en-US" altLang="zh-CN"/>
                      <a:t>83.22%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285833333333333"/>
                      <c:h val="0.0673611111111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基本支出</c:v>
                </c:pt>
                <c:pt idx="1">
                  <c:v>项目支出</c:v>
                </c:pt>
              </c:strCache>
            </c:strRef>
          </c:cat>
          <c:val>
            <c:numRef>
              <c:f>[工作簿1]Sheet1!$A$2:$B$2</c:f>
              <c:numCache>
                <c:formatCode>General</c:formatCode>
                <c:ptCount val="2"/>
                <c:pt idx="0">
                  <c:v>333.24</c:v>
                </c:pt>
                <c:pt idx="1">
                  <c:v>1652.63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财政拨款收、支决算变动情况</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财政拨款收入总计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[工作簿1]Sheet1!$B$2:$C$2</c:f>
              <c:numCache>
                <c:formatCode>General</c:formatCode>
                <c:ptCount val="2"/>
                <c:pt idx="0">
                  <c:v>3867.93</c:v>
                </c:pt>
                <c:pt idx="1">
                  <c:v>1985.87</c:v>
                </c:pt>
              </c:numCache>
            </c:numRef>
          </c:val>
        </c:ser>
        <c:ser>
          <c:idx val="1"/>
          <c:order val="1"/>
          <c:tx>
            <c:strRef>
              <c:f>[工作簿1]Sheet1!$A$3</c:f>
              <c:strCache>
                <c:ptCount val="1"/>
                <c:pt idx="0">
                  <c:v>财政拨款支出总计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[工作簿1]Sheet1!$B$3:$C$3</c:f>
              <c:numCache>
                <c:formatCode>General</c:formatCode>
                <c:ptCount val="2"/>
                <c:pt idx="0">
                  <c:v>3867.93</c:v>
                </c:pt>
                <c:pt idx="1">
                  <c:v>1985.87</c:v>
                </c:pt>
              </c:numCache>
            </c:numRef>
          </c:val>
        </c:ser>
        <c:dLbls>
          <c:showLegendKey val="0"/>
          <c:showVal val="1"/>
          <c:showCatName val="0"/>
          <c:showSerName val="0"/>
          <c:showPercent val="0"/>
          <c:showBubbleSize val="0"/>
        </c:dLbls>
        <c:gapWidth val="219"/>
        <c:overlap val="-27"/>
        <c:axId val="753748938"/>
        <c:axId val="33033312"/>
      </c:barChart>
      <c:catAx>
        <c:axId val="753748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33312"/>
        <c:crosses val="autoZero"/>
        <c:auto val="1"/>
        <c:lblAlgn val="ctr"/>
        <c:lblOffset val="100"/>
        <c:noMultiLvlLbl val="0"/>
      </c:catAx>
      <c:valAx>
        <c:axId val="330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7489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[工作簿1]Sheet1!$B$2:$C$2</c:f>
              <c:numCache>
                <c:formatCode>General</c:formatCode>
                <c:ptCount val="2"/>
                <c:pt idx="0">
                  <c:v>338.92</c:v>
                </c:pt>
                <c:pt idx="1">
                  <c:v>341.74</c:v>
                </c:pt>
              </c:numCache>
            </c:numRef>
          </c:val>
        </c:ser>
        <c:ser>
          <c:idx val="1"/>
          <c:order val="1"/>
          <c:tx>
            <c:strRef>
              <c:f>[工作簿1]Sheet1!$A$3</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[工作簿1]Sheet1!$B$3:$C$3</c:f>
              <c:numCache>
                <c:formatCode>General</c:formatCode>
                <c:ptCount val="2"/>
                <c:pt idx="0">
                  <c:v>338.92</c:v>
                </c:pt>
                <c:pt idx="1">
                  <c:v>341.74</c:v>
                </c:pt>
              </c:numCache>
            </c:numRef>
          </c:val>
        </c:ser>
        <c:dLbls>
          <c:showLegendKey val="0"/>
          <c:showVal val="1"/>
          <c:showCatName val="0"/>
          <c:showSerName val="0"/>
          <c:showPercent val="0"/>
          <c:showBubbleSize val="0"/>
        </c:dLbls>
        <c:gapWidth val="219"/>
        <c:overlap val="-27"/>
        <c:axId val="753748938"/>
        <c:axId val="33033312"/>
      </c:barChart>
      <c:catAx>
        <c:axId val="753748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33312"/>
        <c:crosses val="autoZero"/>
        <c:auto val="1"/>
        <c:lblAlgn val="ctr"/>
        <c:lblOffset val="100"/>
        <c:noMultiLvlLbl val="0"/>
      </c:catAx>
      <c:valAx>
        <c:axId val="330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7489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4375"/>
                  <c:y val="0.003472222222222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312.94 </a:t>
                    </a:r>
                    <a:r>
                      <a:rPr lang="en-US" altLang="zh-CN"/>
                      <a:t>91.57%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65"/>
                      <c:h val="0.0673611111111111"/>
                    </c:manualLayout>
                  </c15:layout>
                </c:ext>
              </c:extLst>
            </c:dLbl>
            <c:dLbl>
              <c:idx val="1"/>
              <c:layout>
                <c:manualLayout>
                  <c:x val="-0.09375"/>
                  <c:y val="0.01041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10.73 </a:t>
                    </a:r>
                    <a:r>
                      <a:rPr lang="en-US" altLang="zh-CN"/>
                      <a:t>3.14%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9"/>
                      <c:h val="0.0673611111111111"/>
                    </c:manualLayout>
                  </c15:layout>
                </c:ext>
              </c:extLst>
            </c:dLbl>
            <c:dLbl>
              <c:idx val="2"/>
              <c:layout>
                <c:manualLayout>
                  <c:x val="0.0687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18.07 </a:t>
                    </a:r>
                    <a:r>
                      <a:rPr lang="en-US" altLang="zh-CN"/>
                      <a:t>5.29%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98611111111111"/>
                      <c:h val="0.0673611111111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社会保障和就业支出</c:v>
                </c:pt>
                <c:pt idx="1">
                  <c:v>卫生健康支出</c:v>
                </c:pt>
                <c:pt idx="2">
                  <c:v>住房保障支出</c:v>
                </c:pt>
              </c:strCache>
            </c:strRef>
          </c:cat>
          <c:val>
            <c:numRef>
              <c:f>[工作簿1]Sheet1!$A$2:$C$2</c:f>
              <c:numCache>
                <c:formatCode>General</c:formatCode>
                <c:ptCount val="3"/>
                <c:pt idx="0">
                  <c:v>312.94</c:v>
                </c:pt>
                <c:pt idx="1">
                  <c:v>10.73</c:v>
                </c:pt>
                <c:pt idx="2">
                  <c:v>18.07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因公出国（境）费支出</c:v>
                </c:pt>
                <c:pt idx="1">
                  <c:v>公务用车购置及运行维护费支出</c:v>
                </c:pt>
                <c:pt idx="2">
                  <c:v>公务接待费支出</c:v>
                </c:pt>
              </c:strCache>
            </c:strRef>
          </c:cat>
          <c:val>
            <c:numRef>
              <c:f>[工作簿1]Sheet1!$A$2:$C$2</c:f>
              <c:numCache>
                <c:formatCode>General</c:formatCode>
                <c:ptCount val="3"/>
                <c:pt idx="0">
                  <c:v>0</c:v>
                </c:pt>
                <c:pt idx="1">
                  <c:v>0</c:v>
                </c:pt>
                <c:pt idx="2">
                  <c:v>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11616</Words>
  <Characters>12635</Characters>
  <Lines>72</Lines>
  <Paragraphs>20</Paragraphs>
  <TotalTime>68</TotalTime>
  <ScaleCrop>false</ScaleCrop>
  <LinksUpToDate>false</LinksUpToDate>
  <CharactersWithSpaces>12860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风中的彩虹</cp:lastModifiedBy>
  <cp:lastPrinted>2023-08-03T10:35:00Z</cp:lastPrinted>
  <dcterms:modified xsi:type="dcterms:W3CDTF">2024-10-25T02:39:50Z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A67D898AF076419FB718F87C7CE66027_13</vt:lpwstr>
  </property>
</Properties>
</file>