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D6532">
      <w:pPr>
        <w:spacing w:line="600" w:lineRule="exact"/>
        <w:jc w:val="both"/>
        <w:outlineLvl w:val="9"/>
        <w:rPr>
          <w:rFonts w:ascii="方正小标宋简体" w:hAnsi="宋体" w:eastAsia="方正小标宋简体"/>
          <w:color w:val="000000"/>
          <w:sz w:val="72"/>
          <w:szCs w:val="72"/>
        </w:rPr>
      </w:pPr>
      <w:bookmarkStart w:id="0" w:name="_Toc15306267"/>
    </w:p>
    <w:p w14:paraId="1EAABE40">
      <w:pPr>
        <w:pStyle w:val="2"/>
      </w:pPr>
    </w:p>
    <w:p w14:paraId="76A0E953">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rPr>
      </w:pPr>
      <w:bookmarkStart w:id="1" w:name="_Toc5162"/>
      <w:bookmarkEnd w:id="1"/>
      <w:bookmarkStart w:id="2" w:name="_Toc15377193"/>
      <w:bookmarkEnd w:id="2"/>
      <w:bookmarkStart w:id="3" w:name="_Toc15396597"/>
      <w:bookmarkEnd w:id="3"/>
      <w:bookmarkStart w:id="4" w:name="_Toc15396475"/>
      <w:bookmarkEnd w:id="4"/>
      <w:bookmarkStart w:id="5" w:name="_Toc15377425"/>
      <w:bookmarkEnd w:id="5"/>
      <w:bookmarkStart w:id="6" w:name="_Toc15378441"/>
      <w:bookmarkEnd w:id="6"/>
      <w:bookmarkStart w:id="7" w:name="_Toc4476"/>
      <w:bookmarkEnd w:id="7"/>
      <w:bookmarkStart w:id="8" w:name="_Toc14806"/>
      <w:bookmarkStart w:id="9" w:name="_Toc16891"/>
      <w:r>
        <w:rPr>
          <w:rFonts w:hint="eastAsia" w:ascii="方正小标宋简体" w:hAnsi="方正小标宋简体" w:eastAsia="方正小标宋简体" w:cs="方正小标宋简体"/>
          <w:color w:val="000000"/>
          <w:sz w:val="72"/>
          <w:szCs w:val="72"/>
        </w:rPr>
        <w:t>20</w:t>
      </w:r>
      <w:r>
        <w:rPr>
          <w:rFonts w:hint="eastAsia" w:ascii="方正小标宋简体" w:hAnsi="方正小标宋简体" w:eastAsia="方正小标宋简体" w:cs="方正小标宋简体"/>
          <w:color w:val="000000"/>
          <w:sz w:val="72"/>
          <w:szCs w:val="72"/>
          <w:lang w:val="en-US" w:eastAsia="zh-CN"/>
        </w:rPr>
        <w:t>23</w:t>
      </w:r>
      <w:r>
        <w:rPr>
          <w:rFonts w:hint="eastAsia" w:ascii="方正小标宋简体" w:hAnsi="方正小标宋简体" w:eastAsia="方正小标宋简体" w:cs="方正小标宋简体"/>
          <w:color w:val="000000"/>
          <w:sz w:val="72"/>
          <w:szCs w:val="72"/>
        </w:rPr>
        <w:t>年度</w:t>
      </w:r>
      <w:bookmarkEnd w:id="8"/>
      <w:bookmarkEnd w:id="9"/>
    </w:p>
    <w:bookmarkEnd w:id="0"/>
    <w:p w14:paraId="380183A5">
      <w:pPr>
        <w:adjustRightInd w:val="0"/>
        <w:snapToGrid w:val="0"/>
        <w:spacing w:line="360" w:lineRule="auto"/>
        <w:jc w:val="center"/>
        <w:outlineLvl w:val="0"/>
        <w:rPr>
          <w:rFonts w:hint="eastAsia" w:ascii="黑体" w:hAnsi="黑体" w:eastAsia="黑体" w:cs="黑体"/>
          <w:color w:val="000000"/>
          <w:sz w:val="72"/>
          <w:szCs w:val="72"/>
        </w:rPr>
      </w:pPr>
      <w:bookmarkStart w:id="10" w:name="_Toc19216"/>
      <w:bookmarkEnd w:id="10"/>
      <w:bookmarkStart w:id="11" w:name="_Toc16842"/>
      <w:bookmarkEnd w:id="11"/>
      <w:bookmarkStart w:id="12" w:name="_Toc1862"/>
      <w:bookmarkStart w:id="13" w:name="_Toc11048"/>
      <w:bookmarkStart w:id="14" w:name="_Toc15377194"/>
      <w:bookmarkStart w:id="15" w:name="_Toc15306268"/>
      <w:bookmarkStart w:id="16" w:name="_Toc15396476"/>
      <w:bookmarkStart w:id="17" w:name="_Toc15378442"/>
      <w:bookmarkStart w:id="18" w:name="_Toc15377426"/>
      <w:bookmarkStart w:id="19" w:name="_Toc15396598"/>
      <w:r>
        <w:rPr>
          <w:rFonts w:hint="eastAsia" w:ascii="方正小标宋简体" w:hAnsi="方正小标宋简体" w:eastAsia="方正小标宋简体" w:cs="方正小标宋简体"/>
          <w:color w:val="000000"/>
          <w:sz w:val="72"/>
          <w:szCs w:val="72"/>
        </w:rPr>
        <w:t>大竹县庙坝镇中心小学</w:t>
      </w:r>
      <w:bookmarkEnd w:id="12"/>
      <w:bookmarkEnd w:id="13"/>
    </w:p>
    <w:bookmarkEnd w:id="14"/>
    <w:bookmarkEnd w:id="15"/>
    <w:bookmarkEnd w:id="16"/>
    <w:bookmarkEnd w:id="17"/>
    <w:bookmarkEnd w:id="18"/>
    <w:bookmarkEnd w:id="19"/>
    <w:p w14:paraId="178551AC">
      <w:pPr>
        <w:adjustRightInd w:val="0"/>
        <w:snapToGrid w:val="0"/>
        <w:spacing w:line="360" w:lineRule="auto"/>
        <w:jc w:val="center"/>
        <w:outlineLvl w:val="0"/>
        <w:rPr>
          <w:rFonts w:hint="eastAsia" w:ascii="方正小标宋简体" w:hAnsi="方正小标宋简体" w:eastAsia="方正小标宋简体" w:cs="方正小标宋简体"/>
          <w:color w:val="000000"/>
          <w:sz w:val="52"/>
          <w:szCs w:val="52"/>
        </w:rPr>
      </w:pPr>
      <w:bookmarkStart w:id="20" w:name="_Toc25534"/>
      <w:bookmarkEnd w:id="20"/>
      <w:bookmarkStart w:id="21" w:name="_Toc23694"/>
      <w:bookmarkEnd w:id="21"/>
      <w:bookmarkStart w:id="22" w:name="_Toc24091"/>
      <w:bookmarkStart w:id="23" w:name="_Toc15402"/>
      <w:r>
        <w:rPr>
          <w:rFonts w:hint="eastAsia" w:ascii="方正小标宋简体" w:hAnsi="方正小标宋简体" w:eastAsia="方正小标宋简体" w:cs="方正小标宋简体"/>
          <w:color w:val="000000"/>
          <w:sz w:val="52"/>
          <w:szCs w:val="52"/>
          <w:lang w:val="en-US" w:eastAsia="zh-CN"/>
        </w:rPr>
        <w:t>单位</w:t>
      </w:r>
      <w:r>
        <w:rPr>
          <w:rFonts w:hint="eastAsia" w:ascii="方正小标宋简体" w:hAnsi="方正小标宋简体" w:eastAsia="方正小标宋简体" w:cs="方正小标宋简体"/>
          <w:color w:val="000000"/>
          <w:sz w:val="52"/>
          <w:szCs w:val="52"/>
        </w:rPr>
        <w:t>决算</w:t>
      </w:r>
      <w:bookmarkEnd w:id="22"/>
      <w:bookmarkEnd w:id="23"/>
    </w:p>
    <w:p w14:paraId="5D2A3ECE">
      <w:pPr>
        <w:widowControl/>
        <w:jc w:val="left"/>
        <w:rPr>
          <w:rFonts w:ascii="黑体" w:hAnsi="黑体" w:eastAsia="黑体"/>
          <w:bCs/>
          <w:kern w:val="44"/>
          <w:sz w:val="44"/>
          <w:szCs w:val="44"/>
        </w:rPr>
      </w:pPr>
      <w:r>
        <w:rPr>
          <w:rFonts w:ascii="方正小标宋简体" w:hAnsi="宋体" w:eastAsia="方正小标宋简体"/>
          <w:color w:val="000000"/>
          <w:sz w:val="36"/>
          <w:szCs w:val="36"/>
        </w:rPr>
        <w:br w:type="page"/>
      </w:r>
    </w:p>
    <w:sdt>
      <w:sdtPr>
        <w:rPr>
          <w:rFonts w:ascii="宋体" w:hAnsi="宋体" w:eastAsia="宋体" w:cs="Times New Roman"/>
          <w:kern w:val="2"/>
          <w:sz w:val="21"/>
          <w:szCs w:val="24"/>
          <w:lang w:val="en-US" w:eastAsia="zh-CN" w:bidi="ar-SA"/>
        </w:rPr>
        <w:id w:val="147456999"/>
        <w:docPartObj>
          <w:docPartGallery w:val="Table of Contents"/>
          <w:docPartUnique/>
        </w:docPartObj>
      </w:sdtPr>
      <w:sdtEndPr>
        <w:rPr>
          <w:rStyle w:val="36"/>
          <w:rFonts w:hint="default" w:ascii="仿宋" w:hAnsi="仿宋" w:eastAsia="仿宋" w:cs="仿宋"/>
          <w:b w:val="0"/>
          <w:bCs w:val="0"/>
          <w:kern w:val="2"/>
          <w:sz w:val="24"/>
          <w:szCs w:val="24"/>
          <w:lang w:val="en-US" w:eastAsia="zh-CN" w:bidi="ar-SA"/>
        </w:rPr>
      </w:sdtEndPr>
      <w:sdtContent>
        <w:p w14:paraId="2DB08A2B">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p w14:paraId="30D074B3">
          <w:pPr>
            <w:pStyle w:val="12"/>
            <w:pageBreakBefore w:val="0"/>
            <w:widowControl w:val="0"/>
            <w:tabs>
              <w:tab w:val="right" w:leader="dot" w:pos="8306"/>
              <w:tab w:val="clear" w:pos="8296"/>
            </w:tabs>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32"/>
              <w:szCs w:val="32"/>
            </w:rPr>
          </w:pPr>
          <w:bookmarkStart w:id="24" w:name="_Toc21700"/>
        </w:p>
        <w:p w14:paraId="48A09DF1">
          <w:pPr>
            <w:pStyle w:val="12"/>
            <w:pageBreakBefore w:val="0"/>
            <w:widowControl w:val="0"/>
            <w:tabs>
              <w:tab w:val="right" w:leader="dot" w:pos="8306"/>
              <w:tab w:val="clear" w:pos="8296"/>
            </w:tabs>
            <w:kinsoku/>
            <w:wordWrap/>
            <w:overflowPunct/>
            <w:topLinePunct w:val="0"/>
            <w:autoSpaceDE/>
            <w:autoSpaceDN/>
            <w:bidi w:val="0"/>
            <w:adjustRightInd/>
            <w:snapToGrid/>
            <w:spacing w:line="360" w:lineRule="exact"/>
            <w:jc w:val="center"/>
            <w:textAlignment w:val="auto"/>
            <w:outlineLvl w:val="9"/>
          </w:pPr>
          <w:r>
            <w:rPr>
              <w:rFonts w:hint="eastAsia" w:ascii="仿宋_GB2312" w:hAnsi="仿宋_GB2312" w:eastAsia="仿宋_GB2312" w:cs="仿宋_GB2312"/>
              <w:sz w:val="32"/>
              <w:szCs w:val="32"/>
            </w:rPr>
            <w:t>公开时间：202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bookmarkEnd w:id="24"/>
          <w:r>
            <w:rPr>
              <w:rFonts w:hint="eastAsia" w:ascii="仿宋" w:hAnsi="仿宋" w:eastAsia="仿宋" w:cs="仿宋"/>
              <w:b w:val="0"/>
              <w:sz w:val="24"/>
              <w:szCs w:val="24"/>
            </w:rPr>
            <w:fldChar w:fldCharType="begin"/>
          </w:r>
          <w:r>
            <w:rPr>
              <w:rFonts w:hint="eastAsia" w:ascii="仿宋" w:hAnsi="仿宋" w:eastAsia="仿宋" w:cs="仿宋"/>
              <w:b w:val="0"/>
              <w:sz w:val="24"/>
              <w:szCs w:val="24"/>
            </w:rPr>
            <w:instrText xml:space="preserve">TOC \o "1-2" \h \u </w:instrText>
          </w:r>
          <w:r>
            <w:rPr>
              <w:rFonts w:hint="eastAsia" w:ascii="仿宋" w:hAnsi="仿宋" w:eastAsia="仿宋" w:cs="仿宋"/>
              <w:b w:val="0"/>
              <w:sz w:val="24"/>
              <w:szCs w:val="24"/>
            </w:rPr>
            <w:fldChar w:fldCharType="separate"/>
          </w:r>
        </w:p>
        <w:p w14:paraId="414E75A6">
          <w:pPr>
            <w:pStyle w:val="12"/>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_Toc10963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第一部分 </w:t>
          </w:r>
          <w:r>
            <w:rPr>
              <w:rFonts w:hint="eastAsia" w:ascii="仿宋" w:hAnsi="仿宋" w:eastAsia="仿宋" w:cs="仿宋"/>
              <w:bCs w:val="0"/>
              <w:sz w:val="24"/>
              <w:szCs w:val="24"/>
              <w:lang w:val="en-US" w:eastAsia="zh-CN"/>
            </w:rPr>
            <w:t>单位</w:t>
          </w:r>
          <w:r>
            <w:rPr>
              <w:rFonts w:hint="eastAsia" w:ascii="仿宋" w:hAnsi="仿宋" w:eastAsia="仿宋" w:cs="仿宋"/>
              <w:bCs w:val="0"/>
              <w:sz w:val="24"/>
              <w:szCs w:val="24"/>
            </w:rPr>
            <w:t>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_Toc10963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525B9E">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_Toc18448 </w:instrText>
          </w:r>
          <w:r>
            <w:rPr>
              <w:rFonts w:hint="eastAsia" w:ascii="仿宋" w:hAnsi="仿宋" w:eastAsia="仿宋" w:cs="仿宋"/>
              <w:sz w:val="24"/>
              <w:szCs w:val="24"/>
            </w:rPr>
            <w:fldChar w:fldCharType="separate"/>
          </w:r>
          <w:r>
            <w:rPr>
              <w:rFonts w:hint="eastAsia" w:ascii="仿宋" w:hAnsi="仿宋" w:eastAsia="仿宋" w:cs="仿宋"/>
              <w:sz w:val="24"/>
              <w:szCs w:val="24"/>
            </w:rPr>
            <w:t>一、</w:t>
          </w:r>
          <w:r>
            <w:rPr>
              <w:rFonts w:hint="eastAsia" w:ascii="仿宋" w:hAnsi="仿宋" w:eastAsia="仿宋" w:cs="仿宋"/>
              <w:sz w:val="24"/>
              <w:szCs w:val="24"/>
              <w:lang w:val="en-US" w:eastAsia="zh-CN"/>
            </w:rPr>
            <w:t>职能简介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_Toc18448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52BF9D">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_Toc32337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_Toc32337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04A4E60">
          <w:pPr>
            <w:pStyle w:val="12"/>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_Toc15767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第二部分 </w:t>
          </w:r>
          <w:r>
            <w:rPr>
              <w:rFonts w:hint="eastAsia" w:ascii="仿宋" w:hAnsi="仿宋" w:eastAsia="仿宋" w:cs="仿宋"/>
              <w:bCs w:val="0"/>
              <w:sz w:val="24"/>
              <w:szCs w:val="24"/>
            </w:rPr>
            <w:t>20</w:t>
          </w:r>
          <w:r>
            <w:rPr>
              <w:rFonts w:hint="eastAsia" w:ascii="仿宋" w:hAnsi="仿宋" w:eastAsia="仿宋" w:cs="仿宋"/>
              <w:bCs w:val="0"/>
              <w:sz w:val="24"/>
              <w:szCs w:val="24"/>
              <w:lang w:val="en-US" w:eastAsia="zh-CN"/>
            </w:rPr>
            <w:t>2</w:t>
          </w:r>
          <w:r>
            <w:rPr>
              <w:rFonts w:hint="eastAsia" w:cs="仿宋"/>
              <w:bCs w:val="0"/>
              <w:sz w:val="24"/>
              <w:szCs w:val="24"/>
              <w:lang w:val="en-US" w:eastAsia="zh-CN"/>
            </w:rPr>
            <w:t>3</w:t>
          </w:r>
          <w:r>
            <w:rPr>
              <w:rFonts w:hint="eastAsia" w:ascii="仿宋" w:hAnsi="仿宋" w:eastAsia="仿宋" w:cs="仿宋"/>
              <w:bCs w:val="0"/>
              <w:sz w:val="24"/>
              <w:szCs w:val="24"/>
            </w:rPr>
            <w:t>年度</w:t>
          </w:r>
          <w:r>
            <w:rPr>
              <w:rFonts w:hint="eastAsia" w:cs="仿宋"/>
              <w:bCs w:val="0"/>
              <w:sz w:val="24"/>
              <w:szCs w:val="24"/>
              <w:lang w:val="en-US" w:eastAsia="zh-CN"/>
            </w:rPr>
            <w:t>单位</w:t>
          </w:r>
          <w:r>
            <w:rPr>
              <w:rFonts w:hint="eastAsia" w:ascii="仿宋" w:hAnsi="仿宋" w:eastAsia="仿宋" w:cs="仿宋"/>
              <w:bCs w:val="0"/>
              <w:sz w:val="24"/>
              <w:szCs w:val="24"/>
            </w:rPr>
            <w:t>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_Toc15767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3A7E100">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_Toc2905 </w:instrText>
          </w:r>
          <w:r>
            <w:rPr>
              <w:rFonts w:hint="eastAsia" w:ascii="仿宋" w:hAnsi="仿宋" w:eastAsia="仿宋" w:cs="仿宋"/>
              <w:sz w:val="24"/>
              <w:szCs w:val="24"/>
            </w:rPr>
            <w:fldChar w:fldCharType="separate"/>
          </w:r>
          <w:r>
            <w:rPr>
              <w:rFonts w:hint="eastAsia" w:ascii="仿宋" w:hAnsi="仿宋" w:eastAsia="仿宋" w:cs="仿宋"/>
              <w:sz w:val="24"/>
              <w:szCs w:val="24"/>
            </w:rPr>
            <w:t>一、 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E1CF913">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_Toc28355 </w:instrText>
          </w:r>
          <w:r>
            <w:rPr>
              <w:rFonts w:hint="eastAsia" w:ascii="仿宋" w:hAnsi="仿宋" w:eastAsia="仿宋" w:cs="仿宋"/>
              <w:sz w:val="24"/>
              <w:szCs w:val="24"/>
            </w:rPr>
            <w:fldChar w:fldCharType="separate"/>
          </w:r>
          <w:r>
            <w:rPr>
              <w:rFonts w:hint="eastAsia" w:ascii="仿宋" w:hAnsi="仿宋" w:eastAsia="仿宋" w:cs="仿宋"/>
              <w:sz w:val="24"/>
              <w:szCs w:val="24"/>
            </w:rPr>
            <w:t>二、 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_Toc28355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302016">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_Toc20515 </w:instrText>
          </w:r>
          <w:r>
            <w:rPr>
              <w:rFonts w:hint="eastAsia" w:ascii="仿宋" w:hAnsi="仿宋" w:eastAsia="仿宋" w:cs="仿宋"/>
              <w:sz w:val="24"/>
              <w:szCs w:val="24"/>
            </w:rPr>
            <w:fldChar w:fldCharType="separate"/>
          </w:r>
          <w:r>
            <w:rPr>
              <w:rFonts w:hint="eastAsia" w:ascii="仿宋" w:hAnsi="仿宋" w:eastAsia="仿宋" w:cs="仿宋"/>
              <w:sz w:val="24"/>
              <w:szCs w:val="24"/>
            </w:rPr>
            <w:t>三、 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_Toc20515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7E5D33">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_Toc12069 </w:instrText>
          </w:r>
          <w:r>
            <w:rPr>
              <w:rFonts w:hint="eastAsia" w:ascii="仿宋" w:hAnsi="仿宋" w:eastAsia="仿宋" w:cs="仿宋"/>
              <w:sz w:val="24"/>
              <w:szCs w:val="24"/>
            </w:rPr>
            <w:fldChar w:fldCharType="separate"/>
          </w:r>
          <w:r>
            <w:rPr>
              <w:rFonts w:hint="eastAsia" w:ascii="仿宋" w:hAnsi="仿宋" w:eastAsia="仿宋" w:cs="仿宋"/>
              <w:sz w:val="24"/>
              <w:szCs w:val="24"/>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lang w:val="en-US" w:eastAsia="zh-CN"/>
            </w:rPr>
            <w:t>5</w:t>
          </w:r>
          <w:r>
            <w:rPr>
              <w:rFonts w:hint="eastAsia" w:ascii="仿宋" w:hAnsi="仿宋" w:eastAsia="仿宋" w:cs="仿宋"/>
              <w:sz w:val="24"/>
              <w:szCs w:val="24"/>
            </w:rPr>
            <w:fldChar w:fldCharType="end"/>
          </w:r>
        </w:p>
        <w:p w14:paraId="6DD6E704">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_Toc19366 </w:instrText>
          </w:r>
          <w:r>
            <w:rPr>
              <w:rFonts w:hint="eastAsia" w:ascii="仿宋" w:hAnsi="仿宋" w:eastAsia="仿宋" w:cs="仿宋"/>
              <w:sz w:val="24"/>
              <w:szCs w:val="24"/>
            </w:rPr>
            <w:fldChar w:fldCharType="separate"/>
          </w: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lang w:val="en-US" w:eastAsia="zh-CN"/>
            </w:rPr>
            <w:t>6</w:t>
          </w:r>
          <w:r>
            <w:rPr>
              <w:rFonts w:hint="eastAsia" w:ascii="仿宋" w:hAnsi="仿宋" w:eastAsia="仿宋" w:cs="仿宋"/>
              <w:sz w:val="24"/>
              <w:szCs w:val="24"/>
            </w:rPr>
            <w:fldChar w:fldCharType="end"/>
          </w:r>
        </w:p>
        <w:p w14:paraId="683076DB">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_Toc1504 </w:instrText>
          </w:r>
          <w:r>
            <w:rPr>
              <w:rFonts w:hint="eastAsia" w:ascii="仿宋" w:hAnsi="仿宋" w:eastAsia="仿宋" w:cs="仿宋"/>
              <w:sz w:val="24"/>
              <w:szCs w:val="24"/>
            </w:rPr>
            <w:fldChar w:fldCharType="separate"/>
          </w: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7520EA">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_Toc32236 </w:instrText>
          </w:r>
          <w:r>
            <w:rPr>
              <w:rFonts w:hint="eastAsia" w:ascii="仿宋" w:hAnsi="仿宋" w:eastAsia="仿宋" w:cs="仿宋"/>
              <w:sz w:val="24"/>
              <w:szCs w:val="24"/>
            </w:rPr>
            <w:fldChar w:fldCharType="separate"/>
          </w:r>
          <w:r>
            <w:rPr>
              <w:rFonts w:hint="eastAsia" w:ascii="仿宋" w:hAnsi="仿宋" w:eastAsia="仿宋" w:cs="仿宋"/>
              <w:sz w:val="24"/>
              <w:szCs w:val="24"/>
            </w:rPr>
            <w:t>七、“三公”经费财政拨款支出决算情况说明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_Toc32236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7FDA82B">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_Toc24523 </w:instrText>
          </w:r>
          <w:r>
            <w:rPr>
              <w:rFonts w:hint="eastAsia" w:ascii="仿宋" w:hAnsi="仿宋" w:eastAsia="仿宋" w:cs="仿宋"/>
              <w:sz w:val="24"/>
              <w:szCs w:val="24"/>
            </w:rPr>
            <w:fldChar w:fldCharType="separate"/>
          </w:r>
          <w:r>
            <w:rPr>
              <w:rFonts w:hint="eastAsia" w:ascii="仿宋" w:hAnsi="仿宋" w:eastAsia="仿宋" w:cs="仿宋"/>
              <w:sz w:val="24"/>
              <w:szCs w:val="24"/>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_Toc24523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55CED9">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_Toc24983 </w:instrText>
          </w:r>
          <w:r>
            <w:rPr>
              <w:rFonts w:hint="eastAsia" w:ascii="仿宋" w:hAnsi="仿宋" w:eastAsia="仿宋" w:cs="仿宋"/>
              <w:sz w:val="24"/>
              <w:szCs w:val="24"/>
            </w:rPr>
            <w:fldChar w:fldCharType="separate"/>
          </w:r>
          <w:r>
            <w:rPr>
              <w:rFonts w:hint="eastAsia" w:ascii="仿宋" w:hAnsi="仿宋" w:eastAsia="仿宋" w:cs="仿宋"/>
              <w:sz w:val="24"/>
              <w:szCs w:val="24"/>
            </w:rPr>
            <w:t>九、 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_Toc24983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8CE2E5">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_Toc5545 </w:instrText>
          </w:r>
          <w:r>
            <w:rPr>
              <w:rFonts w:hint="eastAsia" w:ascii="仿宋" w:hAnsi="仿宋" w:eastAsia="仿宋" w:cs="仿宋"/>
              <w:sz w:val="24"/>
              <w:szCs w:val="24"/>
            </w:rPr>
            <w:fldChar w:fldCharType="separate"/>
          </w:r>
          <w:r>
            <w:rPr>
              <w:rFonts w:hint="eastAsia" w:ascii="仿宋" w:hAnsi="仿宋" w:eastAsia="仿宋" w:cs="仿宋"/>
              <w:sz w:val="24"/>
              <w:szCs w:val="24"/>
            </w:rPr>
            <w:t>十、其他重要事项的情况说明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_Toc5545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DED7ED8">
          <w:pPr>
            <w:pStyle w:val="12"/>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_Toc32254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 xml:space="preserve">第三部分 </w:t>
          </w:r>
          <w:r>
            <w:rPr>
              <w:rFonts w:hint="eastAsia" w:ascii="仿宋" w:hAnsi="仿宋" w:eastAsia="仿宋" w:cs="仿宋"/>
              <w:sz w:val="24"/>
              <w:szCs w:val="24"/>
            </w:rPr>
            <w:t>名词解释</w:t>
          </w:r>
          <w:r>
            <w:rPr>
              <w:rFonts w:hint="eastAsia" w:ascii="仿宋" w:hAnsi="仿宋" w:eastAsia="仿宋" w:cs="仿宋"/>
              <w:sz w:val="24"/>
              <w:szCs w:val="24"/>
            </w:rPr>
            <w:tab/>
          </w:r>
          <w:r>
            <w:rPr>
              <w:rStyle w:val="36"/>
              <w:rFonts w:hint="eastAsia"/>
            </w:rPr>
            <w:fldChar w:fldCharType="begin"/>
          </w:r>
          <w:r>
            <w:rPr>
              <w:rStyle w:val="36"/>
              <w:rFonts w:hint="eastAsia"/>
            </w:rPr>
            <w:instrText xml:space="preserve"> PAGEREF _Toc32254 \h </w:instrText>
          </w:r>
          <w:r>
            <w:rPr>
              <w:rStyle w:val="36"/>
              <w:rFonts w:hint="eastAsia"/>
            </w:rPr>
            <w:fldChar w:fldCharType="separate"/>
          </w:r>
          <w:r>
            <w:rPr>
              <w:rStyle w:val="36"/>
              <w:rFonts w:hint="eastAsia"/>
            </w:rPr>
            <w:t>12</w:t>
          </w:r>
          <w:r>
            <w:rPr>
              <w:rStyle w:val="36"/>
              <w:rFonts w:hint="eastAsia"/>
            </w:rPr>
            <w:fldChar w:fldCharType="end"/>
          </w:r>
          <w:r>
            <w:rPr>
              <w:rFonts w:hint="eastAsia" w:ascii="仿宋" w:hAnsi="仿宋" w:eastAsia="仿宋" w:cs="仿宋"/>
              <w:sz w:val="24"/>
              <w:szCs w:val="24"/>
            </w:rPr>
            <w:fldChar w:fldCharType="end"/>
          </w:r>
        </w:p>
        <w:p w14:paraId="4F3359D9">
          <w:pPr>
            <w:pStyle w:val="12"/>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_Toc25747 </w:instrText>
          </w:r>
          <w:r>
            <w:rPr>
              <w:rFonts w:hint="eastAsia" w:ascii="仿宋" w:hAnsi="仿宋" w:eastAsia="仿宋" w:cs="仿宋"/>
              <w:sz w:val="24"/>
              <w:szCs w:val="24"/>
            </w:rPr>
            <w:fldChar w:fldCharType="separate"/>
          </w:r>
          <w:r>
            <w:rPr>
              <w:rFonts w:hint="eastAsia" w:ascii="仿宋" w:hAnsi="仿宋" w:eastAsia="仿宋" w:cs="仿宋"/>
              <w:sz w:val="24"/>
              <w:szCs w:val="24"/>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_Toc25747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2E1A7E">
          <w:pPr>
            <w:pStyle w:val="12"/>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_Toc6037 </w:instrText>
          </w:r>
          <w:r>
            <w:rPr>
              <w:rFonts w:hint="eastAsia" w:ascii="仿宋" w:hAnsi="仿宋" w:eastAsia="仿宋" w:cs="仿宋"/>
              <w:sz w:val="24"/>
              <w:szCs w:val="24"/>
            </w:rPr>
            <w:fldChar w:fldCharType="separate"/>
          </w:r>
          <w:r>
            <w:rPr>
              <w:rFonts w:hint="eastAsia" w:ascii="仿宋" w:hAnsi="仿宋" w:eastAsia="仿宋" w:cs="仿宋"/>
              <w:sz w:val="24"/>
              <w:szCs w:val="24"/>
            </w:rPr>
            <w:t>第五部分 附表</w:t>
          </w:r>
          <w:r>
            <w:rPr>
              <w:rFonts w:hint="eastAsia" w:ascii="仿宋" w:hAnsi="仿宋" w:eastAsia="仿宋" w:cs="仿宋"/>
              <w:sz w:val="24"/>
              <w:szCs w:val="24"/>
            </w:rPr>
            <w:tab/>
          </w:r>
          <w:r>
            <w:rPr>
              <w:rFonts w:hint="eastAsia" w:cs="仿宋"/>
              <w:sz w:val="24"/>
              <w:szCs w:val="24"/>
              <w:lang w:val="en-US" w:eastAsia="zh-CN"/>
            </w:rPr>
            <w:t>2</w:t>
          </w:r>
          <w:r>
            <w:rPr>
              <w:rFonts w:hint="eastAsia" w:ascii="仿宋" w:hAnsi="仿宋" w:eastAsia="仿宋" w:cs="仿宋"/>
              <w:sz w:val="24"/>
              <w:szCs w:val="24"/>
            </w:rPr>
            <w:fldChar w:fldCharType="end"/>
          </w:r>
          <w:r>
            <w:rPr>
              <w:rFonts w:hint="eastAsia" w:cs="仿宋"/>
              <w:sz w:val="24"/>
              <w:szCs w:val="24"/>
              <w:lang w:val="en-US" w:eastAsia="zh-CN"/>
            </w:rPr>
            <w:t>9</w:t>
          </w:r>
        </w:p>
        <w:p w14:paraId="1EA92CEF">
          <w:pPr>
            <w:pStyle w:val="13"/>
            <w:tabs>
              <w:tab w:val="right" w:leader="dot" w:pos="8306"/>
              <w:tab w:val="clear" w:pos="8296"/>
            </w:tabs>
            <w:rPr>
              <w:rFonts w:hint="default"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_Toc31633 </w:instrText>
          </w:r>
          <w:r>
            <w:rPr>
              <w:rFonts w:hint="eastAsia" w:ascii="仿宋" w:hAnsi="仿宋" w:eastAsia="仿宋" w:cs="仿宋"/>
              <w:sz w:val="24"/>
              <w:szCs w:val="24"/>
            </w:rPr>
            <w:fldChar w:fldCharType="separate"/>
          </w:r>
          <w:r>
            <w:rPr>
              <w:rFonts w:hint="eastAsia" w:ascii="仿宋" w:hAnsi="仿宋" w:eastAsia="仿宋" w:cs="仿宋"/>
              <w:sz w:val="24"/>
              <w:szCs w:val="24"/>
            </w:rPr>
            <w:t>一、收</w:t>
          </w:r>
          <w:r>
            <w:rPr>
              <w:rFonts w:hint="eastAsia" w:ascii="仿宋" w:hAnsi="仿宋" w:eastAsia="仿宋" w:cs="仿宋"/>
              <w:bCs w:val="0"/>
              <w:sz w:val="24"/>
              <w:szCs w:val="24"/>
            </w:rPr>
            <w:t>入支出决算总表</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29</w:t>
          </w:r>
        </w:p>
        <w:p w14:paraId="2D824606">
          <w:pPr>
            <w:pStyle w:val="13"/>
            <w:tabs>
              <w:tab w:val="right" w:leader="dot" w:pos="8306"/>
              <w:tab w:val="clear" w:pos="8296"/>
            </w:tabs>
            <w:rPr>
              <w:rFonts w:hint="default"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_Toc9476 </w:instrText>
          </w:r>
          <w:r>
            <w:rPr>
              <w:rFonts w:hint="eastAsia" w:ascii="仿宋" w:hAnsi="仿宋" w:eastAsia="仿宋" w:cs="仿宋"/>
              <w:sz w:val="24"/>
              <w:szCs w:val="24"/>
            </w:rPr>
            <w:fldChar w:fldCharType="separate"/>
          </w:r>
          <w:r>
            <w:rPr>
              <w:rFonts w:hint="eastAsia" w:ascii="仿宋" w:hAnsi="仿宋" w:eastAsia="仿宋" w:cs="仿宋"/>
              <w:sz w:val="24"/>
              <w:szCs w:val="24"/>
            </w:rPr>
            <w:t>二、收</w:t>
          </w:r>
          <w:r>
            <w:rPr>
              <w:rFonts w:hint="eastAsia" w:ascii="仿宋" w:hAnsi="仿宋" w:eastAsia="仿宋" w:cs="仿宋"/>
              <w:bCs w:val="0"/>
              <w:sz w:val="24"/>
              <w:szCs w:val="24"/>
            </w:rPr>
            <w:t>入</w:t>
          </w:r>
          <w:r>
            <w:rPr>
              <w:rFonts w:hint="eastAsia" w:ascii="仿宋" w:hAnsi="仿宋" w:eastAsia="仿宋" w:cs="仿宋"/>
              <w:bCs w:val="0"/>
              <w:sz w:val="24"/>
              <w:szCs w:val="24"/>
              <w:lang w:val="en-US" w:eastAsia="zh-CN"/>
            </w:rPr>
            <w:t>决算</w:t>
          </w:r>
          <w:r>
            <w:rPr>
              <w:rFonts w:hint="eastAsia" w:ascii="仿宋" w:hAnsi="仿宋" w:eastAsia="仿宋" w:cs="仿宋"/>
              <w:bCs w:val="0"/>
              <w:sz w:val="24"/>
              <w:szCs w:val="24"/>
            </w:rPr>
            <w:t>表</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29</w:t>
          </w:r>
        </w:p>
        <w:p w14:paraId="46179AD6">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_Toc5157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三、</w:t>
          </w:r>
          <w:r>
            <w:rPr>
              <w:rFonts w:hint="eastAsia" w:ascii="仿宋" w:hAnsi="仿宋" w:eastAsia="仿宋" w:cs="仿宋"/>
              <w:sz w:val="24"/>
              <w:szCs w:val="24"/>
            </w:rPr>
            <w:t>支</w:t>
          </w:r>
          <w:r>
            <w:rPr>
              <w:rFonts w:hint="eastAsia" w:ascii="仿宋" w:hAnsi="仿宋" w:eastAsia="仿宋" w:cs="仿宋"/>
              <w:bCs w:val="0"/>
              <w:sz w:val="24"/>
              <w:szCs w:val="24"/>
            </w:rPr>
            <w:t>出</w:t>
          </w:r>
          <w:r>
            <w:rPr>
              <w:rFonts w:hint="eastAsia" w:ascii="仿宋" w:hAnsi="仿宋" w:eastAsia="仿宋" w:cs="仿宋"/>
              <w:bCs w:val="0"/>
              <w:sz w:val="24"/>
              <w:szCs w:val="24"/>
              <w:lang w:val="en-US" w:eastAsia="zh-CN"/>
            </w:rPr>
            <w:t>决算</w:t>
          </w:r>
          <w:r>
            <w:rPr>
              <w:rFonts w:hint="eastAsia" w:ascii="仿宋" w:hAnsi="仿宋" w:eastAsia="仿宋" w:cs="仿宋"/>
              <w:bCs w:val="0"/>
              <w:sz w:val="24"/>
              <w:szCs w:val="24"/>
            </w:rPr>
            <w:t>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63775894">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四、</w:t>
          </w:r>
          <w:r>
            <w:rPr>
              <w:rFonts w:hint="eastAsia" w:ascii="仿宋" w:hAnsi="仿宋" w:eastAsia="仿宋" w:cs="仿宋"/>
              <w:sz w:val="24"/>
              <w:szCs w:val="24"/>
            </w:rPr>
            <w:t>财</w:t>
          </w:r>
          <w:r>
            <w:rPr>
              <w:rFonts w:hint="eastAsia" w:ascii="仿宋" w:hAnsi="仿宋" w:eastAsia="仿宋" w:cs="仿宋"/>
              <w:bCs w:val="0"/>
              <w:sz w:val="24"/>
              <w:szCs w:val="24"/>
            </w:rPr>
            <w:t>政拨款收入支出决算总表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17D2B415">
          <w:pPr>
            <w:pStyle w:val="13"/>
            <w:tabs>
              <w:tab w:val="right" w:leader="dot" w:pos="8306"/>
              <w:tab w:val="clear" w:pos="8296"/>
            </w:tabs>
            <w:rPr>
              <w:rFonts w:hint="default"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_Toc21398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五、</w:t>
          </w:r>
          <w:r>
            <w:rPr>
              <w:rFonts w:hint="eastAsia" w:ascii="仿宋" w:hAnsi="仿宋" w:eastAsia="仿宋" w:cs="仿宋"/>
              <w:sz w:val="24"/>
              <w:szCs w:val="24"/>
            </w:rPr>
            <w:t>财</w:t>
          </w:r>
          <w:r>
            <w:rPr>
              <w:rFonts w:hint="eastAsia" w:ascii="仿宋" w:hAnsi="仿宋" w:eastAsia="仿宋" w:cs="仿宋"/>
              <w:bCs w:val="0"/>
              <w:sz w:val="24"/>
              <w:szCs w:val="24"/>
            </w:rPr>
            <w:t>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29</w:t>
          </w:r>
        </w:p>
        <w:p w14:paraId="044AD795">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_Toc29699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六、</w:t>
          </w:r>
          <w:r>
            <w:rPr>
              <w:rFonts w:hint="eastAsia" w:ascii="仿宋" w:hAnsi="仿宋" w:eastAsia="仿宋" w:cs="仿宋"/>
              <w:sz w:val="24"/>
              <w:szCs w:val="24"/>
            </w:rPr>
            <w:t>一</w:t>
          </w:r>
          <w:r>
            <w:rPr>
              <w:rFonts w:hint="eastAsia" w:ascii="仿宋" w:hAnsi="仿宋" w:eastAsia="仿宋" w:cs="仿宋"/>
              <w:bCs w:val="0"/>
              <w:sz w:val="24"/>
              <w:szCs w:val="24"/>
            </w:rPr>
            <w:t>般公共预算财政拨款支出决算表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04290BA3">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_Toc24383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七、</w:t>
          </w:r>
          <w:r>
            <w:rPr>
              <w:rFonts w:hint="eastAsia" w:ascii="仿宋" w:hAnsi="仿宋" w:eastAsia="仿宋" w:cs="仿宋"/>
              <w:sz w:val="24"/>
              <w:szCs w:val="24"/>
            </w:rPr>
            <w:t>一</w:t>
          </w:r>
          <w:r>
            <w:rPr>
              <w:rFonts w:hint="eastAsia" w:ascii="仿宋" w:hAnsi="仿宋" w:eastAsia="仿宋" w:cs="仿宋"/>
              <w:bCs w:val="0"/>
              <w:sz w:val="24"/>
              <w:szCs w:val="24"/>
            </w:rPr>
            <w:t>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3948C14F">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_Toc16375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八、</w:t>
          </w:r>
          <w:r>
            <w:rPr>
              <w:rFonts w:hint="eastAsia" w:ascii="仿宋" w:hAnsi="仿宋" w:eastAsia="仿宋" w:cs="仿宋"/>
              <w:sz w:val="24"/>
              <w:szCs w:val="24"/>
            </w:rPr>
            <w:t>一</w:t>
          </w:r>
          <w:r>
            <w:rPr>
              <w:rFonts w:hint="eastAsia" w:ascii="仿宋" w:hAnsi="仿宋" w:eastAsia="仿宋" w:cs="仿宋"/>
              <w:bCs w:val="0"/>
              <w:sz w:val="24"/>
              <w:szCs w:val="24"/>
            </w:rPr>
            <w:t>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662DFCB3">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_Toc24251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九、</w:t>
          </w:r>
          <w:r>
            <w:rPr>
              <w:rFonts w:hint="eastAsia" w:ascii="仿宋" w:hAnsi="仿宋" w:eastAsia="仿宋" w:cs="仿宋"/>
              <w:sz w:val="24"/>
              <w:szCs w:val="24"/>
            </w:rPr>
            <w:t>一</w:t>
          </w:r>
          <w:r>
            <w:rPr>
              <w:rFonts w:hint="eastAsia" w:ascii="仿宋" w:hAnsi="仿宋" w:eastAsia="仿宋" w:cs="仿宋"/>
              <w:bCs w:val="0"/>
              <w:sz w:val="24"/>
              <w:szCs w:val="24"/>
            </w:rPr>
            <w:t>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702C15DF">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_Toc27034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十、</w:t>
          </w:r>
          <w:r>
            <w:rPr>
              <w:rFonts w:hint="eastAsia" w:ascii="仿宋" w:hAnsi="仿宋" w:eastAsia="仿宋" w:cs="仿宋"/>
              <w:color w:val="auto"/>
              <w:sz w:val="24"/>
              <w:szCs w:val="24"/>
              <w:highlight w:val="none"/>
            </w:rPr>
            <w:t>政府性基金预算财政拨款收入支出决算表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3990F110">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_Toc12838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十</w:t>
          </w:r>
          <w:r>
            <w:rPr>
              <w:rFonts w:hint="eastAsia" w:ascii="仿宋" w:hAnsi="仿宋" w:eastAsia="仿宋" w:cs="仿宋"/>
              <w:bCs w:val="0"/>
              <w:sz w:val="24"/>
              <w:szCs w:val="24"/>
              <w:lang w:val="en-US" w:eastAsia="zh-CN"/>
            </w:rPr>
            <w:t>一</w:t>
          </w:r>
          <w:r>
            <w:rPr>
              <w:rFonts w:hint="eastAsia" w:ascii="仿宋" w:hAnsi="仿宋" w:eastAsia="仿宋" w:cs="仿宋"/>
              <w:bCs w:val="0"/>
              <w:sz w:val="24"/>
              <w:szCs w:val="24"/>
            </w:rPr>
            <w:t>、国有资本经营预算财政拨款收入支出决算表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7E642113">
          <w:pPr>
            <w:pStyle w:val="13"/>
            <w:tabs>
              <w:tab w:val="right" w:leader="dot" w:pos="8306"/>
              <w:tab w:val="clear" w:pos="8296"/>
            </w:tabs>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_Toc16293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十</w:t>
          </w:r>
          <w:r>
            <w:rPr>
              <w:rFonts w:hint="eastAsia" w:ascii="仿宋" w:hAnsi="仿宋" w:eastAsia="仿宋" w:cs="仿宋"/>
              <w:bCs w:val="0"/>
              <w:sz w:val="24"/>
              <w:szCs w:val="24"/>
              <w:lang w:val="en-US" w:eastAsia="zh-CN"/>
            </w:rPr>
            <w:t>二</w:t>
          </w:r>
          <w:r>
            <w:rPr>
              <w:rFonts w:hint="eastAsia" w:ascii="仿宋" w:hAnsi="仿宋" w:eastAsia="仿宋" w:cs="仿宋"/>
              <w:bCs w:val="0"/>
              <w:sz w:val="24"/>
              <w:szCs w:val="24"/>
            </w:rPr>
            <w:t>、</w:t>
          </w:r>
          <w:r>
            <w:rPr>
              <w:rFonts w:hint="eastAsia" w:ascii="仿宋" w:hAnsi="仿宋" w:eastAsia="仿宋" w:cs="仿宋"/>
              <w:bCs w:val="0"/>
              <w:sz w:val="24"/>
              <w:szCs w:val="24"/>
              <w:lang w:val="en-US" w:eastAsia="zh-CN"/>
            </w:rPr>
            <w:t>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44BA987B">
          <w:pPr>
            <w:pStyle w:val="13"/>
            <w:tabs>
              <w:tab w:val="right" w:leader="dot" w:pos="8306"/>
              <w:tab w:val="clear" w:pos="8296"/>
            </w:tabs>
            <w:rPr>
              <w:rFonts w:hint="default" w:eastAsia="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_Toc31789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十三、</w:t>
          </w:r>
          <w:r>
            <w:rPr>
              <w:rFonts w:hint="eastAsia" w:ascii="仿宋" w:hAnsi="仿宋" w:eastAsia="仿宋" w:cs="仿宋"/>
              <w:color w:val="auto"/>
              <w:sz w:val="24"/>
              <w:szCs w:val="24"/>
              <w:highlight w:val="none"/>
            </w:rPr>
            <w:t>财政拨款“三公”经费支出决算表</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32F2C086">
          <w:pPr>
            <w:pStyle w:val="3"/>
            <w:keepNext/>
            <w:keepLines/>
            <w:pageBreakBefore w:val="0"/>
            <w:widowControl w:val="0"/>
            <w:tabs>
              <w:tab w:val="right" w:leader="dot" w:pos="8306"/>
            </w:tabs>
            <w:kinsoku/>
            <w:wordWrap/>
            <w:overflowPunct/>
            <w:topLinePunct w:val="0"/>
            <w:autoSpaceDE/>
            <w:autoSpaceDN/>
            <w:bidi w:val="0"/>
            <w:adjustRightInd/>
            <w:snapToGrid/>
            <w:spacing w:before="0" w:after="0" w:line="240" w:lineRule="auto"/>
            <w:jc w:val="both"/>
            <w:textAlignment w:val="auto"/>
            <w:outlineLvl w:val="9"/>
            <w:rPr>
              <w:rStyle w:val="36"/>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rPr>
            <w:fldChar w:fldCharType="end"/>
          </w:r>
        </w:p>
        <w:p w14:paraId="677F2687">
          <w:pPr>
            <w:pStyle w:val="3"/>
            <w:keepNext/>
            <w:keepLines/>
            <w:pageBreakBefore w:val="0"/>
            <w:widowControl w:val="0"/>
            <w:tabs>
              <w:tab w:val="right" w:leader="dot" w:pos="8306"/>
            </w:tabs>
            <w:kinsoku/>
            <w:wordWrap/>
            <w:overflowPunct/>
            <w:topLinePunct w:val="0"/>
            <w:autoSpaceDE/>
            <w:autoSpaceDN/>
            <w:bidi w:val="0"/>
            <w:adjustRightInd/>
            <w:snapToGrid/>
            <w:spacing w:before="0" w:after="0" w:line="240" w:lineRule="auto"/>
            <w:jc w:val="distribute"/>
            <w:textAlignment w:val="auto"/>
            <w:outlineLvl w:val="9"/>
            <w:rPr>
              <w:rStyle w:val="36"/>
              <w:rFonts w:hint="eastAsia" w:ascii="仿宋" w:hAnsi="仿宋" w:eastAsia="仿宋" w:cs="仿宋"/>
              <w:b w:val="0"/>
              <w:bCs w:val="0"/>
              <w:kern w:val="2"/>
              <w:sz w:val="24"/>
              <w:szCs w:val="24"/>
              <w:lang w:val="en-US" w:eastAsia="zh-CN" w:bidi="ar-SA"/>
            </w:rPr>
          </w:pPr>
        </w:p>
      </w:sdtContent>
    </w:sdt>
    <w:p w14:paraId="7DB0F97D">
      <w:pPr>
        <w:pStyle w:val="3"/>
        <w:pageBreakBefore w:val="0"/>
        <w:widowControl w:val="0"/>
        <w:kinsoku/>
        <w:wordWrap/>
        <w:overflowPunct/>
        <w:topLinePunct w:val="0"/>
        <w:autoSpaceDE/>
        <w:autoSpaceDN/>
        <w:bidi w:val="0"/>
        <w:adjustRightInd/>
        <w:snapToGrid/>
        <w:spacing w:line="360" w:lineRule="exact"/>
        <w:jc w:val="center"/>
        <w:textAlignment w:val="auto"/>
        <w:outlineLvl w:val="9"/>
        <w:rPr>
          <w:rFonts w:ascii="黑体" w:eastAsia="黑体"/>
          <w:color w:val="000000"/>
          <w:sz w:val="32"/>
          <w:szCs w:val="32"/>
        </w:rPr>
      </w:pPr>
      <w:bookmarkStart w:id="25" w:name="_Toc10963"/>
      <w:r>
        <w:rPr>
          <w:rFonts w:hint="eastAsia" w:ascii="黑体" w:hAnsi="黑体" w:eastAsia="黑体"/>
          <w:b w:val="0"/>
        </w:rPr>
        <w:t xml:space="preserve">第一部分 </w:t>
      </w:r>
      <w:r>
        <w:rPr>
          <w:rStyle w:val="28"/>
          <w:rFonts w:hint="eastAsia" w:ascii="黑体" w:hAnsi="黑体" w:eastAsia="黑体"/>
          <w:b w:val="0"/>
          <w:bCs w:val="0"/>
          <w:lang w:val="en-US" w:eastAsia="zh-CN"/>
        </w:rPr>
        <w:t>单位</w:t>
      </w:r>
      <w:r>
        <w:rPr>
          <w:rStyle w:val="28"/>
          <w:rFonts w:hint="eastAsia" w:ascii="黑体" w:hAnsi="黑体" w:eastAsia="黑体"/>
          <w:b w:val="0"/>
          <w:bCs w:val="0"/>
        </w:rPr>
        <w:t>概况</w:t>
      </w:r>
      <w:bookmarkEnd w:id="25"/>
    </w:p>
    <w:p w14:paraId="38605BFC">
      <w:pPr>
        <w:pStyle w:val="4"/>
        <w:spacing w:before="0" w:after="0" w:line="578" w:lineRule="exact"/>
        <w:rPr>
          <w:rStyle w:val="29"/>
          <w:rFonts w:hint="default" w:ascii="仿宋" w:hAnsi="仿宋" w:eastAsia="黑体"/>
          <w:b w:val="0"/>
          <w:bCs w:val="0"/>
          <w:lang w:val="en-US" w:eastAsia="zh-CN"/>
        </w:rPr>
      </w:pPr>
      <w:bookmarkStart w:id="26" w:name="_Toc15377197"/>
      <w:bookmarkEnd w:id="26"/>
      <w:bookmarkStart w:id="27" w:name="_Toc15396600"/>
      <w:bookmarkEnd w:id="27"/>
      <w:bookmarkStart w:id="28" w:name="_Toc18448"/>
      <w:r>
        <w:rPr>
          <w:rFonts w:hint="eastAsia" w:ascii="黑体" w:hAnsi="黑体" w:eastAsia="黑体"/>
          <w:b w:val="0"/>
          <w:color w:val="000000"/>
        </w:rPr>
        <w:t>一、</w:t>
      </w:r>
      <w:r>
        <w:rPr>
          <w:rFonts w:hint="eastAsia" w:ascii="黑体" w:hAnsi="黑体" w:eastAsia="黑体"/>
          <w:b w:val="0"/>
          <w:color w:val="000000"/>
          <w:lang w:val="en-US" w:eastAsia="zh-CN"/>
        </w:rPr>
        <w:t>职能简介</w:t>
      </w:r>
      <w:bookmarkEnd w:id="28"/>
    </w:p>
    <w:p w14:paraId="63767D7B">
      <w:pPr>
        <w:spacing w:line="560" w:lineRule="exact"/>
        <w:ind w:firstLine="640" w:firstLineChars="200"/>
        <w:rPr>
          <w:rFonts w:hint="eastAsia" w:ascii="仿宋_GB2312" w:hAnsi="仿宋_GB2312" w:eastAsia="仿宋_GB2312" w:cs="仿宋_GB2312"/>
          <w:b w:val="0"/>
          <w:kern w:val="2"/>
          <w:sz w:val="32"/>
          <w:szCs w:val="32"/>
          <w:lang w:val="en-US" w:eastAsia="zh-CN" w:bidi="ar-SA"/>
        </w:rPr>
      </w:pPr>
      <w:bookmarkStart w:id="29" w:name="_Toc15378446"/>
      <w:bookmarkStart w:id="30" w:name="_Toc15377199"/>
      <w:r>
        <w:rPr>
          <w:rFonts w:hint="eastAsia" w:ascii="仿宋_GB2312" w:hAnsi="仿宋_GB2312" w:eastAsia="仿宋_GB2312" w:cs="仿宋_GB2312"/>
          <w:b w:val="0"/>
          <w:kern w:val="2"/>
          <w:sz w:val="32"/>
          <w:szCs w:val="32"/>
          <w:lang w:val="en-US" w:eastAsia="zh-CN" w:bidi="ar-SA"/>
        </w:rPr>
        <w:t>大竹县庙坝镇中心小学是贯彻执行国家义务教育方面政策，承担辖区内适龄儿童义务教育学校。2023年工作的总体要求是：认真落实县委、县政府重大决策部署，全面深化新课程改革，大力实施高效课堂，围绕学校党支部确定的学校发展思路，坚持依法执教，保障少年儿童合法权益，促进学生健康成长。</w:t>
      </w:r>
    </w:p>
    <w:bookmarkEnd w:id="29"/>
    <w:bookmarkEnd w:id="30"/>
    <w:p w14:paraId="4566EE6F">
      <w:pPr>
        <w:pStyle w:val="4"/>
        <w:spacing w:before="0" w:after="0" w:line="578" w:lineRule="exact"/>
        <w:rPr>
          <w:rFonts w:hint="eastAsia" w:ascii="黑体" w:hAnsi="黑体" w:eastAsia="黑体"/>
          <w:b w:val="0"/>
          <w:color w:val="000000"/>
          <w:lang w:val="en-US" w:eastAsia="zh-CN"/>
        </w:rPr>
      </w:pPr>
      <w:bookmarkStart w:id="31" w:name="_Toc32337"/>
      <w:r>
        <w:rPr>
          <w:rFonts w:hint="eastAsia" w:ascii="黑体" w:hAnsi="黑体" w:eastAsia="黑体"/>
          <w:b w:val="0"/>
          <w:color w:val="000000"/>
          <w:lang w:val="en-US" w:eastAsia="zh-CN"/>
        </w:rPr>
        <w:t>二、机构设置</w:t>
      </w:r>
      <w:bookmarkEnd w:id="31"/>
    </w:p>
    <w:p w14:paraId="46F65FAD">
      <w:pPr>
        <w:pStyle w:val="7"/>
        <w:bidi w:val="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大竹县庙坝镇中心小学属于一级预算单位，下属二级预算单位0个，其中行政单位0个，参照公务员法管理的事业单位0个，其他事业单位0个。</w:t>
      </w:r>
      <w:bookmarkStart w:id="32" w:name="_Toc15396602"/>
      <w:bookmarkEnd w:id="32"/>
      <w:bookmarkStart w:id="33" w:name="_Toc15377204"/>
      <w:bookmarkEnd w:id="33"/>
    </w:p>
    <w:p w14:paraId="038A7299">
      <w:pPr>
        <w:pStyle w:val="7"/>
        <w:bidi w:val="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纳入大竹县庙坝镇中心小学2023年度部门决算编制范围的二级预算单位包括：无。</w:t>
      </w:r>
    </w:p>
    <w:p w14:paraId="4ED37E8A">
      <w:pPr>
        <w:pStyle w:val="2"/>
        <w:adjustRightInd w:val="0"/>
        <w:snapToGrid w:val="0"/>
        <w:spacing w:before="93" w:line="600" w:lineRule="exact"/>
        <w:ind w:firstLine="672" w:firstLineChars="210"/>
        <w:rPr>
          <w:rFonts w:hint="default" w:ascii="仿宋" w:hAnsi="仿宋" w:eastAsia="仿宋"/>
          <w:color w:val="333333"/>
          <w:sz w:val="32"/>
          <w:szCs w:val="32"/>
          <w:lang w:val="en-US" w:eastAsia="zh-CN"/>
        </w:rPr>
      </w:pPr>
    </w:p>
    <w:p w14:paraId="04664E47">
      <w:pPr>
        <w:pStyle w:val="3"/>
        <w:ind w:right="440"/>
        <w:jc w:val="right"/>
        <w:rPr>
          <w:rFonts w:hint="eastAsia" w:ascii="黑体" w:hAnsi="黑体" w:eastAsia="黑体"/>
          <w:b w:val="0"/>
          <w:color w:val="000000"/>
        </w:rPr>
      </w:pPr>
      <w:bookmarkStart w:id="34" w:name="_Toc15767"/>
    </w:p>
    <w:p w14:paraId="018B0E25">
      <w:pPr>
        <w:rPr>
          <w:rFonts w:hint="eastAsia" w:ascii="黑体" w:hAnsi="黑体" w:eastAsia="黑体"/>
          <w:b w:val="0"/>
          <w:color w:val="000000"/>
        </w:rPr>
      </w:pPr>
    </w:p>
    <w:p w14:paraId="19338E34">
      <w:pPr>
        <w:pStyle w:val="2"/>
        <w:rPr>
          <w:rFonts w:hint="eastAsia"/>
        </w:rPr>
      </w:pPr>
    </w:p>
    <w:p w14:paraId="2938F604">
      <w:pPr>
        <w:pStyle w:val="3"/>
        <w:ind w:right="440"/>
        <w:jc w:val="right"/>
        <w:rPr>
          <w:rStyle w:val="28"/>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rPr>
        <w:t>20</w:t>
      </w:r>
      <w:r>
        <w:rPr>
          <w:rStyle w:val="28"/>
          <w:rFonts w:hint="eastAsia" w:ascii="黑体" w:hAnsi="黑体" w:eastAsia="黑体"/>
          <w:b w:val="0"/>
          <w:bCs w:val="0"/>
          <w:lang w:val="en-US" w:eastAsia="zh-CN"/>
        </w:rPr>
        <w:t>23</w:t>
      </w:r>
      <w:r>
        <w:rPr>
          <w:rStyle w:val="28"/>
          <w:rFonts w:hint="eastAsia" w:ascii="黑体" w:hAnsi="黑体" w:eastAsia="黑体"/>
          <w:b w:val="0"/>
          <w:bCs w:val="0"/>
        </w:rPr>
        <w:t>年度</w:t>
      </w:r>
      <w:r>
        <w:rPr>
          <w:rStyle w:val="28"/>
          <w:rFonts w:hint="eastAsia" w:ascii="黑体" w:hAnsi="黑体" w:eastAsia="黑体"/>
          <w:b w:val="0"/>
          <w:bCs w:val="0"/>
          <w:lang w:val="en-US" w:eastAsia="zh-CN"/>
        </w:rPr>
        <w:t>单位</w:t>
      </w:r>
      <w:r>
        <w:rPr>
          <w:rStyle w:val="28"/>
          <w:rFonts w:hint="eastAsia" w:ascii="黑体" w:hAnsi="黑体" w:eastAsia="黑体"/>
          <w:b w:val="0"/>
          <w:bCs w:val="0"/>
        </w:rPr>
        <w:t>决算情况说明</w:t>
      </w:r>
      <w:bookmarkEnd w:id="34"/>
    </w:p>
    <w:p w14:paraId="77307079"/>
    <w:p w14:paraId="0A2693F9">
      <w:pPr>
        <w:pStyle w:val="27"/>
        <w:numPr>
          <w:ilvl w:val="0"/>
          <w:numId w:val="1"/>
        </w:numPr>
        <w:spacing w:line="578" w:lineRule="exact"/>
        <w:ind w:firstLineChars="0"/>
        <w:outlineLvl w:val="1"/>
        <w:rPr>
          <w:rStyle w:val="29"/>
          <w:rFonts w:ascii="黑体" w:hAnsi="黑体" w:eastAsia="黑体"/>
          <w:b w:val="0"/>
        </w:rPr>
      </w:pPr>
      <w:bookmarkStart w:id="35" w:name="_Toc15396603"/>
      <w:bookmarkEnd w:id="35"/>
      <w:bookmarkStart w:id="36" w:name="_Toc15377205"/>
      <w:bookmarkEnd w:id="36"/>
      <w:bookmarkStart w:id="37" w:name="_Toc2905"/>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37"/>
    </w:p>
    <w:p w14:paraId="5EF6A48C">
      <w:pPr>
        <w:spacing w:line="578" w:lineRule="exact"/>
        <w:ind w:firstLine="640" w:firstLineChars="200"/>
        <w:rPr>
          <w:rFonts w:hint="eastAsia" w:ascii="仿宋_GB2312" w:hAnsi="仿宋_GB2312" w:eastAsia="仿宋_GB2312" w:cs="仿宋_GB2312"/>
          <w:sz w:val="32"/>
          <w:szCs w:val="32"/>
          <w:lang w:val="en-US" w:eastAsia="zh-CN"/>
        </w:rPr>
      </w:pPr>
      <w:bookmarkStart w:id="38" w:name="OLE_LINK1"/>
      <w:bookmarkEnd w:id="38"/>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2787.03</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年相比，收</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减少110.91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减少3.69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主要原因是主要是人员经费减少。</w:t>
      </w:r>
    </w:p>
    <w:p w14:paraId="172F6320">
      <w:pPr>
        <w:pStyle w:val="2"/>
        <w:jc w:val="center"/>
        <w:rPr>
          <w:rFonts w:hint="eastAsia" w:ascii="仿宋_GB2312" w:hAnsi="仿宋_GB2312" w:eastAsia="仿宋_GB2312" w:cs="仿宋_GB2312"/>
          <w:sz w:val="32"/>
          <w:szCs w:val="32"/>
          <w:lang w:eastAsia="zh-CN"/>
        </w:rPr>
      </w:pPr>
      <w:r>
        <w:rPr>
          <w:rFonts w:hint="eastAsia"/>
          <w:lang w:eastAsia="zh-CN"/>
        </w:rPr>
        <w:drawing>
          <wp:inline distT="0" distB="0" distL="114300" distR="114300">
            <wp:extent cx="4602480" cy="2179955"/>
            <wp:effectExtent l="0" t="0" r="7620" b="10795"/>
            <wp:docPr id="4" name="图片 4" descr="收入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入支出"/>
                    <pic:cNvPicPr>
                      <a:picLocks noChangeAspect="1"/>
                    </pic:cNvPicPr>
                  </pic:nvPicPr>
                  <pic:blipFill>
                    <a:blip r:embed="rId6"/>
                    <a:stretch>
                      <a:fillRect/>
                    </a:stretch>
                  </pic:blipFill>
                  <pic:spPr>
                    <a:xfrm>
                      <a:off x="0" y="0"/>
                      <a:ext cx="4602480" cy="2179955"/>
                    </a:xfrm>
                    <a:prstGeom prst="rect">
                      <a:avLst/>
                    </a:prstGeom>
                  </pic:spPr>
                </pic:pic>
              </a:graphicData>
            </a:graphic>
          </wp:inline>
        </w:drawing>
      </w:r>
    </w:p>
    <w:p w14:paraId="3B6526C2">
      <w:pPr>
        <w:spacing w:line="578"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图1：收、支决算总计变动情况图</w:t>
      </w:r>
    </w:p>
    <w:p w14:paraId="5C95DCF5">
      <w:pPr>
        <w:pStyle w:val="27"/>
        <w:numPr>
          <w:ilvl w:val="0"/>
          <w:numId w:val="1"/>
        </w:numPr>
        <w:spacing w:line="578" w:lineRule="exact"/>
        <w:ind w:firstLineChars="0"/>
        <w:outlineLvl w:val="1"/>
        <w:rPr>
          <w:rStyle w:val="29"/>
          <w:rFonts w:ascii="黑体" w:hAnsi="黑体" w:eastAsia="黑体"/>
          <w:b w:val="0"/>
        </w:rPr>
      </w:pPr>
      <w:bookmarkStart w:id="39" w:name="_Toc15377206"/>
      <w:bookmarkEnd w:id="39"/>
      <w:bookmarkStart w:id="40" w:name="_Toc15396604"/>
      <w:bookmarkEnd w:id="40"/>
      <w:bookmarkStart w:id="41" w:name="_Toc28355"/>
      <w:r>
        <w:rPr>
          <w:rFonts w:hint="eastAsia" w:ascii="黑体" w:hAnsi="黑体" w:eastAsia="黑体"/>
          <w:color w:val="000000"/>
          <w:sz w:val="32"/>
          <w:szCs w:val="32"/>
        </w:rPr>
        <w:t>收</w:t>
      </w:r>
      <w:r>
        <w:rPr>
          <w:rStyle w:val="29"/>
          <w:rFonts w:hint="eastAsia" w:ascii="黑体" w:hAnsi="黑体" w:eastAsia="黑体"/>
          <w:b w:val="0"/>
        </w:rPr>
        <w:t>入决算情况说明</w:t>
      </w:r>
      <w:bookmarkEnd w:id="41"/>
    </w:p>
    <w:p w14:paraId="645322FB">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2529.90</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2529.90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81B6CD7">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250565" cy="1943100"/>
            <wp:effectExtent l="0" t="0" r="635" b="0"/>
            <wp:docPr id="5" name="图片 5" descr="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收入"/>
                    <pic:cNvPicPr>
                      <a:picLocks noChangeAspect="1"/>
                    </pic:cNvPicPr>
                  </pic:nvPicPr>
                  <pic:blipFill>
                    <a:blip r:embed="rId7"/>
                    <a:stretch>
                      <a:fillRect/>
                    </a:stretch>
                  </pic:blipFill>
                  <pic:spPr>
                    <a:xfrm>
                      <a:off x="0" y="0"/>
                      <a:ext cx="3250565" cy="1943100"/>
                    </a:xfrm>
                    <a:prstGeom prst="rect">
                      <a:avLst/>
                    </a:prstGeom>
                  </pic:spPr>
                </pic:pic>
              </a:graphicData>
            </a:graphic>
          </wp:inline>
        </w:drawing>
      </w:r>
    </w:p>
    <w:p w14:paraId="1C41BCC9">
      <w:pPr>
        <w:spacing w:line="578" w:lineRule="exact"/>
        <w:ind w:firstLine="1470" w:firstLineChars="700"/>
        <w:rPr>
          <w:rFonts w:ascii="仿宋_GB2312" w:eastAsia="仿宋_GB2312"/>
          <w:color w:val="FF0000"/>
          <w:sz w:val="32"/>
          <w:szCs w:val="32"/>
        </w:rPr>
      </w:pPr>
      <w:r>
        <w:rPr>
          <w:rFonts w:hint="eastAsia"/>
          <w:lang w:val="en-US" w:eastAsia="zh-CN"/>
        </w:rPr>
        <w:t xml:space="preserve">     </w:t>
      </w:r>
      <w:r>
        <w:rPr>
          <w:rFonts w:hint="eastAsia" w:ascii="仿宋_GB2312" w:hAnsi="仿宋_GB2312" w:eastAsia="仿宋_GB2312" w:cs="仿宋_GB2312"/>
          <w:sz w:val="32"/>
          <w:szCs w:val="32"/>
        </w:rPr>
        <w:t>图2：收入决算结构图</w:t>
      </w:r>
    </w:p>
    <w:p w14:paraId="5E8D416C">
      <w:pPr>
        <w:pStyle w:val="27"/>
        <w:numPr>
          <w:ilvl w:val="0"/>
          <w:numId w:val="1"/>
        </w:numPr>
        <w:spacing w:line="578" w:lineRule="exact"/>
        <w:ind w:firstLineChars="0"/>
        <w:outlineLvl w:val="1"/>
        <w:rPr>
          <w:rStyle w:val="29"/>
          <w:rFonts w:ascii="黑体" w:hAnsi="黑体" w:eastAsia="黑体"/>
          <w:b w:val="0"/>
        </w:rPr>
      </w:pPr>
      <w:bookmarkStart w:id="42" w:name="_Toc15396605"/>
      <w:bookmarkEnd w:id="42"/>
      <w:bookmarkStart w:id="43" w:name="_Toc15377207"/>
      <w:bookmarkEnd w:id="43"/>
      <w:bookmarkStart w:id="44" w:name="_Toc20515"/>
      <w:r>
        <w:rPr>
          <w:rFonts w:hint="eastAsia" w:ascii="黑体" w:hAnsi="黑体" w:eastAsia="黑体"/>
          <w:color w:val="000000"/>
          <w:sz w:val="32"/>
          <w:szCs w:val="32"/>
        </w:rPr>
        <w:t>支</w:t>
      </w:r>
      <w:r>
        <w:rPr>
          <w:rStyle w:val="29"/>
          <w:rFonts w:hint="eastAsia" w:ascii="黑体" w:hAnsi="黑体" w:eastAsia="黑体"/>
          <w:b w:val="0"/>
        </w:rPr>
        <w:t>出决算情况说明</w:t>
      </w:r>
      <w:bookmarkEnd w:id="44"/>
    </w:p>
    <w:p w14:paraId="28F2F6E1">
      <w:pPr>
        <w:spacing w:line="578" w:lineRule="exact"/>
        <w:ind w:firstLine="640" w:firstLineChars="200"/>
        <w:rPr>
          <w:rFonts w:hint="eastAsia" w:ascii="仿宋_GB2312" w:hAnsi="仿宋_GB2312" w:eastAsia="仿宋_GB2312" w:cs="仿宋_GB2312"/>
          <w:sz w:val="32"/>
          <w:szCs w:val="32"/>
        </w:rPr>
      </w:pPr>
      <w:bookmarkStart w:id="45" w:name="_Toc15396606"/>
      <w:bookmarkStart w:id="46" w:name="_Toc15377208"/>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2787.03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1884.52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67.62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902.51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32.38</w:t>
      </w:r>
      <w:r>
        <w:rPr>
          <w:rFonts w:hint="eastAsia" w:ascii="仿宋_GB2312" w:hAnsi="仿宋_GB2312" w:eastAsia="仿宋_GB2312" w:cs="仿宋_GB2312"/>
          <w:sz w:val="32"/>
          <w:szCs w:val="32"/>
        </w:rPr>
        <w:t>%；</w:t>
      </w:r>
      <w:bookmarkStart w:id="47" w:name="_Toc2681"/>
      <w:bookmarkEnd w:id="47"/>
    </w:p>
    <w:p w14:paraId="0277FE99">
      <w:pPr>
        <w:pStyle w:val="2"/>
        <w:jc w:val="center"/>
        <w:rPr>
          <w:rFonts w:hint="eastAsia"/>
          <w:lang w:eastAsia="zh-CN"/>
        </w:rPr>
      </w:pPr>
      <w:r>
        <w:rPr>
          <w:rFonts w:hint="eastAsia"/>
          <w:lang w:eastAsia="zh-CN"/>
        </w:rPr>
        <w:drawing>
          <wp:inline distT="0" distB="0" distL="114300" distR="114300">
            <wp:extent cx="4062730" cy="2762885"/>
            <wp:effectExtent l="0" t="0" r="1270" b="5715"/>
            <wp:docPr id="6" name="图片 6" descr="%B{5~V3GNDQ19)5`TP~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5~V3GNDQ19)5`TP~Q~12"/>
                    <pic:cNvPicPr>
                      <a:picLocks noChangeAspect="1"/>
                    </pic:cNvPicPr>
                  </pic:nvPicPr>
                  <pic:blipFill>
                    <a:blip r:embed="rId8"/>
                    <a:stretch>
                      <a:fillRect/>
                    </a:stretch>
                  </pic:blipFill>
                  <pic:spPr>
                    <a:xfrm>
                      <a:off x="0" y="0"/>
                      <a:ext cx="4062730" cy="2762885"/>
                    </a:xfrm>
                    <a:prstGeom prst="rect">
                      <a:avLst/>
                    </a:prstGeom>
                  </pic:spPr>
                </pic:pic>
              </a:graphicData>
            </a:graphic>
          </wp:inline>
        </w:drawing>
      </w:r>
    </w:p>
    <w:p w14:paraId="38798CDB">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32"/>
          <w:szCs w:val="32"/>
        </w:rPr>
      </w:pPr>
      <w:r>
        <w:rPr>
          <w:rFonts w:hint="eastAsia"/>
          <w:color w:val="auto"/>
        </w:rPr>
        <w:t>（图3：支出决算结构图）</w:t>
      </w:r>
    </w:p>
    <w:bookmarkEnd w:id="45"/>
    <w:bookmarkEnd w:id="46"/>
    <w:p w14:paraId="22FCC523">
      <w:pPr>
        <w:spacing w:line="578" w:lineRule="exact"/>
        <w:ind w:firstLine="640" w:firstLineChars="200"/>
        <w:outlineLvl w:val="1"/>
        <w:rPr>
          <w:rStyle w:val="29"/>
          <w:rFonts w:ascii="黑体" w:hAnsi="黑体" w:eastAsia="黑体"/>
          <w:b w:val="0"/>
        </w:rPr>
      </w:pPr>
      <w:bookmarkStart w:id="48" w:name="_Toc12069"/>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48"/>
    </w:p>
    <w:p w14:paraId="5E3646B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年财政拨款收、支总计</w:t>
      </w:r>
      <w:r>
        <w:rPr>
          <w:rFonts w:hint="eastAsia" w:ascii="仿宋_GB2312" w:hAnsi="仿宋_GB2312" w:eastAsia="仿宋_GB2312" w:cs="仿宋_GB2312"/>
          <w:sz w:val="32"/>
          <w:szCs w:val="32"/>
          <w:lang w:val="en-US" w:eastAsia="zh-CN"/>
        </w:rPr>
        <w:t>2787.03</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年相比，财政拨款收、支总计各</w:t>
      </w:r>
      <w:r>
        <w:rPr>
          <w:rFonts w:hint="eastAsia" w:ascii="仿宋_GB2312" w:hAnsi="仿宋_GB2312" w:eastAsia="仿宋_GB2312" w:cs="仿宋_GB2312"/>
          <w:sz w:val="32"/>
          <w:szCs w:val="32"/>
          <w:lang w:val="en-US" w:eastAsia="zh-CN"/>
        </w:rPr>
        <w:t>减少106.91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6"/>
          <w:szCs w:val="36"/>
          <w:lang w:val="en-US" w:eastAsia="zh-CN"/>
        </w:rPr>
        <w:t>3.69</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val="en-US" w:eastAsia="zh-CN"/>
        </w:rPr>
        <w:t>人员经费减少</w:t>
      </w:r>
      <w:r>
        <w:rPr>
          <w:rFonts w:hint="eastAsia" w:ascii="仿宋_GB2312" w:hAnsi="仿宋_GB2312" w:eastAsia="仿宋_GB2312" w:cs="仿宋_GB2312"/>
          <w:sz w:val="32"/>
          <w:szCs w:val="32"/>
        </w:rPr>
        <w:t>。</w:t>
      </w:r>
    </w:p>
    <w:p w14:paraId="648CD860">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624580" cy="2351405"/>
            <wp:effectExtent l="0" t="0" r="7620" b="10795"/>
            <wp:docPr id="12" name="图片 12" descr="全年收支总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全年收支总计"/>
                    <pic:cNvPicPr>
                      <a:picLocks noChangeAspect="1"/>
                    </pic:cNvPicPr>
                  </pic:nvPicPr>
                  <pic:blipFill>
                    <a:blip r:embed="rId9"/>
                    <a:stretch>
                      <a:fillRect/>
                    </a:stretch>
                  </pic:blipFill>
                  <pic:spPr>
                    <a:xfrm>
                      <a:off x="0" y="0"/>
                      <a:ext cx="3624580" cy="2351405"/>
                    </a:xfrm>
                    <a:prstGeom prst="rect">
                      <a:avLst/>
                    </a:prstGeom>
                  </pic:spPr>
                </pic:pic>
              </a:graphicData>
            </a:graphic>
          </wp:inline>
        </w:drawing>
      </w:r>
    </w:p>
    <w:p w14:paraId="6058C2F1">
      <w:pPr>
        <w:spacing w:line="57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w:t>
      </w:r>
    </w:p>
    <w:p w14:paraId="731CEE79">
      <w:pPr>
        <w:spacing w:line="578" w:lineRule="exact"/>
        <w:ind w:firstLine="640" w:firstLineChars="200"/>
        <w:outlineLvl w:val="1"/>
        <w:rPr>
          <w:rStyle w:val="29"/>
          <w:rFonts w:ascii="黑体" w:hAnsi="黑体" w:eastAsia="黑体"/>
          <w:b w:val="0"/>
        </w:rPr>
      </w:pPr>
      <w:bookmarkStart w:id="49" w:name="_Toc15396607"/>
      <w:bookmarkEnd w:id="49"/>
      <w:bookmarkStart w:id="50" w:name="_Toc15377209"/>
      <w:bookmarkEnd w:id="50"/>
      <w:bookmarkStart w:id="51" w:name="_Toc19366"/>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51"/>
    </w:p>
    <w:p w14:paraId="6A21B361">
      <w:pPr>
        <w:spacing w:line="578" w:lineRule="exact"/>
        <w:ind w:firstLine="643" w:firstLineChars="200"/>
        <w:outlineLvl w:val="2"/>
        <w:rPr>
          <w:rFonts w:ascii="仿宋" w:hAnsi="仿宋" w:eastAsia="仿宋"/>
          <w:b/>
          <w:color w:val="000000"/>
          <w:sz w:val="32"/>
          <w:szCs w:val="32"/>
        </w:rPr>
      </w:pPr>
      <w:bookmarkStart w:id="52" w:name="_Toc15377210"/>
      <w:bookmarkEnd w:id="52"/>
      <w:r>
        <w:rPr>
          <w:rFonts w:hint="eastAsia" w:ascii="仿宋" w:hAnsi="仿宋" w:eastAsia="仿宋"/>
          <w:b/>
          <w:color w:val="000000"/>
          <w:sz w:val="32"/>
          <w:szCs w:val="32"/>
        </w:rPr>
        <w:t>（一）一般公共预算财政拨款支出决算总体情况</w:t>
      </w:r>
    </w:p>
    <w:p w14:paraId="7C6FE166">
      <w:pPr>
        <w:spacing w:line="578" w:lineRule="exact"/>
        <w:ind w:firstLine="640" w:firstLineChars="200"/>
        <w:rPr>
          <w:rFonts w:hint="default"/>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2787.03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年相比，一般公共预算财政拨款</w:t>
      </w:r>
      <w:r>
        <w:rPr>
          <w:rFonts w:hint="eastAsia" w:ascii="仿宋_GB2312" w:hAnsi="仿宋_GB2312" w:eastAsia="仿宋_GB2312" w:cs="仿宋_GB2312"/>
          <w:sz w:val="32"/>
          <w:szCs w:val="32"/>
          <w:lang w:val="en-US" w:eastAsia="zh-CN"/>
        </w:rPr>
        <w:t>减少106.91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val="en-US" w:eastAsia="zh-CN"/>
        </w:rPr>
        <w:t>减少3.69</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项目人员经费减少。</w:t>
      </w:r>
    </w:p>
    <w:p w14:paraId="7AFA9275">
      <w:pPr>
        <w:pStyle w:val="2"/>
        <w:jc w:val="center"/>
        <w:rPr>
          <w:rFonts w:hint="eastAsia"/>
          <w:lang w:eastAsia="zh-CN"/>
        </w:rPr>
      </w:pPr>
      <w:r>
        <w:rPr>
          <w:rFonts w:hint="eastAsia"/>
          <w:lang w:eastAsia="zh-CN"/>
        </w:rPr>
        <w:drawing>
          <wp:inline distT="0" distB="0" distL="114300" distR="114300">
            <wp:extent cx="5105400" cy="2931795"/>
            <wp:effectExtent l="0" t="0" r="0" b="1905"/>
            <wp:docPr id="2" name="图片 2" descr="W43S6ASXF$BL3NOFL{(Q1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43S6ASXF$BL3NOFL{(Q1J3"/>
                    <pic:cNvPicPr>
                      <a:picLocks noChangeAspect="1"/>
                    </pic:cNvPicPr>
                  </pic:nvPicPr>
                  <pic:blipFill>
                    <a:blip r:embed="rId10"/>
                    <a:stretch>
                      <a:fillRect/>
                    </a:stretch>
                  </pic:blipFill>
                  <pic:spPr>
                    <a:xfrm>
                      <a:off x="0" y="0"/>
                      <a:ext cx="5105400" cy="2931795"/>
                    </a:xfrm>
                    <a:prstGeom prst="rect">
                      <a:avLst/>
                    </a:prstGeom>
                  </pic:spPr>
                </pic:pic>
              </a:graphicData>
            </a:graphic>
          </wp:inline>
        </w:drawing>
      </w:r>
    </w:p>
    <w:p w14:paraId="5A4F4671">
      <w:pPr>
        <w:spacing w:line="578"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14:paraId="31812F1D">
      <w:pPr>
        <w:spacing w:line="578" w:lineRule="exact"/>
        <w:ind w:firstLine="643" w:firstLineChars="200"/>
        <w:outlineLvl w:val="2"/>
        <w:rPr>
          <w:rFonts w:ascii="仿宋" w:hAnsi="仿宋" w:eastAsia="仿宋"/>
          <w:b/>
          <w:color w:val="000000"/>
          <w:sz w:val="32"/>
          <w:szCs w:val="32"/>
        </w:rPr>
      </w:pPr>
      <w:bookmarkStart w:id="53" w:name="_Toc15377211"/>
      <w:bookmarkEnd w:id="53"/>
      <w:r>
        <w:rPr>
          <w:rFonts w:hint="eastAsia" w:ascii="仿宋" w:hAnsi="仿宋" w:eastAsia="仿宋"/>
          <w:b/>
          <w:color w:val="000000"/>
          <w:sz w:val="32"/>
          <w:szCs w:val="32"/>
        </w:rPr>
        <w:t>（二）一般公共预算财政拨款支出决算结构情况</w:t>
      </w:r>
    </w:p>
    <w:p w14:paraId="041D86FA">
      <w:pPr>
        <w:spacing w:line="578"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年一般公共预算财政拨款支出</w:t>
      </w:r>
      <w:r>
        <w:rPr>
          <w:rFonts w:hint="eastAsia" w:ascii="仿宋_GB2312" w:hAnsi="仿宋_GB2312" w:eastAsia="仿宋_GB2312" w:cs="仿宋_GB2312"/>
          <w:color w:val="auto"/>
          <w:sz w:val="32"/>
          <w:szCs w:val="32"/>
          <w:lang w:val="en-US" w:eastAsia="zh-CN"/>
        </w:rPr>
        <w:t>2787.03</w:t>
      </w:r>
      <w:r>
        <w:rPr>
          <w:rFonts w:hint="eastAsia" w:ascii="仿宋_GB2312" w:hAnsi="仿宋_GB2312" w:eastAsia="仿宋_GB2312" w:cs="仿宋_GB2312"/>
          <w:color w:val="auto"/>
          <w:sz w:val="32"/>
          <w:szCs w:val="32"/>
        </w:rPr>
        <w:t>万元，主要用于以下方面:教育支出</w:t>
      </w:r>
      <w:r>
        <w:rPr>
          <w:rFonts w:hint="eastAsia" w:ascii="仿宋_GB2312" w:hAnsi="仿宋_GB2312" w:eastAsia="仿宋_GB2312" w:cs="仿宋_GB2312"/>
          <w:color w:val="auto"/>
          <w:sz w:val="32"/>
          <w:szCs w:val="32"/>
          <w:lang w:val="en-US" w:eastAsia="zh-CN"/>
        </w:rPr>
        <w:t>2290.02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%；社会保障和就业支出支出</w:t>
      </w:r>
      <w:r>
        <w:rPr>
          <w:rFonts w:hint="eastAsia" w:ascii="仿宋_GB2312" w:hAnsi="仿宋_GB2312" w:eastAsia="仿宋_GB2312" w:cs="仿宋_GB2312"/>
          <w:color w:val="auto"/>
          <w:sz w:val="32"/>
          <w:szCs w:val="32"/>
          <w:lang w:val="en-US" w:eastAsia="zh-CN"/>
        </w:rPr>
        <w:t>323.98</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%；住房保障支出</w:t>
      </w:r>
      <w:r>
        <w:rPr>
          <w:rFonts w:hint="eastAsia" w:ascii="仿宋_GB2312" w:hAnsi="仿宋_GB2312" w:eastAsia="仿宋_GB2312" w:cs="仿宋_GB2312"/>
          <w:color w:val="auto"/>
          <w:sz w:val="32"/>
          <w:szCs w:val="32"/>
          <w:lang w:val="en-US" w:eastAsia="zh-CN"/>
        </w:rPr>
        <w:t>80.31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卫生健康支出</w:t>
      </w:r>
      <w:r>
        <w:rPr>
          <w:rStyle w:val="17"/>
          <w:rFonts w:hint="eastAsia" w:ascii="仿宋" w:hAnsi="仿宋" w:eastAsia="仿宋"/>
          <w:b w:val="0"/>
          <w:bCs/>
          <w:color w:val="000000"/>
          <w:sz w:val="32"/>
          <w:szCs w:val="32"/>
          <w:lang w:val="en-US" w:eastAsia="zh-CN"/>
        </w:rPr>
        <w:t>92.73</w:t>
      </w:r>
      <w:r>
        <w:rPr>
          <w:rStyle w:val="17"/>
          <w:rFonts w:hint="eastAsia" w:ascii="仿宋" w:hAnsi="仿宋" w:eastAsia="仿宋"/>
          <w:b w:val="0"/>
          <w:bCs/>
          <w:color w:val="000000"/>
          <w:sz w:val="32"/>
          <w:szCs w:val="32"/>
        </w:rPr>
        <w:t>万元</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lang w:val="en-US" w:eastAsia="zh-CN"/>
        </w:rPr>
        <w:t>占3%。</w:t>
      </w:r>
    </w:p>
    <w:p w14:paraId="445A723F">
      <w:pPr>
        <w:pStyle w:val="2"/>
        <w:jc w:val="center"/>
        <w:rPr>
          <w:rFonts w:hint="eastAsia" w:ascii="仿宋_GB2312" w:hAnsi="仿宋_GB2312" w:eastAsia="仿宋_GB2312" w:cs="仿宋_GB2312"/>
          <w:sz w:val="32"/>
          <w:szCs w:val="32"/>
          <w:lang w:eastAsia="zh-CN"/>
        </w:rPr>
      </w:pPr>
    </w:p>
    <w:p w14:paraId="1FB2104C">
      <w:pPr>
        <w:pStyle w:val="2"/>
        <w:jc w:val="both"/>
        <w:rPr>
          <w:rFonts w:hint="eastAsia" w:ascii="仿宋_GB2312" w:hAnsi="仿宋_GB2312" w:eastAsia="仿宋_GB2312" w:cs="仿宋_GB2312"/>
          <w:sz w:val="32"/>
          <w:szCs w:val="32"/>
          <w:lang w:eastAsia="zh-CN"/>
        </w:rPr>
      </w:pPr>
    </w:p>
    <w:p w14:paraId="68F8EBFB">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070350" cy="2759710"/>
            <wp:effectExtent l="0" t="0" r="6350" b="8890"/>
            <wp:docPr id="3" name="图片 3" descr="Z3TX379VJS7OFEC_GM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3TX379VJS7OFEC_GMA)C(6"/>
                    <pic:cNvPicPr>
                      <a:picLocks noChangeAspect="1"/>
                    </pic:cNvPicPr>
                  </pic:nvPicPr>
                  <pic:blipFill>
                    <a:blip r:embed="rId11"/>
                    <a:stretch>
                      <a:fillRect/>
                    </a:stretch>
                  </pic:blipFill>
                  <pic:spPr>
                    <a:xfrm>
                      <a:off x="0" y="0"/>
                      <a:ext cx="4070350" cy="2759710"/>
                    </a:xfrm>
                    <a:prstGeom prst="rect">
                      <a:avLst/>
                    </a:prstGeom>
                  </pic:spPr>
                </pic:pic>
              </a:graphicData>
            </a:graphic>
          </wp:inline>
        </w:drawing>
      </w:r>
    </w:p>
    <w:p w14:paraId="75FED25C">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14:paraId="7FF0CE35">
      <w:pPr>
        <w:spacing w:line="578" w:lineRule="exact"/>
        <w:ind w:firstLine="643" w:firstLineChars="200"/>
        <w:outlineLvl w:val="2"/>
        <w:rPr>
          <w:rFonts w:ascii="仿宋" w:hAnsi="仿宋" w:eastAsia="仿宋"/>
          <w:b/>
          <w:color w:val="000000"/>
          <w:sz w:val="32"/>
          <w:szCs w:val="32"/>
        </w:rPr>
      </w:pPr>
      <w:bookmarkStart w:id="54" w:name="_Toc15377212"/>
      <w:bookmarkEnd w:id="54"/>
      <w:r>
        <w:rPr>
          <w:rFonts w:hint="eastAsia" w:ascii="仿宋" w:hAnsi="仿宋" w:eastAsia="仿宋"/>
          <w:b/>
          <w:color w:val="000000"/>
          <w:sz w:val="32"/>
          <w:szCs w:val="32"/>
        </w:rPr>
        <w:t>（三）一般公共预算财政拨款支出决算具体情况</w:t>
      </w:r>
    </w:p>
    <w:p w14:paraId="23C2BF38">
      <w:pPr>
        <w:bidi w:val="0"/>
        <w:rPr>
          <w:rFonts w:hint="eastAsia" w:ascii="仿宋_GB2312" w:hAnsi="仿宋_GB2312" w:eastAsia="仿宋_GB2312" w:cs="仿宋_GB2312"/>
          <w:sz w:val="32"/>
          <w:szCs w:val="32"/>
        </w:rPr>
      </w:pPr>
      <w:bookmarkStart w:id="55" w:name="_Toc15377444"/>
      <w:bookmarkEnd w:id="55"/>
      <w:bookmarkStart w:id="56" w:name="_Toc15377213"/>
      <w:bookmarkEnd w:id="56"/>
      <w:bookmarkStart w:id="57" w:name="_Toc15378460"/>
      <w:bookmarkEnd w:id="57"/>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年一般公共预算支出决算数为</w:t>
      </w:r>
      <w:r>
        <w:rPr>
          <w:rFonts w:hint="eastAsia" w:ascii="仿宋_GB2312" w:hAnsi="仿宋_GB2312" w:eastAsia="仿宋_GB2312" w:cs="仿宋_GB2312"/>
          <w:sz w:val="32"/>
          <w:szCs w:val="32"/>
          <w:lang w:val="en-US" w:eastAsia="zh-CN"/>
        </w:rPr>
        <w:t>2787.03万元</w:t>
      </w:r>
      <w:r>
        <w:rPr>
          <w:rFonts w:hint="eastAsia" w:ascii="仿宋_GB2312" w:hAnsi="仿宋_GB2312" w:eastAsia="仿宋_GB2312" w:cs="仿宋_GB2312"/>
          <w:sz w:val="32"/>
          <w:szCs w:val="32"/>
        </w:rPr>
        <w:t>，完成预算100%。其中：</w:t>
      </w:r>
    </w:p>
    <w:p w14:paraId="43ECA4FC">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教育支出（205）普通教育（02）</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100.6</w:t>
      </w:r>
      <w:r>
        <w:rPr>
          <w:rFonts w:hint="eastAsia" w:ascii="仿宋_GB2312" w:hAnsi="仿宋_GB2312" w:eastAsia="仿宋_GB2312" w:cs="仿宋_GB2312"/>
          <w:sz w:val="32"/>
          <w:szCs w:val="32"/>
        </w:rPr>
        <w:t>万元，完成预算100%。</w:t>
      </w:r>
    </w:p>
    <w:p w14:paraId="2BF5283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教育支出（205）普通教育（02）</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2159.42</w:t>
      </w:r>
      <w:r>
        <w:rPr>
          <w:rFonts w:hint="eastAsia" w:ascii="仿宋_GB2312" w:hAnsi="仿宋_GB2312" w:eastAsia="仿宋_GB2312" w:cs="仿宋_GB2312"/>
          <w:sz w:val="32"/>
          <w:szCs w:val="32"/>
        </w:rPr>
        <w:t>万元，完成预算100%。</w:t>
      </w:r>
    </w:p>
    <w:p w14:paraId="5D72F8F2">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教育支出（205）普通教育（02）</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万元，完成预算100%。</w:t>
      </w:r>
    </w:p>
    <w:p w14:paraId="6532126A">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社会保障和就业支出（208）事业单位离退休（05）机关事业单位基本养老保险缴费支出（0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p>
    <w:p w14:paraId="14E6FE76">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5.社</w:t>
      </w:r>
      <w:r>
        <w:rPr>
          <w:rFonts w:hint="eastAsia" w:ascii="仿宋_GB2312" w:hAnsi="仿宋_GB2312" w:eastAsia="仿宋_GB2312" w:cs="仿宋_GB2312"/>
          <w:sz w:val="32"/>
          <w:szCs w:val="32"/>
        </w:rPr>
        <w:t>会保障和就业支出（208）行政事业单位离退休（05）机关事业单位基本养老保险缴费支出（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：支出决算为127.84万元，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p>
    <w:p w14:paraId="0A97E145">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6.社</w:t>
      </w:r>
      <w:r>
        <w:rPr>
          <w:rFonts w:hint="eastAsia" w:ascii="仿宋_GB2312" w:hAnsi="仿宋_GB2312" w:eastAsia="仿宋_GB2312" w:cs="仿宋_GB2312"/>
          <w:sz w:val="32"/>
          <w:szCs w:val="32"/>
        </w:rPr>
        <w:t>会保障和就业支出（208）行政事业单位离退休（05）机关事业单位职业年金缴费支出（</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：支出决算为13.47万元，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p>
    <w:p w14:paraId="3EEB39C3">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7.社</w:t>
      </w:r>
      <w:r>
        <w:rPr>
          <w:rFonts w:hint="eastAsia" w:ascii="仿宋_GB2312" w:hAnsi="仿宋_GB2312" w:eastAsia="仿宋_GB2312" w:cs="仿宋_GB2312"/>
          <w:sz w:val="32"/>
          <w:szCs w:val="32"/>
        </w:rPr>
        <w:t>会保障和就业支出（208）行政事业单位离退休（05）其他行政事业单位养老支出（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：支出决算为155.07万元，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p>
    <w:p w14:paraId="717187C4">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8.社</w:t>
      </w:r>
      <w:r>
        <w:rPr>
          <w:rFonts w:hint="eastAsia" w:ascii="仿宋_GB2312" w:hAnsi="仿宋_GB2312" w:eastAsia="仿宋_GB2312" w:cs="仿宋_GB2312"/>
          <w:sz w:val="32"/>
          <w:szCs w:val="32"/>
        </w:rPr>
        <w:t>会保障和就业支出（208）</w:t>
      </w:r>
      <w:r>
        <w:rPr>
          <w:rFonts w:hint="eastAsia" w:ascii="仿宋_GB2312" w:hAnsi="仿宋_GB2312" w:eastAsia="仿宋_GB2312" w:cs="仿宋_GB2312"/>
          <w:sz w:val="32"/>
          <w:szCs w:val="32"/>
          <w:lang w:val="en-US" w:eastAsia="zh-CN"/>
        </w:rPr>
        <w:t>抚恤（08）死亡抚恤（01）支出决算为11.09万元，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p>
    <w:p w14:paraId="6B7BB107">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（210）行政事业单位医疗（11）事业单位医疗（02）:支出决算为</w:t>
      </w:r>
      <w:r>
        <w:rPr>
          <w:rFonts w:hint="eastAsia" w:ascii="仿宋_GB2312" w:hAnsi="仿宋_GB2312" w:eastAsia="仿宋_GB2312" w:cs="仿宋_GB2312"/>
          <w:sz w:val="32"/>
          <w:szCs w:val="32"/>
          <w:lang w:val="en-US" w:eastAsia="zh-CN"/>
        </w:rPr>
        <w:t>92.73</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6ADC9D20">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住房保障支出（2</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）住房改革支出（02）住房公积金（01）：支出决算为</w:t>
      </w:r>
      <w:r>
        <w:rPr>
          <w:rFonts w:hint="eastAsia" w:ascii="仿宋_GB2312" w:hAnsi="仿宋_GB2312" w:eastAsia="仿宋_GB2312" w:cs="仿宋_GB2312"/>
          <w:sz w:val="32"/>
          <w:szCs w:val="32"/>
          <w:lang w:val="en-US" w:eastAsia="zh-CN"/>
        </w:rPr>
        <w:t>80.31</w:t>
      </w:r>
      <w:r>
        <w:rPr>
          <w:rFonts w:hint="eastAsia" w:ascii="仿宋_GB2312" w:hAnsi="仿宋_GB2312" w:eastAsia="仿宋_GB2312" w:cs="仿宋_GB2312"/>
          <w:sz w:val="32"/>
          <w:szCs w:val="32"/>
        </w:rPr>
        <w:t>万元，完成预算100%。</w:t>
      </w:r>
    </w:p>
    <w:p w14:paraId="72583EBF">
      <w:pPr>
        <w:tabs>
          <w:tab w:val="right" w:pos="8306"/>
        </w:tabs>
        <w:spacing w:line="578" w:lineRule="exact"/>
        <w:ind w:firstLine="640"/>
        <w:outlineLvl w:val="1"/>
        <w:rPr>
          <w:rStyle w:val="29"/>
        </w:rPr>
      </w:pPr>
      <w:bookmarkStart w:id="58" w:name="_Toc15396608"/>
      <w:bookmarkEnd w:id="58"/>
      <w:bookmarkStart w:id="59" w:name="_Toc15377214"/>
      <w:bookmarkEnd w:id="59"/>
      <w:bookmarkStart w:id="60" w:name="_Toc150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60"/>
      <w:r>
        <w:rPr>
          <w:rStyle w:val="29"/>
          <w:rFonts w:ascii="黑体" w:hAnsi="黑体" w:eastAsia="黑体"/>
          <w:b w:val="0"/>
        </w:rPr>
        <w:tab/>
      </w:r>
    </w:p>
    <w:p w14:paraId="3D1B0896">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color w:val="auto"/>
          <w:sz w:val="32"/>
          <w:szCs w:val="32"/>
          <w:lang w:val="en-US" w:eastAsia="zh-CN"/>
        </w:rPr>
        <w:t>1884.52</w:t>
      </w:r>
      <w:r>
        <w:rPr>
          <w:rFonts w:hint="eastAsia" w:ascii="仿宋_GB2312" w:hAnsi="仿宋_GB2312" w:eastAsia="仿宋_GB2312" w:cs="仿宋_GB2312"/>
          <w:sz w:val="32"/>
          <w:szCs w:val="32"/>
        </w:rPr>
        <w:t>万元，其中：</w:t>
      </w:r>
    </w:p>
    <w:p w14:paraId="36322FBA">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1666.94</w:t>
      </w:r>
      <w:r>
        <w:rPr>
          <w:rFonts w:hint="eastAsia" w:ascii="仿宋_GB2312" w:hAnsi="仿宋_GB2312" w:eastAsia="仿宋_GB2312" w:cs="仿宋_GB2312"/>
          <w:sz w:val="32"/>
          <w:szCs w:val="32"/>
        </w:rPr>
        <w:t>万元，主要包括：基本工资476.61万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75.38</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292.48</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127.84</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职工基本医疗保险缴费</w:t>
      </w:r>
      <w:r>
        <w:rPr>
          <w:rFonts w:hint="eastAsia" w:ascii="仿宋_GB2312" w:hAnsi="仿宋_GB2312" w:eastAsia="仿宋_GB2312" w:cs="仿宋_GB2312"/>
          <w:sz w:val="32"/>
          <w:szCs w:val="32"/>
          <w:highlight w:val="none"/>
          <w:lang w:val="en-US" w:eastAsia="zh-CN"/>
        </w:rPr>
        <w:t>88.66</w:t>
      </w:r>
      <w:r>
        <w:rPr>
          <w:rFonts w:hint="eastAsia" w:ascii="仿宋_GB2312" w:hAnsi="仿宋_GB2312" w:eastAsia="仿宋_GB2312" w:cs="仿宋_GB2312"/>
          <w:sz w:val="32"/>
          <w:szCs w:val="32"/>
          <w:lang w:val="en-US" w:eastAsia="zh-CN"/>
        </w:rPr>
        <w:t>万元、其他社保障缴费4.06万元、</w:t>
      </w:r>
      <w:r>
        <w:rPr>
          <w:rFonts w:hint="eastAsia" w:ascii="仿宋_GB2312" w:hAnsi="仿宋_GB2312" w:eastAsia="仿宋_GB2312" w:cs="仿宋_GB2312"/>
          <w:sz w:val="32"/>
          <w:szCs w:val="32"/>
        </w:rPr>
        <w:t>住房</w:t>
      </w:r>
      <w:r>
        <w:rPr>
          <w:rFonts w:ascii="仿宋_GB2312" w:hAnsi="仿宋_GB2312" w:eastAsia="仿宋_GB2312" w:cs="仿宋_GB2312"/>
          <w:sz w:val="32"/>
          <w:szCs w:val="32"/>
        </w:rPr>
        <w:t>公积金</w:t>
      </w:r>
      <w:r>
        <w:rPr>
          <w:rFonts w:hint="eastAsia" w:ascii="仿宋_GB2312" w:hAnsi="仿宋_GB2312" w:eastAsia="仿宋_GB2312" w:cs="仿宋_GB2312"/>
          <w:sz w:val="32"/>
          <w:szCs w:val="32"/>
          <w:lang w:val="en-US" w:eastAsia="zh-CN"/>
        </w:rPr>
        <w:t>80.31</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元、其他工资福利支出</w:t>
      </w:r>
      <w:r>
        <w:rPr>
          <w:rFonts w:hint="eastAsia" w:ascii="仿宋_GB2312" w:hAnsi="仿宋_GB2312" w:eastAsia="仿宋_GB2312" w:cs="仿宋_GB2312"/>
          <w:sz w:val="32"/>
          <w:szCs w:val="32"/>
          <w:lang w:val="en-US" w:eastAsia="zh-CN"/>
        </w:rPr>
        <w:t>324.76</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职业年金13.47万元、抚恤金11.09万元、生活补助172.24万元，奖励金0.03万元。</w:t>
      </w:r>
    </w:p>
    <w:p w14:paraId="485EE887">
      <w:pPr>
        <w:spacing w:line="578" w:lineRule="exact"/>
        <w:ind w:firstLine="640" w:firstLineChars="200"/>
        <w:rPr>
          <w:rFonts w:hint="eastAsia"/>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217.57</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39.87</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手续费0.0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val="en-US" w:eastAsia="zh-CN"/>
        </w:rPr>
        <w:t>8.66</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、物业管理费</w:t>
      </w:r>
      <w:r>
        <w:rPr>
          <w:rFonts w:hint="eastAsia" w:ascii="仿宋_GB2312" w:hAnsi="仿宋_GB2312" w:eastAsia="仿宋_GB2312" w:cs="仿宋_GB2312"/>
          <w:sz w:val="32"/>
          <w:szCs w:val="32"/>
          <w:lang w:val="en-US" w:eastAsia="zh-CN"/>
        </w:rPr>
        <w:t>11.36万元、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8.12</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、维修（护）费</w:t>
      </w:r>
      <w:r>
        <w:rPr>
          <w:rFonts w:hint="eastAsia" w:ascii="仿宋_GB2312" w:hAnsi="仿宋_GB2312" w:eastAsia="仿宋_GB2312" w:cs="仿宋_GB2312"/>
          <w:sz w:val="32"/>
          <w:szCs w:val="32"/>
          <w:lang w:val="en-US" w:eastAsia="zh-CN"/>
        </w:rPr>
        <w:t>36.34</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专用材料费5.06万元，</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val="en-US" w:eastAsia="zh-CN"/>
        </w:rPr>
        <w:t>33.69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28.42</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、其他商品和服务支出1</w:t>
      </w:r>
      <w:r>
        <w:rPr>
          <w:rFonts w:hint="eastAsia" w:ascii="仿宋_GB2312" w:hAnsi="仿宋_GB2312" w:eastAsia="仿宋_GB2312" w:cs="仿宋_GB2312"/>
          <w:sz w:val="32"/>
          <w:szCs w:val="32"/>
          <w:lang w:val="en-US" w:eastAsia="zh-CN"/>
        </w:rPr>
        <w:t>6.12</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bookmarkStart w:id="61" w:name="_Toc15377215"/>
      <w:bookmarkEnd w:id="61"/>
      <w:bookmarkStart w:id="62" w:name="_Toc15396609"/>
      <w:bookmarkEnd w:id="62"/>
      <w:bookmarkStart w:id="63" w:name="_Toc32236"/>
    </w:p>
    <w:p w14:paraId="6FC47A2A">
      <w:pPr>
        <w:spacing w:line="578" w:lineRule="exact"/>
        <w:ind w:firstLine="640"/>
        <w:outlineLvl w:val="1"/>
        <w:rPr>
          <w:rStyle w:val="29"/>
          <w:rFonts w:ascii="黑体" w:hAnsi="黑体" w:eastAsia="黑体"/>
          <w:b w:val="0"/>
        </w:rPr>
      </w:pPr>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63"/>
    </w:p>
    <w:p w14:paraId="5F2A0F28">
      <w:pPr>
        <w:spacing w:line="578" w:lineRule="exact"/>
        <w:ind w:firstLine="640"/>
        <w:outlineLvl w:val="2"/>
        <w:rPr>
          <w:rFonts w:ascii="仿宋" w:hAnsi="仿宋" w:eastAsia="仿宋"/>
          <w:b/>
          <w:color w:val="000000"/>
          <w:sz w:val="32"/>
          <w:szCs w:val="32"/>
        </w:rPr>
      </w:pPr>
      <w:bookmarkStart w:id="64" w:name="_Toc15377216"/>
      <w:bookmarkEnd w:id="64"/>
      <w:r>
        <w:rPr>
          <w:rFonts w:hint="eastAsia" w:ascii="仿宋" w:hAnsi="仿宋" w:eastAsia="仿宋"/>
          <w:b/>
          <w:color w:val="000000"/>
          <w:sz w:val="32"/>
          <w:szCs w:val="32"/>
        </w:rPr>
        <w:t>（一）“三公”经费财政拨款支出决算总体情况说明</w:t>
      </w:r>
    </w:p>
    <w:p w14:paraId="1E5C8691">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万元，完成</w:t>
      </w:r>
      <w:r>
        <w:rPr>
          <w:rFonts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7638978F">
      <w:pPr>
        <w:spacing w:line="578" w:lineRule="exact"/>
        <w:ind w:firstLine="640"/>
        <w:outlineLvl w:val="2"/>
        <w:rPr>
          <w:rFonts w:ascii="仿宋" w:hAnsi="仿宋" w:eastAsia="仿宋"/>
          <w:b/>
          <w:color w:val="000000"/>
          <w:sz w:val="32"/>
          <w:szCs w:val="32"/>
        </w:rPr>
      </w:pPr>
      <w:bookmarkStart w:id="65" w:name="_Toc15377217"/>
      <w:bookmarkEnd w:id="65"/>
      <w:r>
        <w:rPr>
          <w:rFonts w:hint="eastAsia" w:ascii="仿宋" w:hAnsi="仿宋" w:eastAsia="仿宋"/>
          <w:b/>
          <w:color w:val="000000"/>
          <w:sz w:val="32"/>
          <w:szCs w:val="32"/>
        </w:rPr>
        <w:t>（二）“三公”经费财政拨款支出决算具体情况说明</w:t>
      </w:r>
    </w:p>
    <w:p w14:paraId="09BEBBD3">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%。具体情况如下：</w:t>
      </w:r>
    </w:p>
    <w:p w14:paraId="420BFA91">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914140" cy="2289810"/>
            <wp:effectExtent l="0" t="0" r="10160" b="8890"/>
            <wp:docPr id="9" name="图片 9" descr="BTK13E08E})5U~%06N}F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TK13E08E})5U~%06N}FX2W"/>
                    <pic:cNvPicPr>
                      <a:picLocks noChangeAspect="1"/>
                    </pic:cNvPicPr>
                  </pic:nvPicPr>
                  <pic:blipFill>
                    <a:blip r:embed="rId12"/>
                    <a:stretch>
                      <a:fillRect/>
                    </a:stretch>
                  </pic:blipFill>
                  <pic:spPr>
                    <a:xfrm>
                      <a:off x="0" y="0"/>
                      <a:ext cx="3914140" cy="2289810"/>
                    </a:xfrm>
                    <a:prstGeom prst="rect">
                      <a:avLst/>
                    </a:prstGeom>
                  </pic:spPr>
                </pic:pic>
              </a:graphicData>
            </a:graphic>
          </wp:inline>
        </w:drawing>
      </w:r>
    </w:p>
    <w:p w14:paraId="266398B0">
      <w:pPr>
        <w:spacing w:line="578"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图</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：“三公”经费财政拨款支出结构</w:t>
      </w:r>
    </w:p>
    <w:p w14:paraId="152D6EDC">
      <w:pPr>
        <w:spacing w:line="578"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1.因公出国（境）经费支出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万元。全年安排因公出国（境）团组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次，出国（境）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人。因公出国（境）支出决算比20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增加0.00万元，增加0.00%。</w:t>
      </w:r>
    </w:p>
    <w:p w14:paraId="08D26806">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2.公务用车购置及运行维护费支出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%。公务用车购置及运行维护费支出决算比20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增加0.00万元，增加0.00%</w:t>
      </w:r>
      <w:r>
        <w:rPr>
          <w:rFonts w:hint="eastAsia" w:ascii="仿宋_GB2312" w:hAnsi="仿宋_GB2312" w:eastAsia="仿宋_GB2312" w:cs="仿宋_GB2312"/>
          <w:sz w:val="32"/>
          <w:szCs w:val="32"/>
        </w:rPr>
        <w:t>。其中：公务用车购置支出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万元。全年按规定更新购置公务用车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辆，其中：轿车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万元，越野车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万元，载客汽车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年12月底，单位共有公务用车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辆，其中：轿车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辆、越野车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辆、载客汽车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14:paraId="683F6336">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14:paraId="6825F5E8">
      <w:pPr>
        <w:numPr>
          <w:ilvl w:val="0"/>
          <w:numId w:val="2"/>
        </w:num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减少0.12万元，减少12.24%，主要原因正常浮动。</w:t>
      </w:r>
    </w:p>
    <w:p w14:paraId="568A2677">
      <w:pPr>
        <w:numPr>
          <w:ilvl w:val="0"/>
          <w:numId w:val="0"/>
        </w:num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国内公务接待</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批次，</w:t>
      </w:r>
      <w:r>
        <w:rPr>
          <w:rFonts w:hint="eastAsia" w:ascii="仿宋_GB2312" w:hAnsi="仿宋_GB2312" w:eastAsia="仿宋_GB2312" w:cs="仿宋_GB2312"/>
          <w:color w:val="auto"/>
          <w:sz w:val="32"/>
          <w:szCs w:val="32"/>
          <w:lang w:val="en-US" w:eastAsia="zh-CN"/>
        </w:rPr>
        <w:t>172</w:t>
      </w:r>
      <w:r>
        <w:rPr>
          <w:rFonts w:hint="eastAsia" w:ascii="仿宋_GB2312" w:hAnsi="仿宋_GB2312" w:eastAsia="仿宋_GB2312" w:cs="仿宋_GB2312"/>
          <w:color w:val="auto"/>
          <w:sz w:val="32"/>
          <w:szCs w:val="32"/>
        </w:rPr>
        <w:t>人次（不包括陪同人员），共计支出</w:t>
      </w:r>
      <w:r>
        <w:rPr>
          <w:rFonts w:hint="eastAsia" w:ascii="仿宋_GB2312" w:hAnsi="仿宋_GB2312" w:eastAsia="仿宋_GB2312" w:cs="仿宋_GB2312"/>
          <w:color w:val="auto"/>
          <w:sz w:val="32"/>
          <w:szCs w:val="32"/>
          <w:lang w:val="en-US" w:eastAsia="zh-CN"/>
        </w:rPr>
        <w:t>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万元。</w:t>
      </w:r>
    </w:p>
    <w:p w14:paraId="6B1F643B">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外事接待支出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万元，外事接待</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人，共计支出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14:paraId="2D2B27E4">
      <w:pPr>
        <w:spacing w:line="578" w:lineRule="exact"/>
        <w:ind w:firstLine="640"/>
        <w:outlineLvl w:val="1"/>
        <w:rPr>
          <w:rStyle w:val="29"/>
          <w:rFonts w:ascii="黑体" w:hAnsi="黑体" w:eastAsia="黑体"/>
        </w:rPr>
      </w:pPr>
      <w:bookmarkStart w:id="66" w:name="_Toc15377218"/>
      <w:bookmarkEnd w:id="66"/>
      <w:bookmarkStart w:id="67" w:name="_Toc15396610"/>
      <w:bookmarkEnd w:id="67"/>
      <w:bookmarkStart w:id="68" w:name="_Toc24523"/>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68"/>
    </w:p>
    <w:p w14:paraId="1E12E992">
      <w:pPr>
        <w:spacing w:line="578" w:lineRule="exact"/>
        <w:ind w:firstLine="643" w:firstLineChars="200"/>
        <w:outlineLvl w:val="2"/>
        <w:rPr>
          <w:rFonts w:ascii="仿宋" w:hAnsi="仿宋" w:eastAsia="仿宋"/>
          <w:b/>
          <w:color w:val="000000"/>
          <w:sz w:val="32"/>
          <w:szCs w:val="32"/>
        </w:rPr>
      </w:pPr>
      <w:bookmarkStart w:id="69" w:name="_Toc15377219"/>
      <w:bookmarkStart w:id="70" w:name="_Toc15396611"/>
      <w:r>
        <w:rPr>
          <w:rFonts w:hint="eastAsia" w:ascii="仿宋" w:hAnsi="仿宋" w:eastAsia="仿宋"/>
          <w:b/>
          <w:color w:val="000000"/>
          <w:sz w:val="32"/>
          <w:szCs w:val="32"/>
        </w:rPr>
        <w:t>（一）政府性基金预算财政拨款支出决算总体情况</w:t>
      </w:r>
    </w:p>
    <w:p w14:paraId="790168E1">
      <w:pPr>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年政府性基金预算财政拨款支出</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bookmarkEnd w:id="69"/>
    <w:bookmarkEnd w:id="70"/>
    <w:p w14:paraId="147A3039">
      <w:pPr>
        <w:numPr>
          <w:ilvl w:val="0"/>
          <w:numId w:val="3"/>
        </w:numPr>
        <w:spacing w:line="578" w:lineRule="exact"/>
        <w:ind w:firstLine="640"/>
        <w:outlineLvl w:val="1"/>
        <w:rPr>
          <w:rStyle w:val="29"/>
          <w:rFonts w:ascii="黑体" w:hAnsi="黑体" w:eastAsia="黑体"/>
          <w:b w:val="0"/>
        </w:rPr>
      </w:pPr>
      <w:bookmarkStart w:id="71" w:name="_Toc24983"/>
      <w:r>
        <w:rPr>
          <w:rStyle w:val="29"/>
          <w:rFonts w:hint="eastAsia" w:ascii="黑体" w:hAnsi="黑体" w:eastAsia="黑体"/>
          <w:b w:val="0"/>
        </w:rPr>
        <w:t>国有资本经营预算支出决算情况说明</w:t>
      </w:r>
      <w:bookmarkEnd w:id="71"/>
    </w:p>
    <w:p w14:paraId="26C0F482">
      <w:pPr>
        <w:spacing w:line="578" w:lineRule="exact"/>
        <w:ind w:firstLine="640"/>
        <w:rPr>
          <w:rFonts w:ascii="仿宋_GB2312" w:eastAsia="仿宋_GB2312"/>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年国有资本经营预算拨款支出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p>
    <w:p w14:paraId="097CDE75">
      <w:pPr>
        <w:spacing w:line="578" w:lineRule="exact"/>
        <w:ind w:firstLine="640" w:firstLineChars="200"/>
        <w:outlineLvl w:val="1"/>
        <w:rPr>
          <w:rStyle w:val="29"/>
          <w:rFonts w:ascii="黑体" w:hAnsi="黑体" w:eastAsia="黑体"/>
        </w:rPr>
      </w:pPr>
      <w:bookmarkStart w:id="72" w:name="_Toc15377221"/>
      <w:bookmarkEnd w:id="72"/>
      <w:bookmarkStart w:id="73" w:name="_Toc15396612"/>
      <w:bookmarkEnd w:id="73"/>
      <w:bookmarkStart w:id="74" w:name="_Toc5545"/>
      <w:r>
        <w:rPr>
          <w:rFonts w:hint="eastAsia" w:ascii="黑体" w:hAnsi="黑体" w:eastAsia="黑体"/>
          <w:color w:val="000000"/>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74"/>
    </w:p>
    <w:p w14:paraId="2350EE06">
      <w:pPr>
        <w:spacing w:line="578" w:lineRule="exact"/>
        <w:ind w:firstLine="643" w:firstLineChars="200"/>
        <w:outlineLvl w:val="2"/>
        <w:rPr>
          <w:rFonts w:ascii="仿宋" w:hAnsi="仿宋" w:eastAsia="仿宋"/>
          <w:color w:val="000000"/>
          <w:sz w:val="32"/>
          <w:szCs w:val="32"/>
        </w:rPr>
      </w:pPr>
      <w:bookmarkStart w:id="75" w:name="_Toc15377222"/>
      <w:bookmarkEnd w:id="75"/>
      <w:r>
        <w:rPr>
          <w:rFonts w:hint="eastAsia" w:ascii="仿宋" w:hAnsi="仿宋" w:eastAsia="仿宋"/>
          <w:b/>
          <w:color w:val="000000"/>
          <w:sz w:val="32"/>
          <w:szCs w:val="32"/>
        </w:rPr>
        <w:t>（一）机关运行经费支出情况</w:t>
      </w:r>
    </w:p>
    <w:p w14:paraId="196D22E7">
      <w:pPr>
        <w:spacing w:line="578" w:lineRule="exact"/>
        <w:ind w:firstLine="640"/>
        <w:rPr>
          <w:rFonts w:ascii="仿宋" w:hAnsi="仿宋" w:eastAsia="仿宋"/>
          <w:b/>
          <w:color w:val="000000"/>
          <w:sz w:val="32"/>
          <w:szCs w:val="32"/>
        </w:rPr>
      </w:pPr>
      <w:r>
        <w:rPr>
          <w:rFonts w:hint="eastAsia" w:ascii="仿宋_GB2312" w:hAnsi="仿宋_GB2312" w:eastAsia="仿宋_GB2312" w:cs="仿宋_GB2312"/>
          <w:sz w:val="32"/>
          <w:szCs w:val="32"/>
        </w:rPr>
        <w:t>单位执行事业单位会计制度无机关运行经费。</w:t>
      </w:r>
    </w:p>
    <w:p w14:paraId="6711A04A">
      <w:pPr>
        <w:autoSpaceDE w:val="0"/>
        <w:autoSpaceDN w:val="0"/>
        <w:adjustRightInd w:val="0"/>
        <w:spacing w:line="578" w:lineRule="exact"/>
        <w:ind w:firstLine="643" w:firstLineChars="200"/>
        <w:jc w:val="left"/>
        <w:outlineLvl w:val="2"/>
        <w:rPr>
          <w:rFonts w:ascii="仿宋" w:hAnsi="仿宋" w:eastAsia="仿宋"/>
          <w:b/>
          <w:color w:val="000000"/>
          <w:sz w:val="32"/>
          <w:szCs w:val="32"/>
        </w:rPr>
      </w:pPr>
      <w:bookmarkStart w:id="76" w:name="_Toc15377223"/>
      <w:bookmarkEnd w:id="76"/>
      <w:r>
        <w:rPr>
          <w:rFonts w:hint="eastAsia" w:ascii="仿宋" w:hAnsi="仿宋" w:eastAsia="仿宋"/>
          <w:b/>
          <w:color w:val="000000"/>
          <w:sz w:val="32"/>
          <w:szCs w:val="32"/>
        </w:rPr>
        <w:t>（二）政府采购支出情况</w:t>
      </w:r>
    </w:p>
    <w:p w14:paraId="3FF1A599">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年，大竹县庙坝镇中心小学政府采购支出总额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p>
    <w:p w14:paraId="71C53BE7">
      <w:pPr>
        <w:autoSpaceDE w:val="0"/>
        <w:autoSpaceDN w:val="0"/>
        <w:adjustRightInd w:val="0"/>
        <w:spacing w:line="578" w:lineRule="exact"/>
        <w:ind w:firstLine="643" w:firstLineChars="200"/>
        <w:jc w:val="left"/>
        <w:outlineLvl w:val="2"/>
        <w:rPr>
          <w:rFonts w:ascii="仿宋" w:hAnsi="仿宋" w:eastAsia="仿宋"/>
          <w:b/>
          <w:color w:val="000000"/>
          <w:sz w:val="32"/>
          <w:szCs w:val="32"/>
        </w:rPr>
      </w:pPr>
      <w:bookmarkStart w:id="77" w:name="_Toc15377224"/>
      <w:bookmarkEnd w:id="77"/>
      <w:r>
        <w:rPr>
          <w:rFonts w:hint="eastAsia" w:ascii="仿宋" w:hAnsi="仿宋" w:eastAsia="仿宋"/>
          <w:b/>
          <w:color w:val="000000"/>
          <w:sz w:val="32"/>
          <w:szCs w:val="32"/>
        </w:rPr>
        <w:t>（三）国有资产占有使用情况</w:t>
      </w:r>
    </w:p>
    <w:p w14:paraId="4EB53787">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年12月31日，大竹县庙坝镇中心小学共有车辆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辆，其中：部级领导干部用车0辆、一般公务用车0辆、一般执法执勤用车0辆、特种专业技术用车0辆、其他用车0辆，单价50万元以上通用设备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14:paraId="1FBCEC4A">
      <w:pPr>
        <w:numPr>
          <w:ilvl w:val="0"/>
          <w:numId w:val="4"/>
        </w:numPr>
        <w:autoSpaceDE w:val="0"/>
        <w:autoSpaceDN w:val="0"/>
        <w:adjustRightInd w:val="0"/>
        <w:spacing w:line="600" w:lineRule="exact"/>
        <w:ind w:left="-13" w:leftChars="0" w:firstLine="643" w:firstLineChars="0"/>
        <w:jc w:val="left"/>
        <w:outlineLvl w:val="2"/>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预算绩效管理情况</w:t>
      </w:r>
    </w:p>
    <w:p w14:paraId="6D5F2403">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w:t>
      </w:r>
      <w:r>
        <w:rPr>
          <w:rFonts w:hint="eastAsia" w:ascii="仿宋_GB2312" w:hAnsi="仿宋_GB2312" w:eastAsia="仿宋_GB2312" w:cs="仿宋_GB2312"/>
          <w:color w:val="auto"/>
          <w:sz w:val="32"/>
          <w:szCs w:val="32"/>
          <w:lang w:val="en-US" w:eastAsia="zh-CN"/>
        </w:rPr>
        <w:t>0个</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6350B443">
      <w:pPr>
        <w:spacing w:line="580" w:lineRule="exact"/>
        <w:ind w:firstLine="640" w:firstLineChars="200"/>
        <w:rPr>
          <w:rFonts w:ascii="仿宋_GB2312" w:hAnsi="仿宋_GB2312" w:eastAsia="仿宋_GB2312" w:cs="仿宋_GB2312"/>
          <w:color w:val="auto"/>
          <w:sz w:val="32"/>
          <w:szCs w:val="32"/>
        </w:rPr>
      </w:pPr>
    </w:p>
    <w:p w14:paraId="73F0F06B">
      <w:pPr>
        <w:pStyle w:val="3"/>
        <w:keepNext w:val="0"/>
        <w:keepLines w:val="0"/>
        <w:pageBreakBefore w:val="0"/>
        <w:widowControl w:val="0"/>
        <w:kinsoku/>
        <w:wordWrap/>
        <w:overflowPunct/>
        <w:topLinePunct w:val="0"/>
        <w:autoSpaceDE/>
        <w:autoSpaceDN/>
        <w:bidi w:val="0"/>
        <w:adjustRightInd/>
        <w:snapToGrid/>
        <w:spacing w:line="579" w:lineRule="auto"/>
        <w:jc w:val="center"/>
        <w:textAlignment w:val="auto"/>
        <w:rPr>
          <w:rFonts w:hint="eastAsia"/>
          <w:lang w:val="en-US" w:eastAsia="zh-CN"/>
        </w:rPr>
      </w:pPr>
      <w:bookmarkStart w:id="78" w:name="_Toc21901"/>
      <w:bookmarkEnd w:id="78"/>
      <w:bookmarkStart w:id="79" w:name="_Toc26393"/>
      <w:bookmarkEnd w:id="79"/>
      <w:bookmarkStart w:id="80" w:name="_Toc32254"/>
    </w:p>
    <w:p w14:paraId="7F8F304A">
      <w:pPr>
        <w:rPr>
          <w:rFonts w:hint="eastAsia"/>
          <w:lang w:val="en-US" w:eastAsia="zh-CN"/>
        </w:rPr>
      </w:pPr>
    </w:p>
    <w:p w14:paraId="0E65F6E9">
      <w:pPr>
        <w:pStyle w:val="2"/>
        <w:rPr>
          <w:rFonts w:hint="eastAsia"/>
          <w:lang w:val="en-US" w:eastAsia="zh-CN"/>
        </w:rPr>
      </w:pPr>
    </w:p>
    <w:p w14:paraId="050C9879">
      <w:pPr>
        <w:pStyle w:val="3"/>
        <w:keepNext w:val="0"/>
        <w:keepLines w:val="0"/>
        <w:pageBreakBefore w:val="0"/>
        <w:widowControl w:val="0"/>
        <w:kinsoku/>
        <w:wordWrap/>
        <w:overflowPunct/>
        <w:topLinePunct w:val="0"/>
        <w:autoSpaceDE/>
        <w:autoSpaceDN/>
        <w:bidi w:val="0"/>
        <w:adjustRightInd/>
        <w:snapToGrid/>
        <w:spacing w:line="579" w:lineRule="auto"/>
        <w:jc w:val="both"/>
        <w:textAlignment w:val="auto"/>
        <w:rPr>
          <w:rFonts w:hint="eastAsia"/>
          <w:lang w:val="en-US" w:eastAsia="zh-CN"/>
        </w:rPr>
      </w:pPr>
    </w:p>
    <w:p w14:paraId="79E88199">
      <w:pPr>
        <w:pStyle w:val="3"/>
        <w:bidi w:val="0"/>
        <w:jc w:val="center"/>
      </w:pPr>
      <w:r>
        <w:rPr>
          <w:rFonts w:hint="eastAsia"/>
          <w:lang w:val="en-US" w:eastAsia="zh-CN"/>
        </w:rPr>
        <w:t xml:space="preserve">第三部分 </w:t>
      </w:r>
      <w:r>
        <w:rPr>
          <w:rFonts w:hint="eastAsia"/>
        </w:rPr>
        <w:t>名词解释</w:t>
      </w:r>
      <w:bookmarkEnd w:id="80"/>
    </w:p>
    <w:p w14:paraId="08E91F91">
      <w:pPr>
        <w:spacing w:line="600" w:lineRule="exact"/>
        <w:jc w:val="left"/>
        <w:rPr>
          <w:rFonts w:ascii="宋体"/>
          <w:b/>
          <w:color w:val="auto"/>
          <w:sz w:val="44"/>
          <w:szCs w:val="44"/>
        </w:rPr>
      </w:pPr>
    </w:p>
    <w:p w14:paraId="76C2D960">
      <w:pPr>
        <w:pStyle w:val="26"/>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0BEE10D">
      <w:pPr>
        <w:pStyle w:val="26"/>
        <w:pageBreakBefore w:val="0"/>
        <w:kinsoku/>
        <w:wordWrap/>
        <w:overflowPunct/>
        <w:topLinePunct w:val="0"/>
        <w:bidi w:val="0"/>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6EB330FA">
      <w:pPr>
        <w:pStyle w:val="26"/>
        <w:pageBreakBefore w:val="0"/>
        <w:kinsoku/>
        <w:wordWrap/>
        <w:overflowPunct/>
        <w:topLinePunct w:val="0"/>
        <w:bidi w:val="0"/>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68F963D4">
      <w:pPr>
        <w:pStyle w:val="26"/>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1067AC03">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r>
        <w:rPr>
          <w:rFonts w:ascii="仿宋_GB2312" w:eastAsia="仿宋_GB2312"/>
          <w:sz w:val="32"/>
          <w:szCs w:val="32"/>
        </w:rPr>
        <w:t xml:space="preserve"> </w:t>
      </w:r>
    </w:p>
    <w:p w14:paraId="09F855B5">
      <w:pPr>
        <w:pStyle w:val="26"/>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58249FA">
      <w:pPr>
        <w:pStyle w:val="26"/>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7F9A80EB">
      <w:pPr>
        <w:pStyle w:val="26"/>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1F2CC40A">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rPr>
      </w:pPr>
      <w:r>
        <w:rPr>
          <w:rFonts w:hint="eastAsia" w:ascii="仿宋_GB2312" w:hAnsi="仿宋_GB2312" w:eastAsia="仿宋_GB2312" w:cs="仿宋_GB2312"/>
          <w:kern w:val="2"/>
          <w:sz w:val="32"/>
          <w:szCs w:val="32"/>
          <w:lang w:val="en-US" w:eastAsia="zh-CN" w:bidi="ar"/>
        </w:rPr>
        <w:t>9、教育（205）普通教育（02）小学教育（02）：指学</w:t>
      </w:r>
      <w:r>
        <w:rPr>
          <w:rFonts w:hint="eastAsia" w:ascii="仿宋_GB2312" w:eastAsia="仿宋_GB2312"/>
          <w:sz w:val="32"/>
          <w:szCs w:val="32"/>
          <w:lang w:val="en-US" w:eastAsia="zh-CN"/>
        </w:rPr>
        <w:t>校小学保障机构正常运转、完成日常工作任务而发生的人员支出和公用支出。</w:t>
      </w:r>
    </w:p>
    <w:p w14:paraId="6ECB31EF">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10、社会保障和就业（208）行政事业单位离退休（05）机关事业单位基本养老保险缴费支出（05）：指机关事业单位基本养老保险单位缴费支出。</w:t>
      </w:r>
    </w:p>
    <w:p w14:paraId="5A36B73D">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11、社会保障和就业（208）行政事业单位离退休（05）事业单位离退休（06）：反映机关事业单位实行养老保险制度由单位实际缴纳的职业年金支出。</w:t>
      </w:r>
    </w:p>
    <w:p w14:paraId="26C0A973">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12、社会保障和就业（208）行政事业单位养老支出（20805）其它行政事业单位养老支出（99）：反映除了上述项目以外的其它用于行政事业单位老养方面的支出。</w:t>
      </w:r>
    </w:p>
    <w:p w14:paraId="3FDED0C8">
      <w:pPr>
        <w:pStyle w:val="26"/>
        <w:pageBreakBefore w:val="0"/>
        <w:kinsoku/>
        <w:wordWrap/>
        <w:overflowPunct/>
        <w:topLinePunct w:val="0"/>
        <w:bidi w:val="0"/>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13、卫生健康（210）行政事业单位医疗（11）事业单位医疗（02）:指教职工医疗保险支出。</w:t>
      </w:r>
    </w:p>
    <w:p w14:paraId="57D930D0">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14、住房保障（221）住房改革支出（02）住房公积金（01）：指教职工住房公积金支出。</w:t>
      </w:r>
    </w:p>
    <w:p w14:paraId="4BE601AC">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15、基本支出：指为保障机构正常运转、完成日常工作任务而发生的人员支出和公用支出。</w:t>
      </w:r>
    </w:p>
    <w:p w14:paraId="4862F13B">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16、项目支出：指在基本支出之外为完成特定行政任务和事业发展目标所发生的支出。 </w:t>
      </w:r>
    </w:p>
    <w:p w14:paraId="71F1F706">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17、经营支出：指事业单位在专业业务活动及其辅助活动之外开展非独立核算经营活动发生的支出。</w:t>
      </w:r>
    </w:p>
    <w:p w14:paraId="6B96A039">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F0CAA0F">
      <w:pPr>
        <w:pStyle w:val="26"/>
        <w:pageBreakBefore w:val="0"/>
        <w:kinsoku/>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A053B4">
      <w:pPr>
        <w:spacing w:line="600" w:lineRule="exact"/>
        <w:ind w:firstLine="640"/>
        <w:rPr>
          <w:rFonts w:ascii="仿宋_GB2312" w:hAnsi="仿宋_GB2312" w:eastAsia="仿宋_GB2312" w:cs="仿宋_GB2312"/>
          <w:sz w:val="32"/>
          <w:szCs w:val="32"/>
        </w:rPr>
      </w:pPr>
    </w:p>
    <w:p w14:paraId="36948770">
      <w:pPr>
        <w:spacing w:line="600" w:lineRule="exact"/>
        <w:jc w:val="center"/>
        <w:outlineLvl w:val="0"/>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81" w:name="_Toc15396614"/>
      <w:bookmarkEnd w:id="81"/>
      <w:bookmarkStart w:id="82" w:name="_Toc25747"/>
      <w:bookmarkStart w:id="83" w:name="_Toc15377226"/>
    </w:p>
    <w:p w14:paraId="31EA50B3">
      <w:pPr>
        <w:pStyle w:val="2"/>
        <w:rPr>
          <w:rFonts w:hint="eastAsia"/>
          <w:lang w:val="en-US" w:eastAsia="zh-CN"/>
        </w:rPr>
      </w:pPr>
    </w:p>
    <w:bookmarkEnd w:id="82"/>
    <w:p w14:paraId="189F51B3">
      <w:pPr>
        <w:pStyle w:val="2"/>
        <w:numPr>
          <w:ilvl w:val="0"/>
          <w:numId w:val="5"/>
        </w:numPr>
        <w:jc w:val="center"/>
        <w:rPr>
          <w:rStyle w:val="28"/>
          <w:rFonts w:hint="eastAsia" w:ascii="黑体" w:hAnsi="黑体" w:eastAsia="黑体"/>
          <w:b w:val="0"/>
          <w:lang w:val="en-US" w:eastAsia="zh-CN"/>
        </w:rPr>
      </w:pPr>
      <w:r>
        <w:rPr>
          <w:rStyle w:val="28"/>
          <w:rFonts w:hint="eastAsia" w:ascii="黑体" w:hAnsi="黑体" w:eastAsia="黑体"/>
          <w:b w:val="0"/>
          <w:lang w:val="en-US" w:eastAsia="zh-CN"/>
        </w:rPr>
        <w:t>附件</w:t>
      </w:r>
    </w:p>
    <w:p w14:paraId="4811D3F2">
      <w:pPr>
        <w:pStyle w:val="2"/>
        <w:widowControl w:val="0"/>
        <w:numPr>
          <w:ilvl w:val="0"/>
          <w:numId w:val="0"/>
        </w:numPr>
        <w:spacing w:beforeLines="30"/>
        <w:jc w:val="center"/>
        <w:rPr>
          <w:rStyle w:val="28"/>
          <w:rFonts w:hint="default" w:ascii="黑体" w:hAnsi="黑体" w:eastAsia="黑体"/>
          <w:b w:val="0"/>
          <w:lang w:val="en-US" w:eastAsia="zh-CN"/>
        </w:rPr>
      </w:pPr>
    </w:p>
    <w:tbl>
      <w:tblPr>
        <w:tblStyle w:val="14"/>
        <w:tblW w:w="130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2"/>
        <w:gridCol w:w="1692"/>
        <w:gridCol w:w="1693"/>
        <w:gridCol w:w="2594"/>
        <w:gridCol w:w="1354"/>
        <w:gridCol w:w="1580"/>
        <w:gridCol w:w="1015"/>
        <w:gridCol w:w="790"/>
        <w:gridCol w:w="960"/>
      </w:tblGrid>
      <w:tr w14:paraId="5DCF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063" w:type="dxa"/>
            <w:gridSpan w:val="8"/>
            <w:tcBorders>
              <w:top w:val="nil"/>
              <w:left w:val="nil"/>
              <w:bottom w:val="nil"/>
              <w:right w:val="nil"/>
            </w:tcBorders>
            <w:shd w:val="clear" w:color="auto" w:fill="auto"/>
            <w:vAlign w:val="center"/>
          </w:tcPr>
          <w:p w14:paraId="72FDBD8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c>
          <w:tcPr>
            <w:tcW w:w="960" w:type="dxa"/>
            <w:tcBorders>
              <w:top w:val="nil"/>
              <w:left w:val="nil"/>
              <w:bottom w:val="nil"/>
              <w:right w:val="nil"/>
            </w:tcBorders>
            <w:shd w:val="clear" w:color="auto" w:fill="auto"/>
            <w:noWrap/>
            <w:vAlign w:val="center"/>
          </w:tcPr>
          <w:p w14:paraId="6F485F4E">
            <w:pPr>
              <w:rPr>
                <w:rFonts w:hint="eastAsia" w:ascii="宋体" w:hAnsi="宋体" w:eastAsia="宋体" w:cs="宋体"/>
                <w:i w:val="0"/>
                <w:iCs w:val="0"/>
                <w:color w:val="000000"/>
                <w:sz w:val="22"/>
                <w:szCs w:val="22"/>
                <w:u w:val="none"/>
              </w:rPr>
            </w:pPr>
          </w:p>
        </w:tc>
      </w:tr>
      <w:tr w14:paraId="5410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063" w:type="dxa"/>
            <w:gridSpan w:val="8"/>
            <w:tcBorders>
              <w:top w:val="nil"/>
              <w:left w:val="nil"/>
              <w:bottom w:val="nil"/>
              <w:right w:val="nil"/>
            </w:tcBorders>
            <w:shd w:val="clear" w:color="auto" w:fill="auto"/>
            <w:vAlign w:val="center"/>
          </w:tcPr>
          <w:p w14:paraId="26A1A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0" w:type="auto"/>
            <w:tcBorders>
              <w:top w:val="nil"/>
              <w:left w:val="nil"/>
              <w:bottom w:val="nil"/>
              <w:right w:val="nil"/>
            </w:tcBorders>
            <w:shd w:val="clear" w:color="auto" w:fill="auto"/>
            <w:noWrap/>
            <w:vAlign w:val="center"/>
          </w:tcPr>
          <w:p w14:paraId="7659F78D">
            <w:pPr>
              <w:rPr>
                <w:rFonts w:hint="eastAsia" w:ascii="宋体" w:hAnsi="宋体" w:eastAsia="宋体" w:cs="宋体"/>
                <w:i w:val="0"/>
                <w:iCs w:val="0"/>
                <w:color w:val="000000"/>
                <w:sz w:val="22"/>
                <w:szCs w:val="22"/>
                <w:u w:val="none"/>
              </w:rPr>
            </w:pPr>
          </w:p>
        </w:tc>
      </w:tr>
      <w:tr w14:paraId="0CA7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023" w:type="dxa"/>
            <w:gridSpan w:val="9"/>
            <w:tcBorders>
              <w:top w:val="nil"/>
              <w:left w:val="nil"/>
              <w:bottom w:val="nil"/>
              <w:right w:val="nil"/>
            </w:tcBorders>
            <w:shd w:val="clear" w:color="auto" w:fill="auto"/>
            <w:vAlign w:val="center"/>
          </w:tcPr>
          <w:p w14:paraId="2B95C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单位：万元</w:t>
            </w:r>
          </w:p>
        </w:tc>
      </w:tr>
      <w:tr w14:paraId="0DF1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10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F43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r>
      <w:tr w14:paraId="1F0A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A0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77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949" w:type="dxa"/>
            <w:gridSpan w:val="2"/>
            <w:tcBorders>
              <w:top w:val="nil"/>
              <w:left w:val="single" w:color="000000" w:sz="4" w:space="0"/>
              <w:bottom w:val="single" w:color="000000" w:sz="4" w:space="0"/>
              <w:right w:val="single" w:color="000000" w:sz="4" w:space="0"/>
            </w:tcBorders>
            <w:shd w:val="clear" w:color="auto" w:fill="auto"/>
            <w:vAlign w:val="center"/>
          </w:tcPr>
          <w:p w14:paraId="632E9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345" w:type="dxa"/>
            <w:gridSpan w:val="4"/>
            <w:tcBorders>
              <w:top w:val="nil"/>
              <w:left w:val="single" w:color="000000" w:sz="4" w:space="0"/>
              <w:bottom w:val="single" w:color="000000" w:sz="4" w:space="0"/>
              <w:right w:val="single" w:color="000000" w:sz="4" w:space="0"/>
            </w:tcBorders>
            <w:shd w:val="clear" w:color="auto" w:fill="auto"/>
            <w:vAlign w:val="center"/>
          </w:tcPr>
          <w:p w14:paraId="53E30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3543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B1B55">
            <w:pPr>
              <w:jc w:val="center"/>
              <w:rPr>
                <w:rFonts w:hint="eastAsia" w:ascii="宋体" w:hAnsi="宋体" w:eastAsia="宋体" w:cs="宋体"/>
                <w:i w:val="0"/>
                <w:iCs w:val="0"/>
                <w:color w:val="000000"/>
                <w:sz w:val="18"/>
                <w:szCs w:val="18"/>
                <w:u w:val="none"/>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7EB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2787.03</w:t>
            </w:r>
          </w:p>
        </w:tc>
        <w:tc>
          <w:tcPr>
            <w:tcW w:w="3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3E3E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bookmarkStart w:id="109" w:name="_GoBack"/>
            <w:bookmarkEnd w:id="109"/>
            <w:r>
              <w:rPr>
                <w:rFonts w:hint="eastAsia" w:ascii="宋体" w:hAnsi="宋体" w:cs="宋体"/>
                <w:i w:val="0"/>
                <w:iCs w:val="0"/>
                <w:color w:val="000000"/>
                <w:kern w:val="0"/>
                <w:sz w:val="18"/>
                <w:szCs w:val="18"/>
                <w:u w:val="none"/>
                <w:lang w:val="en-US" w:eastAsia="zh-CN" w:bidi="ar"/>
              </w:rPr>
              <w:t>2787.03</w:t>
            </w:r>
          </w:p>
        </w:tc>
        <w:tc>
          <w:tcPr>
            <w:tcW w:w="4345" w:type="dxa"/>
            <w:gridSpan w:val="4"/>
            <w:tcBorders>
              <w:top w:val="nil"/>
              <w:left w:val="single" w:color="000000" w:sz="4" w:space="0"/>
              <w:bottom w:val="single" w:color="000000" w:sz="4" w:space="0"/>
              <w:right w:val="single" w:color="000000" w:sz="4" w:space="0"/>
            </w:tcBorders>
            <w:shd w:val="clear" w:color="auto" w:fill="auto"/>
            <w:vAlign w:val="center"/>
          </w:tcPr>
          <w:p w14:paraId="15C39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10E1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07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1246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目标1：保障学生平等权益；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目标2：促进学生全面发展；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目标3：管好用好国家的教育资源，改善和优化农村学校的办学条件；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目标4：把教育教学质量放在首位，提高教师从教的幸福感，办人民满意的教育；</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目标5：营造和谐美丽校园。</w:t>
            </w:r>
          </w:p>
        </w:tc>
        <w:tc>
          <w:tcPr>
            <w:tcW w:w="0" w:type="auto"/>
            <w:tcBorders>
              <w:top w:val="nil"/>
              <w:left w:val="single" w:color="000000" w:sz="4" w:space="0"/>
              <w:bottom w:val="nil"/>
              <w:right w:val="single" w:color="000000" w:sz="4" w:space="0"/>
            </w:tcBorders>
            <w:shd w:val="clear" w:color="auto" w:fill="auto"/>
            <w:noWrap/>
            <w:vAlign w:val="center"/>
          </w:tcPr>
          <w:p w14:paraId="4B02F74B">
            <w:pPr>
              <w:rPr>
                <w:rFonts w:hint="eastAsia" w:ascii="宋体" w:hAnsi="宋体" w:eastAsia="宋体" w:cs="宋体"/>
                <w:i w:val="0"/>
                <w:iCs w:val="0"/>
                <w:color w:val="000000"/>
                <w:sz w:val="22"/>
                <w:szCs w:val="22"/>
                <w:u w:val="none"/>
              </w:rPr>
            </w:pPr>
          </w:p>
        </w:tc>
      </w:tr>
      <w:tr w14:paraId="424C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0E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6D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321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4FE6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3DB3">
            <w:pPr>
              <w:jc w:val="center"/>
              <w:rPr>
                <w:rFonts w:hint="eastAsia" w:ascii="宋体" w:hAnsi="宋体" w:eastAsia="宋体" w:cs="宋体"/>
                <w:i w:val="0"/>
                <w:iCs w:val="0"/>
                <w:color w:val="000000"/>
                <w:sz w:val="18"/>
                <w:szCs w:val="18"/>
                <w:u w:val="none"/>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D81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8294" w:type="dxa"/>
            <w:gridSpan w:val="6"/>
            <w:tcBorders>
              <w:top w:val="nil"/>
              <w:left w:val="single" w:color="000000" w:sz="4" w:space="0"/>
              <w:bottom w:val="single" w:color="000000" w:sz="4" w:space="0"/>
              <w:right w:val="single" w:color="000000" w:sz="4" w:space="0"/>
            </w:tcBorders>
            <w:shd w:val="clear" w:color="auto" w:fill="auto"/>
            <w:vAlign w:val="center"/>
          </w:tcPr>
          <w:p w14:paraId="63454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方针以及省、市有关教育等政策和法律、法规、规章，履行全面落实党的教育方针以及省、市有关教育的政策和法律、法规、规章，履行中小学校各项教育管理职责，完成教育主管部门和同级政府部门下达的工作目标任务，确保中小学校各项工作的顺利开展；</w:t>
            </w:r>
          </w:p>
        </w:tc>
      </w:tr>
      <w:tr w14:paraId="423E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A9F5">
            <w:pPr>
              <w:jc w:val="center"/>
              <w:rPr>
                <w:rFonts w:hint="eastAsia" w:ascii="宋体" w:hAnsi="宋体" w:eastAsia="宋体" w:cs="宋体"/>
                <w:i w:val="0"/>
                <w:iCs w:val="0"/>
                <w:color w:val="000000"/>
                <w:sz w:val="18"/>
                <w:szCs w:val="18"/>
                <w:u w:val="none"/>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54D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8294" w:type="dxa"/>
            <w:gridSpan w:val="6"/>
            <w:tcBorders>
              <w:top w:val="nil"/>
              <w:left w:val="single" w:color="000000" w:sz="4" w:space="0"/>
              <w:bottom w:val="single" w:color="000000" w:sz="4" w:space="0"/>
              <w:right w:val="single" w:color="000000" w:sz="4" w:space="0"/>
            </w:tcBorders>
            <w:shd w:val="clear" w:color="auto" w:fill="auto"/>
            <w:vAlign w:val="center"/>
          </w:tcPr>
          <w:p w14:paraId="7F722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实行老带新的办法，制定业务培训计划和教研计划，提高教学水平；不定期进行师德教育，全面提高教师形象；督促、指导学校教师的思想政治工作、德育工作、体育卫生与艺术教育、国防教育工作、安全稳定工作。</w:t>
            </w:r>
          </w:p>
        </w:tc>
      </w:tr>
      <w:tr w14:paraId="0E92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12BE">
            <w:pPr>
              <w:jc w:val="center"/>
              <w:rPr>
                <w:rFonts w:hint="eastAsia" w:ascii="宋体" w:hAnsi="宋体" w:eastAsia="宋体" w:cs="宋体"/>
                <w:i w:val="0"/>
                <w:iCs w:val="0"/>
                <w:color w:val="000000"/>
                <w:sz w:val="18"/>
                <w:szCs w:val="18"/>
                <w:u w:val="none"/>
              </w:rPr>
            </w:pPr>
          </w:p>
        </w:tc>
        <w:tc>
          <w:tcPr>
            <w:tcW w:w="3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61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完成教育教学工作</w:t>
            </w:r>
          </w:p>
        </w:tc>
        <w:tc>
          <w:tcPr>
            <w:tcW w:w="8294" w:type="dxa"/>
            <w:gridSpan w:val="6"/>
            <w:tcBorders>
              <w:top w:val="nil"/>
              <w:left w:val="single" w:color="000000" w:sz="4" w:space="0"/>
              <w:bottom w:val="single" w:color="000000" w:sz="4" w:space="0"/>
              <w:right w:val="single" w:color="000000" w:sz="4" w:space="0"/>
            </w:tcBorders>
            <w:shd w:val="clear" w:color="auto" w:fill="auto"/>
            <w:vAlign w:val="center"/>
          </w:tcPr>
          <w:p w14:paraId="55A0D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指导、协调和监督教师教育教学工作。指导、管理资助经济困难学生工作。完成年度教育教学任务。</w:t>
            </w:r>
          </w:p>
        </w:tc>
      </w:tr>
      <w:tr w14:paraId="5BAB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C2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5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595" w:type="dxa"/>
            <w:tcBorders>
              <w:top w:val="nil"/>
              <w:left w:val="single" w:color="000000" w:sz="4" w:space="0"/>
              <w:bottom w:val="single" w:color="000000" w:sz="4" w:space="0"/>
              <w:right w:val="single" w:color="000000" w:sz="4" w:space="0"/>
            </w:tcBorders>
            <w:shd w:val="clear" w:color="auto" w:fill="auto"/>
            <w:vAlign w:val="center"/>
          </w:tcPr>
          <w:p w14:paraId="7CE2B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54" w:type="dxa"/>
            <w:tcBorders>
              <w:top w:val="nil"/>
              <w:left w:val="single" w:color="000000" w:sz="4" w:space="0"/>
              <w:bottom w:val="single" w:color="000000" w:sz="4" w:space="0"/>
              <w:right w:val="single" w:color="000000" w:sz="4" w:space="0"/>
            </w:tcBorders>
            <w:shd w:val="clear" w:color="auto" w:fill="auto"/>
            <w:vAlign w:val="center"/>
          </w:tcPr>
          <w:p w14:paraId="035A6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580" w:type="dxa"/>
            <w:tcBorders>
              <w:top w:val="nil"/>
              <w:left w:val="single" w:color="000000" w:sz="4" w:space="0"/>
              <w:bottom w:val="single" w:color="000000" w:sz="4" w:space="0"/>
              <w:right w:val="single" w:color="000000" w:sz="4" w:space="0"/>
            </w:tcBorders>
            <w:shd w:val="clear" w:color="auto" w:fill="auto"/>
            <w:vAlign w:val="center"/>
          </w:tcPr>
          <w:p w14:paraId="51F0B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015" w:type="dxa"/>
            <w:tcBorders>
              <w:top w:val="nil"/>
              <w:left w:val="single" w:color="000000" w:sz="4" w:space="0"/>
              <w:bottom w:val="single" w:color="000000" w:sz="4" w:space="0"/>
              <w:right w:val="single" w:color="000000" w:sz="4" w:space="0"/>
            </w:tcBorders>
            <w:shd w:val="clear" w:color="auto" w:fill="auto"/>
            <w:vAlign w:val="center"/>
          </w:tcPr>
          <w:p w14:paraId="5E941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90" w:type="dxa"/>
            <w:tcBorders>
              <w:top w:val="nil"/>
              <w:left w:val="single" w:color="000000" w:sz="4" w:space="0"/>
              <w:bottom w:val="single" w:color="000000" w:sz="4" w:space="0"/>
              <w:right w:val="nil"/>
            </w:tcBorders>
            <w:shd w:val="clear" w:color="auto" w:fill="auto"/>
            <w:vAlign w:val="center"/>
          </w:tcPr>
          <w:p w14:paraId="51272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60" w:type="dxa"/>
            <w:tcBorders>
              <w:top w:val="nil"/>
              <w:left w:val="single" w:color="000000" w:sz="4" w:space="0"/>
              <w:bottom w:val="single" w:color="000000" w:sz="4" w:space="0"/>
              <w:right w:val="single" w:color="000000" w:sz="4" w:space="0"/>
            </w:tcBorders>
            <w:shd w:val="clear" w:color="auto" w:fill="auto"/>
            <w:vAlign w:val="center"/>
          </w:tcPr>
          <w:p w14:paraId="715FA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p>
        </w:tc>
      </w:tr>
      <w:tr w14:paraId="6969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1E637">
            <w:pPr>
              <w:jc w:val="center"/>
              <w:rPr>
                <w:rFonts w:hint="eastAsia" w:ascii="宋体" w:hAnsi="宋体" w:eastAsia="宋体" w:cs="宋体"/>
                <w:i w:val="0"/>
                <w:iCs w:val="0"/>
                <w:color w:val="000000"/>
                <w:sz w:val="18"/>
                <w:szCs w:val="18"/>
                <w:u w:val="none"/>
              </w:rPr>
            </w:pP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768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55B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DB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控辍保学（辍学率）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A4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33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5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nil"/>
            </w:tcBorders>
            <w:shd w:val="clear" w:color="auto" w:fill="auto"/>
            <w:vAlign w:val="center"/>
          </w:tcPr>
          <w:p w14:paraId="005481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E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168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8C71">
            <w:pPr>
              <w:jc w:val="center"/>
              <w:rPr>
                <w:rFonts w:hint="eastAsia" w:ascii="宋体" w:hAnsi="宋体" w:eastAsia="宋体" w:cs="宋体"/>
                <w:i w:val="0"/>
                <w:iCs w:val="0"/>
                <w:color w:val="000000"/>
                <w:sz w:val="18"/>
                <w:szCs w:val="18"/>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B1E9">
            <w:pPr>
              <w:jc w:val="left"/>
              <w:rPr>
                <w:rFonts w:hint="eastAsia" w:ascii="宋体" w:hAnsi="宋体" w:eastAsia="宋体" w:cs="宋体"/>
                <w:i w:val="0"/>
                <w:iCs w:val="0"/>
                <w:color w:val="000000"/>
                <w:sz w:val="18"/>
                <w:szCs w:val="18"/>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399C">
            <w:pPr>
              <w:jc w:val="left"/>
              <w:rPr>
                <w:rFonts w:hint="eastAsia" w:ascii="宋体" w:hAnsi="宋体" w:eastAsia="宋体" w:cs="宋体"/>
                <w:i w:val="0"/>
                <w:iCs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0B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适龄儿童全部入学</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E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97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1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nil"/>
            </w:tcBorders>
            <w:shd w:val="clear" w:color="auto" w:fill="auto"/>
            <w:vAlign w:val="center"/>
          </w:tcPr>
          <w:p w14:paraId="4B37C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9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96F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E5591">
            <w:pPr>
              <w:jc w:val="center"/>
              <w:rPr>
                <w:rFonts w:hint="eastAsia" w:ascii="宋体" w:hAnsi="宋体" w:eastAsia="宋体" w:cs="宋体"/>
                <w:i w:val="0"/>
                <w:iCs w:val="0"/>
                <w:color w:val="000000"/>
                <w:sz w:val="18"/>
                <w:szCs w:val="18"/>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4892">
            <w:pPr>
              <w:jc w:val="lef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A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B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校园无安全事故</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F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56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nil"/>
            </w:tcBorders>
            <w:shd w:val="clear" w:color="auto" w:fill="auto"/>
            <w:vAlign w:val="center"/>
          </w:tcPr>
          <w:p w14:paraId="509021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3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5F3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C7BF">
            <w:pPr>
              <w:jc w:val="center"/>
              <w:rPr>
                <w:rFonts w:hint="eastAsia" w:ascii="宋体" w:hAnsi="宋体" w:eastAsia="宋体" w:cs="宋体"/>
                <w:i w:val="0"/>
                <w:iCs w:val="0"/>
                <w:color w:val="000000"/>
                <w:sz w:val="18"/>
                <w:szCs w:val="18"/>
                <w:u w:val="none"/>
              </w:rPr>
            </w:pP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A3B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17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D9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维护学生合法权益</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F8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2D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4F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nil"/>
            </w:tcBorders>
            <w:shd w:val="clear" w:color="auto" w:fill="auto"/>
            <w:vAlign w:val="center"/>
          </w:tcPr>
          <w:p w14:paraId="570385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2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F47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A224">
            <w:pPr>
              <w:jc w:val="center"/>
              <w:rPr>
                <w:rFonts w:hint="eastAsia" w:ascii="宋体" w:hAnsi="宋体" w:eastAsia="宋体" w:cs="宋体"/>
                <w:i w:val="0"/>
                <w:iCs w:val="0"/>
                <w:color w:val="000000"/>
                <w:sz w:val="18"/>
                <w:szCs w:val="18"/>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CD9DF">
            <w:pPr>
              <w:jc w:val="lef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C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C8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对学生的身心健康影响</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9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88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D6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nil"/>
            </w:tcBorders>
            <w:shd w:val="clear" w:color="auto" w:fill="auto"/>
            <w:vAlign w:val="center"/>
          </w:tcPr>
          <w:p w14:paraId="62FD65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3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6AE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898BC">
            <w:pPr>
              <w:jc w:val="cente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3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4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7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社会、学生、家长满意度</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0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34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9E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0" w:type="dxa"/>
            <w:tcBorders>
              <w:top w:val="single" w:color="000000" w:sz="4" w:space="0"/>
              <w:left w:val="single" w:color="000000" w:sz="4" w:space="0"/>
              <w:bottom w:val="single" w:color="000000" w:sz="4" w:space="0"/>
              <w:right w:val="nil"/>
            </w:tcBorders>
            <w:shd w:val="clear" w:color="auto" w:fill="auto"/>
            <w:vAlign w:val="center"/>
          </w:tcPr>
          <w:p w14:paraId="53323E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F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14:paraId="4E7BE9D2">
      <w:pPr>
        <w:pStyle w:val="2"/>
        <w:widowControl w:val="0"/>
        <w:numPr>
          <w:ilvl w:val="0"/>
          <w:numId w:val="0"/>
        </w:numPr>
        <w:spacing w:beforeLines="30"/>
        <w:jc w:val="center"/>
        <w:rPr>
          <w:rStyle w:val="28"/>
          <w:rFonts w:hint="default" w:ascii="黑体" w:hAnsi="黑体" w:eastAsia="黑体"/>
          <w:b w:val="0"/>
          <w:lang w:val="en-US" w:eastAsia="zh-CN"/>
        </w:rPr>
      </w:pPr>
    </w:p>
    <w:p w14:paraId="70810BCC">
      <w:pPr>
        <w:pStyle w:val="2"/>
        <w:widowControl w:val="0"/>
        <w:numPr>
          <w:ilvl w:val="0"/>
          <w:numId w:val="0"/>
        </w:numPr>
        <w:spacing w:beforeLines="30"/>
        <w:jc w:val="center"/>
        <w:rPr>
          <w:rStyle w:val="28"/>
          <w:rFonts w:hint="default" w:ascii="黑体" w:hAnsi="黑体" w:eastAsia="黑体"/>
          <w:b w:val="0"/>
          <w:lang w:val="en-US" w:eastAsia="zh-CN"/>
        </w:rPr>
      </w:pPr>
    </w:p>
    <w:p w14:paraId="46EEB3BD">
      <w:pPr>
        <w:pStyle w:val="2"/>
        <w:widowControl w:val="0"/>
        <w:numPr>
          <w:ilvl w:val="0"/>
          <w:numId w:val="0"/>
        </w:numPr>
        <w:spacing w:beforeLines="30"/>
        <w:jc w:val="center"/>
        <w:rPr>
          <w:rStyle w:val="28"/>
          <w:rFonts w:hint="default" w:ascii="黑体" w:hAnsi="黑体" w:eastAsia="黑体"/>
          <w:b w:val="0"/>
          <w:lang w:val="en-US" w:eastAsia="zh-CN"/>
        </w:rPr>
      </w:pPr>
    </w:p>
    <w:p w14:paraId="203B1504">
      <w:pPr>
        <w:pStyle w:val="2"/>
        <w:widowControl w:val="0"/>
        <w:numPr>
          <w:ilvl w:val="0"/>
          <w:numId w:val="0"/>
        </w:numPr>
        <w:spacing w:beforeLines="30"/>
        <w:jc w:val="both"/>
        <w:rPr>
          <w:rStyle w:val="28"/>
          <w:rFonts w:hint="default" w:ascii="黑体" w:hAnsi="黑体" w:eastAsia="黑体"/>
          <w:b w:val="0"/>
          <w:lang w:val="en-US" w:eastAsia="zh-CN"/>
        </w:rPr>
      </w:pPr>
    </w:p>
    <w:p w14:paraId="4FA5DD40">
      <w:pPr>
        <w:pStyle w:val="2"/>
        <w:widowControl w:val="0"/>
        <w:numPr>
          <w:ilvl w:val="0"/>
          <w:numId w:val="0"/>
        </w:numPr>
        <w:spacing w:beforeLines="30"/>
        <w:jc w:val="center"/>
        <w:rPr>
          <w:rStyle w:val="28"/>
          <w:rFonts w:hint="default" w:ascii="黑体" w:hAnsi="黑体" w:eastAsia="黑体"/>
          <w:b w:val="0"/>
          <w:lang w:val="en-US" w:eastAsia="zh-CN"/>
        </w:rPr>
      </w:pPr>
    </w:p>
    <w:p w14:paraId="4C9E5901">
      <w:pPr>
        <w:pStyle w:val="2"/>
        <w:widowControl w:val="0"/>
        <w:numPr>
          <w:ilvl w:val="0"/>
          <w:numId w:val="0"/>
        </w:numPr>
        <w:spacing w:beforeLines="30"/>
        <w:jc w:val="center"/>
        <w:rPr>
          <w:rStyle w:val="28"/>
          <w:rFonts w:hint="default" w:ascii="黑体" w:hAnsi="黑体" w:eastAsia="黑体"/>
          <w:b w:val="0"/>
          <w:lang w:val="en-US" w:eastAsia="zh-CN"/>
        </w:rPr>
      </w:pPr>
    </w:p>
    <w:tbl>
      <w:tblPr>
        <w:tblStyle w:val="14"/>
        <w:tblW w:w="129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875"/>
        <w:gridCol w:w="1623"/>
        <w:gridCol w:w="2069"/>
        <w:gridCol w:w="477"/>
        <w:gridCol w:w="1533"/>
        <w:gridCol w:w="477"/>
        <w:gridCol w:w="999"/>
        <w:gridCol w:w="486"/>
        <w:gridCol w:w="418"/>
        <w:gridCol w:w="2337"/>
      </w:tblGrid>
      <w:tr w14:paraId="3369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DDD81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98A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8A1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B69F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51172422T000005673539-维修费（存量）</w:t>
            </w:r>
          </w:p>
        </w:tc>
      </w:tr>
      <w:tr w14:paraId="10AB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0DF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95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3CC1320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05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58B0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46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EFB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AB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1FAB6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AF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11E0">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43F19">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10C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改善教学环境，按时足额发放</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8B0634">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完成100%</w:t>
            </w:r>
          </w:p>
        </w:tc>
      </w:tr>
      <w:tr w14:paraId="38DF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972D">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3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1DD471">
            <w:pPr>
              <w:rPr>
                <w:rFonts w:hint="default"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改善教学环境，按时足额发放</w:t>
            </w:r>
          </w:p>
        </w:tc>
      </w:tr>
      <w:tr w14:paraId="7128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F7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6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3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CC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7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0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4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06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D008">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C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C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7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175.22</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C5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175.22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B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7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3B12">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1096B">
            <w:pPr>
              <w:keepNext w:val="0"/>
              <w:keepLines w:val="0"/>
              <w:widowControl/>
              <w:suppressLineNumbers w:val="0"/>
              <w:jc w:val="center"/>
              <w:textAlignment w:val="center"/>
              <w:rPr>
                <w:rFonts w:hint="default" w:ascii="黑体" w:hAnsi="黑体" w:eastAsia="黑体" w:cs="黑体"/>
                <w:i/>
                <w:iCs/>
                <w:color w:val="0000FF"/>
                <w:sz w:val="18"/>
                <w:szCs w:val="18"/>
                <w:u w:val="none"/>
                <w:lang w:val="en-US"/>
              </w:rPr>
            </w:pPr>
            <w:r>
              <w:rPr>
                <w:rFonts w:hint="eastAsia" w:asciiTheme="majorEastAsia" w:hAnsiTheme="majorEastAsia" w:eastAsiaTheme="majorEastAsia" w:cstheme="majorEastAsia"/>
                <w:b w:val="0"/>
                <w:bCs w:val="0"/>
                <w:i w:val="0"/>
                <w:iCs w:val="0"/>
                <w:color w:val="000000"/>
                <w:kern w:val="0"/>
                <w:sz w:val="21"/>
                <w:szCs w:val="21"/>
                <w:u w:val="none"/>
                <w:lang w:val="en-US" w:eastAsia="zh-CN" w:bidi="ar"/>
              </w:rPr>
              <w:t>存量</w:t>
            </w:r>
            <w:r>
              <w:rPr>
                <w:rFonts w:hint="eastAsia" w:ascii="宋体" w:hAnsi="宋体" w:eastAsia="宋体" w:cs="宋体"/>
                <w:b w:val="0"/>
                <w:bCs w:val="0"/>
                <w:i w:val="0"/>
                <w:iCs w:val="0"/>
                <w:color w:val="000000"/>
                <w:kern w:val="0"/>
                <w:sz w:val="21"/>
                <w:szCs w:val="21"/>
                <w:u w:val="none"/>
                <w:lang w:val="en-US" w:eastAsia="zh-CN" w:bidi="ar"/>
              </w:rPr>
              <w:t>资金</w:t>
            </w:r>
          </w:p>
        </w:tc>
      </w:tr>
      <w:tr w14:paraId="0AA6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2C9F">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8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D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175.22</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B4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175.22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E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3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516A1">
            <w:pPr>
              <w:rPr>
                <w:rFonts w:hint="eastAsia" w:ascii="黑体" w:hAnsi="黑体" w:eastAsia="黑体" w:cs="黑体"/>
                <w:i/>
                <w:iCs/>
                <w:color w:val="000000"/>
                <w:sz w:val="18"/>
                <w:szCs w:val="18"/>
                <w:u w:val="none"/>
              </w:rPr>
            </w:pPr>
          </w:p>
        </w:tc>
      </w:tr>
      <w:tr w14:paraId="4606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106CC">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D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6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B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29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D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3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A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F6AB">
            <w:pPr>
              <w:rPr>
                <w:rFonts w:hint="eastAsia" w:ascii="黑体" w:hAnsi="黑体" w:eastAsia="黑体" w:cs="黑体"/>
                <w:i/>
                <w:iCs/>
                <w:color w:val="000000"/>
                <w:sz w:val="18"/>
                <w:szCs w:val="18"/>
                <w:u w:val="none"/>
              </w:rPr>
            </w:pPr>
          </w:p>
        </w:tc>
      </w:tr>
      <w:tr w14:paraId="055F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8E7A">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F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7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6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24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D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D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A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30CD">
            <w:pPr>
              <w:rPr>
                <w:rFonts w:hint="eastAsia" w:ascii="黑体" w:hAnsi="黑体" w:eastAsia="黑体" w:cs="黑体"/>
                <w:i/>
                <w:iCs/>
                <w:color w:val="000000"/>
                <w:sz w:val="18"/>
                <w:szCs w:val="18"/>
                <w:u w:val="none"/>
              </w:rPr>
            </w:pPr>
          </w:p>
        </w:tc>
      </w:tr>
      <w:tr w14:paraId="247E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E35E">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3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BE34">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E4C4">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AA273">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A36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8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2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62868">
            <w:pPr>
              <w:rPr>
                <w:rFonts w:hint="eastAsia" w:ascii="黑体" w:hAnsi="黑体" w:eastAsia="黑体" w:cs="黑体"/>
                <w:i/>
                <w:iCs/>
                <w:color w:val="000000"/>
                <w:sz w:val="18"/>
                <w:szCs w:val="18"/>
                <w:u w:val="none"/>
              </w:rPr>
            </w:pPr>
          </w:p>
        </w:tc>
      </w:tr>
      <w:tr w14:paraId="37C6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8D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E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9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2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6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7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2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6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1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AC6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611D">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4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F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3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工程竣工合格率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5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1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ECA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9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C06">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5C74">
            <w:pPr>
              <w:jc w:val="center"/>
              <w:rPr>
                <w:rFonts w:hint="eastAsia" w:ascii="微软雅黑" w:hAnsi="微软雅黑" w:eastAsia="微软雅黑" w:cs="微软雅黑"/>
                <w:i/>
                <w:iCs/>
                <w:color w:val="000000"/>
                <w:sz w:val="16"/>
                <w:szCs w:val="16"/>
                <w:u w:val="none"/>
              </w:rPr>
            </w:pPr>
          </w:p>
        </w:tc>
      </w:tr>
      <w:tr w14:paraId="7E84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134B2">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D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4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A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改善办学条件</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5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B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C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426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C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B7C8">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2970">
            <w:pPr>
              <w:jc w:val="center"/>
              <w:rPr>
                <w:rFonts w:hint="eastAsia" w:ascii="微软雅黑" w:hAnsi="微软雅黑" w:eastAsia="微软雅黑" w:cs="微软雅黑"/>
                <w:i/>
                <w:iCs/>
                <w:color w:val="000000"/>
                <w:sz w:val="16"/>
                <w:szCs w:val="16"/>
                <w:u w:val="none"/>
              </w:rPr>
            </w:pPr>
          </w:p>
        </w:tc>
      </w:tr>
      <w:tr w14:paraId="4D7F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F0B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9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B24C">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B050">
            <w:pPr>
              <w:rPr>
                <w:rFonts w:hint="eastAsia" w:ascii="宋体" w:hAnsi="宋体" w:eastAsia="宋体" w:cs="宋体"/>
                <w:i w:val="0"/>
                <w:iCs w:val="0"/>
                <w:color w:val="000000"/>
                <w:sz w:val="18"/>
                <w:szCs w:val="18"/>
                <w:u w:val="none"/>
              </w:rPr>
            </w:pPr>
          </w:p>
        </w:tc>
      </w:tr>
      <w:tr w14:paraId="361B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9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04D9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Cs/>
                <w:color w:val="000000"/>
                <w:kern w:val="0"/>
                <w:sz w:val="16"/>
                <w:szCs w:val="16"/>
                <w:lang w:bidi="ar"/>
              </w:rPr>
              <w:t>项目自评总分达到100分。通过实施，项目达到了预期目标，解决了实际问题，取得了显著成果。</w:t>
            </w:r>
          </w:p>
        </w:tc>
      </w:tr>
      <w:tr w14:paraId="4391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4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795CA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D3E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C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22315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9F8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9C45B">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24DB2E">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tr w14:paraId="0DCD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2A71804E">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auto"/>
            <w:vAlign w:val="center"/>
          </w:tcPr>
          <w:p w14:paraId="34A6AA96">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4500975E">
            <w:pPr>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14:paraId="7E522D84">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3C5D8811">
            <w:pPr>
              <w:rPr>
                <w:rFonts w:hint="eastAsia" w:ascii="宋体" w:hAnsi="宋体" w:eastAsia="宋体" w:cs="宋体"/>
                <w:i w:val="0"/>
                <w:iCs w:val="0"/>
                <w:color w:val="000000"/>
                <w:sz w:val="18"/>
                <w:szCs w:val="18"/>
                <w:u w:val="none"/>
              </w:rPr>
            </w:pPr>
          </w:p>
        </w:tc>
        <w:tc>
          <w:tcPr>
            <w:tcW w:w="1533" w:type="dxa"/>
            <w:tcBorders>
              <w:top w:val="nil"/>
              <w:left w:val="nil"/>
              <w:bottom w:val="nil"/>
              <w:right w:val="nil"/>
            </w:tcBorders>
            <w:shd w:val="clear" w:color="auto" w:fill="auto"/>
            <w:vAlign w:val="center"/>
          </w:tcPr>
          <w:p w14:paraId="3A72E11A">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2A66B0DA">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3BDF8DE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583C339">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7CC58A55">
            <w:pPr>
              <w:rPr>
                <w:rFonts w:hint="eastAsia" w:ascii="宋体" w:hAnsi="宋体" w:eastAsia="宋体" w:cs="宋体"/>
                <w:i w:val="0"/>
                <w:iCs w:val="0"/>
                <w:color w:val="000000"/>
                <w:sz w:val="18"/>
                <w:szCs w:val="18"/>
                <w:u w:val="none"/>
              </w:rPr>
            </w:pPr>
          </w:p>
        </w:tc>
        <w:tc>
          <w:tcPr>
            <w:tcW w:w="2337" w:type="dxa"/>
            <w:tcBorders>
              <w:top w:val="nil"/>
              <w:left w:val="nil"/>
              <w:bottom w:val="nil"/>
              <w:right w:val="nil"/>
            </w:tcBorders>
            <w:shd w:val="clear" w:color="auto" w:fill="auto"/>
            <w:vAlign w:val="center"/>
          </w:tcPr>
          <w:p w14:paraId="5D6619D5">
            <w:pPr>
              <w:rPr>
                <w:rFonts w:hint="eastAsia" w:ascii="宋体" w:hAnsi="宋体" w:eastAsia="宋体" w:cs="宋体"/>
                <w:i w:val="0"/>
                <w:iCs w:val="0"/>
                <w:color w:val="000000"/>
                <w:sz w:val="18"/>
                <w:szCs w:val="18"/>
                <w:u w:val="none"/>
              </w:rPr>
            </w:pPr>
          </w:p>
        </w:tc>
      </w:tr>
      <w:tr w14:paraId="5453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332BF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27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3CC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98A6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51172422T000005673692-教师周转宿舍建设项目（存量）</w:t>
            </w:r>
          </w:p>
        </w:tc>
      </w:tr>
      <w:tr w14:paraId="0467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337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074A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3782D4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88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6838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BBF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E56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9C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0A1D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35E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47EC">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BD0D3">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ED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52654">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完成100%</w:t>
            </w:r>
          </w:p>
        </w:tc>
      </w:tr>
      <w:tr w14:paraId="5EF6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46A0">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C5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BE32D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w:t>
            </w:r>
          </w:p>
        </w:tc>
      </w:tr>
      <w:tr w14:paraId="763D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9C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D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3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9D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B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A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EF8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F9C7">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C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B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D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07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B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9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A33">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DF7E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存量资金</w:t>
            </w:r>
          </w:p>
        </w:tc>
      </w:tr>
      <w:tr w14:paraId="2E80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9509">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F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8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C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13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E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D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AFF3D">
            <w:pPr>
              <w:rPr>
                <w:rFonts w:hint="eastAsia" w:ascii="黑体" w:hAnsi="黑体" w:eastAsia="黑体" w:cs="黑体"/>
                <w:i/>
                <w:iCs/>
                <w:color w:val="000000"/>
                <w:sz w:val="18"/>
                <w:szCs w:val="18"/>
                <w:u w:val="none"/>
              </w:rPr>
            </w:pPr>
          </w:p>
        </w:tc>
      </w:tr>
      <w:tr w14:paraId="2F99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E096">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9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D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C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20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6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8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5025">
            <w:pPr>
              <w:rPr>
                <w:rFonts w:hint="eastAsia" w:ascii="黑体" w:hAnsi="黑体" w:eastAsia="黑体" w:cs="黑体"/>
                <w:i/>
                <w:iCs/>
                <w:color w:val="000000"/>
                <w:sz w:val="18"/>
                <w:szCs w:val="18"/>
                <w:u w:val="none"/>
              </w:rPr>
            </w:pPr>
          </w:p>
        </w:tc>
      </w:tr>
      <w:tr w14:paraId="1871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DE8F4">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6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5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C7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0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C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D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853E5">
            <w:pPr>
              <w:rPr>
                <w:rFonts w:hint="eastAsia" w:ascii="黑体" w:hAnsi="黑体" w:eastAsia="黑体" w:cs="黑体"/>
                <w:i/>
                <w:iCs/>
                <w:color w:val="000000"/>
                <w:sz w:val="18"/>
                <w:szCs w:val="18"/>
                <w:u w:val="none"/>
              </w:rPr>
            </w:pPr>
          </w:p>
        </w:tc>
      </w:tr>
      <w:tr w14:paraId="3780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6777">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E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6B58">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C630">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526C0">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B4B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E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6675">
            <w:pPr>
              <w:rPr>
                <w:rFonts w:hint="eastAsia" w:ascii="黑体" w:hAnsi="黑体" w:eastAsia="黑体" w:cs="黑体"/>
                <w:i/>
                <w:iCs/>
                <w:color w:val="000000"/>
                <w:sz w:val="18"/>
                <w:szCs w:val="18"/>
                <w:u w:val="none"/>
              </w:rPr>
            </w:pPr>
          </w:p>
        </w:tc>
      </w:tr>
      <w:tr w14:paraId="5CB1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38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5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D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0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D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0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E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0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8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E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26A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8737">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7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5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F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9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C29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3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84C9">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4E7F">
            <w:pPr>
              <w:jc w:val="center"/>
              <w:rPr>
                <w:rFonts w:hint="eastAsia" w:ascii="微软雅黑" w:hAnsi="微软雅黑" w:eastAsia="微软雅黑" w:cs="微软雅黑"/>
                <w:i/>
                <w:iCs/>
                <w:color w:val="000000"/>
                <w:sz w:val="16"/>
                <w:szCs w:val="16"/>
                <w:u w:val="none"/>
              </w:rPr>
            </w:pPr>
          </w:p>
        </w:tc>
      </w:tr>
      <w:tr w14:paraId="2335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99C4F">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0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2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3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改善教师住宿环境</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A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D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6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864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5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3C5E">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2321">
            <w:pPr>
              <w:jc w:val="center"/>
              <w:rPr>
                <w:rFonts w:hint="eastAsia" w:ascii="微软雅黑" w:hAnsi="微软雅黑" w:eastAsia="微软雅黑" w:cs="微软雅黑"/>
                <w:i/>
                <w:iCs/>
                <w:color w:val="000000"/>
                <w:sz w:val="16"/>
                <w:szCs w:val="16"/>
                <w:u w:val="none"/>
              </w:rPr>
            </w:pPr>
          </w:p>
        </w:tc>
      </w:tr>
      <w:tr w14:paraId="0F9D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A20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8992">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1354">
            <w:pPr>
              <w:rPr>
                <w:rFonts w:hint="eastAsia" w:ascii="宋体" w:hAnsi="宋体" w:eastAsia="宋体" w:cs="宋体"/>
                <w:i w:val="0"/>
                <w:iCs w:val="0"/>
                <w:color w:val="000000"/>
                <w:sz w:val="18"/>
                <w:szCs w:val="18"/>
                <w:u w:val="none"/>
              </w:rPr>
            </w:pPr>
          </w:p>
        </w:tc>
      </w:tr>
      <w:tr w14:paraId="3F3C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8916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Cs/>
                <w:color w:val="000000"/>
                <w:kern w:val="0"/>
                <w:sz w:val="16"/>
                <w:szCs w:val="16"/>
                <w:lang w:bidi="ar"/>
              </w:rPr>
              <w:t>项目自评总分达到100分。通过实施，项目达到了预期目标，解决了实际问题，取得了显著成果。</w:t>
            </w:r>
          </w:p>
        </w:tc>
      </w:tr>
      <w:tr w14:paraId="12A7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D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AF83A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AA6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5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B0C38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BAD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2A8C1">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0C4695">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tr w14:paraId="4D57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3728F6E1">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auto"/>
            <w:vAlign w:val="center"/>
          </w:tcPr>
          <w:p w14:paraId="1E678BBD">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6807AF58">
            <w:pPr>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14:paraId="30F6FFE3">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101DE86">
            <w:pPr>
              <w:rPr>
                <w:rFonts w:hint="eastAsia" w:ascii="宋体" w:hAnsi="宋体" w:eastAsia="宋体" w:cs="宋体"/>
                <w:i w:val="0"/>
                <w:iCs w:val="0"/>
                <w:color w:val="000000"/>
                <w:sz w:val="18"/>
                <w:szCs w:val="18"/>
                <w:u w:val="none"/>
              </w:rPr>
            </w:pPr>
          </w:p>
        </w:tc>
        <w:tc>
          <w:tcPr>
            <w:tcW w:w="1533" w:type="dxa"/>
            <w:tcBorders>
              <w:top w:val="nil"/>
              <w:left w:val="nil"/>
              <w:bottom w:val="nil"/>
              <w:right w:val="nil"/>
            </w:tcBorders>
            <w:shd w:val="clear" w:color="auto" w:fill="auto"/>
            <w:vAlign w:val="center"/>
          </w:tcPr>
          <w:p w14:paraId="3BA3C5CA">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4FE0E191">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7C42FF5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55729AF">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270CC7CD">
            <w:pPr>
              <w:rPr>
                <w:rFonts w:hint="eastAsia" w:ascii="宋体" w:hAnsi="宋体" w:eastAsia="宋体" w:cs="宋体"/>
                <w:i w:val="0"/>
                <w:iCs w:val="0"/>
                <w:color w:val="000000"/>
                <w:sz w:val="18"/>
                <w:szCs w:val="18"/>
                <w:u w:val="none"/>
              </w:rPr>
            </w:pPr>
          </w:p>
        </w:tc>
        <w:tc>
          <w:tcPr>
            <w:tcW w:w="2337" w:type="dxa"/>
            <w:tcBorders>
              <w:top w:val="nil"/>
              <w:left w:val="nil"/>
              <w:bottom w:val="nil"/>
              <w:right w:val="nil"/>
            </w:tcBorders>
            <w:shd w:val="clear" w:color="auto" w:fill="auto"/>
            <w:vAlign w:val="center"/>
          </w:tcPr>
          <w:p w14:paraId="50C6589D">
            <w:pPr>
              <w:rPr>
                <w:rFonts w:hint="eastAsia" w:ascii="宋体" w:hAnsi="宋体" w:eastAsia="宋体" w:cs="宋体"/>
                <w:i w:val="0"/>
                <w:iCs w:val="0"/>
                <w:color w:val="000000"/>
                <w:sz w:val="18"/>
                <w:szCs w:val="18"/>
                <w:u w:val="none"/>
              </w:rPr>
            </w:pPr>
          </w:p>
        </w:tc>
      </w:tr>
      <w:tr w14:paraId="3A02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903DC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413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726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CE5A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51172422T000005728399-营养餐</w:t>
            </w:r>
          </w:p>
        </w:tc>
      </w:tr>
      <w:tr w14:paraId="4E8B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9F3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723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7A503E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B2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28C5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41B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2E0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A1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D1D00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29C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1166">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5F7A">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A7B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A318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lang w:val="en-US" w:eastAsia="zh-CN"/>
              </w:rPr>
              <w:t>完成100%</w:t>
            </w:r>
          </w:p>
        </w:tc>
      </w:tr>
      <w:tr w14:paraId="6B23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73A5">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F9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B42D84">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让义务教育阶段学生享受营养餐，提升学生生活营养。</w:t>
            </w:r>
          </w:p>
        </w:tc>
      </w:tr>
      <w:tr w14:paraId="4AD4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98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0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5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2F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2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0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4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FE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EE8D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C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E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1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157.38</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09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4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E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9483">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9673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宋体"/>
                <w:color w:val="000000"/>
                <w:kern w:val="0"/>
                <w:sz w:val="18"/>
                <w:szCs w:val="18"/>
              </w:rPr>
              <w:t>年初财政</w:t>
            </w:r>
            <w:r>
              <w:rPr>
                <w:rFonts w:hint="eastAsia" w:ascii="黑体" w:hAnsi="黑体" w:eastAsia="黑体" w:cs="宋体"/>
                <w:color w:val="000000"/>
                <w:kern w:val="0"/>
                <w:sz w:val="18"/>
                <w:szCs w:val="18"/>
                <w:lang w:val="en-US" w:eastAsia="zh-CN"/>
              </w:rPr>
              <w:t>预算数较少</w:t>
            </w:r>
            <w:r>
              <w:rPr>
                <w:rFonts w:hint="eastAsia" w:ascii="黑体" w:hAnsi="黑体" w:eastAsia="黑体" w:cs="宋体"/>
                <w:color w:val="000000"/>
                <w:kern w:val="0"/>
                <w:sz w:val="18"/>
                <w:szCs w:val="18"/>
              </w:rPr>
              <w:t>，后由财政统一追加营养餐指标。</w:t>
            </w:r>
          </w:p>
        </w:tc>
      </w:tr>
      <w:tr w14:paraId="02ED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9B7AA">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2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7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157.38</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53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32.51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B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0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61D6">
            <w:pPr>
              <w:rPr>
                <w:rFonts w:hint="eastAsia" w:ascii="黑体" w:hAnsi="黑体" w:eastAsia="黑体" w:cs="黑体"/>
                <w:i/>
                <w:iCs/>
                <w:color w:val="000000"/>
                <w:sz w:val="18"/>
                <w:szCs w:val="18"/>
                <w:u w:val="none"/>
              </w:rPr>
            </w:pPr>
          </w:p>
        </w:tc>
      </w:tr>
      <w:tr w14:paraId="13E5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584A">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7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6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E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60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7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5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595F">
            <w:pPr>
              <w:rPr>
                <w:rFonts w:hint="eastAsia" w:ascii="黑体" w:hAnsi="黑体" w:eastAsia="黑体" w:cs="黑体"/>
                <w:i/>
                <w:iCs/>
                <w:color w:val="000000"/>
                <w:sz w:val="18"/>
                <w:szCs w:val="18"/>
                <w:u w:val="none"/>
              </w:rPr>
            </w:pPr>
          </w:p>
        </w:tc>
      </w:tr>
      <w:tr w14:paraId="272C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D419">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C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8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9F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3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9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4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3E55">
            <w:pPr>
              <w:rPr>
                <w:rFonts w:hint="eastAsia" w:ascii="黑体" w:hAnsi="黑体" w:eastAsia="黑体" w:cs="黑体"/>
                <w:i/>
                <w:iCs/>
                <w:color w:val="000000"/>
                <w:sz w:val="18"/>
                <w:szCs w:val="18"/>
                <w:u w:val="none"/>
              </w:rPr>
            </w:pPr>
          </w:p>
        </w:tc>
      </w:tr>
      <w:tr w14:paraId="0556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83CF">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7CC6">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A4C">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BDC6B">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7D6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4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F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3006">
            <w:pPr>
              <w:rPr>
                <w:rFonts w:hint="eastAsia" w:ascii="黑体" w:hAnsi="黑体" w:eastAsia="黑体" w:cs="黑体"/>
                <w:i/>
                <w:iCs/>
                <w:color w:val="000000"/>
                <w:sz w:val="18"/>
                <w:szCs w:val="18"/>
                <w:u w:val="none"/>
              </w:rPr>
            </w:pPr>
          </w:p>
        </w:tc>
      </w:tr>
      <w:tr w14:paraId="0033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FA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8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8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E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5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B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5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E9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44B4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F167">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6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6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1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0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6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C2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F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792">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4B3F">
            <w:pPr>
              <w:jc w:val="center"/>
              <w:rPr>
                <w:rFonts w:hint="eastAsia" w:ascii="微软雅黑" w:hAnsi="微软雅黑" w:eastAsia="微软雅黑" w:cs="微软雅黑"/>
                <w:i/>
                <w:iCs/>
                <w:color w:val="000000"/>
                <w:sz w:val="16"/>
                <w:szCs w:val="16"/>
                <w:u w:val="none"/>
              </w:rPr>
            </w:pPr>
          </w:p>
        </w:tc>
      </w:tr>
      <w:tr w14:paraId="0963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8C5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0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0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2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改善学生营养餐</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8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A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8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D8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7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852">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47A">
            <w:pPr>
              <w:jc w:val="center"/>
              <w:rPr>
                <w:rFonts w:hint="eastAsia" w:ascii="微软雅黑" w:hAnsi="微软雅黑" w:eastAsia="微软雅黑" w:cs="微软雅黑"/>
                <w:i/>
                <w:iCs/>
                <w:color w:val="000000"/>
                <w:sz w:val="16"/>
                <w:szCs w:val="16"/>
                <w:u w:val="none"/>
              </w:rPr>
            </w:pPr>
          </w:p>
        </w:tc>
      </w:tr>
      <w:tr w14:paraId="2E57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4A8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6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1AB1">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5A1">
            <w:pPr>
              <w:rPr>
                <w:rFonts w:hint="eastAsia" w:ascii="宋体" w:hAnsi="宋体" w:eastAsia="宋体" w:cs="宋体"/>
                <w:i w:val="0"/>
                <w:iCs w:val="0"/>
                <w:color w:val="000000"/>
                <w:sz w:val="18"/>
                <w:szCs w:val="18"/>
                <w:u w:val="none"/>
              </w:rPr>
            </w:pPr>
          </w:p>
        </w:tc>
      </w:tr>
      <w:tr w14:paraId="40CA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2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8997F4">
            <w:pPr>
              <w:keepNext w:val="0"/>
              <w:keepLines w:val="0"/>
              <w:widowControl/>
              <w:suppressLineNumbers w:val="0"/>
              <w:jc w:val="left"/>
              <w:textAlignment w:val="center"/>
              <w:rPr>
                <w:rFonts w:hint="default" w:ascii="微软雅黑" w:hAnsi="微软雅黑" w:eastAsia="微软雅黑" w:cs="微软雅黑"/>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完成率没有达到预期的效果。</w:t>
            </w:r>
          </w:p>
        </w:tc>
      </w:tr>
      <w:tr w14:paraId="4F0C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8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CA49A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黑体" w:hAnsi="黑体" w:eastAsia="黑体" w:cs="宋体"/>
                <w:i w:val="0"/>
                <w:iCs w:val="0"/>
                <w:color w:val="000000"/>
                <w:kern w:val="0"/>
                <w:sz w:val="18"/>
                <w:szCs w:val="18"/>
              </w:rPr>
              <w:t>年初财政</w:t>
            </w:r>
            <w:r>
              <w:rPr>
                <w:rFonts w:hint="eastAsia" w:ascii="黑体" w:hAnsi="黑体" w:eastAsia="黑体" w:cs="宋体"/>
                <w:i w:val="0"/>
                <w:iCs w:val="0"/>
                <w:color w:val="000000"/>
                <w:kern w:val="0"/>
                <w:sz w:val="18"/>
                <w:szCs w:val="18"/>
                <w:lang w:val="en-US" w:eastAsia="zh-CN"/>
              </w:rPr>
              <w:t>预算较少</w:t>
            </w:r>
            <w:r>
              <w:rPr>
                <w:rFonts w:hint="eastAsia" w:ascii="黑体" w:hAnsi="黑体" w:eastAsia="黑体" w:cs="宋体"/>
                <w:i w:val="0"/>
                <w:iCs w:val="0"/>
                <w:color w:val="000000"/>
                <w:kern w:val="0"/>
                <w:sz w:val="18"/>
                <w:szCs w:val="18"/>
              </w:rPr>
              <w:t>，后由财政统一追加营养餐指标。</w:t>
            </w:r>
          </w:p>
        </w:tc>
      </w:tr>
      <w:tr w14:paraId="0BD8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6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F1688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黑体" w:hAnsi="黑体" w:eastAsia="黑体" w:cs="黑体"/>
                <w:i w:val="0"/>
                <w:iCs w:val="0"/>
                <w:color w:val="000000"/>
                <w:kern w:val="0"/>
                <w:sz w:val="18"/>
                <w:szCs w:val="18"/>
                <w:u w:val="none"/>
                <w:lang w:val="en-US" w:eastAsia="zh-CN" w:bidi="ar"/>
              </w:rPr>
              <w:t>无</w:t>
            </w:r>
          </w:p>
        </w:tc>
      </w:tr>
      <w:tr w14:paraId="1DF8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C7E8C">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DA2AD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tr w14:paraId="438D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2468D2C1">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auto"/>
            <w:vAlign w:val="center"/>
          </w:tcPr>
          <w:p w14:paraId="5634F928">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73DECB08">
            <w:pPr>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14:paraId="3F1D951D">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5D8DF131">
            <w:pPr>
              <w:rPr>
                <w:rFonts w:hint="eastAsia" w:ascii="宋体" w:hAnsi="宋体" w:eastAsia="宋体" w:cs="宋体"/>
                <w:i w:val="0"/>
                <w:iCs w:val="0"/>
                <w:color w:val="000000"/>
                <w:sz w:val="18"/>
                <w:szCs w:val="18"/>
                <w:u w:val="none"/>
              </w:rPr>
            </w:pPr>
          </w:p>
        </w:tc>
        <w:tc>
          <w:tcPr>
            <w:tcW w:w="1533" w:type="dxa"/>
            <w:tcBorders>
              <w:top w:val="nil"/>
              <w:left w:val="nil"/>
              <w:bottom w:val="nil"/>
              <w:right w:val="nil"/>
            </w:tcBorders>
            <w:shd w:val="clear" w:color="auto" w:fill="auto"/>
            <w:vAlign w:val="center"/>
          </w:tcPr>
          <w:p w14:paraId="4F701940">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230A5FF6">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785B6A1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88D6A37">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6740302E">
            <w:pPr>
              <w:rPr>
                <w:rFonts w:hint="eastAsia" w:ascii="宋体" w:hAnsi="宋体" w:eastAsia="宋体" w:cs="宋体"/>
                <w:i w:val="0"/>
                <w:iCs w:val="0"/>
                <w:color w:val="000000"/>
                <w:sz w:val="18"/>
                <w:szCs w:val="18"/>
                <w:u w:val="none"/>
              </w:rPr>
            </w:pPr>
          </w:p>
        </w:tc>
        <w:tc>
          <w:tcPr>
            <w:tcW w:w="2337" w:type="dxa"/>
            <w:tcBorders>
              <w:top w:val="nil"/>
              <w:left w:val="nil"/>
              <w:bottom w:val="nil"/>
              <w:right w:val="nil"/>
            </w:tcBorders>
            <w:shd w:val="clear" w:color="auto" w:fill="auto"/>
            <w:vAlign w:val="center"/>
          </w:tcPr>
          <w:p w14:paraId="46773305">
            <w:pPr>
              <w:rPr>
                <w:rFonts w:hint="eastAsia" w:ascii="宋体" w:hAnsi="宋体" w:eastAsia="宋体" w:cs="宋体"/>
                <w:i w:val="0"/>
                <w:iCs w:val="0"/>
                <w:color w:val="000000"/>
                <w:sz w:val="18"/>
                <w:szCs w:val="18"/>
                <w:u w:val="none"/>
              </w:rPr>
            </w:pPr>
          </w:p>
        </w:tc>
      </w:tr>
      <w:tr w14:paraId="0F31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83492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683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27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3419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51172422T000005861978-幼儿园围墙堡坎校舍维修应急排危工程（存量）</w:t>
            </w:r>
          </w:p>
        </w:tc>
      </w:tr>
      <w:tr w14:paraId="2C52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A92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2BE1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11AC06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F0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6993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D3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223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4EE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03192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E5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4F16E">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20A9">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E74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改善办学条件，保障师生安全。</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BB0272">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完成100%</w:t>
            </w:r>
          </w:p>
        </w:tc>
      </w:tr>
      <w:tr w14:paraId="15C8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DE68">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AF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784C9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幼儿园围墙堡坎校舍维修应急排危</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改善办学条件，保障师生安全。</w:t>
            </w:r>
          </w:p>
        </w:tc>
      </w:tr>
      <w:tr w14:paraId="587B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72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B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1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1A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2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5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3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F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38D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D1B62">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1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A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13.23</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32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7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3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DA6E">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8516D">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存量资金</w:t>
            </w:r>
          </w:p>
        </w:tc>
      </w:tr>
      <w:tr w14:paraId="2E8E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26C0">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F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C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13.23</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02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3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2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8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3F21">
            <w:pPr>
              <w:rPr>
                <w:rFonts w:hint="eastAsia" w:ascii="黑体" w:hAnsi="黑体" w:eastAsia="黑体" w:cs="黑体"/>
                <w:i/>
                <w:iCs/>
                <w:color w:val="000000"/>
                <w:sz w:val="18"/>
                <w:szCs w:val="18"/>
                <w:u w:val="none"/>
              </w:rPr>
            </w:pPr>
          </w:p>
        </w:tc>
      </w:tr>
      <w:tr w14:paraId="07C8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0730">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D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5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01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E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F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292A">
            <w:pPr>
              <w:rPr>
                <w:rFonts w:hint="eastAsia" w:ascii="黑体" w:hAnsi="黑体" w:eastAsia="黑体" w:cs="黑体"/>
                <w:i/>
                <w:iCs/>
                <w:color w:val="000000"/>
                <w:sz w:val="18"/>
                <w:szCs w:val="18"/>
                <w:u w:val="none"/>
              </w:rPr>
            </w:pPr>
          </w:p>
        </w:tc>
      </w:tr>
      <w:tr w14:paraId="4642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5662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1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8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F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19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D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9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C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5BE81">
            <w:pPr>
              <w:rPr>
                <w:rFonts w:hint="eastAsia" w:ascii="黑体" w:hAnsi="黑体" w:eastAsia="黑体" w:cs="黑体"/>
                <w:i/>
                <w:iCs/>
                <w:color w:val="000000"/>
                <w:sz w:val="18"/>
                <w:szCs w:val="18"/>
                <w:u w:val="none"/>
              </w:rPr>
            </w:pPr>
          </w:p>
        </w:tc>
      </w:tr>
      <w:tr w14:paraId="0324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0C77">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9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40E5">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7106">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AF9D9">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483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D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6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A25C8">
            <w:pPr>
              <w:rPr>
                <w:rFonts w:hint="eastAsia" w:ascii="黑体" w:hAnsi="黑体" w:eastAsia="黑体" w:cs="黑体"/>
                <w:i/>
                <w:iCs/>
                <w:color w:val="000000"/>
                <w:sz w:val="18"/>
                <w:szCs w:val="18"/>
                <w:u w:val="none"/>
              </w:rPr>
            </w:pPr>
          </w:p>
        </w:tc>
      </w:tr>
      <w:tr w14:paraId="7802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B7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E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7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0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7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B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0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7B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767F0">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7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C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工程竣工合格率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3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8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B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CB2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E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6935">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FA9A">
            <w:pPr>
              <w:jc w:val="center"/>
              <w:rPr>
                <w:rFonts w:hint="eastAsia" w:ascii="微软雅黑" w:hAnsi="微软雅黑" w:eastAsia="微软雅黑" w:cs="微软雅黑"/>
                <w:i/>
                <w:iCs/>
                <w:color w:val="000000"/>
                <w:sz w:val="16"/>
                <w:szCs w:val="16"/>
                <w:u w:val="none"/>
              </w:rPr>
            </w:pPr>
          </w:p>
        </w:tc>
      </w:tr>
      <w:tr w14:paraId="0543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9470">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A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9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改善教学环境</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E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7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0B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9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EE9D">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8A16">
            <w:pPr>
              <w:jc w:val="center"/>
              <w:rPr>
                <w:rFonts w:hint="eastAsia" w:ascii="微软雅黑" w:hAnsi="微软雅黑" w:eastAsia="微软雅黑" w:cs="微软雅黑"/>
                <w:i/>
                <w:iCs/>
                <w:color w:val="000000"/>
                <w:sz w:val="16"/>
                <w:szCs w:val="16"/>
                <w:u w:val="none"/>
              </w:rPr>
            </w:pPr>
          </w:p>
        </w:tc>
      </w:tr>
      <w:tr w14:paraId="7916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C18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9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3998">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4A18">
            <w:pPr>
              <w:rPr>
                <w:rFonts w:hint="eastAsia" w:ascii="宋体" w:hAnsi="宋体" w:eastAsia="宋体" w:cs="宋体"/>
                <w:i w:val="0"/>
                <w:iCs w:val="0"/>
                <w:color w:val="000000"/>
                <w:sz w:val="18"/>
                <w:szCs w:val="18"/>
                <w:u w:val="none"/>
              </w:rPr>
            </w:pPr>
          </w:p>
        </w:tc>
      </w:tr>
      <w:tr w14:paraId="6849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A4BCC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Cs/>
                <w:color w:val="000000"/>
                <w:kern w:val="0"/>
                <w:sz w:val="16"/>
                <w:szCs w:val="16"/>
                <w:lang w:bidi="ar"/>
              </w:rPr>
              <w:t>项目自评总分达到100分。通过实施，项目达到了预期目标，解决了实际问题，取得了显著成果。</w:t>
            </w:r>
          </w:p>
        </w:tc>
      </w:tr>
      <w:tr w14:paraId="05B0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C170F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E45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9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30200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FBD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1328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BB8D40">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tr w14:paraId="4D4E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17962949">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auto"/>
            <w:vAlign w:val="center"/>
          </w:tcPr>
          <w:p w14:paraId="63050785">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2CFC6963">
            <w:pPr>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14:paraId="0FBD114B">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0E2AEC24">
            <w:pPr>
              <w:rPr>
                <w:rFonts w:hint="eastAsia" w:ascii="宋体" w:hAnsi="宋体" w:eastAsia="宋体" w:cs="宋体"/>
                <w:i w:val="0"/>
                <w:iCs w:val="0"/>
                <w:color w:val="000000"/>
                <w:sz w:val="18"/>
                <w:szCs w:val="18"/>
                <w:u w:val="none"/>
              </w:rPr>
            </w:pPr>
          </w:p>
        </w:tc>
        <w:tc>
          <w:tcPr>
            <w:tcW w:w="1533" w:type="dxa"/>
            <w:tcBorders>
              <w:top w:val="nil"/>
              <w:left w:val="nil"/>
              <w:bottom w:val="nil"/>
              <w:right w:val="nil"/>
            </w:tcBorders>
            <w:shd w:val="clear" w:color="auto" w:fill="auto"/>
            <w:vAlign w:val="center"/>
          </w:tcPr>
          <w:p w14:paraId="6F5AA665">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6FC96581">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25E6AE7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3A9D6D1">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47706EF8">
            <w:pPr>
              <w:rPr>
                <w:rFonts w:hint="eastAsia" w:ascii="宋体" w:hAnsi="宋体" w:eastAsia="宋体" w:cs="宋体"/>
                <w:i w:val="0"/>
                <w:iCs w:val="0"/>
                <w:color w:val="000000"/>
                <w:sz w:val="18"/>
                <w:szCs w:val="18"/>
                <w:u w:val="none"/>
              </w:rPr>
            </w:pPr>
          </w:p>
        </w:tc>
        <w:tc>
          <w:tcPr>
            <w:tcW w:w="2337" w:type="dxa"/>
            <w:tcBorders>
              <w:top w:val="nil"/>
              <w:left w:val="nil"/>
              <w:bottom w:val="nil"/>
              <w:right w:val="nil"/>
            </w:tcBorders>
            <w:shd w:val="clear" w:color="auto" w:fill="auto"/>
            <w:vAlign w:val="center"/>
          </w:tcPr>
          <w:p w14:paraId="73CD4EDF">
            <w:pPr>
              <w:rPr>
                <w:rFonts w:hint="eastAsia" w:ascii="宋体" w:hAnsi="宋体" w:eastAsia="宋体" w:cs="宋体"/>
                <w:i w:val="0"/>
                <w:iCs w:val="0"/>
                <w:color w:val="000000"/>
                <w:sz w:val="18"/>
                <w:szCs w:val="18"/>
                <w:u w:val="none"/>
              </w:rPr>
            </w:pPr>
          </w:p>
        </w:tc>
      </w:tr>
      <w:tr w14:paraId="4D65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FA27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B5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B89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6A31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51172422T000006767149-大竹县庙坝镇中心小学运动场及附属设施建设</w:t>
            </w:r>
          </w:p>
        </w:tc>
      </w:tr>
      <w:tr w14:paraId="1754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660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F38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787937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5E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2E3D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31A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5F3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BC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79CA3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10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9F44">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99C5">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3AC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改善教学环境，保障教学质量</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507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lang w:val="en-US" w:eastAsia="zh-CN"/>
              </w:rPr>
              <w:t>完成100%</w:t>
            </w:r>
          </w:p>
        </w:tc>
      </w:tr>
      <w:tr w14:paraId="49AF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0D362">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3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FA3AA3">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新建学校大门及运动场附属设施建设，改善学校环境，给学生提高更好的活动场所。</w:t>
            </w:r>
          </w:p>
        </w:tc>
      </w:tr>
      <w:tr w14:paraId="48CC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85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8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2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4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FF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D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8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1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E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E8C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13CC">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A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1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584.55</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A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584.55</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E5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584.55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5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1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924">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F18DA">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CC7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5FC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B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F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584.55</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D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584.55</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DC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584.55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F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9717">
            <w:pPr>
              <w:rPr>
                <w:rFonts w:hint="eastAsia" w:ascii="黑体" w:hAnsi="黑体" w:eastAsia="黑体" w:cs="黑体"/>
                <w:i/>
                <w:iCs/>
                <w:color w:val="000000"/>
                <w:sz w:val="18"/>
                <w:szCs w:val="18"/>
                <w:u w:val="none"/>
              </w:rPr>
            </w:pPr>
          </w:p>
        </w:tc>
      </w:tr>
      <w:tr w14:paraId="652C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DE9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9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4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2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80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8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C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53D18">
            <w:pPr>
              <w:rPr>
                <w:rFonts w:hint="eastAsia" w:ascii="黑体" w:hAnsi="黑体" w:eastAsia="黑体" w:cs="黑体"/>
                <w:i/>
                <w:iCs/>
                <w:color w:val="000000"/>
                <w:sz w:val="18"/>
                <w:szCs w:val="18"/>
                <w:u w:val="none"/>
              </w:rPr>
            </w:pPr>
          </w:p>
        </w:tc>
      </w:tr>
      <w:tr w14:paraId="108E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EE8D">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0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C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9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19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0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6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B526">
            <w:pPr>
              <w:rPr>
                <w:rFonts w:hint="eastAsia" w:ascii="黑体" w:hAnsi="黑体" w:eastAsia="黑体" w:cs="黑体"/>
                <w:i/>
                <w:iCs/>
                <w:color w:val="000000"/>
                <w:sz w:val="18"/>
                <w:szCs w:val="18"/>
                <w:u w:val="none"/>
              </w:rPr>
            </w:pPr>
          </w:p>
        </w:tc>
      </w:tr>
      <w:tr w14:paraId="2CFF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A046">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E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7051">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9BF8">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9E163">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D993">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F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F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D47E">
            <w:pPr>
              <w:rPr>
                <w:rFonts w:hint="eastAsia" w:ascii="黑体" w:hAnsi="黑体" w:eastAsia="黑体" w:cs="黑体"/>
                <w:i/>
                <w:iCs/>
                <w:color w:val="000000"/>
                <w:sz w:val="18"/>
                <w:szCs w:val="18"/>
                <w:u w:val="none"/>
              </w:rPr>
            </w:pPr>
          </w:p>
        </w:tc>
      </w:tr>
      <w:tr w14:paraId="2B3C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55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0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A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5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8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2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8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9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E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D30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0B65">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C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A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B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工程竣工合格率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C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68D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E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AD06">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5A24">
            <w:pPr>
              <w:jc w:val="center"/>
              <w:rPr>
                <w:rFonts w:hint="eastAsia" w:ascii="微软雅黑" w:hAnsi="微软雅黑" w:eastAsia="微软雅黑" w:cs="微软雅黑"/>
                <w:i/>
                <w:iCs/>
                <w:color w:val="000000"/>
                <w:sz w:val="16"/>
                <w:szCs w:val="16"/>
                <w:u w:val="none"/>
              </w:rPr>
            </w:pPr>
          </w:p>
        </w:tc>
      </w:tr>
      <w:tr w14:paraId="56B1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1D03">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A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改善学校办学条件</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6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D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3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8F5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3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6B1C">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09D0">
            <w:pPr>
              <w:jc w:val="center"/>
              <w:rPr>
                <w:rFonts w:hint="eastAsia" w:ascii="微软雅黑" w:hAnsi="微软雅黑" w:eastAsia="微软雅黑" w:cs="微软雅黑"/>
                <w:i/>
                <w:iCs/>
                <w:color w:val="000000"/>
                <w:sz w:val="16"/>
                <w:szCs w:val="16"/>
                <w:u w:val="none"/>
              </w:rPr>
            </w:pPr>
          </w:p>
        </w:tc>
      </w:tr>
      <w:tr w14:paraId="5B99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70E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C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E844">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3F17">
            <w:pPr>
              <w:rPr>
                <w:rFonts w:hint="eastAsia" w:ascii="宋体" w:hAnsi="宋体" w:eastAsia="宋体" w:cs="宋体"/>
                <w:i w:val="0"/>
                <w:iCs w:val="0"/>
                <w:color w:val="000000"/>
                <w:sz w:val="18"/>
                <w:szCs w:val="18"/>
                <w:u w:val="none"/>
              </w:rPr>
            </w:pPr>
          </w:p>
        </w:tc>
      </w:tr>
      <w:tr w14:paraId="424D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F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CF08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Cs/>
                <w:color w:val="000000"/>
                <w:kern w:val="0"/>
                <w:sz w:val="16"/>
                <w:szCs w:val="16"/>
                <w:lang w:bidi="ar"/>
              </w:rPr>
              <w:t>项目自评总分达到100分。通过实施，项目达到了预期目标，解决了实际问题，取得了显著成果。</w:t>
            </w:r>
          </w:p>
        </w:tc>
      </w:tr>
      <w:tr w14:paraId="3300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381C34">
            <w:pPr>
              <w:keepNext w:val="0"/>
              <w:keepLines w:val="0"/>
              <w:widowControl/>
              <w:suppressLineNumbers w:val="0"/>
              <w:jc w:val="left"/>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912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3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41C28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FBB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CF0B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B75B67">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tr w14:paraId="3FD2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3DA1DDE4">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auto"/>
            <w:vAlign w:val="center"/>
          </w:tcPr>
          <w:p w14:paraId="6A057C78">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0BDD392C">
            <w:pPr>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14:paraId="29727599">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BD2489F">
            <w:pPr>
              <w:rPr>
                <w:rFonts w:hint="eastAsia" w:ascii="宋体" w:hAnsi="宋体" w:eastAsia="宋体" w:cs="宋体"/>
                <w:i w:val="0"/>
                <w:iCs w:val="0"/>
                <w:color w:val="000000"/>
                <w:sz w:val="18"/>
                <w:szCs w:val="18"/>
                <w:u w:val="none"/>
              </w:rPr>
            </w:pPr>
          </w:p>
        </w:tc>
        <w:tc>
          <w:tcPr>
            <w:tcW w:w="1533" w:type="dxa"/>
            <w:tcBorders>
              <w:top w:val="nil"/>
              <w:left w:val="nil"/>
              <w:bottom w:val="nil"/>
              <w:right w:val="nil"/>
            </w:tcBorders>
            <w:shd w:val="clear" w:color="auto" w:fill="auto"/>
            <w:vAlign w:val="center"/>
          </w:tcPr>
          <w:p w14:paraId="272AB892">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085344B8">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15B07CB0">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5D6E96D">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56A05890">
            <w:pPr>
              <w:rPr>
                <w:rFonts w:hint="eastAsia" w:ascii="宋体" w:hAnsi="宋体" w:eastAsia="宋体" w:cs="宋体"/>
                <w:i w:val="0"/>
                <w:iCs w:val="0"/>
                <w:color w:val="000000"/>
                <w:sz w:val="18"/>
                <w:szCs w:val="18"/>
                <w:u w:val="none"/>
              </w:rPr>
            </w:pPr>
          </w:p>
        </w:tc>
        <w:tc>
          <w:tcPr>
            <w:tcW w:w="2337" w:type="dxa"/>
            <w:tcBorders>
              <w:top w:val="nil"/>
              <w:left w:val="nil"/>
              <w:bottom w:val="nil"/>
              <w:right w:val="nil"/>
            </w:tcBorders>
            <w:shd w:val="clear" w:color="auto" w:fill="auto"/>
            <w:vAlign w:val="center"/>
          </w:tcPr>
          <w:p w14:paraId="4EEB6B60">
            <w:pPr>
              <w:rPr>
                <w:rFonts w:hint="eastAsia" w:ascii="宋体" w:hAnsi="宋体" w:eastAsia="宋体" w:cs="宋体"/>
                <w:i w:val="0"/>
                <w:iCs w:val="0"/>
                <w:color w:val="000000"/>
                <w:sz w:val="18"/>
                <w:szCs w:val="18"/>
                <w:u w:val="none"/>
              </w:rPr>
            </w:pPr>
          </w:p>
        </w:tc>
      </w:tr>
      <w:tr w14:paraId="2439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E080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8B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F08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B87B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51172423T000007628616-项目建设支出</w:t>
            </w:r>
          </w:p>
        </w:tc>
      </w:tr>
      <w:tr w14:paraId="23B7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F15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CBB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5B2734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08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4FB1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071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73C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9C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5CA3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A2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2B12">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383C5">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7E6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DE62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完成100%</w:t>
            </w:r>
          </w:p>
        </w:tc>
      </w:tr>
      <w:tr w14:paraId="10B3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1E56">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C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05587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14:paraId="454E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93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E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D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73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7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2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C0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8674">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F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5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7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C3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E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2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8C8F">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BEE9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734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3498">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F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5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E6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C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2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7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8279">
            <w:pPr>
              <w:rPr>
                <w:rFonts w:hint="eastAsia" w:ascii="黑体" w:hAnsi="黑体" w:eastAsia="黑体" w:cs="黑体"/>
                <w:i/>
                <w:iCs/>
                <w:color w:val="000000"/>
                <w:sz w:val="18"/>
                <w:szCs w:val="18"/>
                <w:u w:val="none"/>
              </w:rPr>
            </w:pPr>
          </w:p>
        </w:tc>
      </w:tr>
      <w:tr w14:paraId="71E2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4D2C">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F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1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3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8E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0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F4252">
            <w:pPr>
              <w:rPr>
                <w:rFonts w:hint="eastAsia" w:ascii="黑体" w:hAnsi="黑体" w:eastAsia="黑体" w:cs="黑体"/>
                <w:i/>
                <w:iCs/>
                <w:color w:val="000000"/>
                <w:sz w:val="18"/>
                <w:szCs w:val="18"/>
                <w:u w:val="none"/>
              </w:rPr>
            </w:pPr>
          </w:p>
        </w:tc>
      </w:tr>
      <w:tr w14:paraId="4D81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3A3B7">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E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2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B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BC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4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1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A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ADF3E">
            <w:pPr>
              <w:rPr>
                <w:rFonts w:hint="eastAsia" w:ascii="黑体" w:hAnsi="黑体" w:eastAsia="黑体" w:cs="黑体"/>
                <w:i/>
                <w:iCs/>
                <w:color w:val="000000"/>
                <w:sz w:val="18"/>
                <w:szCs w:val="18"/>
                <w:u w:val="none"/>
              </w:rPr>
            </w:pPr>
          </w:p>
        </w:tc>
      </w:tr>
      <w:tr w14:paraId="3E05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535F">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A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3246">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3F17">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C217A">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0D5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6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8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446D">
            <w:pPr>
              <w:rPr>
                <w:rFonts w:hint="eastAsia" w:ascii="黑体" w:hAnsi="黑体" w:eastAsia="黑体" w:cs="黑体"/>
                <w:i/>
                <w:iCs/>
                <w:color w:val="000000"/>
                <w:sz w:val="18"/>
                <w:szCs w:val="18"/>
                <w:u w:val="none"/>
              </w:rPr>
            </w:pPr>
          </w:p>
        </w:tc>
      </w:tr>
      <w:tr w14:paraId="449D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E1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B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7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4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8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A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5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D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6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F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3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00A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347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C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9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工程竣工验收合格率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E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D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086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6C8F">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F110">
            <w:pPr>
              <w:jc w:val="center"/>
              <w:rPr>
                <w:rFonts w:hint="eastAsia" w:ascii="微软雅黑" w:hAnsi="微软雅黑" w:eastAsia="微软雅黑" w:cs="微软雅黑"/>
                <w:i/>
                <w:iCs/>
                <w:color w:val="000000"/>
                <w:sz w:val="16"/>
                <w:szCs w:val="16"/>
                <w:u w:val="none"/>
              </w:rPr>
            </w:pPr>
          </w:p>
        </w:tc>
      </w:tr>
      <w:tr w14:paraId="6F79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15D8">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8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7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改善教学环境</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A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E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6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2A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A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DF1C">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8103">
            <w:pPr>
              <w:jc w:val="center"/>
              <w:rPr>
                <w:rFonts w:hint="eastAsia" w:ascii="微软雅黑" w:hAnsi="微软雅黑" w:eastAsia="微软雅黑" w:cs="微软雅黑"/>
                <w:i/>
                <w:iCs/>
                <w:color w:val="000000"/>
                <w:sz w:val="16"/>
                <w:szCs w:val="16"/>
                <w:u w:val="none"/>
              </w:rPr>
            </w:pPr>
          </w:p>
        </w:tc>
      </w:tr>
      <w:tr w14:paraId="1E1D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4C1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E696">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A2EB">
            <w:pPr>
              <w:rPr>
                <w:rFonts w:hint="eastAsia" w:ascii="宋体" w:hAnsi="宋体" w:eastAsia="宋体" w:cs="宋体"/>
                <w:i w:val="0"/>
                <w:iCs w:val="0"/>
                <w:color w:val="000000"/>
                <w:sz w:val="18"/>
                <w:szCs w:val="18"/>
                <w:u w:val="none"/>
              </w:rPr>
            </w:pPr>
          </w:p>
        </w:tc>
      </w:tr>
      <w:tr w14:paraId="6DB8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F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6772D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Cs/>
                <w:color w:val="000000"/>
                <w:kern w:val="0"/>
                <w:sz w:val="16"/>
                <w:szCs w:val="16"/>
                <w:lang w:bidi="ar"/>
              </w:rPr>
              <w:t>项目自评总分达到100分。通过实施，项目达到了预期目标，解决了实际问题，取得了显著成果。</w:t>
            </w:r>
          </w:p>
        </w:tc>
      </w:tr>
      <w:tr w14:paraId="078A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A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9D49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7C1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4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3B511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94E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68E8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8E643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tr w14:paraId="5AC1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46340E09">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auto"/>
            <w:vAlign w:val="center"/>
          </w:tcPr>
          <w:p w14:paraId="3D172FF5">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65DCDB88">
            <w:pPr>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14:paraId="7CFF9B5C">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42F09092">
            <w:pPr>
              <w:rPr>
                <w:rFonts w:hint="eastAsia" w:ascii="宋体" w:hAnsi="宋体" w:eastAsia="宋体" w:cs="宋体"/>
                <w:i w:val="0"/>
                <w:iCs w:val="0"/>
                <w:color w:val="000000"/>
                <w:sz w:val="18"/>
                <w:szCs w:val="18"/>
                <w:u w:val="none"/>
              </w:rPr>
            </w:pPr>
          </w:p>
        </w:tc>
        <w:tc>
          <w:tcPr>
            <w:tcW w:w="1533" w:type="dxa"/>
            <w:tcBorders>
              <w:top w:val="nil"/>
              <w:left w:val="nil"/>
              <w:bottom w:val="nil"/>
              <w:right w:val="nil"/>
            </w:tcBorders>
            <w:shd w:val="clear" w:color="auto" w:fill="auto"/>
            <w:vAlign w:val="center"/>
          </w:tcPr>
          <w:p w14:paraId="2E34A55A">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B6FC2C3">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4BB463C5">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70623D2">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4B41EEF5">
            <w:pPr>
              <w:rPr>
                <w:rFonts w:hint="eastAsia" w:ascii="宋体" w:hAnsi="宋体" w:eastAsia="宋体" w:cs="宋体"/>
                <w:i w:val="0"/>
                <w:iCs w:val="0"/>
                <w:color w:val="000000"/>
                <w:sz w:val="18"/>
                <w:szCs w:val="18"/>
                <w:u w:val="none"/>
              </w:rPr>
            </w:pPr>
          </w:p>
        </w:tc>
        <w:tc>
          <w:tcPr>
            <w:tcW w:w="2337" w:type="dxa"/>
            <w:tcBorders>
              <w:top w:val="nil"/>
              <w:left w:val="nil"/>
              <w:bottom w:val="nil"/>
              <w:right w:val="nil"/>
            </w:tcBorders>
            <w:shd w:val="clear" w:color="auto" w:fill="auto"/>
            <w:vAlign w:val="center"/>
          </w:tcPr>
          <w:p w14:paraId="005D2176">
            <w:pPr>
              <w:rPr>
                <w:rFonts w:hint="eastAsia" w:ascii="宋体" w:hAnsi="宋体" w:eastAsia="宋体" w:cs="宋体"/>
                <w:i w:val="0"/>
                <w:iCs w:val="0"/>
                <w:color w:val="000000"/>
                <w:sz w:val="18"/>
                <w:szCs w:val="18"/>
                <w:u w:val="none"/>
              </w:rPr>
            </w:pPr>
          </w:p>
        </w:tc>
      </w:tr>
      <w:tr w14:paraId="5C4B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012BB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AD6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859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07D4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51172423T000008005312-校舍维修改造</w:t>
            </w:r>
          </w:p>
        </w:tc>
      </w:tr>
      <w:tr w14:paraId="1418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47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902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35FAE7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D1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2A78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B79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4B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F7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3EDD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465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B550">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C3244">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E78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保障校舍安全</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EFC98">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完成率8.05%</w:t>
            </w:r>
          </w:p>
        </w:tc>
      </w:tr>
      <w:tr w14:paraId="0711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ADA9">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58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A0F3E1">
            <w:pP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保障校舍安全</w:t>
            </w:r>
            <w:r>
              <w:rPr>
                <w:rFonts w:hint="eastAsia" w:ascii="宋体" w:hAnsi="宋体" w:cs="宋体"/>
                <w:i w:val="0"/>
                <w:iCs w:val="0"/>
                <w:color w:val="000000"/>
                <w:kern w:val="0"/>
                <w:sz w:val="18"/>
                <w:szCs w:val="18"/>
                <w:u w:val="none"/>
                <w:lang w:val="en-US" w:eastAsia="zh-CN" w:bidi="ar"/>
              </w:rPr>
              <w:t>，改善学校环境。</w:t>
            </w:r>
          </w:p>
        </w:tc>
      </w:tr>
      <w:tr w14:paraId="004A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1F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C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9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DA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E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E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5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B7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69A0">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0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F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8E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2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7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4A1B">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F4C7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Theme="majorEastAsia" w:hAnsiTheme="majorEastAsia" w:eastAsiaTheme="majorEastAsia" w:cstheme="majorEastAsia"/>
                <w:i w:val="0"/>
                <w:iCs w:val="0"/>
                <w:color w:val="000000"/>
                <w:sz w:val="16"/>
                <w:szCs w:val="16"/>
                <w:u w:val="none"/>
                <w:lang w:val="en-US" w:eastAsia="zh-CN"/>
              </w:rPr>
              <w:t>追加2023年预算，</w:t>
            </w:r>
            <w:r>
              <w:rPr>
                <w:rFonts w:hint="eastAsia" w:ascii="宋体" w:hAnsi="宋体" w:cs="宋体"/>
                <w:i w:val="0"/>
                <w:iCs w:val="0"/>
                <w:color w:val="000000"/>
                <w:sz w:val="18"/>
                <w:szCs w:val="18"/>
                <w:u w:val="none"/>
                <w:lang w:val="en-US" w:eastAsia="zh-CN"/>
              </w:rPr>
              <w:t>80万项目在2023年未实施开工</w:t>
            </w:r>
          </w:p>
        </w:tc>
      </w:tr>
      <w:tr w14:paraId="1E77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E95A">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5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1C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7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5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E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8C476">
            <w:pPr>
              <w:rPr>
                <w:rFonts w:hint="eastAsia" w:ascii="黑体" w:hAnsi="黑体" w:eastAsia="黑体" w:cs="黑体"/>
                <w:i/>
                <w:iCs/>
                <w:color w:val="000000"/>
                <w:sz w:val="18"/>
                <w:szCs w:val="18"/>
                <w:u w:val="none"/>
              </w:rPr>
            </w:pPr>
          </w:p>
        </w:tc>
      </w:tr>
      <w:tr w14:paraId="378E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FB02">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3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3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1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A1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6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6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F338E">
            <w:pPr>
              <w:rPr>
                <w:rFonts w:hint="eastAsia" w:ascii="黑体" w:hAnsi="黑体" w:eastAsia="黑体" w:cs="黑体"/>
                <w:i/>
                <w:iCs/>
                <w:color w:val="000000"/>
                <w:sz w:val="18"/>
                <w:szCs w:val="18"/>
                <w:u w:val="none"/>
              </w:rPr>
            </w:pPr>
          </w:p>
        </w:tc>
      </w:tr>
      <w:tr w14:paraId="4107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5284">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4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4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E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6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6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2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6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E467">
            <w:pPr>
              <w:rPr>
                <w:rFonts w:hint="eastAsia" w:ascii="黑体" w:hAnsi="黑体" w:eastAsia="黑体" w:cs="黑体"/>
                <w:i/>
                <w:iCs/>
                <w:color w:val="000000"/>
                <w:sz w:val="18"/>
                <w:szCs w:val="18"/>
                <w:u w:val="none"/>
              </w:rPr>
            </w:pPr>
          </w:p>
        </w:tc>
      </w:tr>
      <w:tr w14:paraId="1610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1598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3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1E3">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9BF">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4EA16">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9A2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A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4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12D9">
            <w:pPr>
              <w:rPr>
                <w:rFonts w:hint="eastAsia" w:ascii="黑体" w:hAnsi="黑体" w:eastAsia="黑体" w:cs="黑体"/>
                <w:i/>
                <w:iCs/>
                <w:color w:val="000000"/>
                <w:sz w:val="18"/>
                <w:szCs w:val="18"/>
                <w:u w:val="none"/>
              </w:rPr>
            </w:pPr>
          </w:p>
        </w:tc>
      </w:tr>
      <w:tr w14:paraId="2B07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1B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3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7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9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3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1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A8B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01FF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85B7">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C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B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7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1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D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556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2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77C4">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3F7D">
            <w:pPr>
              <w:jc w:val="center"/>
              <w:rPr>
                <w:rFonts w:hint="eastAsia" w:ascii="微软雅黑" w:hAnsi="微软雅黑" w:eastAsia="微软雅黑" w:cs="微软雅黑"/>
                <w:i/>
                <w:iCs/>
                <w:color w:val="000000"/>
                <w:sz w:val="16"/>
                <w:szCs w:val="16"/>
                <w:u w:val="none"/>
              </w:rPr>
            </w:pPr>
          </w:p>
        </w:tc>
      </w:tr>
      <w:tr w14:paraId="6976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9886">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A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2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A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6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7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8CB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2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381F">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1CFC">
            <w:pPr>
              <w:jc w:val="center"/>
              <w:rPr>
                <w:rFonts w:hint="eastAsia" w:ascii="微软雅黑" w:hAnsi="微软雅黑" w:eastAsia="微软雅黑" w:cs="微软雅黑"/>
                <w:i/>
                <w:iCs/>
                <w:color w:val="000000"/>
                <w:sz w:val="16"/>
                <w:szCs w:val="16"/>
                <w:u w:val="none"/>
              </w:rPr>
            </w:pPr>
          </w:p>
        </w:tc>
      </w:tr>
      <w:tr w14:paraId="0F90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68A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D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1809">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AC9">
            <w:pPr>
              <w:rPr>
                <w:rFonts w:hint="eastAsia" w:ascii="宋体" w:hAnsi="宋体" w:eastAsia="宋体" w:cs="宋体"/>
                <w:i w:val="0"/>
                <w:iCs w:val="0"/>
                <w:color w:val="000000"/>
                <w:sz w:val="18"/>
                <w:szCs w:val="18"/>
                <w:u w:val="none"/>
              </w:rPr>
            </w:pPr>
          </w:p>
        </w:tc>
      </w:tr>
      <w:tr w14:paraId="1264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62D359">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Cs/>
                <w:color w:val="000000"/>
                <w:kern w:val="0"/>
                <w:sz w:val="16"/>
                <w:szCs w:val="16"/>
                <w:lang w:bidi="ar"/>
              </w:rPr>
              <w:t>项目自评总分达到</w:t>
            </w:r>
            <w:r>
              <w:rPr>
                <w:rFonts w:hint="eastAsia" w:ascii="微软雅黑" w:hAnsi="微软雅黑" w:eastAsia="微软雅黑" w:cs="微软雅黑"/>
                <w:iCs/>
                <w:color w:val="000000"/>
                <w:kern w:val="0"/>
                <w:sz w:val="16"/>
                <w:szCs w:val="16"/>
                <w:lang w:val="en-US" w:eastAsia="zh-CN" w:bidi="ar"/>
              </w:rPr>
              <w:t>8分，项目在2023年未实施。</w:t>
            </w:r>
          </w:p>
        </w:tc>
      </w:tr>
      <w:tr w14:paraId="351E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2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FEF74D">
            <w:pPr>
              <w:keepNext w:val="0"/>
              <w:keepLines w:val="0"/>
              <w:widowControl/>
              <w:suppressLineNumbers w:val="0"/>
              <w:jc w:val="left"/>
              <w:textAlignment w:val="center"/>
              <w:rPr>
                <w:rFonts w:hint="eastAsia"/>
                <w:i w:val="0"/>
                <w:iCs w:val="0"/>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732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6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8F0E1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1F8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4A2E8">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1341C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tr w14:paraId="20C7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tcBorders>
              <w:top w:val="nil"/>
              <w:left w:val="nil"/>
              <w:bottom w:val="nil"/>
              <w:right w:val="nil"/>
            </w:tcBorders>
            <w:shd w:val="clear" w:color="auto" w:fill="auto"/>
            <w:vAlign w:val="center"/>
          </w:tcPr>
          <w:p w14:paraId="71EF66A4">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auto"/>
            <w:vAlign w:val="center"/>
          </w:tcPr>
          <w:p w14:paraId="31118DCE">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14:paraId="75AB1608">
            <w:pPr>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14:paraId="5017149B">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744D2C3">
            <w:pPr>
              <w:rPr>
                <w:rFonts w:hint="eastAsia" w:ascii="宋体" w:hAnsi="宋体" w:eastAsia="宋体" w:cs="宋体"/>
                <w:i w:val="0"/>
                <w:iCs w:val="0"/>
                <w:color w:val="000000"/>
                <w:sz w:val="18"/>
                <w:szCs w:val="18"/>
                <w:u w:val="none"/>
              </w:rPr>
            </w:pPr>
          </w:p>
        </w:tc>
        <w:tc>
          <w:tcPr>
            <w:tcW w:w="1533" w:type="dxa"/>
            <w:tcBorders>
              <w:top w:val="nil"/>
              <w:left w:val="nil"/>
              <w:bottom w:val="nil"/>
              <w:right w:val="nil"/>
            </w:tcBorders>
            <w:shd w:val="clear" w:color="auto" w:fill="auto"/>
            <w:vAlign w:val="center"/>
          </w:tcPr>
          <w:p w14:paraId="1F96F59D">
            <w:pPr>
              <w:rPr>
                <w:rFonts w:hint="eastAsia" w:ascii="宋体" w:hAnsi="宋体" w:eastAsia="宋体" w:cs="宋体"/>
                <w:i w:val="0"/>
                <w:iCs w:val="0"/>
                <w:color w:val="000000"/>
                <w:sz w:val="18"/>
                <w:szCs w:val="18"/>
                <w:u w:val="none"/>
              </w:rPr>
            </w:pPr>
          </w:p>
        </w:tc>
        <w:tc>
          <w:tcPr>
            <w:tcW w:w="477" w:type="dxa"/>
            <w:tcBorders>
              <w:top w:val="nil"/>
              <w:left w:val="nil"/>
              <w:bottom w:val="nil"/>
              <w:right w:val="nil"/>
            </w:tcBorders>
            <w:shd w:val="clear" w:color="auto" w:fill="auto"/>
            <w:vAlign w:val="center"/>
          </w:tcPr>
          <w:p w14:paraId="7E2C50B8">
            <w:pPr>
              <w:rPr>
                <w:rFonts w:hint="eastAsia" w:ascii="宋体" w:hAnsi="宋体" w:eastAsia="宋体" w:cs="宋体"/>
                <w:i w:val="0"/>
                <w:iCs w:val="0"/>
                <w:color w:val="000000"/>
                <w:sz w:val="18"/>
                <w:szCs w:val="18"/>
                <w:u w:val="none"/>
              </w:rPr>
            </w:pPr>
          </w:p>
        </w:tc>
        <w:tc>
          <w:tcPr>
            <w:tcW w:w="999" w:type="dxa"/>
            <w:tcBorders>
              <w:top w:val="nil"/>
              <w:left w:val="nil"/>
              <w:bottom w:val="nil"/>
              <w:right w:val="nil"/>
            </w:tcBorders>
            <w:shd w:val="clear" w:color="auto" w:fill="auto"/>
            <w:vAlign w:val="center"/>
          </w:tcPr>
          <w:p w14:paraId="2F0B63A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2E350C8">
            <w:pPr>
              <w:rPr>
                <w:rFonts w:hint="eastAsia" w:ascii="宋体" w:hAnsi="宋体" w:eastAsia="宋体" w:cs="宋体"/>
                <w:i w:val="0"/>
                <w:iCs w:val="0"/>
                <w:color w:val="000000"/>
                <w:sz w:val="18"/>
                <w:szCs w:val="18"/>
                <w:u w:val="none"/>
              </w:rPr>
            </w:pPr>
          </w:p>
        </w:tc>
        <w:tc>
          <w:tcPr>
            <w:tcW w:w="418" w:type="dxa"/>
            <w:tcBorders>
              <w:top w:val="nil"/>
              <w:left w:val="nil"/>
              <w:bottom w:val="nil"/>
              <w:right w:val="nil"/>
            </w:tcBorders>
            <w:shd w:val="clear" w:color="auto" w:fill="auto"/>
            <w:vAlign w:val="center"/>
          </w:tcPr>
          <w:p w14:paraId="3A30D680">
            <w:pPr>
              <w:rPr>
                <w:rFonts w:hint="eastAsia" w:ascii="宋体" w:hAnsi="宋体" w:eastAsia="宋体" w:cs="宋体"/>
                <w:i w:val="0"/>
                <w:iCs w:val="0"/>
                <w:color w:val="000000"/>
                <w:sz w:val="18"/>
                <w:szCs w:val="18"/>
                <w:u w:val="none"/>
              </w:rPr>
            </w:pPr>
          </w:p>
        </w:tc>
        <w:tc>
          <w:tcPr>
            <w:tcW w:w="2337" w:type="dxa"/>
            <w:tcBorders>
              <w:top w:val="nil"/>
              <w:left w:val="nil"/>
              <w:bottom w:val="nil"/>
              <w:right w:val="nil"/>
            </w:tcBorders>
            <w:shd w:val="clear" w:color="auto" w:fill="auto"/>
            <w:vAlign w:val="center"/>
          </w:tcPr>
          <w:p w14:paraId="09BBA382">
            <w:pPr>
              <w:rPr>
                <w:rFonts w:hint="eastAsia" w:ascii="宋体" w:hAnsi="宋体" w:eastAsia="宋体" w:cs="宋体"/>
                <w:i w:val="0"/>
                <w:iCs w:val="0"/>
                <w:color w:val="000000"/>
                <w:sz w:val="18"/>
                <w:szCs w:val="18"/>
                <w:u w:val="none"/>
              </w:rPr>
            </w:pPr>
          </w:p>
        </w:tc>
      </w:tr>
      <w:tr w14:paraId="727C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9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C495E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03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C62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9C55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51172423T000009106732-幼儿活动用房维修改造及设施设备购置</w:t>
            </w:r>
          </w:p>
        </w:tc>
      </w:tr>
      <w:tr w14:paraId="3A82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657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BBC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大竹县庙坝镇中心小学部门</w:t>
            </w:r>
          </w:p>
        </w:tc>
        <w:tc>
          <w:tcPr>
            <w:tcW w:w="999" w:type="dxa"/>
            <w:tcBorders>
              <w:top w:val="nil"/>
              <w:left w:val="nil"/>
              <w:bottom w:val="nil"/>
              <w:right w:val="nil"/>
            </w:tcBorders>
            <w:shd w:val="clear" w:color="auto" w:fill="auto"/>
            <w:vAlign w:val="center"/>
          </w:tcPr>
          <w:p w14:paraId="261C04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F8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大竹县庙坝镇中心小学</w:t>
            </w:r>
          </w:p>
        </w:tc>
      </w:tr>
      <w:tr w14:paraId="7F7A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D55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EDE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BD8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784C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FE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03F16">
            <w:pP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F767">
            <w:pPr>
              <w:rPr>
                <w:rFonts w:hint="eastAsia" w:ascii="宋体" w:hAnsi="宋体" w:eastAsia="宋体" w:cs="宋体"/>
                <w:i w:val="0"/>
                <w:iCs w:val="0"/>
                <w:color w:val="000000"/>
                <w:sz w:val="18"/>
                <w:szCs w:val="18"/>
                <w:u w:val="none"/>
              </w:rPr>
            </w:pPr>
          </w:p>
        </w:tc>
        <w:tc>
          <w:tcPr>
            <w:tcW w:w="6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512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改善教学环境，保障教育教学。</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15A027">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完成45.05%</w:t>
            </w:r>
          </w:p>
        </w:tc>
      </w:tr>
      <w:tr w14:paraId="2FA0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FD7B">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98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4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ADF2E8">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心理辅导室设施设备采购，</w:t>
            </w:r>
            <w:r>
              <w:rPr>
                <w:rFonts w:ascii="宋体" w:hAnsi="宋体" w:eastAsia="宋体" w:cs="宋体"/>
                <w:i w:val="0"/>
                <w:iCs w:val="0"/>
                <w:color w:val="000000"/>
                <w:kern w:val="0"/>
                <w:sz w:val="18"/>
                <w:szCs w:val="18"/>
                <w:u w:val="none"/>
                <w:lang w:val="en-US" w:eastAsia="zh-CN" w:bidi="ar"/>
              </w:rPr>
              <w:t>改善教学环境，保障教育教学。</w:t>
            </w:r>
          </w:p>
        </w:tc>
      </w:tr>
      <w:tr w14:paraId="7C13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0F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0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5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E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68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5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F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6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1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F9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04ED">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F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C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181.98</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45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B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5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6E26">
            <w:pPr>
              <w:jc w:val="center"/>
              <w:rPr>
                <w:rFonts w:hint="eastAsia" w:ascii="宋体" w:hAnsi="宋体" w:eastAsia="宋体" w:cs="宋体"/>
                <w:i w:val="0"/>
                <w:iCs w:val="0"/>
                <w:color w:val="000000"/>
                <w:sz w:val="18"/>
                <w:szCs w:val="18"/>
                <w:u w:val="none"/>
              </w:rPr>
            </w:pP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88584">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Theme="majorEastAsia" w:hAnsiTheme="majorEastAsia" w:eastAsiaTheme="majorEastAsia" w:cstheme="majorEastAsia"/>
                <w:i w:val="0"/>
                <w:iCs w:val="0"/>
                <w:color w:val="000000"/>
                <w:sz w:val="16"/>
                <w:szCs w:val="16"/>
                <w:u w:val="none"/>
                <w:lang w:val="en-US" w:eastAsia="zh-CN"/>
              </w:rPr>
              <w:t>追加2023年预算，</w:t>
            </w:r>
            <w:r>
              <w:rPr>
                <w:rFonts w:hint="eastAsia" w:asciiTheme="majorEastAsia" w:hAnsiTheme="majorEastAsia" w:eastAsiaTheme="majorEastAsia" w:cstheme="majorEastAsia"/>
                <w:i/>
                <w:iCs/>
                <w:color w:val="000000"/>
                <w:sz w:val="16"/>
                <w:szCs w:val="16"/>
                <w:u w:val="none"/>
                <w:lang w:val="en-US" w:eastAsia="zh-CN"/>
              </w:rPr>
              <w:t>100万的项目在2023年未实施开工。</w:t>
            </w:r>
          </w:p>
        </w:tc>
      </w:tr>
      <w:tr w14:paraId="233B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A5701">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1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4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92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E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B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B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82CC">
            <w:pPr>
              <w:rPr>
                <w:rFonts w:hint="eastAsia" w:ascii="黑体" w:hAnsi="黑体" w:eastAsia="黑体" w:cs="黑体"/>
                <w:i/>
                <w:iCs/>
                <w:color w:val="000000"/>
                <w:sz w:val="18"/>
                <w:szCs w:val="18"/>
                <w:u w:val="none"/>
              </w:rPr>
            </w:pPr>
          </w:p>
        </w:tc>
      </w:tr>
      <w:tr w14:paraId="672C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63CB">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1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E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4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51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8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35AC6">
            <w:pPr>
              <w:rPr>
                <w:rFonts w:hint="eastAsia" w:ascii="黑体" w:hAnsi="黑体" w:eastAsia="黑体" w:cs="黑体"/>
                <w:i/>
                <w:iCs/>
                <w:color w:val="000000"/>
                <w:sz w:val="18"/>
                <w:szCs w:val="18"/>
                <w:u w:val="none"/>
              </w:rPr>
            </w:pPr>
          </w:p>
        </w:tc>
      </w:tr>
      <w:tr w14:paraId="7E80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2FB1">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0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85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C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0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5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8BCB">
            <w:pPr>
              <w:rPr>
                <w:rFonts w:hint="eastAsia" w:ascii="黑体" w:hAnsi="黑体" w:eastAsia="黑体" w:cs="黑体"/>
                <w:i/>
                <w:iCs/>
                <w:color w:val="000000"/>
                <w:sz w:val="18"/>
                <w:szCs w:val="18"/>
                <w:u w:val="none"/>
              </w:rPr>
            </w:pPr>
          </w:p>
        </w:tc>
      </w:tr>
      <w:tr w14:paraId="25411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5F14">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F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8023">
            <w:pPr>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A5E2">
            <w:pPr>
              <w:jc w:val="center"/>
              <w:rPr>
                <w:rFonts w:hint="eastAsia" w:ascii="微软雅黑" w:hAnsi="微软雅黑" w:eastAsia="微软雅黑" w:cs="微软雅黑"/>
                <w:i/>
                <w:iCs/>
                <w:color w:val="000000"/>
                <w:sz w:val="16"/>
                <w:szCs w:val="16"/>
                <w:u w:val="none"/>
              </w:rPr>
            </w:pPr>
          </w:p>
        </w:tc>
        <w:tc>
          <w:tcPr>
            <w:tcW w:w="2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A9E6E">
            <w:pPr>
              <w:jc w:val="center"/>
              <w:rPr>
                <w:rFonts w:hint="eastAsia" w:ascii="微软雅黑" w:hAnsi="微软雅黑" w:eastAsia="微软雅黑" w:cs="微软雅黑"/>
                <w:i/>
                <w:iCs/>
                <w:color w:val="000000"/>
                <w:sz w:val="16"/>
                <w:szCs w:val="16"/>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F00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9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6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EBA7C">
            <w:pPr>
              <w:rPr>
                <w:rFonts w:hint="eastAsia" w:ascii="黑体" w:hAnsi="黑体" w:eastAsia="黑体" w:cs="黑体"/>
                <w:i/>
                <w:iCs/>
                <w:color w:val="000000"/>
                <w:sz w:val="18"/>
                <w:szCs w:val="18"/>
                <w:u w:val="none"/>
              </w:rPr>
            </w:pPr>
          </w:p>
        </w:tc>
      </w:tr>
      <w:tr w14:paraId="7B17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D2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3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3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B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6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D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3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B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8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4E42">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14:paraId="3ACF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42B0">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E4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5D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9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装修改造（包括砌墙及抹灰、地板、墙面、屋顶、玻璃窗、门、强弱电改造）</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9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7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A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F6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9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A379">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E77D">
            <w:pPr>
              <w:jc w:val="center"/>
              <w:rPr>
                <w:rFonts w:hint="default" w:ascii="微软雅黑" w:hAnsi="微软雅黑" w:eastAsia="微软雅黑" w:cs="微软雅黑"/>
                <w:i/>
                <w:iCs/>
                <w:color w:val="000000"/>
                <w:sz w:val="16"/>
                <w:szCs w:val="16"/>
                <w:u w:val="none"/>
                <w:lang w:val="en-US" w:eastAsia="zh-CN"/>
              </w:rPr>
            </w:pPr>
          </w:p>
        </w:tc>
      </w:tr>
      <w:tr w14:paraId="17EE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3E116">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2F17">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3BF1">
            <w:pPr>
              <w:jc w:val="center"/>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通用设备（沙发、茶几、空调、储物柜、办公桌椅、档案柜）</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F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5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B2F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B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FBE0">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5342">
            <w:pPr>
              <w:jc w:val="center"/>
              <w:rPr>
                <w:rFonts w:hint="eastAsia" w:ascii="微软雅黑" w:hAnsi="微软雅黑" w:eastAsia="微软雅黑" w:cs="微软雅黑"/>
                <w:i/>
                <w:iCs/>
                <w:color w:val="000000"/>
                <w:sz w:val="16"/>
                <w:szCs w:val="16"/>
                <w:u w:val="none"/>
              </w:rPr>
            </w:pPr>
          </w:p>
        </w:tc>
      </w:tr>
      <w:tr w14:paraId="704D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90D4">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4851">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8123">
            <w:pPr>
              <w:jc w:val="center"/>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B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挂钟、录音笔、抱枕、智慧云终端、摄像头、一键式报警系统、减压七巧板和数字华容道、75英寸一体机、音响系统、团辅桌椅、打印机、电脑、心理测评软件单机版、标准沙盘、教程系统、沙具、沙具置物架、运动宣泄系统、智能呐喊宣泄）</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E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3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C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CC3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B17">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F92">
            <w:pPr>
              <w:jc w:val="center"/>
              <w:rPr>
                <w:rFonts w:hint="eastAsia" w:ascii="微软雅黑" w:hAnsi="微软雅黑" w:eastAsia="微软雅黑" w:cs="微软雅黑"/>
                <w:i/>
                <w:iCs/>
                <w:color w:val="000000"/>
                <w:sz w:val="16"/>
                <w:szCs w:val="16"/>
                <w:u w:val="none"/>
              </w:rPr>
            </w:pPr>
          </w:p>
        </w:tc>
      </w:tr>
      <w:tr w14:paraId="09C4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6301A">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19952">
            <w:pPr>
              <w:jc w:val="center"/>
              <w:rPr>
                <w:rFonts w:hint="eastAsia" w:ascii="宋体" w:hAnsi="宋体" w:eastAsia="宋体" w:cs="宋体"/>
                <w:i w:val="0"/>
                <w:iCs w:val="0"/>
                <w:color w:val="000000"/>
                <w:sz w:val="18"/>
                <w:szCs w:val="18"/>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1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6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B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E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EA9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8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0016">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6C51">
            <w:pPr>
              <w:jc w:val="center"/>
              <w:rPr>
                <w:rFonts w:hint="eastAsia" w:ascii="微软雅黑" w:hAnsi="微软雅黑" w:eastAsia="微软雅黑" w:cs="微软雅黑"/>
                <w:i/>
                <w:iCs/>
                <w:color w:val="000000"/>
                <w:sz w:val="16"/>
                <w:szCs w:val="16"/>
                <w:u w:val="none"/>
              </w:rPr>
            </w:pPr>
          </w:p>
        </w:tc>
      </w:tr>
      <w:tr w14:paraId="7C20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579B">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028F">
            <w:pPr>
              <w:jc w:val="center"/>
              <w:rPr>
                <w:rFonts w:hint="eastAsia" w:ascii="宋体" w:hAnsi="宋体" w:eastAsia="宋体" w:cs="宋体"/>
                <w:i w:val="0"/>
                <w:iCs w:val="0"/>
                <w:color w:val="000000"/>
                <w:sz w:val="18"/>
                <w:szCs w:val="18"/>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5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5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0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9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6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D72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D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F07A">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7ACD">
            <w:pPr>
              <w:jc w:val="center"/>
              <w:rPr>
                <w:rFonts w:hint="eastAsia" w:ascii="微软雅黑" w:hAnsi="微软雅黑" w:eastAsia="微软雅黑" w:cs="微软雅黑"/>
                <w:i/>
                <w:iCs/>
                <w:color w:val="000000"/>
                <w:sz w:val="16"/>
                <w:szCs w:val="16"/>
                <w:u w:val="none"/>
              </w:rPr>
            </w:pPr>
          </w:p>
        </w:tc>
      </w:tr>
      <w:tr w14:paraId="0454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822B">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FB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E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持续发挥作用期限</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F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4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76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4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B506">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83C">
            <w:pPr>
              <w:jc w:val="center"/>
              <w:rPr>
                <w:rFonts w:hint="eastAsia" w:ascii="微软雅黑" w:hAnsi="微软雅黑" w:eastAsia="微软雅黑" w:cs="微软雅黑"/>
                <w:i/>
                <w:iCs/>
                <w:color w:val="000000"/>
                <w:sz w:val="16"/>
                <w:szCs w:val="16"/>
                <w:u w:val="none"/>
              </w:rPr>
            </w:pPr>
          </w:p>
        </w:tc>
      </w:tr>
      <w:tr w14:paraId="41BE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2105">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C14D">
            <w:pPr>
              <w:jc w:val="center"/>
              <w:rPr>
                <w:rFonts w:hint="eastAsia" w:ascii="宋体" w:hAnsi="宋体" w:eastAsia="宋体" w:cs="宋体"/>
                <w:i w:val="0"/>
                <w:iCs w:val="0"/>
                <w:color w:val="000000"/>
                <w:sz w:val="18"/>
                <w:szCs w:val="18"/>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0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9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改善师生教学环境</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1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1B9D">
            <w:pPr>
              <w:jc w:val="center"/>
              <w:rPr>
                <w:rFonts w:hint="eastAsia" w:ascii="宋体" w:hAnsi="宋体" w:eastAsia="宋体" w:cs="宋体"/>
                <w:i w:val="0"/>
                <w:iCs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556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4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155D">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EEAE">
            <w:pPr>
              <w:jc w:val="center"/>
              <w:rPr>
                <w:rFonts w:hint="eastAsia" w:ascii="微软雅黑" w:hAnsi="微软雅黑" w:eastAsia="微软雅黑" w:cs="微软雅黑"/>
                <w:i/>
                <w:iCs/>
                <w:color w:val="000000"/>
                <w:sz w:val="16"/>
                <w:szCs w:val="16"/>
                <w:u w:val="none"/>
              </w:rPr>
            </w:pPr>
          </w:p>
        </w:tc>
      </w:tr>
      <w:tr w14:paraId="7F05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9C8F">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0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A1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1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教职工满意度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F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5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A7C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CFF9">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03A2">
            <w:pPr>
              <w:jc w:val="center"/>
              <w:rPr>
                <w:rFonts w:hint="eastAsia" w:ascii="微软雅黑" w:hAnsi="微软雅黑" w:eastAsia="微软雅黑" w:cs="微软雅黑"/>
                <w:i/>
                <w:iCs/>
                <w:color w:val="000000"/>
                <w:sz w:val="16"/>
                <w:szCs w:val="16"/>
                <w:u w:val="none"/>
              </w:rPr>
            </w:pPr>
          </w:p>
        </w:tc>
      </w:tr>
      <w:tr w14:paraId="63AA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C82DD">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6DB18">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50A9B">
            <w:pPr>
              <w:jc w:val="center"/>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D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6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7CE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2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7F84">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1442">
            <w:pPr>
              <w:jc w:val="center"/>
              <w:rPr>
                <w:rFonts w:hint="eastAsia" w:ascii="微软雅黑" w:hAnsi="微软雅黑" w:eastAsia="微软雅黑" w:cs="微软雅黑"/>
                <w:i/>
                <w:iCs/>
                <w:color w:val="000000"/>
                <w:sz w:val="16"/>
                <w:szCs w:val="16"/>
                <w:u w:val="none"/>
              </w:rPr>
            </w:pPr>
          </w:p>
        </w:tc>
      </w:tr>
      <w:tr w14:paraId="3CE4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6F7D">
            <w:pPr>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CB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02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3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幼儿活动用房（心理辅导室设施设备购置）</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8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6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7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D1B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6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79A4">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70C">
            <w:pPr>
              <w:jc w:val="center"/>
              <w:rPr>
                <w:rFonts w:hint="eastAsia" w:ascii="微软雅黑" w:hAnsi="微软雅黑" w:eastAsia="微软雅黑" w:cs="微软雅黑"/>
                <w:i/>
                <w:iCs/>
                <w:color w:val="000000"/>
                <w:sz w:val="16"/>
                <w:szCs w:val="16"/>
                <w:u w:val="none"/>
              </w:rPr>
            </w:pPr>
          </w:p>
        </w:tc>
      </w:tr>
      <w:tr w14:paraId="4A11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B5FD">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1CEF">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F183">
            <w:pPr>
              <w:jc w:val="center"/>
              <w:rPr>
                <w:rFonts w:hint="eastAsia" w:ascii="宋体" w:hAnsi="宋体" w:eastAsia="宋体" w:cs="宋体"/>
                <w:i w:val="0"/>
                <w:iCs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幼儿活动用房（心理辅导室工程）</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8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B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0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C6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E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2FF4">
            <w:pPr>
              <w:jc w:val="cente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53F3">
            <w:pPr>
              <w:jc w:val="center"/>
              <w:rPr>
                <w:rFonts w:hint="eastAsia" w:ascii="微软雅黑" w:hAnsi="微软雅黑" w:eastAsia="微软雅黑" w:cs="微软雅黑"/>
                <w:i/>
                <w:iCs/>
                <w:color w:val="000000"/>
                <w:sz w:val="16"/>
                <w:szCs w:val="16"/>
                <w:u w:val="none"/>
              </w:rPr>
            </w:pPr>
          </w:p>
        </w:tc>
      </w:tr>
      <w:tr w14:paraId="4615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632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A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82CE">
            <w:pPr>
              <w:rPr>
                <w:rFonts w:hint="eastAsia" w:ascii="宋体" w:hAnsi="宋体" w:eastAsia="宋体" w:cs="宋体"/>
                <w:i w:val="0"/>
                <w:iCs w:val="0"/>
                <w:color w:val="000000"/>
                <w:sz w:val="18"/>
                <w:szCs w:val="18"/>
                <w:u w:val="none"/>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45FC">
            <w:pPr>
              <w:rPr>
                <w:rFonts w:hint="eastAsia" w:ascii="宋体" w:hAnsi="宋体" w:eastAsia="宋体" w:cs="宋体"/>
                <w:i w:val="0"/>
                <w:iCs w:val="0"/>
                <w:color w:val="000000"/>
                <w:sz w:val="18"/>
                <w:szCs w:val="18"/>
                <w:u w:val="none"/>
              </w:rPr>
            </w:pPr>
          </w:p>
        </w:tc>
      </w:tr>
      <w:tr w14:paraId="12CB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0339A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Cs/>
                <w:color w:val="000000"/>
                <w:kern w:val="0"/>
                <w:sz w:val="16"/>
                <w:szCs w:val="16"/>
                <w:lang w:bidi="ar"/>
              </w:rPr>
              <w:t>项目自评总分达到</w:t>
            </w:r>
            <w:r>
              <w:rPr>
                <w:rFonts w:hint="eastAsia" w:ascii="微软雅黑" w:hAnsi="微软雅黑" w:eastAsia="微软雅黑" w:cs="微软雅黑"/>
                <w:iCs/>
                <w:color w:val="000000"/>
                <w:kern w:val="0"/>
                <w:sz w:val="16"/>
                <w:szCs w:val="16"/>
                <w:lang w:val="en-US" w:eastAsia="zh-CN" w:bidi="ar"/>
              </w:rPr>
              <w:t>30分，项目在2023年未实施。</w:t>
            </w:r>
          </w:p>
        </w:tc>
      </w:tr>
      <w:tr w14:paraId="267A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F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A76E6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1C4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E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DF181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0DF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85684">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项目负责人：王立富</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B76F51">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财务负责人：唐世建</w:t>
            </w:r>
          </w:p>
        </w:tc>
      </w:tr>
      <w:bookmarkEnd w:id="83"/>
    </w:tbl>
    <w:p w14:paraId="23E6FCF6">
      <w:pPr>
        <w:pStyle w:val="4"/>
        <w:numPr>
          <w:ilvl w:val="0"/>
          <w:numId w:val="0"/>
        </w:numPr>
        <w:ind w:firstLine="2200" w:firstLineChars="500"/>
        <w:jc w:val="both"/>
        <w:rPr>
          <w:rStyle w:val="28"/>
          <w:rFonts w:hint="eastAsia" w:ascii="黑体" w:hAnsi="黑体" w:eastAsia="黑体"/>
          <w:b w:val="0"/>
          <w:bCs/>
          <w:lang w:val="en-US" w:eastAsia="zh-CN"/>
        </w:rPr>
        <w:sectPr>
          <w:headerReference r:id="rId4" w:type="default"/>
          <w:pgSz w:w="16838" w:h="11906" w:orient="landscape"/>
          <w:pgMar w:top="1800" w:right="1440" w:bottom="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84" w:name="_Toc6037"/>
    </w:p>
    <w:p w14:paraId="51459BF3">
      <w:pPr>
        <w:pStyle w:val="2"/>
        <w:rPr>
          <w:rStyle w:val="28"/>
          <w:rFonts w:hint="eastAsia" w:ascii="黑体" w:hAnsi="黑体" w:eastAsia="黑体"/>
          <w:b w:val="0"/>
          <w:bCs/>
          <w:lang w:val="en-US" w:eastAsia="zh-CN"/>
        </w:rPr>
      </w:pPr>
    </w:p>
    <w:p w14:paraId="03B223BF">
      <w:pPr>
        <w:pStyle w:val="4"/>
        <w:numPr>
          <w:ilvl w:val="0"/>
          <w:numId w:val="0"/>
        </w:numPr>
        <w:jc w:val="center"/>
        <w:rPr>
          <w:rFonts w:hint="eastAsia"/>
        </w:rPr>
      </w:pPr>
      <w:r>
        <w:rPr>
          <w:rStyle w:val="28"/>
          <w:rFonts w:hint="eastAsia" w:ascii="黑体" w:hAnsi="黑体" w:eastAsia="黑体"/>
          <w:b w:val="0"/>
          <w:bCs/>
          <w:lang w:val="en-US" w:eastAsia="zh-CN"/>
        </w:rPr>
        <w:t>第五部分  附</w:t>
      </w:r>
      <w:r>
        <w:rPr>
          <w:rStyle w:val="28"/>
          <w:rFonts w:hint="eastAsia" w:ascii="黑体" w:hAnsi="黑体" w:eastAsia="黑体"/>
          <w:b w:val="0"/>
          <w:bCs/>
        </w:rPr>
        <w:t>表</w:t>
      </w:r>
      <w:bookmarkEnd w:id="84"/>
      <w:bookmarkStart w:id="85" w:name="_Toc15396619"/>
      <w:bookmarkEnd w:id="85"/>
      <w:bookmarkStart w:id="86" w:name="_Toc31633"/>
    </w:p>
    <w:bookmarkEnd w:id="86"/>
    <w:p w14:paraId="4EE91174">
      <w:pPr>
        <w:numPr>
          <w:ilvl w:val="0"/>
          <w:numId w:val="6"/>
        </w:numPr>
        <w:spacing w:line="600" w:lineRule="exact"/>
        <w:jc w:val="both"/>
        <w:outlineLvl w:val="0"/>
        <w:rPr>
          <w:rFonts w:ascii="仿宋" w:hAnsi="仿宋" w:eastAsia="仿宋"/>
          <w:color w:val="000000"/>
          <w:sz w:val="32"/>
          <w:szCs w:val="32"/>
        </w:rPr>
      </w:pPr>
      <w:r>
        <w:rPr>
          <w:rFonts w:hint="eastAsia" w:ascii="仿宋" w:hAnsi="仿宋" w:eastAsia="仿宋"/>
          <w:b w:val="0"/>
          <w:color w:val="000000"/>
          <w:sz w:val="32"/>
          <w:szCs w:val="32"/>
        </w:rPr>
        <w:t>收</w:t>
      </w:r>
      <w:r>
        <w:rPr>
          <w:rStyle w:val="29"/>
          <w:rFonts w:hint="eastAsia" w:ascii="仿宋" w:hAnsi="仿宋" w:eastAsia="仿宋"/>
          <w:b w:val="0"/>
          <w:bCs w:val="0"/>
          <w:sz w:val="32"/>
          <w:szCs w:val="32"/>
        </w:rPr>
        <w:t>入支出决算总表</w:t>
      </w:r>
      <w:bookmarkStart w:id="87" w:name="_Toc9476"/>
    </w:p>
    <w:p w14:paraId="7AD60A78">
      <w:pPr>
        <w:numPr>
          <w:ilvl w:val="0"/>
          <w:numId w:val="6"/>
        </w:numPr>
        <w:spacing w:line="600" w:lineRule="exact"/>
        <w:jc w:val="both"/>
        <w:outlineLvl w:val="0"/>
        <w:rPr>
          <w:rFonts w:ascii="仿宋" w:hAnsi="仿宋" w:eastAsia="仿宋"/>
          <w:color w:val="000000"/>
          <w:sz w:val="32"/>
          <w:szCs w:val="32"/>
        </w:rPr>
      </w:pPr>
      <w:r>
        <w:rPr>
          <w:rFonts w:hint="eastAsia" w:ascii="仿宋" w:hAnsi="仿宋" w:eastAsia="仿宋"/>
          <w:b w:val="0"/>
          <w:color w:val="000000"/>
          <w:sz w:val="32"/>
          <w:szCs w:val="32"/>
        </w:rPr>
        <w:t>收</w:t>
      </w:r>
      <w:r>
        <w:rPr>
          <w:rStyle w:val="29"/>
          <w:rFonts w:hint="eastAsia" w:ascii="仿宋" w:hAnsi="仿宋" w:eastAsia="仿宋"/>
          <w:b w:val="0"/>
          <w:bCs w:val="0"/>
          <w:sz w:val="32"/>
          <w:szCs w:val="32"/>
        </w:rPr>
        <w:t>入总表</w:t>
      </w:r>
      <w:bookmarkEnd w:id="87"/>
      <w:bookmarkStart w:id="88" w:name="_Toc15396621"/>
      <w:bookmarkEnd w:id="88"/>
      <w:bookmarkStart w:id="89" w:name="_Toc5157"/>
    </w:p>
    <w:p w14:paraId="009CF54A">
      <w:pPr>
        <w:numPr>
          <w:ilvl w:val="0"/>
          <w:numId w:val="0"/>
        </w:numPr>
        <w:spacing w:line="600" w:lineRule="exact"/>
        <w:jc w:val="both"/>
        <w:outlineLvl w:val="0"/>
        <w:rPr>
          <w:rFonts w:ascii="仿宋" w:hAnsi="仿宋" w:eastAsia="仿宋"/>
          <w:color w:val="000000"/>
          <w:sz w:val="32"/>
          <w:szCs w:val="32"/>
        </w:rPr>
      </w:pPr>
      <w:r>
        <w:rPr>
          <w:rStyle w:val="29"/>
          <w:rFonts w:hint="eastAsia" w:ascii="仿宋" w:hAnsi="仿宋" w:eastAsia="仿宋"/>
          <w:b w:val="0"/>
          <w:bCs w:val="0"/>
          <w:sz w:val="32"/>
          <w:szCs w:val="32"/>
        </w:rPr>
        <w:t>三、</w:t>
      </w:r>
      <w:r>
        <w:rPr>
          <w:rFonts w:hint="eastAsia" w:ascii="仿宋" w:hAnsi="仿宋" w:eastAsia="仿宋"/>
          <w:b w:val="0"/>
          <w:color w:val="000000"/>
          <w:sz w:val="32"/>
          <w:szCs w:val="32"/>
        </w:rPr>
        <w:t>支</w:t>
      </w:r>
      <w:r>
        <w:rPr>
          <w:rStyle w:val="29"/>
          <w:rFonts w:hint="eastAsia" w:ascii="仿宋" w:hAnsi="仿宋" w:eastAsia="仿宋"/>
          <w:b w:val="0"/>
          <w:bCs w:val="0"/>
          <w:sz w:val="32"/>
          <w:szCs w:val="32"/>
        </w:rPr>
        <w:t>出总表</w:t>
      </w:r>
      <w:bookmarkEnd w:id="89"/>
    </w:p>
    <w:p w14:paraId="087D2EDE">
      <w:pPr>
        <w:pStyle w:val="4"/>
        <w:rPr>
          <w:rFonts w:ascii="仿宋" w:hAnsi="仿宋" w:eastAsia="仿宋"/>
          <w:b w:val="0"/>
          <w:color w:val="000000"/>
        </w:rPr>
      </w:pPr>
      <w:bookmarkStart w:id="90" w:name="_Toc15396622"/>
      <w:bookmarkEnd w:id="90"/>
      <w:bookmarkStart w:id="91" w:name="_Toc323"/>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91"/>
    </w:p>
    <w:p w14:paraId="08998CEF">
      <w:pPr>
        <w:pStyle w:val="4"/>
        <w:rPr>
          <w:rFonts w:ascii="仿宋" w:hAnsi="仿宋" w:eastAsia="仿宋"/>
          <w:color w:val="000000"/>
        </w:rPr>
      </w:pPr>
      <w:bookmarkStart w:id="92" w:name="_Toc15396623"/>
      <w:bookmarkEnd w:id="92"/>
      <w:bookmarkStart w:id="93" w:name="_Toc21398"/>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政拨款支出决算明细表（政府经济分类科目）</w:t>
      </w:r>
      <w:bookmarkEnd w:id="93"/>
    </w:p>
    <w:p w14:paraId="1CFB5B0C">
      <w:pPr>
        <w:pStyle w:val="4"/>
        <w:rPr>
          <w:rFonts w:ascii="仿宋" w:hAnsi="仿宋" w:eastAsia="仿宋"/>
          <w:color w:val="000000"/>
        </w:rPr>
      </w:pPr>
      <w:bookmarkStart w:id="94" w:name="_Toc15396624"/>
      <w:bookmarkEnd w:id="94"/>
      <w:bookmarkStart w:id="95" w:name="_Toc29699"/>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95"/>
    </w:p>
    <w:p w14:paraId="5F9350BB">
      <w:pPr>
        <w:pStyle w:val="4"/>
        <w:rPr>
          <w:rFonts w:ascii="仿宋" w:hAnsi="仿宋" w:eastAsia="仿宋"/>
          <w:color w:val="000000"/>
        </w:rPr>
      </w:pPr>
      <w:bookmarkStart w:id="96" w:name="_Toc15396625"/>
      <w:bookmarkEnd w:id="96"/>
      <w:bookmarkStart w:id="97" w:name="_Toc24383"/>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97"/>
    </w:p>
    <w:p w14:paraId="5A8A651F">
      <w:pPr>
        <w:pStyle w:val="4"/>
        <w:rPr>
          <w:rFonts w:ascii="仿宋" w:hAnsi="仿宋" w:eastAsia="仿宋"/>
          <w:color w:val="000000"/>
        </w:rPr>
      </w:pPr>
      <w:bookmarkStart w:id="98" w:name="_Toc15396626"/>
      <w:bookmarkEnd w:id="98"/>
      <w:bookmarkStart w:id="99" w:name="_Toc16375"/>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99"/>
    </w:p>
    <w:p w14:paraId="597C7FAA">
      <w:pPr>
        <w:pStyle w:val="4"/>
        <w:rPr>
          <w:rFonts w:ascii="仿宋" w:hAnsi="仿宋" w:eastAsia="仿宋"/>
          <w:color w:val="000000"/>
        </w:rPr>
      </w:pPr>
      <w:bookmarkStart w:id="100" w:name="_Toc15396627"/>
      <w:bookmarkEnd w:id="100"/>
      <w:bookmarkStart w:id="101" w:name="_Toc24251"/>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101"/>
    </w:p>
    <w:p w14:paraId="16287110">
      <w:pPr>
        <w:pStyle w:val="4"/>
        <w:rPr>
          <w:rFonts w:ascii="仿宋" w:hAnsi="仿宋" w:eastAsia="仿宋"/>
          <w:color w:val="000000"/>
        </w:rPr>
      </w:pPr>
      <w:bookmarkStart w:id="102" w:name="_Toc15396628"/>
      <w:bookmarkEnd w:id="102"/>
      <w:bookmarkStart w:id="103" w:name="_Toc1821"/>
      <w:r>
        <w:rPr>
          <w:rStyle w:val="29"/>
          <w:rFonts w:hint="eastAsia" w:ascii="仿宋" w:hAnsi="仿宋" w:eastAsia="仿宋"/>
          <w:b w:val="0"/>
          <w:bCs w:val="0"/>
        </w:rPr>
        <w:t>十、</w:t>
      </w:r>
      <w:bookmarkEnd w:id="103"/>
      <w:bookmarkStart w:id="104" w:name="_Toc15396629"/>
      <w:bookmarkEnd w:id="104"/>
      <w:bookmarkStart w:id="105" w:name="_Toc27034"/>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05"/>
    </w:p>
    <w:p w14:paraId="570FD759">
      <w:pPr>
        <w:pStyle w:val="4"/>
        <w:rPr>
          <w:rFonts w:hint="eastAsia" w:ascii="仿宋" w:hAnsi="仿宋" w:eastAsia="仿宋" w:cs="仿宋"/>
          <w:b w:val="0"/>
          <w:bCs w:val="0"/>
          <w:sz w:val="32"/>
          <w:szCs w:val="32"/>
        </w:rPr>
      </w:pPr>
      <w:bookmarkStart w:id="106" w:name="_Toc15396631"/>
      <w:bookmarkEnd w:id="106"/>
      <w:bookmarkStart w:id="107" w:name="_Toc15396630"/>
      <w:bookmarkEnd w:id="107"/>
      <w:bookmarkStart w:id="108" w:name="_Toc16293"/>
      <w:r>
        <w:rPr>
          <w:rStyle w:val="29"/>
          <w:rFonts w:hint="eastAsia" w:ascii="仿宋" w:hAnsi="仿宋" w:eastAsia="仿宋"/>
          <w:b w:val="0"/>
          <w:bCs w:val="0"/>
          <w:sz w:val="32"/>
          <w:szCs w:val="32"/>
        </w:rPr>
        <w:t>十</w:t>
      </w:r>
      <w:r>
        <w:rPr>
          <w:rStyle w:val="29"/>
          <w:rFonts w:hint="eastAsia" w:ascii="仿宋" w:hAnsi="仿宋" w:eastAsia="仿宋"/>
          <w:b w:val="0"/>
          <w:bCs w:val="0"/>
          <w:sz w:val="32"/>
          <w:szCs w:val="32"/>
          <w:lang w:val="en-US" w:eastAsia="zh-CN"/>
        </w:rPr>
        <w:t>一</w:t>
      </w:r>
      <w:r>
        <w:rPr>
          <w:rStyle w:val="29"/>
          <w:rFonts w:hint="eastAsia" w:ascii="仿宋" w:hAnsi="仿宋" w:eastAsia="仿宋"/>
          <w:b w:val="0"/>
          <w:bCs w:val="0"/>
          <w:sz w:val="32"/>
          <w:szCs w:val="32"/>
        </w:rPr>
        <w:t>、</w:t>
      </w:r>
      <w:r>
        <w:rPr>
          <w:rFonts w:hint="eastAsia" w:ascii="仿宋" w:hAnsi="仿宋" w:eastAsia="仿宋" w:cs="仿宋"/>
          <w:b w:val="0"/>
          <w:bCs w:val="0"/>
          <w:sz w:val="32"/>
          <w:szCs w:val="32"/>
        </w:rPr>
        <w:t>国有资本经营预算财政拨款收入支出决算表</w:t>
      </w:r>
    </w:p>
    <w:p w14:paraId="48C968BA">
      <w:pPr>
        <w:pStyle w:val="4"/>
        <w:rPr>
          <w:rFonts w:hint="eastAsia" w:ascii="仿宋" w:hAnsi="仿宋" w:eastAsia="仿宋" w:cs="仿宋"/>
          <w:b w:val="0"/>
          <w:bCs w:val="0"/>
          <w:sz w:val="32"/>
          <w:szCs w:val="32"/>
        </w:rPr>
      </w:pPr>
      <w:r>
        <w:rPr>
          <w:rFonts w:hint="eastAsia" w:ascii="仿宋" w:hAnsi="仿宋" w:eastAsia="仿宋" w:cs="仿宋"/>
          <w:b w:val="0"/>
          <w:bCs w:val="0"/>
          <w:sz w:val="32"/>
          <w:szCs w:val="32"/>
        </w:rPr>
        <w:t>十</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、国有资本经营预算财政拨款支出决算表</w:t>
      </w:r>
      <w:bookmarkEnd w:id="108"/>
    </w:p>
    <w:p w14:paraId="4C8EB167">
      <w:pPr>
        <w:pStyle w:val="13"/>
        <w:adjustRightInd w:val="0"/>
        <w:snapToGrid w:val="0"/>
        <w:spacing w:line="440" w:lineRule="exact"/>
        <w:ind w:left="0" w:leftChars="0"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十三、财政拨款“三公”经费支出决算表</w:t>
      </w:r>
    </w:p>
    <w:p w14:paraId="79BDBA7F">
      <w:pPr>
        <w:pStyle w:val="4"/>
        <w:numPr>
          <w:ilvl w:val="0"/>
          <w:numId w:val="0"/>
        </w:numPr>
        <w:rPr>
          <w:rStyle w:val="29"/>
          <w:rFonts w:hint="eastAsia" w:ascii="仿宋" w:hAnsi="仿宋" w:eastAsia="仿宋"/>
          <w:b w:val="0"/>
          <w:bCs w:val="0"/>
        </w:rPr>
      </w:pPr>
    </w:p>
    <w:sectPr>
      <w:pgSz w:w="11906" w:h="16838"/>
      <w:pgMar w:top="1440" w:right="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F8330">
    <w:pPr>
      <w:pStyle w:val="10"/>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37BBDAE3">
                              <w:pPr>
                                <w:pStyle w:val="10"/>
                                <w:jc w:val="center"/>
                              </w:pPr>
                              <w:r>
                                <w:fldChar w:fldCharType="begin"/>
                              </w:r>
                              <w:r>
                                <w:instrText xml:space="preserve">PAGE   \* MERGEFORMAT</w:instrText>
                              </w:r>
                              <w:r>
                                <w:fldChar w:fldCharType="separate"/>
                              </w:r>
                              <w:r>
                                <w:rPr>
                                  <w:lang w:val="zh-CN"/>
                                </w:rPr>
                                <w:t>20</w:t>
                              </w:r>
                              <w:r>
                                <w:fldChar w:fldCharType="end"/>
                              </w:r>
                            </w:p>
                          </w:sdtContent>
                        </w:sdt>
                        <w:p w14:paraId="5964E88D">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37BBDAE3">
                        <w:pPr>
                          <w:pStyle w:val="10"/>
                          <w:jc w:val="center"/>
                        </w:pPr>
                        <w:r>
                          <w:fldChar w:fldCharType="begin"/>
                        </w:r>
                        <w:r>
                          <w:instrText xml:space="preserve">PAGE   \* MERGEFORMAT</w:instrText>
                        </w:r>
                        <w:r>
                          <w:fldChar w:fldCharType="separate"/>
                        </w:r>
                        <w:r>
                          <w:rPr>
                            <w:lang w:val="zh-CN"/>
                          </w:rPr>
                          <w:t>20</w:t>
                        </w:r>
                        <w:r>
                          <w:fldChar w:fldCharType="end"/>
                        </w:r>
                      </w:p>
                    </w:sdtContent>
                  </w:sdt>
                  <w:p w14:paraId="5964E88D">
                    <w:pPr>
                      <w:pStyle w:val="2"/>
                    </w:pPr>
                  </w:p>
                </w:txbxContent>
              </v:textbox>
            </v:shape>
          </w:pict>
        </mc:Fallback>
      </mc:AlternateContent>
    </w:r>
  </w:p>
  <w:p w14:paraId="6ABE5B2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B65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C197B6A"/>
    <w:multiLevelType w:val="singleLevel"/>
    <w:tmpl w:val="FC197B6A"/>
    <w:lvl w:ilvl="0" w:tentative="0">
      <w:start w:val="3"/>
      <w:numFmt w:val="decimal"/>
      <w:lvlText w:val="%1."/>
      <w:lvlJc w:val="left"/>
      <w:pPr>
        <w:tabs>
          <w:tab w:val="left" w:pos="312"/>
        </w:tabs>
      </w:pPr>
    </w:lvl>
  </w:abstractNum>
  <w:abstractNum w:abstractNumId="2">
    <w:nsid w:val="0958BB68"/>
    <w:multiLevelType w:val="singleLevel"/>
    <w:tmpl w:val="0958BB68"/>
    <w:lvl w:ilvl="0" w:tentative="0">
      <w:start w:val="4"/>
      <w:numFmt w:val="chineseCounting"/>
      <w:suff w:val="space"/>
      <w:lvlText w:val="第%1部分"/>
      <w:lvlJc w:val="left"/>
      <w:rPr>
        <w:rFonts w:hint="eastAsia"/>
      </w:rPr>
    </w:lvl>
  </w:abstractNum>
  <w:abstractNum w:abstractNumId="3">
    <w:nsid w:val="0F68A004"/>
    <w:multiLevelType w:val="singleLevel"/>
    <w:tmpl w:val="0F68A004"/>
    <w:lvl w:ilvl="0" w:tentative="0">
      <w:start w:val="4"/>
      <w:numFmt w:val="chineseCounting"/>
      <w:suff w:val="nothing"/>
      <w:lvlText w:val="（%1）"/>
      <w:lvlJc w:val="left"/>
      <w:pPr>
        <w:ind w:left="-13"/>
      </w:pPr>
      <w:rPr>
        <w:rFonts w:hint="eastAsia" w:ascii="仿宋" w:hAnsi="仿宋" w:eastAsia="仿宋" w:cs="仿宋"/>
        <w:color w:val="000000" w:themeColor="text1"/>
        <w:sz w:val="32"/>
        <w:szCs w:val="32"/>
        <w14:textFill>
          <w14:solidFill>
            <w14:schemeClr w14:val="tx1"/>
          </w14:solidFill>
        </w14:textFill>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41F3BB4"/>
    <w:multiLevelType w:val="singleLevel"/>
    <w:tmpl w:val="741F3BB4"/>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YWI4ZjdiZGZiMjBmNWNkOTk3YzE2YWQxNmQyZDEifQ=="/>
    <w:docVar w:name="KSO_WPS_MARK_KEY" w:val="fcd9235e-8366-4966-aa80-5ddff3a33f73"/>
  </w:docVars>
  <w:rsids>
    <w:rsidRoot w:val="00172A27"/>
    <w:rsid w:val="000014BD"/>
    <w:rsid w:val="00014D5D"/>
    <w:rsid w:val="000222C6"/>
    <w:rsid w:val="0002549F"/>
    <w:rsid w:val="00037932"/>
    <w:rsid w:val="000450EE"/>
    <w:rsid w:val="0005108E"/>
    <w:rsid w:val="00054A29"/>
    <w:rsid w:val="0006487A"/>
    <w:rsid w:val="00065B5D"/>
    <w:rsid w:val="00065F8F"/>
    <w:rsid w:val="0007532D"/>
    <w:rsid w:val="000768F2"/>
    <w:rsid w:val="00083164"/>
    <w:rsid w:val="0009184B"/>
    <w:rsid w:val="0009593C"/>
    <w:rsid w:val="000B047F"/>
    <w:rsid w:val="000B5923"/>
    <w:rsid w:val="000B5A48"/>
    <w:rsid w:val="000B6FF3"/>
    <w:rsid w:val="000C3467"/>
    <w:rsid w:val="000C3CA6"/>
    <w:rsid w:val="000D1267"/>
    <w:rsid w:val="000D1D50"/>
    <w:rsid w:val="000D3B79"/>
    <w:rsid w:val="000D4189"/>
    <w:rsid w:val="000D5782"/>
    <w:rsid w:val="000D7ECB"/>
    <w:rsid w:val="000E6613"/>
    <w:rsid w:val="000E7119"/>
    <w:rsid w:val="00113A9B"/>
    <w:rsid w:val="00114E9B"/>
    <w:rsid w:val="001239F6"/>
    <w:rsid w:val="0014729F"/>
    <w:rsid w:val="00150EC9"/>
    <w:rsid w:val="001514D6"/>
    <w:rsid w:val="00157BAB"/>
    <w:rsid w:val="001654D1"/>
    <w:rsid w:val="00165B32"/>
    <w:rsid w:val="00167D5C"/>
    <w:rsid w:val="0018106D"/>
    <w:rsid w:val="00183348"/>
    <w:rsid w:val="001877A7"/>
    <w:rsid w:val="00187E23"/>
    <w:rsid w:val="00191536"/>
    <w:rsid w:val="00196687"/>
    <w:rsid w:val="00197C4B"/>
    <w:rsid w:val="001A0A81"/>
    <w:rsid w:val="001A4C6D"/>
    <w:rsid w:val="001A7A45"/>
    <w:rsid w:val="001B3238"/>
    <w:rsid w:val="001C0962"/>
    <w:rsid w:val="001C33BD"/>
    <w:rsid w:val="001C68A8"/>
    <w:rsid w:val="001D5353"/>
    <w:rsid w:val="001D670B"/>
    <w:rsid w:val="001D7531"/>
    <w:rsid w:val="001E737D"/>
    <w:rsid w:val="001F0592"/>
    <w:rsid w:val="001F150B"/>
    <w:rsid w:val="001F4D1D"/>
    <w:rsid w:val="001F7506"/>
    <w:rsid w:val="002006CD"/>
    <w:rsid w:val="00202B36"/>
    <w:rsid w:val="00204B7A"/>
    <w:rsid w:val="0021101A"/>
    <w:rsid w:val="00220536"/>
    <w:rsid w:val="00222B15"/>
    <w:rsid w:val="00224B5B"/>
    <w:rsid w:val="00235629"/>
    <w:rsid w:val="00247ADD"/>
    <w:rsid w:val="00252C0F"/>
    <w:rsid w:val="00260C38"/>
    <w:rsid w:val="002616C0"/>
    <w:rsid w:val="002662AA"/>
    <w:rsid w:val="00280496"/>
    <w:rsid w:val="00283274"/>
    <w:rsid w:val="00295495"/>
    <w:rsid w:val="002B0016"/>
    <w:rsid w:val="002B1338"/>
    <w:rsid w:val="002B2613"/>
    <w:rsid w:val="002D7878"/>
    <w:rsid w:val="002E2158"/>
    <w:rsid w:val="002F1818"/>
    <w:rsid w:val="002F275F"/>
    <w:rsid w:val="002F567B"/>
    <w:rsid w:val="003058A3"/>
    <w:rsid w:val="00310B42"/>
    <w:rsid w:val="00313751"/>
    <w:rsid w:val="003216A9"/>
    <w:rsid w:val="00332B22"/>
    <w:rsid w:val="00334DB6"/>
    <w:rsid w:val="00362819"/>
    <w:rsid w:val="0037013F"/>
    <w:rsid w:val="00380C92"/>
    <w:rsid w:val="00396A60"/>
    <w:rsid w:val="003A484F"/>
    <w:rsid w:val="003B0BE0"/>
    <w:rsid w:val="003B0C1B"/>
    <w:rsid w:val="003B2F3E"/>
    <w:rsid w:val="003B688C"/>
    <w:rsid w:val="003C0291"/>
    <w:rsid w:val="003C39AE"/>
    <w:rsid w:val="003C6C00"/>
    <w:rsid w:val="003C7299"/>
    <w:rsid w:val="003C7B60"/>
    <w:rsid w:val="003D1FB2"/>
    <w:rsid w:val="003D66DA"/>
    <w:rsid w:val="003E1310"/>
    <w:rsid w:val="003E6F55"/>
    <w:rsid w:val="003F014F"/>
    <w:rsid w:val="004004E7"/>
    <w:rsid w:val="00406254"/>
    <w:rsid w:val="004147B6"/>
    <w:rsid w:val="004223DE"/>
    <w:rsid w:val="00422928"/>
    <w:rsid w:val="00434489"/>
    <w:rsid w:val="00437085"/>
    <w:rsid w:val="00443880"/>
    <w:rsid w:val="0044627A"/>
    <w:rsid w:val="004464F4"/>
    <w:rsid w:val="00471401"/>
    <w:rsid w:val="00473F31"/>
    <w:rsid w:val="0048263A"/>
    <w:rsid w:val="00487E5D"/>
    <w:rsid w:val="004A711F"/>
    <w:rsid w:val="004B199D"/>
    <w:rsid w:val="004B4690"/>
    <w:rsid w:val="004D13F2"/>
    <w:rsid w:val="004D602C"/>
    <w:rsid w:val="004E0A2D"/>
    <w:rsid w:val="004E206B"/>
    <w:rsid w:val="004E6DF7"/>
    <w:rsid w:val="004F0FBD"/>
    <w:rsid w:val="004F304A"/>
    <w:rsid w:val="00505A47"/>
    <w:rsid w:val="00512FDA"/>
    <w:rsid w:val="00516B00"/>
    <w:rsid w:val="00520DA0"/>
    <w:rsid w:val="00523037"/>
    <w:rsid w:val="00550BE1"/>
    <w:rsid w:val="005523F5"/>
    <w:rsid w:val="00565CA0"/>
    <w:rsid w:val="005664BB"/>
    <w:rsid w:val="00566C8E"/>
    <w:rsid w:val="0057481D"/>
    <w:rsid w:val="0058486E"/>
    <w:rsid w:val="005A48ED"/>
    <w:rsid w:val="005B08A7"/>
    <w:rsid w:val="005B1FE7"/>
    <w:rsid w:val="005D1C8B"/>
    <w:rsid w:val="005D25CB"/>
    <w:rsid w:val="005D5CED"/>
    <w:rsid w:val="005F1A4C"/>
    <w:rsid w:val="005F2397"/>
    <w:rsid w:val="00601F31"/>
    <w:rsid w:val="00605688"/>
    <w:rsid w:val="006070AF"/>
    <w:rsid w:val="00607E6C"/>
    <w:rsid w:val="006101B1"/>
    <w:rsid w:val="006118CB"/>
    <w:rsid w:val="00614E44"/>
    <w:rsid w:val="00622830"/>
    <w:rsid w:val="00630AEF"/>
    <w:rsid w:val="006325F8"/>
    <w:rsid w:val="00634C9A"/>
    <w:rsid w:val="006415BA"/>
    <w:rsid w:val="00642F72"/>
    <w:rsid w:val="006440E4"/>
    <w:rsid w:val="00644D6D"/>
    <w:rsid w:val="00647517"/>
    <w:rsid w:val="00660758"/>
    <w:rsid w:val="0066343B"/>
    <w:rsid w:val="00664777"/>
    <w:rsid w:val="006748A4"/>
    <w:rsid w:val="00680D8D"/>
    <w:rsid w:val="00683E73"/>
    <w:rsid w:val="00687415"/>
    <w:rsid w:val="00692F34"/>
    <w:rsid w:val="00697B66"/>
    <w:rsid w:val="006A3141"/>
    <w:rsid w:val="006A5E34"/>
    <w:rsid w:val="006B2322"/>
    <w:rsid w:val="006B2422"/>
    <w:rsid w:val="006B2B9A"/>
    <w:rsid w:val="006B7E73"/>
    <w:rsid w:val="006C1937"/>
    <w:rsid w:val="006D3972"/>
    <w:rsid w:val="006D7BF7"/>
    <w:rsid w:val="006F020C"/>
    <w:rsid w:val="007127B7"/>
    <w:rsid w:val="00712CC2"/>
    <w:rsid w:val="00731604"/>
    <w:rsid w:val="007416B6"/>
    <w:rsid w:val="00742B65"/>
    <w:rsid w:val="00746F48"/>
    <w:rsid w:val="0075404D"/>
    <w:rsid w:val="0076182A"/>
    <w:rsid w:val="007619D4"/>
    <w:rsid w:val="00767B7E"/>
    <w:rsid w:val="007770C3"/>
    <w:rsid w:val="00784D24"/>
    <w:rsid w:val="00785FBA"/>
    <w:rsid w:val="00786E4A"/>
    <w:rsid w:val="007875EB"/>
    <w:rsid w:val="0079426B"/>
    <w:rsid w:val="007B764E"/>
    <w:rsid w:val="007D312A"/>
    <w:rsid w:val="007D3F19"/>
    <w:rsid w:val="007D43BA"/>
    <w:rsid w:val="007D7816"/>
    <w:rsid w:val="007E23B0"/>
    <w:rsid w:val="007F1991"/>
    <w:rsid w:val="007F241D"/>
    <w:rsid w:val="007F2C2F"/>
    <w:rsid w:val="007F55FC"/>
    <w:rsid w:val="007F5665"/>
    <w:rsid w:val="00800112"/>
    <w:rsid w:val="008101A7"/>
    <w:rsid w:val="008253BB"/>
    <w:rsid w:val="00827B96"/>
    <w:rsid w:val="0083706E"/>
    <w:rsid w:val="008423A5"/>
    <w:rsid w:val="00845896"/>
    <w:rsid w:val="00850625"/>
    <w:rsid w:val="00853718"/>
    <w:rsid w:val="00855221"/>
    <w:rsid w:val="00860645"/>
    <w:rsid w:val="00862D01"/>
    <w:rsid w:val="00864219"/>
    <w:rsid w:val="00871F71"/>
    <w:rsid w:val="008742A8"/>
    <w:rsid w:val="00885AF4"/>
    <w:rsid w:val="00887DCE"/>
    <w:rsid w:val="008937C9"/>
    <w:rsid w:val="008939CD"/>
    <w:rsid w:val="00895BE6"/>
    <w:rsid w:val="008B768C"/>
    <w:rsid w:val="008C4DB1"/>
    <w:rsid w:val="008C4EAF"/>
    <w:rsid w:val="008C5176"/>
    <w:rsid w:val="008C7FD0"/>
    <w:rsid w:val="008D3CC1"/>
    <w:rsid w:val="008D431D"/>
    <w:rsid w:val="008E1DE7"/>
    <w:rsid w:val="008E20A1"/>
    <w:rsid w:val="008E5E60"/>
    <w:rsid w:val="008E69B8"/>
    <w:rsid w:val="008E707C"/>
    <w:rsid w:val="00900B08"/>
    <w:rsid w:val="00902155"/>
    <w:rsid w:val="00902FA3"/>
    <w:rsid w:val="00923564"/>
    <w:rsid w:val="0092392E"/>
    <w:rsid w:val="009315F9"/>
    <w:rsid w:val="00942256"/>
    <w:rsid w:val="00946945"/>
    <w:rsid w:val="00951248"/>
    <w:rsid w:val="0095152F"/>
    <w:rsid w:val="00951E62"/>
    <w:rsid w:val="00954C49"/>
    <w:rsid w:val="0095680C"/>
    <w:rsid w:val="00965D37"/>
    <w:rsid w:val="0096635D"/>
    <w:rsid w:val="0097099F"/>
    <w:rsid w:val="00971997"/>
    <w:rsid w:val="00971FFC"/>
    <w:rsid w:val="0098660A"/>
    <w:rsid w:val="009931C3"/>
    <w:rsid w:val="009A41F9"/>
    <w:rsid w:val="009B216F"/>
    <w:rsid w:val="009B2C43"/>
    <w:rsid w:val="009B4EAE"/>
    <w:rsid w:val="009B7573"/>
    <w:rsid w:val="009C22F4"/>
    <w:rsid w:val="009C2E98"/>
    <w:rsid w:val="009C4911"/>
    <w:rsid w:val="009D3447"/>
    <w:rsid w:val="009D4711"/>
    <w:rsid w:val="009E02BC"/>
    <w:rsid w:val="009E180D"/>
    <w:rsid w:val="009F1185"/>
    <w:rsid w:val="009F18CD"/>
    <w:rsid w:val="009F2A13"/>
    <w:rsid w:val="00A03969"/>
    <w:rsid w:val="00A04EB0"/>
    <w:rsid w:val="00A108EB"/>
    <w:rsid w:val="00A12E5B"/>
    <w:rsid w:val="00A13CC1"/>
    <w:rsid w:val="00A16847"/>
    <w:rsid w:val="00A237D8"/>
    <w:rsid w:val="00A268C4"/>
    <w:rsid w:val="00A307CD"/>
    <w:rsid w:val="00A33B15"/>
    <w:rsid w:val="00A40A00"/>
    <w:rsid w:val="00A410F0"/>
    <w:rsid w:val="00A4142F"/>
    <w:rsid w:val="00A50990"/>
    <w:rsid w:val="00A50A1A"/>
    <w:rsid w:val="00A5247B"/>
    <w:rsid w:val="00A56DF2"/>
    <w:rsid w:val="00A638C1"/>
    <w:rsid w:val="00A64584"/>
    <w:rsid w:val="00A67AB5"/>
    <w:rsid w:val="00A91760"/>
    <w:rsid w:val="00A937A0"/>
    <w:rsid w:val="00A93B00"/>
    <w:rsid w:val="00A93C21"/>
    <w:rsid w:val="00AA4196"/>
    <w:rsid w:val="00AC34F1"/>
    <w:rsid w:val="00AC3C6A"/>
    <w:rsid w:val="00AC4F89"/>
    <w:rsid w:val="00AD5620"/>
    <w:rsid w:val="00AD7C1B"/>
    <w:rsid w:val="00AE16BA"/>
    <w:rsid w:val="00AE1EBE"/>
    <w:rsid w:val="00B00CB3"/>
    <w:rsid w:val="00B03C9D"/>
    <w:rsid w:val="00B060AE"/>
    <w:rsid w:val="00B10517"/>
    <w:rsid w:val="00B14E76"/>
    <w:rsid w:val="00B161B8"/>
    <w:rsid w:val="00B2048C"/>
    <w:rsid w:val="00B310B9"/>
    <w:rsid w:val="00B3318C"/>
    <w:rsid w:val="00B34116"/>
    <w:rsid w:val="00B35F3F"/>
    <w:rsid w:val="00B36CBB"/>
    <w:rsid w:val="00B41D2E"/>
    <w:rsid w:val="00B425E0"/>
    <w:rsid w:val="00B440AA"/>
    <w:rsid w:val="00B44B70"/>
    <w:rsid w:val="00B50FAE"/>
    <w:rsid w:val="00B53C56"/>
    <w:rsid w:val="00B655B3"/>
    <w:rsid w:val="00B6575A"/>
    <w:rsid w:val="00B762A6"/>
    <w:rsid w:val="00B77EA6"/>
    <w:rsid w:val="00B809CD"/>
    <w:rsid w:val="00B81598"/>
    <w:rsid w:val="00B83A6D"/>
    <w:rsid w:val="00B841F1"/>
    <w:rsid w:val="00B87386"/>
    <w:rsid w:val="00B944D6"/>
    <w:rsid w:val="00BA64E2"/>
    <w:rsid w:val="00BB3744"/>
    <w:rsid w:val="00BB4DF0"/>
    <w:rsid w:val="00BC289F"/>
    <w:rsid w:val="00BC44A5"/>
    <w:rsid w:val="00BC5361"/>
    <w:rsid w:val="00BC5460"/>
    <w:rsid w:val="00BC6B50"/>
    <w:rsid w:val="00BD0E25"/>
    <w:rsid w:val="00BE531A"/>
    <w:rsid w:val="00BF477A"/>
    <w:rsid w:val="00BF5BD6"/>
    <w:rsid w:val="00C03E31"/>
    <w:rsid w:val="00C12332"/>
    <w:rsid w:val="00C2140C"/>
    <w:rsid w:val="00C2673C"/>
    <w:rsid w:val="00C31F33"/>
    <w:rsid w:val="00C33E72"/>
    <w:rsid w:val="00C354B2"/>
    <w:rsid w:val="00C35554"/>
    <w:rsid w:val="00C42709"/>
    <w:rsid w:val="00C533CC"/>
    <w:rsid w:val="00C5751C"/>
    <w:rsid w:val="00C61BFC"/>
    <w:rsid w:val="00C62B85"/>
    <w:rsid w:val="00C65438"/>
    <w:rsid w:val="00C720E2"/>
    <w:rsid w:val="00C908BE"/>
    <w:rsid w:val="00C91CBB"/>
    <w:rsid w:val="00C94181"/>
    <w:rsid w:val="00CA001B"/>
    <w:rsid w:val="00CC09B6"/>
    <w:rsid w:val="00CC666F"/>
    <w:rsid w:val="00CD1E3F"/>
    <w:rsid w:val="00CD1EC4"/>
    <w:rsid w:val="00CD23FE"/>
    <w:rsid w:val="00CD7DE2"/>
    <w:rsid w:val="00CE44F6"/>
    <w:rsid w:val="00CE49DA"/>
    <w:rsid w:val="00CE76D3"/>
    <w:rsid w:val="00CE7B61"/>
    <w:rsid w:val="00CF781F"/>
    <w:rsid w:val="00D00095"/>
    <w:rsid w:val="00D05AE6"/>
    <w:rsid w:val="00D120C5"/>
    <w:rsid w:val="00D13826"/>
    <w:rsid w:val="00D20620"/>
    <w:rsid w:val="00D26091"/>
    <w:rsid w:val="00D34E7C"/>
    <w:rsid w:val="00D3521B"/>
    <w:rsid w:val="00D35489"/>
    <w:rsid w:val="00D35B46"/>
    <w:rsid w:val="00D51276"/>
    <w:rsid w:val="00D628D1"/>
    <w:rsid w:val="00D64544"/>
    <w:rsid w:val="00D7035F"/>
    <w:rsid w:val="00D806BE"/>
    <w:rsid w:val="00DA0911"/>
    <w:rsid w:val="00DA5F57"/>
    <w:rsid w:val="00DA65AC"/>
    <w:rsid w:val="00DB1913"/>
    <w:rsid w:val="00DB5B10"/>
    <w:rsid w:val="00DC410D"/>
    <w:rsid w:val="00DC42FD"/>
    <w:rsid w:val="00DC68CA"/>
    <w:rsid w:val="00DC7CBA"/>
    <w:rsid w:val="00DD4AD6"/>
    <w:rsid w:val="00DD73B7"/>
    <w:rsid w:val="00DE5E39"/>
    <w:rsid w:val="00DF28BC"/>
    <w:rsid w:val="00DF34B9"/>
    <w:rsid w:val="00E01053"/>
    <w:rsid w:val="00E07ACF"/>
    <w:rsid w:val="00E1172A"/>
    <w:rsid w:val="00E168D5"/>
    <w:rsid w:val="00E209B4"/>
    <w:rsid w:val="00E331A1"/>
    <w:rsid w:val="00E33202"/>
    <w:rsid w:val="00E336A9"/>
    <w:rsid w:val="00E34960"/>
    <w:rsid w:val="00E4563B"/>
    <w:rsid w:val="00E50624"/>
    <w:rsid w:val="00E568DF"/>
    <w:rsid w:val="00E62C31"/>
    <w:rsid w:val="00E64019"/>
    <w:rsid w:val="00E64269"/>
    <w:rsid w:val="00E67AAF"/>
    <w:rsid w:val="00E741BD"/>
    <w:rsid w:val="00E7781D"/>
    <w:rsid w:val="00E81BE1"/>
    <w:rsid w:val="00E82267"/>
    <w:rsid w:val="00E90B1B"/>
    <w:rsid w:val="00EA010F"/>
    <w:rsid w:val="00EB72E1"/>
    <w:rsid w:val="00ED1B63"/>
    <w:rsid w:val="00ED3C1F"/>
    <w:rsid w:val="00ED4085"/>
    <w:rsid w:val="00ED420E"/>
    <w:rsid w:val="00EE2F57"/>
    <w:rsid w:val="00EF39DD"/>
    <w:rsid w:val="00EF4C34"/>
    <w:rsid w:val="00EF77C6"/>
    <w:rsid w:val="00F05438"/>
    <w:rsid w:val="00F1361C"/>
    <w:rsid w:val="00F160C7"/>
    <w:rsid w:val="00F36D8F"/>
    <w:rsid w:val="00F417B1"/>
    <w:rsid w:val="00F46A2B"/>
    <w:rsid w:val="00F602DF"/>
    <w:rsid w:val="00F6113A"/>
    <w:rsid w:val="00F75173"/>
    <w:rsid w:val="00F81FD9"/>
    <w:rsid w:val="00F841AA"/>
    <w:rsid w:val="00F857DD"/>
    <w:rsid w:val="00F90054"/>
    <w:rsid w:val="00FA23E8"/>
    <w:rsid w:val="00FC1C0C"/>
    <w:rsid w:val="00FC5E7C"/>
    <w:rsid w:val="00FC753D"/>
    <w:rsid w:val="00FD3CC1"/>
    <w:rsid w:val="00FE626F"/>
    <w:rsid w:val="00FF1E02"/>
    <w:rsid w:val="00FF30B4"/>
    <w:rsid w:val="01AC0F00"/>
    <w:rsid w:val="02414E36"/>
    <w:rsid w:val="03A139B9"/>
    <w:rsid w:val="0405331E"/>
    <w:rsid w:val="040A3835"/>
    <w:rsid w:val="05285D8F"/>
    <w:rsid w:val="0611649A"/>
    <w:rsid w:val="066217C1"/>
    <w:rsid w:val="077D49D8"/>
    <w:rsid w:val="07C2715C"/>
    <w:rsid w:val="08173814"/>
    <w:rsid w:val="0856041A"/>
    <w:rsid w:val="09592277"/>
    <w:rsid w:val="09FF14C3"/>
    <w:rsid w:val="0B16366B"/>
    <w:rsid w:val="0BD164A2"/>
    <w:rsid w:val="0CFA713D"/>
    <w:rsid w:val="0DA67152"/>
    <w:rsid w:val="0DDC359A"/>
    <w:rsid w:val="0F0A3580"/>
    <w:rsid w:val="10C055FF"/>
    <w:rsid w:val="10FC2115"/>
    <w:rsid w:val="11876F3D"/>
    <w:rsid w:val="13465EAF"/>
    <w:rsid w:val="14224205"/>
    <w:rsid w:val="1507251C"/>
    <w:rsid w:val="168A026F"/>
    <w:rsid w:val="16BB723D"/>
    <w:rsid w:val="16BF0838"/>
    <w:rsid w:val="16CD102B"/>
    <w:rsid w:val="17696E53"/>
    <w:rsid w:val="181C333C"/>
    <w:rsid w:val="18395EAD"/>
    <w:rsid w:val="186A186D"/>
    <w:rsid w:val="189F488D"/>
    <w:rsid w:val="18A8069E"/>
    <w:rsid w:val="18FE72D4"/>
    <w:rsid w:val="19576C7B"/>
    <w:rsid w:val="195C14A3"/>
    <w:rsid w:val="19BD50AD"/>
    <w:rsid w:val="1AC73A13"/>
    <w:rsid w:val="1B3D2CD3"/>
    <w:rsid w:val="1E153959"/>
    <w:rsid w:val="1F014515"/>
    <w:rsid w:val="1F4F6990"/>
    <w:rsid w:val="21247607"/>
    <w:rsid w:val="21C81229"/>
    <w:rsid w:val="22093467"/>
    <w:rsid w:val="22AF6AE8"/>
    <w:rsid w:val="232142B6"/>
    <w:rsid w:val="240371BF"/>
    <w:rsid w:val="240D76CD"/>
    <w:rsid w:val="25AA1B6B"/>
    <w:rsid w:val="260676FF"/>
    <w:rsid w:val="26821B28"/>
    <w:rsid w:val="26862B41"/>
    <w:rsid w:val="29457F4C"/>
    <w:rsid w:val="294C1C7C"/>
    <w:rsid w:val="29D33359"/>
    <w:rsid w:val="29FD04D3"/>
    <w:rsid w:val="2B6C4884"/>
    <w:rsid w:val="2BB16143"/>
    <w:rsid w:val="2BCB017C"/>
    <w:rsid w:val="2BD024B8"/>
    <w:rsid w:val="2C004C47"/>
    <w:rsid w:val="2C41010B"/>
    <w:rsid w:val="2CE32BF9"/>
    <w:rsid w:val="2D354390"/>
    <w:rsid w:val="2E0E3A74"/>
    <w:rsid w:val="2F950A24"/>
    <w:rsid w:val="307E1B2E"/>
    <w:rsid w:val="312369C7"/>
    <w:rsid w:val="317B1535"/>
    <w:rsid w:val="319F7F4E"/>
    <w:rsid w:val="31C77AA9"/>
    <w:rsid w:val="32706124"/>
    <w:rsid w:val="33A30B13"/>
    <w:rsid w:val="353B536A"/>
    <w:rsid w:val="36801B54"/>
    <w:rsid w:val="36927BA2"/>
    <w:rsid w:val="369B1405"/>
    <w:rsid w:val="37B0030A"/>
    <w:rsid w:val="37E9661A"/>
    <w:rsid w:val="38492532"/>
    <w:rsid w:val="384A5DB2"/>
    <w:rsid w:val="39211F7D"/>
    <w:rsid w:val="398E63C0"/>
    <w:rsid w:val="39B35222"/>
    <w:rsid w:val="39D013D5"/>
    <w:rsid w:val="3AC63A88"/>
    <w:rsid w:val="3AEE5287"/>
    <w:rsid w:val="3BD42C3E"/>
    <w:rsid w:val="3C0B00F9"/>
    <w:rsid w:val="3CC722BE"/>
    <w:rsid w:val="3D3438F8"/>
    <w:rsid w:val="3D9B261C"/>
    <w:rsid w:val="3EAA6EDD"/>
    <w:rsid w:val="3F380046"/>
    <w:rsid w:val="3FAE2A19"/>
    <w:rsid w:val="41005146"/>
    <w:rsid w:val="41CF321C"/>
    <w:rsid w:val="438B7CFE"/>
    <w:rsid w:val="43EA4B01"/>
    <w:rsid w:val="452D352F"/>
    <w:rsid w:val="45B22C16"/>
    <w:rsid w:val="46385088"/>
    <w:rsid w:val="46D00F10"/>
    <w:rsid w:val="46F73327"/>
    <w:rsid w:val="470D2113"/>
    <w:rsid w:val="476709AD"/>
    <w:rsid w:val="485D1F26"/>
    <w:rsid w:val="486419DB"/>
    <w:rsid w:val="494D169B"/>
    <w:rsid w:val="4955285D"/>
    <w:rsid w:val="49B14BD6"/>
    <w:rsid w:val="49F54090"/>
    <w:rsid w:val="4A0654BF"/>
    <w:rsid w:val="4A2A3FD3"/>
    <w:rsid w:val="4AEF4E19"/>
    <w:rsid w:val="4C091014"/>
    <w:rsid w:val="4C1843DC"/>
    <w:rsid w:val="4C8144D0"/>
    <w:rsid w:val="4D702F51"/>
    <w:rsid w:val="4D9828A2"/>
    <w:rsid w:val="510539FF"/>
    <w:rsid w:val="51367DDC"/>
    <w:rsid w:val="52481273"/>
    <w:rsid w:val="52DD14A6"/>
    <w:rsid w:val="53447315"/>
    <w:rsid w:val="547165F5"/>
    <w:rsid w:val="54FA508D"/>
    <w:rsid w:val="555D0254"/>
    <w:rsid w:val="563F3595"/>
    <w:rsid w:val="57103741"/>
    <w:rsid w:val="57255E0E"/>
    <w:rsid w:val="58711BB9"/>
    <w:rsid w:val="5873743F"/>
    <w:rsid w:val="5956325B"/>
    <w:rsid w:val="59637709"/>
    <w:rsid w:val="5A611CEC"/>
    <w:rsid w:val="5AA2455C"/>
    <w:rsid w:val="5AC145D1"/>
    <w:rsid w:val="5C783932"/>
    <w:rsid w:val="5C8623AE"/>
    <w:rsid w:val="5CA540AA"/>
    <w:rsid w:val="5D5D52A2"/>
    <w:rsid w:val="5DB6136F"/>
    <w:rsid w:val="6079724F"/>
    <w:rsid w:val="60DA0BF8"/>
    <w:rsid w:val="61FB246E"/>
    <w:rsid w:val="624256AE"/>
    <w:rsid w:val="63DF2082"/>
    <w:rsid w:val="645D4518"/>
    <w:rsid w:val="65753C9E"/>
    <w:rsid w:val="657669C1"/>
    <w:rsid w:val="66A65D03"/>
    <w:rsid w:val="67D85CB4"/>
    <w:rsid w:val="67FB4F9D"/>
    <w:rsid w:val="687D46F5"/>
    <w:rsid w:val="69EF27A3"/>
    <w:rsid w:val="6A2052F8"/>
    <w:rsid w:val="6B550116"/>
    <w:rsid w:val="6C136BBE"/>
    <w:rsid w:val="6CC83345"/>
    <w:rsid w:val="6CCB0453"/>
    <w:rsid w:val="6D95561C"/>
    <w:rsid w:val="6E201699"/>
    <w:rsid w:val="6FA04DD0"/>
    <w:rsid w:val="70D01CD9"/>
    <w:rsid w:val="73791C31"/>
    <w:rsid w:val="74F645BE"/>
    <w:rsid w:val="76263465"/>
    <w:rsid w:val="762B5346"/>
    <w:rsid w:val="76B22056"/>
    <w:rsid w:val="77507D8D"/>
    <w:rsid w:val="77B05DB7"/>
    <w:rsid w:val="77C7684A"/>
    <w:rsid w:val="78DC7015"/>
    <w:rsid w:val="795B6BA5"/>
    <w:rsid w:val="7A0E253D"/>
    <w:rsid w:val="7A5A6CA6"/>
    <w:rsid w:val="7B2B07C4"/>
    <w:rsid w:val="7C163A3E"/>
    <w:rsid w:val="7C1A5EF5"/>
    <w:rsid w:val="7C496386"/>
    <w:rsid w:val="7CA875CE"/>
    <w:rsid w:val="7CF16935"/>
    <w:rsid w:val="7D363500"/>
    <w:rsid w:val="7DE61623"/>
    <w:rsid w:val="7DF148ED"/>
    <w:rsid w:val="7F43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link w:val="36"/>
    <w:unhideWhenUsed/>
    <w:qFormat/>
    <w:uiPriority w:val="39"/>
    <w:pPr>
      <w:tabs>
        <w:tab w:val="right" w:leader="dot" w:pos="8296"/>
      </w:tabs>
      <w:ind w:left="420" w:left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FollowedHyperlink"/>
    <w:basedOn w:val="16"/>
    <w:semiHidden/>
    <w:unhideWhenUsed/>
    <w:qFormat/>
    <w:uiPriority w:val="99"/>
    <w:rPr>
      <w:color w:val="800080" w:themeColor="followedHyperlink"/>
      <w:u w:val="single"/>
      <w14:textFill>
        <w14:solidFill>
          <w14:schemeClr w14:val="folHlink"/>
        </w14:solidFill>
      </w14:textFill>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列出段落1"/>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styleId="33">
    <w:name w:val="List Paragraph"/>
    <w:basedOn w:val="1"/>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character" w:customStyle="1" w:styleId="36">
    <w:name w:val="目录 2 Char"/>
    <w:link w:val="13"/>
    <w:qFormat/>
    <w:uiPriority w:val="3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29</Pages>
  <Words>4190</Words>
  <Characters>4786</Characters>
  <Lines>59</Lines>
  <Paragraphs>16</Paragraphs>
  <TotalTime>0</TotalTime>
  <ScaleCrop>false</ScaleCrop>
  <LinksUpToDate>false</LinksUpToDate>
  <CharactersWithSpaces>4904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2019-11-08T06:16:00Z</dcterms:created>
  <dc:creator>张彬茜</dc:creator>
  <cp:lastModifiedBy>Nancy</cp:lastModifiedBy>
  <dcterms:modified xsi:type="dcterms:W3CDTF">2024-10-25T09:44:18Z</dcterms:modified>
  <dc:title>四川省***</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36D6DD4BACCC41039DAF4F31F1659F33_13</vt:lpwstr>
  </property>
</Properties>
</file>