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055B9">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78AAC36C">
      <w:pPr>
        <w:spacing w:line="600" w:lineRule="exact"/>
        <w:jc w:val="center"/>
        <w:outlineLvl w:val="9"/>
        <w:rPr>
          <w:rFonts w:ascii="方正小标宋简体" w:hAnsi="宋体" w:eastAsia="方正小标宋简体"/>
          <w:color w:val="auto"/>
          <w:sz w:val="72"/>
          <w:szCs w:val="72"/>
          <w:highlight w:val="none"/>
        </w:rPr>
      </w:pPr>
    </w:p>
    <w:p w14:paraId="3EDB1075">
      <w:pPr>
        <w:spacing w:line="600" w:lineRule="exact"/>
        <w:jc w:val="center"/>
        <w:outlineLvl w:val="9"/>
        <w:rPr>
          <w:rFonts w:ascii="方正小标宋简体" w:hAnsi="宋体" w:eastAsia="方正小标宋简体"/>
          <w:color w:val="auto"/>
          <w:sz w:val="72"/>
          <w:szCs w:val="72"/>
          <w:highlight w:val="none"/>
        </w:rPr>
      </w:pPr>
    </w:p>
    <w:p w14:paraId="6BAAFF08">
      <w:pPr>
        <w:spacing w:line="600" w:lineRule="exact"/>
        <w:jc w:val="center"/>
        <w:outlineLvl w:val="9"/>
        <w:rPr>
          <w:rFonts w:ascii="方正小标宋简体" w:hAnsi="宋体" w:eastAsia="方正小标宋简体"/>
          <w:color w:val="auto"/>
          <w:sz w:val="72"/>
          <w:szCs w:val="72"/>
          <w:highlight w:val="none"/>
        </w:rPr>
      </w:pPr>
    </w:p>
    <w:p w14:paraId="02818F02">
      <w:pPr>
        <w:widowControl/>
        <w:jc w:val="center"/>
        <w:rPr>
          <w:rFonts w:hint="eastAsia" w:ascii="黑体" w:hAnsi="黑体" w:eastAsia="黑体"/>
          <w:color w:val="auto"/>
          <w:sz w:val="96"/>
          <w:szCs w:val="96"/>
          <w:highlight w:val="none"/>
        </w:rPr>
      </w:pPr>
      <w:bookmarkStart w:id="1" w:name="_Toc11959"/>
      <w:bookmarkStart w:id="2" w:name="_Toc15378441"/>
      <w:bookmarkStart w:id="3" w:name="_Toc30986"/>
      <w:bookmarkStart w:id="4" w:name="_Toc15396475"/>
      <w:bookmarkStart w:id="5" w:name="_Toc26098"/>
      <w:bookmarkStart w:id="6" w:name="_Toc15396597"/>
      <w:bookmarkStart w:id="7" w:name="_Toc15377425"/>
      <w:bookmarkStart w:id="8" w:name="_Toc15377193"/>
      <w:bookmarkStart w:id="9" w:name="_Toc13550"/>
      <w:r>
        <w:rPr>
          <w:rFonts w:hint="eastAsia" w:ascii="黑体" w:hAnsi="黑体" w:eastAsia="黑体"/>
          <w:color w:val="auto"/>
          <w:sz w:val="96"/>
          <w:szCs w:val="96"/>
          <w:highlight w:val="none"/>
        </w:rPr>
        <w:t>20</w:t>
      </w:r>
      <w:r>
        <w:rPr>
          <w:rFonts w:hint="eastAsia" w:ascii="黑体" w:hAnsi="黑体" w:eastAsia="黑体"/>
          <w:color w:val="auto"/>
          <w:sz w:val="96"/>
          <w:szCs w:val="96"/>
          <w:highlight w:val="none"/>
          <w:lang w:val="en-US" w:eastAsia="zh-CN"/>
        </w:rPr>
        <w:t>23</w:t>
      </w:r>
      <w:r>
        <w:rPr>
          <w:rFonts w:hint="eastAsia" w:ascii="黑体" w:hAnsi="黑体" w:eastAsia="黑体"/>
          <w:color w:val="auto"/>
          <w:sz w:val="96"/>
          <w:szCs w:val="96"/>
          <w:highlight w:val="none"/>
        </w:rPr>
        <w:t>年度</w:t>
      </w:r>
      <w:bookmarkEnd w:id="1"/>
      <w:bookmarkEnd w:id="2"/>
      <w:bookmarkEnd w:id="3"/>
      <w:bookmarkEnd w:id="4"/>
      <w:bookmarkEnd w:id="5"/>
      <w:bookmarkEnd w:id="6"/>
      <w:bookmarkEnd w:id="7"/>
      <w:bookmarkEnd w:id="8"/>
      <w:bookmarkEnd w:id="9"/>
    </w:p>
    <w:bookmarkEnd w:id="0"/>
    <w:p w14:paraId="680BFFD9">
      <w:pPr>
        <w:widowControl/>
        <w:jc w:val="center"/>
        <w:rPr>
          <w:rFonts w:hint="eastAsia" w:ascii="黑体" w:hAnsi="黑体" w:eastAsia="黑体"/>
          <w:color w:val="auto"/>
          <w:sz w:val="96"/>
          <w:szCs w:val="96"/>
          <w:highlight w:val="none"/>
          <w:lang w:val="en-US" w:eastAsia="zh-CN"/>
        </w:rPr>
      </w:pPr>
      <w:bookmarkStart w:id="10" w:name="_Toc2381"/>
      <w:bookmarkStart w:id="11" w:name="_Toc4274"/>
      <w:bookmarkStart w:id="12" w:name="_Toc11800"/>
      <w:bookmarkStart w:id="13" w:name="_Toc30445"/>
      <w:bookmarkStart w:id="14" w:name="_Toc15377194"/>
      <w:bookmarkStart w:id="15" w:name="_Toc15396476"/>
      <w:bookmarkStart w:id="16" w:name="_Toc15378442"/>
      <w:bookmarkStart w:id="17" w:name="_Toc15306268"/>
      <w:bookmarkStart w:id="18" w:name="_Toc15377426"/>
      <w:bookmarkStart w:id="19" w:name="_Toc15396598"/>
      <w:r>
        <w:rPr>
          <w:rFonts w:hint="eastAsia" w:ascii="黑体" w:hAnsi="黑体" w:eastAsia="黑体"/>
          <w:color w:val="auto"/>
          <w:sz w:val="96"/>
          <w:szCs w:val="96"/>
          <w:highlight w:val="none"/>
          <w:lang w:val="en-US" w:eastAsia="zh-CN"/>
        </w:rPr>
        <w:t>大竹县第五小学</w:t>
      </w:r>
      <w:bookmarkEnd w:id="10"/>
      <w:bookmarkEnd w:id="11"/>
      <w:bookmarkEnd w:id="12"/>
      <w:bookmarkEnd w:id="13"/>
    </w:p>
    <w:p w14:paraId="6229FF33">
      <w:pPr>
        <w:widowControl/>
        <w:jc w:val="center"/>
        <w:rPr>
          <w:rFonts w:hint="eastAsia" w:ascii="黑体" w:hAnsi="黑体" w:eastAsia="黑体"/>
          <w:color w:val="auto"/>
          <w:sz w:val="96"/>
          <w:szCs w:val="96"/>
          <w:highlight w:val="none"/>
        </w:rPr>
      </w:pPr>
      <w:bookmarkStart w:id="20" w:name="_Toc9725"/>
      <w:bookmarkStart w:id="21" w:name="_Toc252"/>
      <w:bookmarkStart w:id="22" w:name="_Toc10496"/>
      <w:bookmarkStart w:id="23" w:name="_Toc18845"/>
      <w:r>
        <w:rPr>
          <w:rFonts w:hint="eastAsia" w:ascii="黑体" w:hAnsi="黑体" w:eastAsia="黑体"/>
          <w:color w:val="auto"/>
          <w:sz w:val="96"/>
          <w:szCs w:val="96"/>
          <w:highlight w:val="none"/>
          <w:lang w:eastAsia="zh-CN"/>
        </w:rPr>
        <w:t>单位</w:t>
      </w:r>
      <w:r>
        <w:rPr>
          <w:rFonts w:hint="eastAsia" w:ascii="黑体" w:hAnsi="黑体" w:eastAsia="黑体"/>
          <w:color w:val="auto"/>
          <w:sz w:val="96"/>
          <w:szCs w:val="96"/>
          <w:highlight w:val="none"/>
        </w:rPr>
        <w:t>决算</w:t>
      </w:r>
      <w:bookmarkEnd w:id="14"/>
      <w:bookmarkEnd w:id="15"/>
      <w:bookmarkEnd w:id="16"/>
      <w:bookmarkEnd w:id="17"/>
      <w:bookmarkEnd w:id="18"/>
      <w:bookmarkEnd w:id="19"/>
      <w:bookmarkEnd w:id="20"/>
      <w:bookmarkEnd w:id="21"/>
      <w:bookmarkEnd w:id="22"/>
      <w:bookmarkEnd w:id="23"/>
    </w:p>
    <w:p w14:paraId="427583A5">
      <w:pPr>
        <w:pStyle w:val="5"/>
        <w:rPr>
          <w:color w:val="auto"/>
        </w:rPr>
      </w:pPr>
    </w:p>
    <w:p w14:paraId="401CACAD">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38048C5D">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1CC64693">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2430698">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133F884A">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AD72C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7032B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FB9720">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2022年度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E08A3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30E1B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B073E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872BB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A2A67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8623C1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86D3D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AAE23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A6C8E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0AAE1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74CB2E">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910319">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FED848">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14:paraId="322F41A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_Toc21540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B5BED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_Toc14740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DF646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266C7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_Toc4249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C6511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01397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3BD3E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_Toc6268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B57E3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_Toc29111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FA8E1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_Toc25077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F87C7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C98B0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7CA20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3A2C1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_Toc26267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187310">
          <w:r>
            <w:rPr>
              <w:rFonts w:hint="eastAsia" w:ascii="仿宋_GB2312" w:hAnsi="仿宋_GB2312" w:eastAsia="仿宋_GB2312" w:cs="仿宋_GB2312"/>
              <w:szCs w:val="28"/>
            </w:rPr>
            <w:fldChar w:fldCharType="end"/>
          </w:r>
        </w:p>
      </w:sdtContent>
    </w:sdt>
    <w:p w14:paraId="76973940">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5423C9EC">
      <w:pPr>
        <w:pStyle w:val="2"/>
        <w:jc w:val="center"/>
        <w:rPr>
          <w:rStyle w:val="24"/>
          <w:rFonts w:ascii="黑体" w:hAnsi="黑体" w:eastAsia="黑体"/>
          <w:b/>
          <w:bCs w:val="0"/>
          <w:color w:val="auto"/>
          <w:highlight w:val="none"/>
        </w:rPr>
      </w:pPr>
      <w:bookmarkStart w:id="24"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4"/>
    </w:p>
    <w:p w14:paraId="26942BDD">
      <w:pPr>
        <w:widowControl/>
        <w:jc w:val="left"/>
        <w:rPr>
          <w:rFonts w:ascii="黑体" w:eastAsia="黑体"/>
          <w:color w:val="auto"/>
          <w:sz w:val="32"/>
          <w:szCs w:val="32"/>
          <w:highlight w:val="none"/>
        </w:rPr>
      </w:pPr>
    </w:p>
    <w:p w14:paraId="01694A33">
      <w:pPr>
        <w:pStyle w:val="3"/>
        <w:numPr>
          <w:ilvl w:val="0"/>
          <w:numId w:val="1"/>
        </w:numPr>
        <w:rPr>
          <w:rStyle w:val="25"/>
          <w:rFonts w:hint="eastAsia" w:ascii="黑体" w:hAnsi="黑体" w:eastAsia="黑体"/>
          <w:b w:val="0"/>
          <w:bCs w:val="0"/>
          <w:color w:val="auto"/>
          <w:highlight w:val="none"/>
          <w:lang w:eastAsia="zh-CN"/>
        </w:rPr>
      </w:pPr>
      <w:bookmarkStart w:id="25" w:name="_Toc28917"/>
      <w:bookmarkStart w:id="26" w:name="_Toc15377197"/>
      <w:bookmarkStart w:id="27"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25"/>
    </w:p>
    <w:p w14:paraId="389196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第五</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7DF943B0">
      <w:pPr>
        <w:pStyle w:val="3"/>
        <w:numPr>
          <w:ilvl w:val="0"/>
          <w:numId w:val="0"/>
        </w:numPr>
        <w:ind w:leftChars="0"/>
        <w:rPr>
          <w:rFonts w:hint="eastAsia" w:ascii="黑体" w:hAnsi="黑体" w:eastAsia="黑体"/>
          <w:b w:val="0"/>
          <w:color w:val="auto"/>
          <w:highlight w:val="none"/>
          <w:lang w:val="en-US" w:eastAsia="zh-CN"/>
        </w:rPr>
      </w:pPr>
      <w:bookmarkStart w:id="28" w:name="_Toc25859"/>
      <w:r>
        <w:rPr>
          <w:rFonts w:hint="eastAsia" w:ascii="黑体" w:hAnsi="黑体" w:eastAsia="黑体"/>
          <w:b w:val="0"/>
          <w:color w:val="auto"/>
          <w:highlight w:val="none"/>
          <w:lang w:val="en-US" w:eastAsia="zh-CN"/>
        </w:rPr>
        <w:t>二、</w:t>
      </w:r>
      <w:bookmarkEnd w:id="26"/>
      <w:bookmarkEnd w:id="27"/>
      <w:r>
        <w:rPr>
          <w:rFonts w:hint="eastAsia" w:ascii="黑体" w:hAnsi="黑体" w:eastAsia="黑体"/>
          <w:b w:val="0"/>
          <w:color w:val="auto"/>
          <w:highlight w:val="none"/>
          <w:lang w:val="en-US" w:eastAsia="zh-CN"/>
        </w:rPr>
        <w:t>机构设置</w:t>
      </w:r>
      <w:bookmarkEnd w:id="28"/>
    </w:p>
    <w:p w14:paraId="69A81836">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第五</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7C96A551">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第五</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14:paraId="6A1A09DA">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52D12029">
      <w:pPr>
        <w:ind w:firstLine="420" w:firstLineChars="200"/>
        <w:rPr>
          <w:rFonts w:hint="eastAsia"/>
          <w:color w:val="auto"/>
        </w:rPr>
      </w:pPr>
    </w:p>
    <w:p w14:paraId="42C71108">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50D9177F">
      <w:pPr>
        <w:pStyle w:val="2"/>
        <w:ind w:right="440"/>
        <w:jc w:val="center"/>
        <w:rPr>
          <w:rStyle w:val="24"/>
          <w:rFonts w:ascii="黑体" w:hAnsi="黑体" w:eastAsia="黑体"/>
          <w:b w:val="0"/>
          <w:bCs/>
          <w:color w:val="auto"/>
          <w:highlight w:val="none"/>
        </w:rPr>
      </w:pPr>
      <w:bookmarkStart w:id="29" w:name="_Toc31162"/>
      <w:bookmarkStart w:id="30" w:name="_Toc15396602"/>
      <w:bookmarkStart w:id="3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9"/>
      <w:bookmarkEnd w:id="30"/>
      <w:bookmarkEnd w:id="31"/>
    </w:p>
    <w:p w14:paraId="60E48AAB">
      <w:pPr>
        <w:rPr>
          <w:color w:val="auto"/>
          <w:highlight w:val="none"/>
        </w:rPr>
      </w:pPr>
    </w:p>
    <w:p w14:paraId="6F86F7AF">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3488"/>
      <w:bookmarkStart w:id="33" w:name="_Toc15377205"/>
      <w:bookmarkStart w:id="34"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2"/>
      <w:bookmarkEnd w:id="33"/>
      <w:bookmarkEnd w:id="34"/>
    </w:p>
    <w:p w14:paraId="19971EDB">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943.21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减少218.32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减少18.8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项目建设支出减少而导致收入支出减少 。</w:t>
      </w:r>
    </w:p>
    <w:p w14:paraId="5660E88B">
      <w:pPr>
        <w:pStyle w:val="5"/>
        <w:rPr>
          <w:rFonts w:hint="eastAsia" w:ascii="仿宋" w:hAnsi="仿宋" w:eastAsia="仿宋"/>
          <w:color w:val="auto"/>
          <w:sz w:val="32"/>
          <w:szCs w:val="32"/>
          <w:highlight w:val="none"/>
          <w:lang w:val="en-US" w:eastAsia="zh-CN"/>
        </w:rPr>
      </w:pPr>
    </w:p>
    <w:p w14:paraId="51148BFD">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43DE90">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761FBC3F">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5396604"/>
      <w:bookmarkStart w:id="36" w:name="_Toc11707"/>
      <w:bookmarkStart w:id="37"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5"/>
      <w:bookmarkEnd w:id="36"/>
      <w:bookmarkEnd w:id="37"/>
    </w:p>
    <w:p w14:paraId="595AFA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bookmarkStart w:id="38" w:name="_Toc1077"/>
      <w:bookmarkStart w:id="39" w:name="_Toc8417"/>
      <w:bookmarkStart w:id="40" w:name="_Toc2765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938.23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938.23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345140D1">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53FB97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043E0F">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01D292AF">
      <w:pPr>
        <w:pStyle w:val="23"/>
        <w:numPr>
          <w:ilvl w:val="0"/>
          <w:numId w:val="2"/>
        </w:numPr>
        <w:spacing w:line="600" w:lineRule="exact"/>
        <w:ind w:firstLineChars="0"/>
        <w:outlineLvl w:val="1"/>
        <w:rPr>
          <w:rStyle w:val="25"/>
          <w:rFonts w:ascii="黑体" w:hAnsi="黑体" w:eastAsia="黑体"/>
          <w:b w:val="0"/>
          <w:color w:val="auto"/>
          <w:highlight w:val="none"/>
        </w:rPr>
      </w:pPr>
      <w:bookmarkStart w:id="41" w:name="_Toc15377207"/>
      <w:bookmarkStart w:id="42" w:name="_Toc15834"/>
      <w:bookmarkStart w:id="4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1"/>
      <w:bookmarkEnd w:id="42"/>
      <w:bookmarkEnd w:id="43"/>
    </w:p>
    <w:p w14:paraId="6C462B9D">
      <w:pPr>
        <w:spacing w:line="600" w:lineRule="exact"/>
        <w:ind w:firstLine="640" w:firstLineChars="200"/>
        <w:outlineLvl w:val="1"/>
        <w:rPr>
          <w:rFonts w:hint="eastAsia" w:eastAsia="仿宋"/>
          <w:lang w:eastAsia="zh-CN"/>
        </w:rPr>
      </w:pPr>
      <w:bookmarkStart w:id="44" w:name="_Toc10252"/>
      <w:bookmarkStart w:id="45" w:name="_Toc7571"/>
      <w:bookmarkStart w:id="46" w:name="_Toc3004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943.21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812.69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86.16</w:t>
      </w:r>
      <w:r>
        <w:rPr>
          <w:rFonts w:ascii="仿宋" w:hAnsi="仿宋" w:eastAsia="仿宋"/>
          <w:color w:val="auto"/>
          <w:sz w:val="32"/>
          <w:szCs w:val="32"/>
          <w:highlight w:val="none"/>
        </w:rPr>
        <w:t>%</w:t>
      </w:r>
      <w:bookmarkEnd w:id="44"/>
      <w:bookmarkEnd w:id="45"/>
      <w:bookmarkEnd w:id="46"/>
      <w:r>
        <w:rPr>
          <w:rFonts w:hint="eastAsia" w:ascii="仿宋" w:hAnsi="仿宋" w:eastAsia="仿宋"/>
          <w:color w:val="auto"/>
          <w:sz w:val="32"/>
          <w:szCs w:val="32"/>
          <w:highlight w:val="none"/>
          <w:lang w:eastAsia="zh-CN"/>
        </w:rPr>
        <w:t>；项目支出</w:t>
      </w:r>
      <w:r>
        <w:rPr>
          <w:rFonts w:hint="eastAsia" w:ascii="仿宋" w:hAnsi="仿宋" w:eastAsia="仿宋"/>
          <w:color w:val="auto"/>
          <w:sz w:val="32"/>
          <w:szCs w:val="32"/>
          <w:highlight w:val="none"/>
          <w:lang w:val="en-US" w:eastAsia="zh-CN"/>
        </w:rPr>
        <w:t>130.52</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13.83</w:t>
      </w:r>
      <w:r>
        <w:rPr>
          <w:rFonts w:hint="eastAsia" w:ascii="仿宋" w:hAnsi="仿宋" w:eastAsia="仿宋"/>
          <w:color w:val="auto"/>
          <w:sz w:val="32"/>
          <w:szCs w:val="32"/>
          <w:highlight w:val="none"/>
          <w:lang w:eastAsia="zh-CN"/>
        </w:rPr>
        <w:t>%。</w:t>
      </w:r>
    </w:p>
    <w:p w14:paraId="460B229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143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F77B9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4D2DDE1E">
      <w:pPr>
        <w:spacing w:line="600" w:lineRule="exact"/>
        <w:ind w:firstLine="640" w:firstLineChars="200"/>
        <w:outlineLvl w:val="1"/>
        <w:rPr>
          <w:rStyle w:val="25"/>
          <w:rFonts w:ascii="黑体" w:hAnsi="黑体" w:eastAsia="黑体"/>
          <w:b w:val="0"/>
          <w:color w:val="auto"/>
          <w:highlight w:val="none"/>
        </w:rPr>
      </w:pPr>
      <w:bookmarkStart w:id="47" w:name="_Toc15396606"/>
      <w:bookmarkStart w:id="48" w:name="_Toc3674"/>
      <w:bookmarkStart w:id="49"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7"/>
      <w:bookmarkEnd w:id="48"/>
      <w:bookmarkEnd w:id="49"/>
    </w:p>
    <w:p w14:paraId="764437F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943.21</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减少218.32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减少18.8</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w:t>
      </w:r>
      <w:r>
        <w:rPr>
          <w:rFonts w:hint="eastAsia" w:ascii="仿宋" w:hAnsi="仿宋" w:eastAsia="仿宋"/>
          <w:color w:val="auto"/>
          <w:sz w:val="32"/>
          <w:szCs w:val="32"/>
          <w:highlight w:val="none"/>
        </w:rPr>
        <w:t>经费</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而导致支出</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p>
    <w:p w14:paraId="7637A040">
      <w:pPr>
        <w:pStyle w:val="5"/>
        <w:rPr>
          <w:rFonts w:hint="eastAsia"/>
          <w:lang w:val="en-US" w:eastAsia="zh-CN"/>
        </w:rPr>
      </w:pPr>
    </w:p>
    <w:p w14:paraId="48592C22">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324FD8">
      <w:pPr>
        <w:pStyle w:val="5"/>
        <w:jc w:val="center"/>
        <w:rPr>
          <w:color w:val="auto"/>
        </w:rPr>
      </w:pPr>
      <w:r>
        <w:rPr>
          <w:rFonts w:hint="eastAsia"/>
          <w:color w:val="auto"/>
        </w:rPr>
        <w:t>（图4：财政拨款收、支决算总计变动情况）</w:t>
      </w:r>
    </w:p>
    <w:p w14:paraId="3F4292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5"/>
          <w:rFonts w:ascii="黑体" w:hAnsi="黑体" w:eastAsia="黑体"/>
          <w:b w:val="0"/>
          <w:color w:val="auto"/>
          <w:highlight w:val="none"/>
        </w:rPr>
      </w:pPr>
      <w:bookmarkStart w:id="50" w:name="_Toc32249"/>
      <w:bookmarkStart w:id="51" w:name="_Toc15377209"/>
      <w:bookmarkStart w:id="5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50"/>
      <w:bookmarkEnd w:id="51"/>
      <w:bookmarkEnd w:id="52"/>
    </w:p>
    <w:p w14:paraId="42385FD5">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55E910AB">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943.21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val="en-US" w:eastAsia="zh-CN"/>
        </w:rPr>
        <w:t>减少218.32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减少18.8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项目经费减少而导致支出减少 。</w:t>
      </w:r>
    </w:p>
    <w:p w14:paraId="65A069E3">
      <w:pPr>
        <w:spacing w:line="600" w:lineRule="exact"/>
        <w:ind w:firstLine="640" w:firstLineChars="200"/>
        <w:rPr>
          <w:rFonts w:ascii="仿宋" w:hAnsi="仿宋" w:eastAsia="仿宋"/>
          <w:color w:val="auto"/>
          <w:sz w:val="32"/>
          <w:szCs w:val="32"/>
          <w:highlight w:val="none"/>
        </w:rPr>
      </w:pPr>
    </w:p>
    <w:p w14:paraId="4BB667F7">
      <w:pPr>
        <w:pStyle w:val="5"/>
        <w:rPr>
          <w:rFonts w:ascii="仿宋" w:hAnsi="仿宋" w:eastAsia="仿宋"/>
          <w:color w:val="auto"/>
          <w:sz w:val="32"/>
          <w:szCs w:val="32"/>
          <w:highlight w:val="none"/>
        </w:rPr>
      </w:pPr>
    </w:p>
    <w:p w14:paraId="7F23BC23">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23310" cy="2734945"/>
            <wp:effectExtent l="4445" t="4445" r="107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039254">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7E91913E">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3AAE322E">
      <w:pPr>
        <w:spacing w:line="600" w:lineRule="exact"/>
        <w:ind w:firstLine="640"/>
        <w:rPr>
          <w:rFonts w:hint="eastAsia" w:ascii="仿宋" w:hAnsi="仿宋" w:eastAsia="仿宋"/>
          <w:b w:val="0"/>
          <w:bCs/>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943.21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772.18</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81.87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122.75</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13.01</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32.24</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3.42</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16.04</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7817FFA9">
      <w:pPr>
        <w:spacing w:line="600" w:lineRule="exact"/>
        <w:ind w:firstLine="640"/>
        <w:rPr>
          <w:rFonts w:hint="eastAsia" w:ascii="仿宋" w:hAnsi="仿宋" w:eastAsia="仿宋"/>
          <w:b w:val="0"/>
          <w:bCs/>
          <w:color w:val="auto"/>
          <w:sz w:val="32"/>
          <w:szCs w:val="32"/>
          <w:highlight w:val="none"/>
        </w:rPr>
      </w:pPr>
      <w:r>
        <w:drawing>
          <wp:anchor distT="0" distB="0" distL="114300" distR="114300" simplePos="0" relativeHeight="251659264" behindDoc="0" locked="0" layoutInCell="1" allowOverlap="1">
            <wp:simplePos x="0" y="0"/>
            <wp:positionH relativeFrom="column">
              <wp:posOffset>480695</wp:posOffset>
            </wp:positionH>
            <wp:positionV relativeFrom="paragraph">
              <wp:posOffset>262890</wp:posOffset>
            </wp:positionV>
            <wp:extent cx="4827270" cy="2743200"/>
            <wp:effectExtent l="4445" t="4445" r="6985" b="1460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96861AB">
      <w:pPr>
        <w:spacing w:line="600" w:lineRule="exact"/>
        <w:ind w:firstLine="640"/>
        <w:rPr>
          <w:rFonts w:hint="eastAsia" w:ascii="仿宋" w:hAnsi="仿宋" w:eastAsia="仿宋"/>
          <w:b w:val="0"/>
          <w:bCs/>
          <w:color w:val="auto"/>
          <w:sz w:val="32"/>
          <w:szCs w:val="32"/>
          <w:highlight w:val="none"/>
        </w:rPr>
      </w:pPr>
    </w:p>
    <w:p w14:paraId="02A22291">
      <w:pPr>
        <w:spacing w:line="600" w:lineRule="exact"/>
        <w:ind w:firstLine="640"/>
        <w:rPr>
          <w:rFonts w:hint="eastAsia" w:ascii="仿宋" w:hAnsi="仿宋" w:eastAsia="仿宋"/>
          <w:b w:val="0"/>
          <w:bCs/>
          <w:color w:val="auto"/>
          <w:sz w:val="32"/>
          <w:szCs w:val="32"/>
          <w:highlight w:val="none"/>
        </w:rPr>
      </w:pPr>
    </w:p>
    <w:p w14:paraId="1CCAB13B">
      <w:pPr>
        <w:spacing w:line="600" w:lineRule="exact"/>
        <w:ind w:firstLine="640"/>
        <w:rPr>
          <w:rFonts w:hint="eastAsia" w:ascii="仿宋" w:hAnsi="仿宋" w:eastAsia="仿宋"/>
          <w:b w:val="0"/>
          <w:bCs/>
          <w:color w:val="auto"/>
          <w:sz w:val="32"/>
          <w:szCs w:val="32"/>
          <w:highlight w:val="none"/>
          <w:lang w:eastAsia="zh-CN"/>
        </w:rPr>
      </w:pPr>
    </w:p>
    <w:p w14:paraId="5B1D1DCA">
      <w:pPr>
        <w:spacing w:line="600" w:lineRule="exact"/>
        <w:ind w:firstLine="640"/>
        <w:rPr>
          <w:rFonts w:hint="eastAsia" w:ascii="仿宋" w:hAnsi="仿宋" w:eastAsia="仿宋"/>
          <w:b w:val="0"/>
          <w:bCs/>
          <w:color w:val="auto"/>
          <w:sz w:val="32"/>
          <w:szCs w:val="32"/>
          <w:highlight w:val="none"/>
          <w:lang w:eastAsia="zh-CN"/>
        </w:rPr>
      </w:pPr>
    </w:p>
    <w:p w14:paraId="65608AEA">
      <w:pPr>
        <w:spacing w:line="600" w:lineRule="exact"/>
        <w:ind w:firstLine="640"/>
        <w:rPr>
          <w:rFonts w:hint="eastAsia" w:ascii="仿宋" w:hAnsi="仿宋" w:eastAsia="仿宋"/>
          <w:b w:val="0"/>
          <w:bCs/>
          <w:color w:val="auto"/>
          <w:sz w:val="32"/>
          <w:szCs w:val="32"/>
          <w:highlight w:val="none"/>
          <w:lang w:eastAsia="zh-CN"/>
        </w:rPr>
      </w:pPr>
    </w:p>
    <w:p w14:paraId="732A626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olor w:val="auto"/>
          <w:sz w:val="32"/>
          <w:szCs w:val="32"/>
          <w:highlight w:val="none"/>
          <w:lang w:eastAsia="zh-CN"/>
        </w:rPr>
      </w:pPr>
    </w:p>
    <w:p w14:paraId="0C8AF8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olor w:val="auto"/>
          <w:sz w:val="32"/>
          <w:szCs w:val="32"/>
          <w:highlight w:val="none"/>
          <w:lang w:eastAsia="zh-CN"/>
        </w:rPr>
      </w:pPr>
    </w:p>
    <w:p w14:paraId="637AE52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14:paraId="0450257F">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5FE8BF06">
      <w:pPr>
        <w:spacing w:line="600" w:lineRule="exact"/>
        <w:ind w:firstLine="640" w:firstLineChars="200"/>
        <w:rPr>
          <w:rStyle w:val="14"/>
          <w:rFonts w:hint="eastAsia" w:ascii="仿宋" w:hAnsi="仿宋" w:eastAsia="仿宋"/>
          <w:b w:val="0"/>
          <w:bCs/>
          <w:color w:val="auto"/>
          <w:sz w:val="32"/>
          <w:szCs w:val="32"/>
        </w:rPr>
      </w:pPr>
      <w:bookmarkStart w:id="56" w:name="_Toc15378460"/>
      <w:bookmarkStart w:id="57" w:name="_Toc15377444"/>
      <w:bookmarkStart w:id="58" w:name="_Toc15377213"/>
      <w:r>
        <w:rPr>
          <w:rStyle w:val="14"/>
          <w:rFonts w:hint="eastAsia" w:ascii="仿宋" w:hAnsi="仿宋" w:eastAsia="仿宋"/>
          <w:b w:val="0"/>
          <w:bCs/>
          <w:color w:val="auto"/>
          <w:sz w:val="32"/>
          <w:szCs w:val="32"/>
        </w:rPr>
        <w:t>20</w:t>
      </w:r>
      <w:r>
        <w:rPr>
          <w:rStyle w:val="14"/>
          <w:rFonts w:hint="eastAsia" w:ascii="仿宋" w:hAnsi="仿宋" w:eastAsia="仿宋"/>
          <w:b w:val="0"/>
          <w:bCs/>
          <w:color w:val="auto"/>
          <w:sz w:val="32"/>
          <w:szCs w:val="32"/>
          <w:lang w:val="en-US" w:eastAsia="zh-CN"/>
        </w:rPr>
        <w:t>23</w:t>
      </w:r>
      <w:r>
        <w:rPr>
          <w:rStyle w:val="14"/>
          <w:rFonts w:hint="eastAsia" w:ascii="仿宋" w:hAnsi="仿宋" w:eastAsia="仿宋"/>
          <w:b w:val="0"/>
          <w:bCs/>
          <w:color w:val="auto"/>
          <w:sz w:val="32"/>
          <w:szCs w:val="32"/>
        </w:rPr>
        <w:t>年</w:t>
      </w:r>
      <w:r>
        <w:rPr>
          <w:rStyle w:val="14"/>
          <w:rFonts w:hint="eastAsia" w:ascii="仿宋" w:hAnsi="仿宋" w:eastAsia="仿宋"/>
          <w:b w:val="0"/>
          <w:bCs/>
          <w:color w:val="auto"/>
          <w:sz w:val="32"/>
          <w:szCs w:val="32"/>
          <w:lang w:eastAsia="zh-CN"/>
        </w:rPr>
        <w:t>一</w:t>
      </w:r>
      <w:r>
        <w:rPr>
          <w:rStyle w:val="14"/>
          <w:rFonts w:hint="eastAsia" w:ascii="仿宋" w:hAnsi="仿宋" w:eastAsia="仿宋"/>
          <w:b w:val="0"/>
          <w:bCs/>
          <w:color w:val="auto"/>
          <w:sz w:val="32"/>
          <w:szCs w:val="32"/>
        </w:rPr>
        <w:t>般公共预算支出决算数为</w:t>
      </w:r>
      <w:r>
        <w:rPr>
          <w:rStyle w:val="14"/>
          <w:rFonts w:hint="eastAsia" w:ascii="仿宋" w:hAnsi="仿宋" w:eastAsia="仿宋"/>
          <w:b w:val="0"/>
          <w:bCs/>
          <w:color w:val="auto"/>
          <w:sz w:val="32"/>
          <w:szCs w:val="32"/>
          <w:lang w:val="en-US" w:eastAsia="zh-CN"/>
        </w:rPr>
        <w:t>943.21万元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hint="eastAsia" w:ascii="仿宋" w:hAnsi="仿宋" w:eastAsia="仿宋"/>
          <w:b w:val="0"/>
          <w:bCs/>
          <w:color w:val="auto"/>
          <w:sz w:val="32"/>
          <w:szCs w:val="32"/>
        </w:rPr>
        <w:t>%。其中：</w:t>
      </w:r>
      <w:bookmarkEnd w:id="56"/>
      <w:bookmarkEnd w:id="57"/>
      <w:bookmarkEnd w:id="58"/>
    </w:p>
    <w:p w14:paraId="2567537D">
      <w:pPr>
        <w:spacing w:line="600" w:lineRule="exact"/>
        <w:ind w:firstLine="640" w:firstLineChars="200"/>
        <w:rPr>
          <w:rStyle w:val="14"/>
          <w:rFonts w:hint="eastAsia" w:ascii="仿宋" w:hAnsi="仿宋" w:eastAsia="仿宋"/>
          <w:b w:val="0"/>
          <w:bCs w:val="0"/>
          <w:color w:val="auto"/>
          <w:sz w:val="32"/>
          <w:szCs w:val="32"/>
        </w:rPr>
      </w:pP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712.18</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12C2E81">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其他普通教育</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60</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01756A9">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3</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Style w:val="14"/>
          <w:rFonts w:hint="eastAsia" w:ascii="仿宋" w:hAnsi="仿宋" w:eastAsia="仿宋"/>
          <w:b w:val="0"/>
          <w:bCs w:val="0"/>
          <w:color w:val="auto"/>
          <w:sz w:val="32"/>
          <w:szCs w:val="32"/>
          <w:lang w:val="en-US" w:eastAsia="zh-CN"/>
        </w:rPr>
        <w:t>25.87</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675697C4">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4.</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其他</w:t>
      </w:r>
      <w:r>
        <w:rPr>
          <w:rStyle w:val="14"/>
          <w:rFonts w:hint="eastAsia" w:ascii="仿宋" w:hAnsi="仿宋" w:eastAsia="仿宋"/>
          <w:b w:val="0"/>
          <w:bCs w:val="0"/>
          <w:color w:val="auto"/>
          <w:sz w:val="32"/>
          <w:szCs w:val="32"/>
        </w:rPr>
        <w:t>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85.84万元，完成预算100%。</w:t>
      </w:r>
    </w:p>
    <w:p w14:paraId="4FCC0C81">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5.</w:t>
      </w:r>
      <w:r>
        <w:rPr>
          <w:rStyle w:val="14"/>
          <w:rFonts w:hint="eastAsia" w:ascii="仿宋" w:hAnsi="仿宋" w:eastAsia="仿宋"/>
          <w:b w:val="0"/>
          <w:bCs w:val="0"/>
          <w:color w:val="auto"/>
          <w:sz w:val="32"/>
          <w:szCs w:val="32"/>
        </w:rPr>
        <w:t>社会保障和就业（208）</w:t>
      </w:r>
      <w:r>
        <w:rPr>
          <w:rStyle w:val="14"/>
          <w:rFonts w:hint="eastAsia" w:ascii="仿宋" w:hAnsi="仿宋" w:eastAsia="仿宋"/>
          <w:b w:val="0"/>
          <w:bCs w:val="0"/>
          <w:color w:val="auto"/>
          <w:sz w:val="32"/>
          <w:szCs w:val="32"/>
          <w:lang w:eastAsia="zh-CN"/>
        </w:rPr>
        <w:t>抚恤（</w:t>
      </w:r>
      <w:r>
        <w:rPr>
          <w:rStyle w:val="14"/>
          <w:rFonts w:hint="eastAsia" w:ascii="仿宋" w:hAnsi="仿宋" w:eastAsia="仿宋"/>
          <w:b w:val="0"/>
          <w:bCs w:val="0"/>
          <w:color w:val="auto"/>
          <w:sz w:val="32"/>
          <w:szCs w:val="32"/>
          <w:lang w:val="en-US" w:eastAsia="zh-CN"/>
        </w:rPr>
        <w:t>08）死亡抚恤（01）</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11.34万元，完成预算100%。</w:t>
      </w:r>
    </w:p>
    <w:p w14:paraId="748FA2D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6</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32.24</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23FB0A4B">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7</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16.04</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68FD8A05">
      <w:pPr>
        <w:tabs>
          <w:tab w:val="right" w:pos="8306"/>
        </w:tabs>
        <w:spacing w:line="600" w:lineRule="exact"/>
        <w:ind w:firstLine="640"/>
        <w:outlineLvl w:val="1"/>
        <w:rPr>
          <w:rStyle w:val="25"/>
          <w:color w:val="auto"/>
          <w:highlight w:val="none"/>
        </w:rPr>
      </w:pPr>
      <w:bookmarkStart w:id="59" w:name="_Toc21484"/>
      <w:bookmarkStart w:id="60" w:name="_Toc15396608"/>
      <w:bookmarkStart w:id="6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9"/>
      <w:bookmarkEnd w:id="60"/>
      <w:bookmarkEnd w:id="61"/>
      <w:r>
        <w:rPr>
          <w:rStyle w:val="25"/>
          <w:rFonts w:ascii="黑体" w:hAnsi="黑体" w:eastAsia="黑体"/>
          <w:b w:val="0"/>
          <w:color w:val="auto"/>
          <w:highlight w:val="none"/>
        </w:rPr>
        <w:tab/>
      </w:r>
    </w:p>
    <w:p w14:paraId="0B9291FB">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812.69</w:t>
      </w:r>
      <w:r>
        <w:rPr>
          <w:rFonts w:hint="eastAsia" w:ascii="仿宋" w:hAnsi="仿宋" w:eastAsia="仿宋"/>
          <w:color w:val="auto"/>
          <w:sz w:val="32"/>
          <w:szCs w:val="32"/>
          <w:highlight w:val="none"/>
        </w:rPr>
        <w:t>万元，其中：</w:t>
      </w:r>
    </w:p>
    <w:p w14:paraId="6452D718">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696.56</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301.57万元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4.74万元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82.68万元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25.87万元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职工基本医疗保险缴费32.24万元、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134.03万元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11.34万元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87.95万元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0.09万元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16.04万元</w:t>
      </w:r>
      <w:r>
        <w:rPr>
          <w:rFonts w:hint="eastAsia" w:ascii="仿宋" w:hAnsi="仿宋" w:eastAsia="仿宋"/>
          <w:color w:val="auto"/>
          <w:sz w:val="32"/>
          <w:szCs w:val="32"/>
          <w:highlight w:val="none"/>
        </w:rPr>
        <w:t>。</w:t>
      </w:r>
    </w:p>
    <w:p w14:paraId="73C440A1">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116.13</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83.5万元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0.3万元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0.54万元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0.75万元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0.08万元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10.38万元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20.53万元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公务接待费0.06万元</w:t>
      </w:r>
      <w:r>
        <w:rPr>
          <w:rFonts w:hint="eastAsia" w:ascii="仿宋" w:hAnsi="仿宋" w:eastAsia="仿宋"/>
          <w:color w:val="auto"/>
          <w:sz w:val="32"/>
          <w:szCs w:val="32"/>
          <w:highlight w:val="none"/>
        </w:rPr>
        <w:t>。</w:t>
      </w:r>
    </w:p>
    <w:p w14:paraId="17070819">
      <w:pPr>
        <w:spacing w:line="600" w:lineRule="exact"/>
        <w:ind w:firstLine="640"/>
        <w:outlineLvl w:val="1"/>
        <w:rPr>
          <w:rStyle w:val="25"/>
          <w:rFonts w:ascii="黑体" w:hAnsi="黑体" w:eastAsia="黑体"/>
          <w:b w:val="0"/>
          <w:color w:val="auto"/>
          <w:highlight w:val="none"/>
        </w:rPr>
      </w:pPr>
      <w:bookmarkStart w:id="62" w:name="_Toc15377215"/>
      <w:bookmarkStart w:id="63" w:name="_Toc15396609"/>
      <w:bookmarkStart w:id="64" w:name="_Toc9808"/>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2"/>
      <w:bookmarkEnd w:id="63"/>
      <w:bookmarkEnd w:id="64"/>
    </w:p>
    <w:p w14:paraId="4E5E2E95">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14:paraId="13FB837A">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671B396">
      <w:pPr>
        <w:spacing w:line="600" w:lineRule="exact"/>
        <w:ind w:firstLine="640"/>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14:paraId="41B8B722">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5DA70307">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1587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A476DD">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179F9CE5">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50511852">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630C9363">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B5C19C8">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3526B31F">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0.06</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hAnsi="仿宋_GB2312" w:eastAsia="仿宋_GB2312" w:cs="仿宋_GB2312"/>
          <w:sz w:val="32"/>
          <w:szCs w:val="32"/>
        </w:rPr>
        <w:t>主要原因是我单位节约开支，勤俭接待，</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标准接待</w:t>
      </w:r>
      <w:r>
        <w:rPr>
          <w:rFonts w:hint="eastAsia" w:ascii="仿宋_GB2312" w:eastAsia="仿宋_GB2312"/>
          <w:color w:val="auto"/>
          <w:sz w:val="32"/>
          <w:szCs w:val="32"/>
          <w:highlight w:val="none"/>
        </w:rPr>
        <w:t>。其中：</w:t>
      </w:r>
    </w:p>
    <w:p w14:paraId="241851E2">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0.06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国内公务</w:t>
      </w:r>
      <w:r>
        <w:rPr>
          <w:rFonts w:hint="eastAsia" w:ascii="仿宋_GB2312" w:eastAsia="仿宋_GB2312"/>
          <w:color w:val="auto"/>
          <w:sz w:val="32"/>
          <w:szCs w:val="32"/>
          <w:highlight w:val="none"/>
        </w:rPr>
        <w:t>接待</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1955F35">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50605A2">
      <w:pPr>
        <w:spacing w:line="600" w:lineRule="exact"/>
        <w:ind w:firstLine="640"/>
        <w:outlineLvl w:val="1"/>
        <w:rPr>
          <w:rStyle w:val="25"/>
          <w:rFonts w:ascii="黑体" w:hAnsi="黑体" w:eastAsia="黑体"/>
          <w:color w:val="auto"/>
          <w:highlight w:val="none"/>
        </w:rPr>
      </w:pPr>
      <w:bookmarkStart w:id="67" w:name="_Toc10844"/>
      <w:bookmarkStart w:id="68" w:name="_Toc15377218"/>
      <w:bookmarkStart w:id="69"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7"/>
      <w:bookmarkEnd w:id="68"/>
      <w:bookmarkEnd w:id="69"/>
    </w:p>
    <w:p w14:paraId="24C8E930">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EAE45C5">
      <w:pPr>
        <w:numPr>
          <w:ilvl w:val="0"/>
          <w:numId w:val="3"/>
        </w:numPr>
        <w:spacing w:line="600" w:lineRule="exact"/>
        <w:ind w:firstLine="640"/>
        <w:outlineLvl w:val="1"/>
        <w:rPr>
          <w:rStyle w:val="25"/>
          <w:rFonts w:ascii="黑体" w:hAnsi="黑体" w:eastAsia="黑体"/>
          <w:b w:val="0"/>
          <w:color w:val="auto"/>
          <w:highlight w:val="none"/>
        </w:rPr>
      </w:pPr>
      <w:bookmarkStart w:id="70" w:name="_Toc15377219"/>
      <w:bookmarkStart w:id="71" w:name="_Toc15396611"/>
      <w:bookmarkStart w:id="72" w:name="_Toc1214"/>
      <w:r>
        <w:rPr>
          <w:rStyle w:val="25"/>
          <w:rFonts w:hint="eastAsia" w:ascii="黑体" w:hAnsi="黑体" w:eastAsia="黑体"/>
          <w:b w:val="0"/>
          <w:color w:val="auto"/>
          <w:highlight w:val="none"/>
        </w:rPr>
        <w:t>国有资本经营预算支出决算情况说明</w:t>
      </w:r>
      <w:bookmarkEnd w:id="70"/>
      <w:bookmarkEnd w:id="71"/>
      <w:bookmarkEnd w:id="72"/>
    </w:p>
    <w:p w14:paraId="594A1421">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416502C">
      <w:pPr>
        <w:numPr>
          <w:ilvl w:val="0"/>
          <w:numId w:val="3"/>
        </w:numPr>
        <w:spacing w:line="600" w:lineRule="exact"/>
        <w:ind w:firstLine="640"/>
        <w:outlineLvl w:val="1"/>
        <w:rPr>
          <w:rStyle w:val="25"/>
          <w:rFonts w:hint="eastAsia" w:ascii="黑体" w:hAnsi="黑体" w:eastAsia="黑体"/>
          <w:b w:val="0"/>
          <w:color w:val="auto"/>
          <w:highlight w:val="none"/>
        </w:rPr>
      </w:pPr>
      <w:bookmarkStart w:id="73" w:name="_Toc15377221"/>
      <w:bookmarkStart w:id="74" w:name="_Toc15396612"/>
      <w:bookmarkStart w:id="75" w:name="_Toc31091"/>
      <w:r>
        <w:rPr>
          <w:rStyle w:val="25"/>
          <w:rFonts w:hint="eastAsia" w:ascii="黑体" w:hAnsi="黑体" w:eastAsia="黑体"/>
          <w:b w:val="0"/>
          <w:color w:val="auto"/>
          <w:highlight w:val="none"/>
        </w:rPr>
        <w:t>其他重要事项的情况说明</w:t>
      </w:r>
      <w:bookmarkEnd w:id="73"/>
      <w:bookmarkEnd w:id="74"/>
      <w:bookmarkEnd w:id="75"/>
    </w:p>
    <w:p w14:paraId="2B51605A">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7396897B">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3283EA07">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3AB6D2FC">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第五</w:t>
      </w:r>
      <w:r>
        <w:rPr>
          <w:rFonts w:hint="eastAsia" w:ascii="仿宋_GB2312" w:eastAsia="仿宋_GB2312"/>
          <w:color w:val="auto"/>
          <w:sz w:val="32"/>
          <w:szCs w:val="32"/>
        </w:rPr>
        <w:t>小学政府采购支出总额</w:t>
      </w:r>
      <w:r>
        <w:rPr>
          <w:rFonts w:hint="eastAsia" w:ascii="仿宋_GB2312" w:eastAsia="仿宋_GB2312"/>
          <w:color w:val="auto"/>
          <w:sz w:val="32"/>
          <w:szCs w:val="32"/>
          <w:lang w:val="en-US" w:eastAsia="zh-CN"/>
        </w:rPr>
        <w:t>130.52</w:t>
      </w:r>
      <w:r>
        <w:rPr>
          <w:rFonts w:hint="eastAsia" w:ascii="仿宋_GB2312" w:eastAsia="仿宋_GB2312"/>
          <w:color w:val="auto"/>
          <w:sz w:val="32"/>
          <w:szCs w:val="32"/>
        </w:rPr>
        <w:t>万元。</w:t>
      </w:r>
    </w:p>
    <w:p w14:paraId="5BCDA23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52685160">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第五</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67717FE1">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4ACCE809">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1930770B">
      <w:pPr>
        <w:pStyle w:val="5"/>
        <w:rPr>
          <w:color w:val="auto"/>
        </w:rPr>
      </w:pPr>
    </w:p>
    <w:p w14:paraId="0E09D00E">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5CE713F7">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9" w:name="_Toc10613"/>
      <w:bookmarkStart w:id="80" w:name="_Toc15377225"/>
      <w:bookmarkStart w:id="81"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9"/>
      <w:bookmarkEnd w:id="80"/>
      <w:bookmarkEnd w:id="81"/>
    </w:p>
    <w:p w14:paraId="3EDF5087">
      <w:pPr>
        <w:spacing w:line="600" w:lineRule="exact"/>
        <w:jc w:val="left"/>
        <w:rPr>
          <w:rFonts w:ascii="宋体"/>
          <w:b/>
          <w:color w:val="auto"/>
          <w:sz w:val="44"/>
          <w:szCs w:val="44"/>
          <w:highlight w:val="none"/>
        </w:rPr>
      </w:pPr>
    </w:p>
    <w:p w14:paraId="349BEA2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2D9D6F4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1F627AE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3006DA66">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4.结余分配：指事业单位按照会计制度规定缴纳的所得税、提取的专用结余以及转入非财政拨款结余的金额等。</w:t>
      </w:r>
    </w:p>
    <w:p w14:paraId="47EAADFC">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4A8FA6AD">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031FBF5D">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67FEFAEC">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2E0BC050">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A5DA729">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0CE63F28">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1BF289D0">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24786A8C">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0A4375A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44E0473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611B2B4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1D441EBA">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67E90C8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EA30879">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2084859A">
      <w:pPr>
        <w:spacing w:line="600" w:lineRule="exact"/>
        <w:ind w:firstLine="640"/>
        <w:rPr>
          <w:rFonts w:hint="eastAsia" w:ascii="仿宋_GB2312" w:hAnsi="Calibri" w:eastAsia="仿宋_GB2312" w:cs="仿宋"/>
          <w:color w:val="auto"/>
          <w:kern w:val="0"/>
          <w:sz w:val="32"/>
          <w:szCs w:val="32"/>
        </w:rPr>
      </w:pPr>
    </w:p>
    <w:p w14:paraId="5E6ABAB2">
      <w:pPr>
        <w:spacing w:line="600" w:lineRule="exact"/>
        <w:ind w:firstLine="640"/>
        <w:rPr>
          <w:rFonts w:hint="eastAsia" w:ascii="仿宋_GB2312" w:hAnsi="Calibri" w:eastAsia="仿宋_GB2312" w:cs="仿宋"/>
          <w:color w:val="auto"/>
          <w:kern w:val="0"/>
          <w:sz w:val="32"/>
          <w:szCs w:val="32"/>
        </w:rPr>
      </w:pPr>
    </w:p>
    <w:p w14:paraId="22FEDE79">
      <w:pPr>
        <w:spacing w:line="600" w:lineRule="exact"/>
        <w:ind w:firstLine="640"/>
        <w:rPr>
          <w:rFonts w:hint="eastAsia" w:ascii="仿宋_GB2312" w:hAnsi="Calibri" w:eastAsia="仿宋_GB2312" w:cs="仿宋"/>
          <w:color w:val="auto"/>
          <w:kern w:val="0"/>
          <w:sz w:val="32"/>
          <w:szCs w:val="32"/>
        </w:rPr>
      </w:pPr>
    </w:p>
    <w:p w14:paraId="190A6CBA">
      <w:pPr>
        <w:spacing w:line="600" w:lineRule="exact"/>
        <w:ind w:firstLine="640"/>
        <w:rPr>
          <w:rFonts w:hint="eastAsia" w:ascii="仿宋_GB2312" w:hAnsi="Calibri" w:eastAsia="仿宋_GB2312" w:cs="仿宋"/>
          <w:color w:val="auto"/>
          <w:kern w:val="0"/>
          <w:sz w:val="32"/>
          <w:szCs w:val="32"/>
        </w:rPr>
      </w:pPr>
    </w:p>
    <w:p w14:paraId="6834C193">
      <w:pPr>
        <w:spacing w:line="600" w:lineRule="exact"/>
        <w:ind w:firstLine="640"/>
        <w:rPr>
          <w:rFonts w:hint="eastAsia" w:ascii="仿宋_GB2312" w:hAnsi="Calibri" w:eastAsia="仿宋_GB2312" w:cs="仿宋"/>
          <w:color w:val="auto"/>
          <w:kern w:val="0"/>
          <w:sz w:val="32"/>
          <w:szCs w:val="32"/>
        </w:rPr>
      </w:pPr>
    </w:p>
    <w:bookmarkEnd w:id="82"/>
    <w:p w14:paraId="5FAAA2F7">
      <w:pPr>
        <w:spacing w:line="600" w:lineRule="exact"/>
        <w:jc w:val="center"/>
        <w:outlineLvl w:val="0"/>
        <w:rPr>
          <w:rFonts w:hint="eastAsia" w:ascii="黑体" w:hAnsi="黑体" w:eastAsia="黑体"/>
          <w:color w:val="auto"/>
          <w:sz w:val="44"/>
          <w:szCs w:val="44"/>
          <w:highlight w:val="none"/>
        </w:rPr>
        <w:sectPr>
          <w:footerReference r:id="rId7" w:type="first"/>
          <w:footerReference r:id="rId6" w:type="default"/>
          <w:pgSz w:w="11906" w:h="16838"/>
          <w:pgMar w:top="1440" w:right="1800" w:bottom="1440" w:left="1800" w:header="851" w:footer="992" w:gutter="0"/>
          <w:pgNumType w:fmt="decimal" w:start="2"/>
          <w:cols w:space="0" w:num="1"/>
          <w:rtlGutter w:val="0"/>
          <w:docGrid w:type="lines" w:linePitch="312" w:charSpace="0"/>
        </w:sectPr>
      </w:pPr>
      <w:bookmarkStart w:id="84" w:name="_Toc25087"/>
      <w:bookmarkStart w:id="85" w:name="_Toc15396618"/>
    </w:p>
    <w:bookmarkEnd w:id="84"/>
    <w:tbl>
      <w:tblPr>
        <w:tblStyle w:val="12"/>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448"/>
        <w:gridCol w:w="2087"/>
        <w:gridCol w:w="3273"/>
        <w:gridCol w:w="1009"/>
        <w:gridCol w:w="1390"/>
        <w:gridCol w:w="1310"/>
        <w:gridCol w:w="1363"/>
        <w:gridCol w:w="1414"/>
      </w:tblGrid>
      <w:tr w14:paraId="5352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080" w:type="dxa"/>
            <w:gridSpan w:val="9"/>
            <w:tcBorders>
              <w:top w:val="nil"/>
              <w:left w:val="nil"/>
              <w:bottom w:val="nil"/>
              <w:right w:val="nil"/>
            </w:tcBorders>
            <w:shd w:val="clear" w:color="auto" w:fill="auto"/>
            <w:vAlign w:val="center"/>
          </w:tcPr>
          <w:p w14:paraId="03591E8F">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r>
              <w:rPr>
                <w:rFonts w:hint="eastAsia" w:ascii="黑体" w:hAnsi="宋体" w:eastAsia="黑体" w:cs="黑体"/>
                <w:i w:val="0"/>
                <w:iCs w:val="0"/>
                <w:color w:val="000000"/>
                <w:kern w:val="0"/>
                <w:sz w:val="30"/>
                <w:szCs w:val="30"/>
                <w:u w:val="none"/>
                <w:lang w:val="en-US" w:eastAsia="zh-CN" w:bidi="ar"/>
              </w:rPr>
              <w:t>部门整体支出绩效目标自评表（2023年度）</w:t>
            </w:r>
          </w:p>
        </w:tc>
      </w:tr>
      <w:tr w14:paraId="4784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66" w:type="dxa"/>
            <w:gridSpan w:val="8"/>
            <w:tcBorders>
              <w:top w:val="nil"/>
              <w:left w:val="nil"/>
              <w:bottom w:val="nil"/>
              <w:right w:val="nil"/>
            </w:tcBorders>
            <w:shd w:val="clear" w:color="auto" w:fill="auto"/>
            <w:vAlign w:val="center"/>
          </w:tcPr>
          <w:p w14:paraId="4FC9FD45">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414" w:type="dxa"/>
            <w:tcBorders>
              <w:top w:val="nil"/>
              <w:left w:val="nil"/>
              <w:bottom w:val="nil"/>
              <w:right w:val="nil"/>
            </w:tcBorders>
            <w:shd w:val="clear" w:color="auto" w:fill="auto"/>
            <w:vAlign w:val="center"/>
          </w:tcPr>
          <w:p w14:paraId="112F3679">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14:paraId="629B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66" w:type="dxa"/>
            <w:gridSpan w:val="8"/>
            <w:tcBorders>
              <w:top w:val="nil"/>
              <w:left w:val="nil"/>
              <w:bottom w:val="single" w:color="000000" w:sz="4" w:space="0"/>
              <w:right w:val="nil"/>
            </w:tcBorders>
            <w:shd w:val="clear" w:color="auto" w:fill="auto"/>
            <w:vAlign w:val="center"/>
          </w:tcPr>
          <w:p w14:paraId="4D3611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1414" w:type="dxa"/>
            <w:tcBorders>
              <w:top w:val="nil"/>
              <w:left w:val="nil"/>
              <w:bottom w:val="single" w:color="000000" w:sz="4" w:space="0"/>
              <w:right w:val="nil"/>
            </w:tcBorders>
            <w:shd w:val="clear" w:color="auto" w:fill="auto"/>
            <w:vAlign w:val="center"/>
          </w:tcPr>
          <w:p w14:paraId="6EA7D1EE">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r>
      <w:tr w14:paraId="09D4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F1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47C542">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cs="宋体"/>
                <w:i w:val="0"/>
                <w:iCs w:val="0"/>
                <w:color w:val="000000"/>
                <w:kern w:val="0"/>
                <w:sz w:val="18"/>
                <w:szCs w:val="18"/>
                <w:u w:val="none"/>
                <w:lang w:val="en-US" w:eastAsia="zh-CN" w:bidi="ar"/>
              </w:rPr>
              <w:t>第五</w:t>
            </w:r>
            <w:r>
              <w:rPr>
                <w:rFonts w:ascii="宋体" w:hAnsi="宋体" w:eastAsia="宋体" w:cs="宋体"/>
                <w:i w:val="0"/>
                <w:iCs w:val="0"/>
                <w:color w:val="000000"/>
                <w:kern w:val="0"/>
                <w:sz w:val="18"/>
                <w:szCs w:val="18"/>
                <w:u w:val="none"/>
                <w:lang w:val="en-US" w:eastAsia="zh-CN" w:bidi="ar"/>
              </w:rPr>
              <w:t>小学部门</w:t>
            </w:r>
          </w:p>
        </w:tc>
      </w:tr>
      <w:tr w14:paraId="7F01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D8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C8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5B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5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C555DF">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其他资金</w:t>
            </w:r>
          </w:p>
        </w:tc>
      </w:tr>
      <w:tr w14:paraId="0F20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3A0E3">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70C6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943.21</w:t>
            </w:r>
          </w:p>
        </w:tc>
        <w:tc>
          <w:tcPr>
            <w:tcW w:w="4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E5A23">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943.21</w:t>
            </w:r>
          </w:p>
        </w:tc>
        <w:tc>
          <w:tcPr>
            <w:tcW w:w="5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BF2F6">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bookmarkStart w:id="113" w:name="_GoBack"/>
            <w:bookmarkEnd w:id="113"/>
            <w:r>
              <w:rPr>
                <w:rFonts w:ascii="宋体" w:hAnsi="宋体" w:eastAsia="宋体" w:cs="宋体"/>
                <w:i w:val="0"/>
                <w:iCs w:val="0"/>
                <w:color w:val="000000"/>
                <w:kern w:val="0"/>
                <w:sz w:val="18"/>
                <w:szCs w:val="18"/>
                <w:u w:val="none"/>
                <w:lang w:val="en-US" w:eastAsia="zh-CN" w:bidi="ar"/>
              </w:rPr>
              <w:t>0.00</w:t>
            </w:r>
          </w:p>
        </w:tc>
      </w:tr>
      <w:tr w14:paraId="2B9E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2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32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5E5EF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目标1：保障学校在职人员</w:t>
            </w:r>
            <w:r>
              <w:rPr>
                <w:rFonts w:hint="eastAsia" w:ascii="宋体" w:hAnsi="宋体" w:cs="宋体"/>
                <w:i w:val="0"/>
                <w:iCs w:val="0"/>
                <w:color w:val="000000"/>
                <w:kern w:val="0"/>
                <w:sz w:val="18"/>
                <w:szCs w:val="18"/>
                <w:u w:val="none"/>
                <w:lang w:val="en-US" w:eastAsia="zh-CN" w:bidi="ar"/>
              </w:rPr>
              <w:t>49</w:t>
            </w:r>
            <w:r>
              <w:rPr>
                <w:rFonts w:ascii="宋体" w:hAnsi="宋体" w:eastAsia="宋体" w:cs="宋体"/>
                <w:i w:val="0"/>
                <w:iCs w:val="0"/>
                <w:color w:val="000000"/>
                <w:kern w:val="0"/>
                <w:sz w:val="18"/>
                <w:szCs w:val="18"/>
                <w:u w:val="none"/>
                <w:lang w:val="en-US" w:eastAsia="zh-CN" w:bidi="ar"/>
              </w:rPr>
              <w:t>人、退休人员</w:t>
            </w:r>
            <w:r>
              <w:rPr>
                <w:rFonts w:hint="eastAsia" w:ascii="宋体" w:hAnsi="宋体" w:cs="宋体"/>
                <w:i w:val="0"/>
                <w:iCs w:val="0"/>
                <w:color w:val="000000"/>
                <w:kern w:val="0"/>
                <w:sz w:val="18"/>
                <w:szCs w:val="18"/>
                <w:u w:val="none"/>
                <w:lang w:val="en-US" w:eastAsia="zh-CN" w:bidi="ar"/>
              </w:rPr>
              <w:t>39</w:t>
            </w:r>
            <w:r>
              <w:rPr>
                <w:rFonts w:ascii="宋体" w:hAnsi="宋体" w:eastAsia="宋体" w:cs="宋体"/>
                <w:i w:val="0"/>
                <w:iCs w:val="0"/>
                <w:color w:val="000000"/>
                <w:kern w:val="0"/>
                <w:sz w:val="18"/>
                <w:szCs w:val="18"/>
                <w:u w:val="none"/>
                <w:lang w:val="en-US" w:eastAsia="zh-CN" w:bidi="ar"/>
              </w:rPr>
              <w:t>人的正常办公、生活秩序；目标2：坚决执行党和国家的教育方针政策；目标3：管好用好国家的教育资金，改善和优化农村的办学条件；目标4：把教育教学质量放在首位，提高教师从教的幸福感、获得感、办为人民满意的教育。</w:t>
            </w:r>
          </w:p>
        </w:tc>
      </w:tr>
      <w:tr w14:paraId="12ED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BB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09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87FA1">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主要内容</w:t>
            </w:r>
          </w:p>
        </w:tc>
      </w:tr>
      <w:tr w14:paraId="3642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6A62">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27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25592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2BD1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1564">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B3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9CBA3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6041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4DE1">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B7C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13AED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134A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6872E">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CA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完成教育教学工作</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ED9EE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指导协调和监督教师教育教学工作。指导管理资助困难学生工作，完成年度教育教学任务</w:t>
            </w:r>
          </w:p>
        </w:tc>
      </w:tr>
      <w:tr w14:paraId="2AA9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0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B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5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0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9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0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E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DF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实际完成</w:t>
            </w:r>
          </w:p>
          <w:p w14:paraId="4CED62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指标值</w:t>
            </w:r>
          </w:p>
        </w:tc>
      </w:tr>
      <w:tr w14:paraId="0F41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ADF72">
            <w:pPr>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right w:val="single" w:color="000000" w:sz="4" w:space="0"/>
            </w:tcBorders>
            <w:shd w:val="clear" w:color="auto" w:fill="auto"/>
            <w:vAlign w:val="center"/>
          </w:tcPr>
          <w:p w14:paraId="7EC92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311FEE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2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定期开展留守学生亲情交流和课外活动"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2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27E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5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D4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r>
      <w:tr w14:paraId="04F2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06E0B">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14:paraId="5A90CA51">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14:paraId="59E41B56">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2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教职工培训合格率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BD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663F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4CAC">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14:paraId="423A73ED">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14:paraId="400088EC">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670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开展法治宣传和思政教育讲座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24D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8B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0508">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F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82C8">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r>
      <w:tr w14:paraId="6CB0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C6F2">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14:paraId="1D4F5C7C">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14:paraId="69295916">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DD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控辍保学（辍学率）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7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8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0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0F4C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E13B">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14:paraId="7A34934C">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14:paraId="43AC7D7F">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EB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校园安全，</w:t>
            </w:r>
            <w:r>
              <w:rPr>
                <w:rFonts w:hint="eastAsia" w:ascii="宋体" w:hAnsi="宋体" w:cs="宋体"/>
                <w:i w:val="0"/>
                <w:iCs w:val="0"/>
                <w:color w:val="000000"/>
                <w:kern w:val="0"/>
                <w:sz w:val="18"/>
                <w:szCs w:val="18"/>
                <w:u w:val="none"/>
                <w:lang w:val="en-US" w:eastAsia="zh-CN" w:bidi="ar"/>
              </w:rPr>
              <w:t>严控安全事故发生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0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1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E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件</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7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69D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r>
      <w:tr w14:paraId="2B7E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D8A2">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14:paraId="4EFC62B4">
            <w:pPr>
              <w:jc w:val="left"/>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right w:val="single" w:color="000000" w:sz="4" w:space="0"/>
            </w:tcBorders>
            <w:shd w:val="clear" w:color="auto" w:fill="auto"/>
            <w:vAlign w:val="center"/>
          </w:tcPr>
          <w:p w14:paraId="2C8886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B6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贫困学生资助及时发放</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A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F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5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2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r>
      <w:tr w14:paraId="53FE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9AE29">
            <w:pPr>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2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86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A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8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6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C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98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341F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C260">
            <w:pPr>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9D798">
            <w:pPr>
              <w:jc w:val="left"/>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93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E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教学教学质量稳步上升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6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0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466B">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D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0B29">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优</w:t>
            </w:r>
          </w:p>
        </w:tc>
      </w:tr>
      <w:tr w14:paraId="4AD1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E484">
            <w:pPr>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C5D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B61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D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0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6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5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D78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95</w:t>
            </w:r>
          </w:p>
        </w:tc>
      </w:tr>
      <w:tr w14:paraId="60A2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7F8F">
            <w:pPr>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678AC">
            <w:pPr>
              <w:jc w:val="left"/>
              <w:rPr>
                <w:rFonts w:hint="eastAsia" w:ascii="宋体" w:hAnsi="宋体" w:eastAsia="宋体" w:cs="宋体"/>
                <w:i w:val="0"/>
                <w:iCs w:val="0"/>
                <w:color w:val="000000"/>
                <w:sz w:val="18"/>
                <w:szCs w:val="18"/>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D746">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F5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A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5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F1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96</w:t>
            </w:r>
          </w:p>
        </w:tc>
      </w:tr>
    </w:tbl>
    <w:p w14:paraId="07093C50">
      <w:pPr>
        <w:rPr>
          <w:rFonts w:hint="eastAsia" w:ascii="宋体" w:hAnsi="宋体" w:eastAsia="宋体" w:cs="宋体"/>
          <w:i w:val="0"/>
          <w:color w:val="000000"/>
          <w:sz w:val="18"/>
          <w:szCs w:val="18"/>
          <w:u w:val="none"/>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p>
    <w:p w14:paraId="3F873916">
      <w:pPr>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object>
          <v:shape id="_x0000_i1025" o:spt="75" type="#_x0000_t75" style="height:430.1pt;width:697.3pt;" o:ole="t" filled="f" o:preferrelative="t" stroked="f" coordsize="21600,21600">
            <v:path/>
            <v:fill on="f" focussize="0,0"/>
            <v:stroke on="f"/>
            <v:imagedata r:id="rId19" o:title=""/>
            <o:lock v:ext="edit" aspectratio="f"/>
            <w10:wrap type="none"/>
            <w10:anchorlock/>
          </v:shape>
          <o:OLEObject Type="Embed" ProgID="Excel.Sheet.12" ShapeID="_x0000_i1025" DrawAspect="Content" ObjectID="_1468075725" r:id="rId18">
            <o:LockedField>false</o:LockedField>
          </o:OLEObject>
        </w:object>
      </w:r>
    </w:p>
    <w:p w14:paraId="12AD5B94">
      <w:pPr>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object>
          <v:shape id="_x0000_i1026" o:spt="75" type="#_x0000_t75" style="height:430.1pt;width:697.3pt;" o:ole="t" filled="f" o:preferrelative="t" stroked="f" coordsize="21600,21600">
            <v:path/>
            <v:fill on="f" focussize="0,0"/>
            <v:stroke on="f"/>
            <v:imagedata r:id="rId21" o:title=""/>
            <o:lock v:ext="edit" aspectratio="f"/>
            <w10:wrap type="none"/>
            <w10:anchorlock/>
          </v:shape>
          <o:OLEObject Type="Embed" ProgID="Excel.Sheet.12" ShapeID="_x0000_i1026" DrawAspect="Content" ObjectID="_1468075726" r:id="rId20">
            <o:LockedField>false</o:LockedField>
          </o:OLEObject>
        </w:object>
      </w:r>
    </w:p>
    <w:p w14:paraId="06C41680">
      <w:pPr>
        <w:rPr>
          <w:rFonts w:hint="eastAsia" w:ascii="宋体" w:hAnsi="宋体" w:eastAsia="宋体" w:cs="宋体"/>
          <w:color w:val="auto"/>
          <w:kern w:val="0"/>
          <w:sz w:val="32"/>
          <w:szCs w:val="32"/>
          <w:highlight w:val="none"/>
          <w:lang w:val="en-US" w:eastAsia="zh-CN" w:bidi="ar-SA"/>
        </w:rPr>
        <w:sectPr>
          <w:pgSz w:w="16838" w:h="11906" w:orient="landscape"/>
          <w:pgMar w:top="1803" w:right="1440" w:bottom="1803" w:left="1440" w:header="851" w:footer="992" w:gutter="0"/>
          <w:pgNumType w:fmt="decimal"/>
          <w:cols w:space="0" w:num="1"/>
          <w:titlePg/>
          <w:rtlGutter w:val="0"/>
          <w:docGrid w:type="lines" w:linePitch="319" w:charSpace="0"/>
        </w:sectPr>
      </w:pPr>
    </w:p>
    <w:bookmarkEnd w:id="83"/>
    <w:bookmarkEnd w:id="85"/>
    <w:p w14:paraId="41C0B39F">
      <w:pPr>
        <w:jc w:val="center"/>
        <w:rPr>
          <w:rFonts w:hint="eastAsia" w:ascii="仿宋" w:hAnsi="仿宋" w:eastAsia="仿宋"/>
          <w:b w:val="0"/>
          <w:color w:val="auto"/>
          <w:highlight w:val="none"/>
        </w:rPr>
      </w:pPr>
      <w:bookmarkStart w:id="86" w:name="_Toc31790"/>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6"/>
      <w:bookmarkStart w:id="87" w:name="_Toc15396619"/>
    </w:p>
    <w:p w14:paraId="774039E1">
      <w:pPr>
        <w:pStyle w:val="3"/>
        <w:rPr>
          <w:rFonts w:ascii="仿宋" w:hAnsi="仿宋" w:eastAsia="仿宋"/>
          <w:color w:val="auto"/>
          <w:highlight w:val="none"/>
        </w:rPr>
      </w:pPr>
      <w:bookmarkStart w:id="88" w:name="_Toc21540"/>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7"/>
      <w:bookmarkEnd w:id="88"/>
    </w:p>
    <w:p w14:paraId="7D73A427">
      <w:pPr>
        <w:pStyle w:val="3"/>
        <w:rPr>
          <w:rFonts w:ascii="仿宋" w:hAnsi="仿宋" w:eastAsia="仿宋"/>
          <w:color w:val="auto"/>
          <w:highlight w:val="none"/>
        </w:rPr>
      </w:pPr>
      <w:bookmarkStart w:id="89" w:name="_Toc15396620"/>
      <w:bookmarkStart w:id="90" w:name="_Toc1474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9"/>
      <w:bookmarkEnd w:id="90"/>
    </w:p>
    <w:p w14:paraId="7041D8DC">
      <w:pPr>
        <w:pStyle w:val="3"/>
        <w:rPr>
          <w:rFonts w:ascii="仿宋" w:hAnsi="仿宋" w:eastAsia="仿宋"/>
          <w:color w:val="auto"/>
          <w:highlight w:val="none"/>
        </w:rPr>
      </w:pPr>
      <w:bookmarkStart w:id="91" w:name="_Toc15396621"/>
      <w:bookmarkStart w:id="92" w:name="_Toc26490"/>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1"/>
      <w:bookmarkEnd w:id="92"/>
    </w:p>
    <w:p w14:paraId="17944129">
      <w:pPr>
        <w:pStyle w:val="3"/>
        <w:rPr>
          <w:rFonts w:ascii="仿宋" w:hAnsi="仿宋" w:eastAsia="仿宋"/>
          <w:b w:val="0"/>
          <w:color w:val="auto"/>
          <w:highlight w:val="none"/>
        </w:rPr>
      </w:pPr>
      <w:bookmarkStart w:id="93" w:name="_Toc4249"/>
      <w:bookmarkStart w:id="94"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3"/>
      <w:bookmarkEnd w:id="94"/>
    </w:p>
    <w:p w14:paraId="136A78F3">
      <w:pPr>
        <w:pStyle w:val="3"/>
        <w:rPr>
          <w:rStyle w:val="25"/>
          <w:rFonts w:ascii="仿宋" w:hAnsi="仿宋" w:eastAsia="仿宋"/>
          <w:b w:val="0"/>
          <w:bCs w:val="0"/>
          <w:color w:val="auto"/>
          <w:highlight w:val="none"/>
        </w:rPr>
      </w:pPr>
      <w:bookmarkStart w:id="95" w:name="_Toc15396623"/>
      <w:bookmarkStart w:id="96" w:name="_Toc21621"/>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5"/>
      <w:bookmarkEnd w:id="96"/>
      <w:bookmarkStart w:id="97" w:name="_Toc15396624"/>
    </w:p>
    <w:p w14:paraId="50F1AC5B">
      <w:pPr>
        <w:pStyle w:val="3"/>
        <w:rPr>
          <w:rFonts w:ascii="仿宋" w:hAnsi="仿宋" w:eastAsia="仿宋"/>
          <w:color w:val="auto"/>
          <w:highlight w:val="none"/>
        </w:rPr>
      </w:pPr>
      <w:bookmarkStart w:id="98" w:name="_Toc106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7"/>
      <w:bookmarkEnd w:id="98"/>
    </w:p>
    <w:p w14:paraId="5B19AB94">
      <w:pPr>
        <w:pStyle w:val="3"/>
        <w:rPr>
          <w:rFonts w:ascii="仿宋" w:hAnsi="仿宋" w:eastAsia="仿宋"/>
          <w:color w:val="auto"/>
          <w:highlight w:val="none"/>
        </w:rPr>
      </w:pPr>
      <w:bookmarkStart w:id="99" w:name="_Toc6268"/>
      <w:bookmarkStart w:id="10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9"/>
      <w:bookmarkEnd w:id="100"/>
    </w:p>
    <w:p w14:paraId="172EED2B">
      <w:pPr>
        <w:pStyle w:val="3"/>
        <w:rPr>
          <w:rFonts w:ascii="仿宋" w:hAnsi="仿宋" w:eastAsia="仿宋"/>
          <w:color w:val="auto"/>
          <w:highlight w:val="none"/>
        </w:rPr>
      </w:pPr>
      <w:bookmarkStart w:id="101" w:name="_Toc15396626"/>
      <w:bookmarkStart w:id="102" w:name="_Toc2911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1"/>
      <w:bookmarkEnd w:id="102"/>
    </w:p>
    <w:p w14:paraId="2E68A093">
      <w:pPr>
        <w:pStyle w:val="3"/>
        <w:rPr>
          <w:rFonts w:ascii="仿宋" w:hAnsi="仿宋" w:eastAsia="仿宋"/>
          <w:color w:val="auto"/>
          <w:highlight w:val="none"/>
        </w:rPr>
      </w:pPr>
      <w:bookmarkStart w:id="103" w:name="_Toc25077"/>
      <w:bookmarkStart w:id="104"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3"/>
      <w:bookmarkEnd w:id="104"/>
    </w:p>
    <w:p w14:paraId="0096EBDE">
      <w:pPr>
        <w:pStyle w:val="3"/>
        <w:rPr>
          <w:rFonts w:ascii="仿宋" w:hAnsi="仿宋" w:eastAsia="仿宋"/>
          <w:color w:val="auto"/>
          <w:highlight w:val="none"/>
        </w:rPr>
      </w:pPr>
      <w:bookmarkStart w:id="105" w:name="_Toc15396628"/>
      <w:bookmarkStart w:id="106" w:name="_Toc8538"/>
      <w:r>
        <w:rPr>
          <w:rStyle w:val="25"/>
          <w:rFonts w:hint="eastAsia" w:ascii="仿宋" w:hAnsi="仿宋" w:eastAsia="仿宋"/>
          <w:b w:val="0"/>
          <w:bCs w:val="0"/>
          <w:color w:val="auto"/>
          <w:highlight w:val="none"/>
        </w:rPr>
        <w:t>十、</w:t>
      </w:r>
      <w:bookmarkEnd w:id="105"/>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6"/>
    </w:p>
    <w:p w14:paraId="672B9EF2">
      <w:pPr>
        <w:pStyle w:val="3"/>
        <w:rPr>
          <w:rFonts w:ascii="仿宋" w:hAnsi="仿宋" w:eastAsia="仿宋"/>
          <w:color w:val="auto"/>
          <w:highlight w:val="none"/>
        </w:rPr>
      </w:pPr>
      <w:bookmarkStart w:id="107" w:name="_Toc15396629"/>
      <w:bookmarkStart w:id="108" w:name="_Toc26365"/>
      <w:r>
        <w:rPr>
          <w:rStyle w:val="25"/>
          <w:rFonts w:hint="eastAsia" w:ascii="仿宋" w:hAnsi="仿宋" w:eastAsia="仿宋"/>
          <w:b w:val="0"/>
          <w:bCs w:val="0"/>
          <w:color w:val="auto"/>
          <w:highlight w:val="none"/>
        </w:rPr>
        <w:t>十一、</w:t>
      </w:r>
      <w:bookmarkEnd w:id="107"/>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8"/>
    </w:p>
    <w:p w14:paraId="3C6F5CC7">
      <w:pPr>
        <w:pStyle w:val="3"/>
        <w:rPr>
          <w:rFonts w:ascii="仿宋" w:hAnsi="仿宋" w:eastAsia="仿宋"/>
          <w:color w:val="auto"/>
          <w:highlight w:val="none"/>
        </w:rPr>
      </w:pPr>
      <w:bookmarkStart w:id="109" w:name="_Toc15396630"/>
      <w:bookmarkStart w:id="110" w:name="_Toc11791"/>
      <w:r>
        <w:rPr>
          <w:rStyle w:val="25"/>
          <w:rFonts w:hint="eastAsia" w:ascii="仿宋" w:hAnsi="仿宋" w:eastAsia="仿宋"/>
          <w:b w:val="0"/>
          <w:bCs w:val="0"/>
          <w:color w:val="auto"/>
          <w:highlight w:val="none"/>
        </w:rPr>
        <w:t>十二、</w:t>
      </w:r>
      <w:bookmarkEnd w:id="109"/>
      <w:r>
        <w:rPr>
          <w:rStyle w:val="25"/>
          <w:rFonts w:hint="eastAsia" w:ascii="仿宋" w:hAnsi="仿宋" w:eastAsia="仿宋"/>
          <w:b w:val="0"/>
          <w:bCs w:val="0"/>
          <w:color w:val="auto"/>
          <w:highlight w:val="none"/>
          <w:lang w:eastAsia="zh-CN"/>
        </w:rPr>
        <w:t>国有资本经营预算财政拨款支出决算表</w:t>
      </w:r>
      <w:bookmarkEnd w:id="110"/>
    </w:p>
    <w:p w14:paraId="66D37891">
      <w:pPr>
        <w:pStyle w:val="3"/>
        <w:rPr>
          <w:rFonts w:hint="eastAsia" w:eastAsia="仿宋"/>
          <w:color w:val="auto"/>
          <w:highlight w:val="none"/>
          <w:lang w:eastAsia="zh-CN"/>
        </w:rPr>
      </w:pPr>
      <w:bookmarkStart w:id="111" w:name="_Toc15396631"/>
      <w:bookmarkStart w:id="112" w:name="_Toc26267"/>
      <w:r>
        <w:rPr>
          <w:rStyle w:val="25"/>
          <w:rFonts w:hint="eastAsia" w:ascii="仿宋" w:hAnsi="仿宋" w:eastAsia="仿宋"/>
          <w:b w:val="0"/>
          <w:bCs w:val="0"/>
          <w:color w:val="auto"/>
          <w:highlight w:val="none"/>
        </w:rPr>
        <w:t>十三、</w:t>
      </w:r>
      <w:bookmarkEnd w:id="111"/>
      <w:r>
        <w:rPr>
          <w:rStyle w:val="25"/>
          <w:rFonts w:hint="eastAsia" w:ascii="仿宋" w:hAnsi="仿宋" w:eastAsia="仿宋"/>
          <w:b w:val="0"/>
          <w:bCs w:val="0"/>
          <w:color w:val="auto"/>
          <w:highlight w:val="none"/>
          <w:lang w:eastAsia="zh-CN"/>
        </w:rPr>
        <w:t>财政拨款“三公”经费支出决算表</w:t>
      </w:r>
      <w:bookmarkEnd w:id="112"/>
    </w:p>
    <w:p w14:paraId="341B762E">
      <w:pPr>
        <w:rPr>
          <w:rFonts w:hint="eastAsia" w:eastAsia="仿宋"/>
          <w:color w:val="auto"/>
          <w:highlight w:val="none"/>
          <w:lang w:eastAsia="zh-CN"/>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1D9C">
    <w:pPr>
      <w:pStyle w:val="8"/>
      <w:jc w:val="center"/>
    </w:pPr>
  </w:p>
  <w:p w14:paraId="539AE60E">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3E5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24E9">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83D24E9">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3CB9">
    <w:pPr>
      <w:pStyle w:val="8"/>
      <w:jc w:val="center"/>
    </w:pPr>
  </w:p>
  <w:p w14:paraId="1581BDE0">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83AE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9983AE9">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B424">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D97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1AD97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D46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9BD4645">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86C6">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AAA30">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BAAA30">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63CAAD35">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BD21">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CC400">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DCC400">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33B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1423F24"/>
    <w:rsid w:val="01D63DB7"/>
    <w:rsid w:val="024B505A"/>
    <w:rsid w:val="035B6E9D"/>
    <w:rsid w:val="04DD5D12"/>
    <w:rsid w:val="065344DE"/>
    <w:rsid w:val="06902E7C"/>
    <w:rsid w:val="086A485C"/>
    <w:rsid w:val="092E1232"/>
    <w:rsid w:val="0A124DEA"/>
    <w:rsid w:val="0A2032A3"/>
    <w:rsid w:val="0A953439"/>
    <w:rsid w:val="0AF81AF7"/>
    <w:rsid w:val="0B8A37D8"/>
    <w:rsid w:val="0BD124F8"/>
    <w:rsid w:val="0C434FF4"/>
    <w:rsid w:val="0CE340E1"/>
    <w:rsid w:val="0D4C7ED9"/>
    <w:rsid w:val="0D676AC1"/>
    <w:rsid w:val="0F64755C"/>
    <w:rsid w:val="0F824086"/>
    <w:rsid w:val="0F9C5147"/>
    <w:rsid w:val="0FB029A1"/>
    <w:rsid w:val="10923E54"/>
    <w:rsid w:val="10A03C51"/>
    <w:rsid w:val="10C055FF"/>
    <w:rsid w:val="11765FEF"/>
    <w:rsid w:val="118107EC"/>
    <w:rsid w:val="11DD6519"/>
    <w:rsid w:val="121A6898"/>
    <w:rsid w:val="127E0B34"/>
    <w:rsid w:val="12C0114D"/>
    <w:rsid w:val="136151FC"/>
    <w:rsid w:val="154123EF"/>
    <w:rsid w:val="15B66837"/>
    <w:rsid w:val="15D867AD"/>
    <w:rsid w:val="160F7CF5"/>
    <w:rsid w:val="165C4B9F"/>
    <w:rsid w:val="1675334D"/>
    <w:rsid w:val="16BB723D"/>
    <w:rsid w:val="18015F3F"/>
    <w:rsid w:val="183D6D9C"/>
    <w:rsid w:val="18504D21"/>
    <w:rsid w:val="185E3E60"/>
    <w:rsid w:val="19255DCC"/>
    <w:rsid w:val="19A10A1B"/>
    <w:rsid w:val="1B302BE8"/>
    <w:rsid w:val="1BE8440E"/>
    <w:rsid w:val="1D155CEE"/>
    <w:rsid w:val="1D334A43"/>
    <w:rsid w:val="1DFA6CCA"/>
    <w:rsid w:val="1E2E5180"/>
    <w:rsid w:val="1E3429EF"/>
    <w:rsid w:val="1F274302"/>
    <w:rsid w:val="1F494278"/>
    <w:rsid w:val="1FB83C88"/>
    <w:rsid w:val="20E53DA9"/>
    <w:rsid w:val="20F57F95"/>
    <w:rsid w:val="216B0EA1"/>
    <w:rsid w:val="21CD2F3E"/>
    <w:rsid w:val="22301D3D"/>
    <w:rsid w:val="22AF3D2F"/>
    <w:rsid w:val="22C24A6D"/>
    <w:rsid w:val="23490CEA"/>
    <w:rsid w:val="240371BF"/>
    <w:rsid w:val="25C741E6"/>
    <w:rsid w:val="26D2450D"/>
    <w:rsid w:val="27842671"/>
    <w:rsid w:val="28534B6C"/>
    <w:rsid w:val="29FD04D3"/>
    <w:rsid w:val="2A2D03E4"/>
    <w:rsid w:val="2ABE7A3E"/>
    <w:rsid w:val="2ADA66CC"/>
    <w:rsid w:val="2C3826C8"/>
    <w:rsid w:val="2C9F1780"/>
    <w:rsid w:val="2E673D63"/>
    <w:rsid w:val="2E6B420B"/>
    <w:rsid w:val="2EFA178C"/>
    <w:rsid w:val="2F8B61E7"/>
    <w:rsid w:val="2FC040E2"/>
    <w:rsid w:val="3013063D"/>
    <w:rsid w:val="30182170"/>
    <w:rsid w:val="30517430"/>
    <w:rsid w:val="30B46D73"/>
    <w:rsid w:val="31530361"/>
    <w:rsid w:val="319F7F4E"/>
    <w:rsid w:val="32A66287"/>
    <w:rsid w:val="335A484E"/>
    <w:rsid w:val="33765052"/>
    <w:rsid w:val="33BD7F35"/>
    <w:rsid w:val="3417170F"/>
    <w:rsid w:val="34441786"/>
    <w:rsid w:val="34B411EE"/>
    <w:rsid w:val="34EA39B0"/>
    <w:rsid w:val="35C3492C"/>
    <w:rsid w:val="360641B9"/>
    <w:rsid w:val="36687282"/>
    <w:rsid w:val="36C16A4B"/>
    <w:rsid w:val="37F76D7E"/>
    <w:rsid w:val="389425B0"/>
    <w:rsid w:val="389B01DE"/>
    <w:rsid w:val="39AE70AB"/>
    <w:rsid w:val="3A0936CE"/>
    <w:rsid w:val="3A640B2C"/>
    <w:rsid w:val="3B4A3072"/>
    <w:rsid w:val="3B702D0A"/>
    <w:rsid w:val="3BC909FD"/>
    <w:rsid w:val="3C0C0783"/>
    <w:rsid w:val="3C4F581B"/>
    <w:rsid w:val="3E5C76CC"/>
    <w:rsid w:val="3E78202C"/>
    <w:rsid w:val="3F5C7D12"/>
    <w:rsid w:val="3F7F7B16"/>
    <w:rsid w:val="3F9F3A96"/>
    <w:rsid w:val="3FE200A5"/>
    <w:rsid w:val="406311E6"/>
    <w:rsid w:val="406B6A21"/>
    <w:rsid w:val="42141E41"/>
    <w:rsid w:val="42666D6B"/>
    <w:rsid w:val="43CC52F4"/>
    <w:rsid w:val="43F14D5A"/>
    <w:rsid w:val="452D47A4"/>
    <w:rsid w:val="492536D2"/>
    <w:rsid w:val="493C27E9"/>
    <w:rsid w:val="496F39ED"/>
    <w:rsid w:val="49FF41D3"/>
    <w:rsid w:val="4A4238F7"/>
    <w:rsid w:val="4ADD7DE7"/>
    <w:rsid w:val="4BB328F5"/>
    <w:rsid w:val="4BE068DB"/>
    <w:rsid w:val="4BF6002B"/>
    <w:rsid w:val="4C2D49E9"/>
    <w:rsid w:val="4CFF4044"/>
    <w:rsid w:val="4DF931A1"/>
    <w:rsid w:val="4E6D1482"/>
    <w:rsid w:val="4ECE2238"/>
    <w:rsid w:val="4EF23735"/>
    <w:rsid w:val="4F97381A"/>
    <w:rsid w:val="50A767D4"/>
    <w:rsid w:val="51DB4B86"/>
    <w:rsid w:val="526811C1"/>
    <w:rsid w:val="532E7431"/>
    <w:rsid w:val="53F432F1"/>
    <w:rsid w:val="542C74E6"/>
    <w:rsid w:val="54B95421"/>
    <w:rsid w:val="55333C3E"/>
    <w:rsid w:val="55501DDF"/>
    <w:rsid w:val="558772CD"/>
    <w:rsid w:val="55E020F7"/>
    <w:rsid w:val="57391AFC"/>
    <w:rsid w:val="57A614F5"/>
    <w:rsid w:val="57C9597B"/>
    <w:rsid w:val="582C14BB"/>
    <w:rsid w:val="58382B00"/>
    <w:rsid w:val="587C0C3F"/>
    <w:rsid w:val="588258C5"/>
    <w:rsid w:val="58CF5213"/>
    <w:rsid w:val="5A2C0974"/>
    <w:rsid w:val="5AC97A40"/>
    <w:rsid w:val="5B244E93"/>
    <w:rsid w:val="5B2E1D2D"/>
    <w:rsid w:val="5B372BFB"/>
    <w:rsid w:val="5C6A0DAE"/>
    <w:rsid w:val="5DE62663"/>
    <w:rsid w:val="5E327080"/>
    <w:rsid w:val="5EEE216B"/>
    <w:rsid w:val="5FAC19D9"/>
    <w:rsid w:val="612C5D46"/>
    <w:rsid w:val="614D6866"/>
    <w:rsid w:val="62126170"/>
    <w:rsid w:val="62FF64A0"/>
    <w:rsid w:val="63844E4C"/>
    <w:rsid w:val="63E47698"/>
    <w:rsid w:val="64486CB6"/>
    <w:rsid w:val="64BE01BC"/>
    <w:rsid w:val="64BE25DF"/>
    <w:rsid w:val="64CA39A1"/>
    <w:rsid w:val="653D52B2"/>
    <w:rsid w:val="65425D45"/>
    <w:rsid w:val="65DF609E"/>
    <w:rsid w:val="66855163"/>
    <w:rsid w:val="66E22CF2"/>
    <w:rsid w:val="66FD35FD"/>
    <w:rsid w:val="67087745"/>
    <w:rsid w:val="67425561"/>
    <w:rsid w:val="67D56C28"/>
    <w:rsid w:val="67F4570A"/>
    <w:rsid w:val="682B7F8C"/>
    <w:rsid w:val="68EF049E"/>
    <w:rsid w:val="69A70FF1"/>
    <w:rsid w:val="69F04FE9"/>
    <w:rsid w:val="6B9D2F4E"/>
    <w:rsid w:val="6BB26425"/>
    <w:rsid w:val="6BFF7765"/>
    <w:rsid w:val="6C4A05C8"/>
    <w:rsid w:val="6C4E249B"/>
    <w:rsid w:val="6C8E6038"/>
    <w:rsid w:val="6CD75DC0"/>
    <w:rsid w:val="6E4C0C5C"/>
    <w:rsid w:val="72734D90"/>
    <w:rsid w:val="73F241B6"/>
    <w:rsid w:val="75B75ABB"/>
    <w:rsid w:val="75C8506C"/>
    <w:rsid w:val="76602158"/>
    <w:rsid w:val="77ED69DD"/>
    <w:rsid w:val="7891051A"/>
    <w:rsid w:val="79581E3C"/>
    <w:rsid w:val="79E7B28D"/>
    <w:rsid w:val="7A21770D"/>
    <w:rsid w:val="7A403A8E"/>
    <w:rsid w:val="7A5B16D3"/>
    <w:rsid w:val="7ACF29F8"/>
    <w:rsid w:val="7B3B62E0"/>
    <w:rsid w:val="7BAD0A58"/>
    <w:rsid w:val="7BB036CB"/>
    <w:rsid w:val="7BF5023D"/>
    <w:rsid w:val="7C58519F"/>
    <w:rsid w:val="7C606577"/>
    <w:rsid w:val="7CEE0767"/>
    <w:rsid w:val="7CEF1130"/>
    <w:rsid w:val="7D0E502D"/>
    <w:rsid w:val="7D2E2907"/>
    <w:rsid w:val="7EA1645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 w:type="paragraph" w:customStyle="1" w:styleId="32">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AppData\Local\Temp\wps.HQoKYU\Workbook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manualLayout>
          <c:layoutTarget val="inner"/>
          <c:xMode val="edge"/>
          <c:yMode val="edge"/>
          <c:x val="0.0954411991964148"/>
          <c:y val="0.177083333333333"/>
          <c:w val="0.868706536856745"/>
          <c:h val="0.60611111111111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1161.53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943.21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1161.53</c:v>
                </c:pt>
                <c:pt idx="1">
                  <c:v>943.21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8080667593880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1161.53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943.21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1161.53</c:v>
                </c:pt>
                <c:pt idx="1">
                  <c:v>943.21</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c60b4dc-af7e-4dc1-ae6b-1168c606be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938.23</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739.07</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cf80674-ff15-43d1-8947-4acb36b3d68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290554161364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812.69</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13</a:t>
                    </a:r>
                    <a:r>
                      <a:rPr lang="en-US" altLang="zh-CN"/>
                      <a:t>0.52</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812.69</c:v>
                </c:pt>
                <c:pt idx="1">
                  <c:v>130.52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2832e29-6f09-4472-8898-3ddf72e186a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1161.53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1161.53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1161.53</c:v>
                </c:pt>
                <c:pt idx="1">
                  <c:v>1161.53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943.21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943.21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943.21</c:v>
                </c:pt>
                <c:pt idx="1">
                  <c:v>943.21</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1461d5-6cd0-4522-969f-01aeab3b244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1165.53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1161.53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943.21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943.21</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638f23-e88f-4e24-81f2-952d807cba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220066005591962"/>
                  <c:y val="-0.2216879165687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772.18万元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9475359384638"/>
                  <c:y val="0.034172212476097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122.75万元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78513174687111"/>
                  <c:y val="0.012255650991314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32.24万元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03594598142712"/>
                  <c:y val="-0.022407573163905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16.04万元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[Workbook4.xlsx]Sheet1!$A$2:$A$5</c:f>
              <c:strCache>
                <c:ptCount val="4"/>
                <c:pt idx="0">
                  <c:v>教育支出</c:v>
                </c:pt>
                <c:pt idx="1">
                  <c:v>社保保障和就业支出</c:v>
                </c:pt>
                <c:pt idx="2">
                  <c:v>卫生健康支出</c:v>
                </c:pt>
                <c:pt idx="3">
                  <c:v>住房保障支出</c:v>
                </c:pt>
              </c:strCache>
            </c:strRef>
          </c:cat>
          <c:val>
            <c:numRef>
              <c:f>[Workbook4.xlsx]Sheet1!$B$2:$B$5</c:f>
              <c:numCache>
                <c:formatCode>General</c:formatCode>
                <c:ptCount val="4"/>
                <c:pt idx="0">
                  <c:v>772.18</c:v>
                </c:pt>
                <c:pt idx="1" c:formatCode="#,##0.00">
                  <c:v>122.75</c:v>
                </c:pt>
                <c:pt idx="2" c:formatCode="#,##0.00">
                  <c:v>32.24</c:v>
                </c:pt>
                <c:pt idx="3" c:formatCode="#,##0.00">
                  <c:v>16.04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0d9db6-4c54-4567-b173-32554825cc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0.06</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0.06</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0.06</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f0d7aa2-0d66-4d2e-ae3e-01b2c5a41d0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4925</Words>
  <Characters>5460</Characters>
  <Lines>61</Lines>
  <Paragraphs>17</Paragraphs>
  <TotalTime>0</TotalTime>
  <ScaleCrop>false</ScaleCrop>
  <LinksUpToDate>false</LinksUpToDate>
  <CharactersWithSpaces>5579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2024-10-25T08:01:09Z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F7493DBC2CFB4CE99F79228614F8A882</vt:lpwstr>
  </property>
</Properties>
</file>