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30986"/>
      <w:bookmarkStart w:id="3" w:name="_Toc15378441"/>
      <w:bookmarkStart w:id="4" w:name="_Toc15396475"/>
      <w:bookmarkStart w:id="5" w:name="_Toc26098"/>
      <w:bookmarkStart w:id="6" w:name="_Toc11959"/>
      <w:bookmarkStart w:id="7" w:name="_Toc15396597"/>
      <w:bookmarkStart w:id="8" w:name="_Toc13550"/>
      <w:bookmarkStart w:id="9" w:name="_Toc1537742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bookmarkEnd w:id="7"/>
      <w:bookmarkEnd w:id="8"/>
      <w:bookmarkEnd w:id="9"/>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0" w:name="_Toc4274"/>
      <w:bookmarkStart w:id="11" w:name="_Toc11800"/>
      <w:bookmarkStart w:id="12" w:name="_Toc30445"/>
      <w:bookmarkStart w:id="13" w:name="_Toc2381"/>
      <w:bookmarkStart w:id="14" w:name="_Toc15396598"/>
      <w:bookmarkStart w:id="15" w:name="_Toc15378442"/>
      <w:bookmarkStart w:id="16" w:name="_Toc15377194"/>
      <w:bookmarkStart w:id="17" w:name="_Toc15306268"/>
      <w:bookmarkStart w:id="18" w:name="_Toc15396476"/>
      <w:bookmarkStart w:id="19" w:name="_Toc15377426"/>
      <w:r>
        <w:rPr>
          <w:rFonts w:hint="eastAsia" w:ascii="方正小标宋简体" w:hAnsi="方正小标宋简体" w:eastAsia="方正小标宋简体" w:cs="方正小标宋简体"/>
          <w:sz w:val="72"/>
          <w:szCs w:val="72"/>
        </w:rPr>
        <w:t>大竹县</w:t>
      </w:r>
      <w:bookmarkEnd w:id="10"/>
      <w:bookmarkEnd w:id="11"/>
      <w:bookmarkEnd w:id="12"/>
      <w:bookmarkEnd w:id="13"/>
      <w:r>
        <w:rPr>
          <w:rFonts w:hint="eastAsia" w:ascii="方正小标宋简体" w:hAnsi="方正小标宋简体" w:eastAsia="方正小标宋简体" w:cs="方正小标宋简体"/>
          <w:sz w:val="72"/>
          <w:szCs w:val="72"/>
        </w:rPr>
        <w:t>教科局幼儿园</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20" w:name="_Toc18845"/>
      <w:bookmarkStart w:id="21" w:name="_Toc252"/>
      <w:bookmarkStart w:id="22" w:name="_Toc10496"/>
      <w:bookmarkStart w:id="23" w:name="_Toc9725"/>
      <w:r>
        <w:rPr>
          <w:rFonts w:hint="eastAsia" w:ascii="方正小标宋简体" w:hAnsi="方正小标宋简体" w:eastAsia="方正小标宋简体" w:cs="方正小标宋简体"/>
          <w:sz w:val="72"/>
          <w:szCs w:val="72"/>
        </w:rPr>
        <w:t>单位决算</w:t>
      </w:r>
      <w:bookmarkEnd w:id="14"/>
      <w:bookmarkEnd w:id="15"/>
      <w:bookmarkEnd w:id="16"/>
      <w:bookmarkEnd w:id="17"/>
      <w:bookmarkEnd w:id="18"/>
      <w:bookmarkEnd w:id="19"/>
      <w:bookmarkEnd w:id="20"/>
      <w:bookmarkEnd w:id="21"/>
      <w:bookmarkEnd w:id="22"/>
      <w:bookmarkEnd w:id="23"/>
    </w:p>
    <w:p>
      <w:pPr>
        <w:pStyle w:val="5"/>
        <w:spacing w:before="93"/>
      </w:pPr>
    </w:p>
    <w:p>
      <w:pPr>
        <w:widowControl/>
        <w:jc w:val="center"/>
        <w:rPr>
          <w:rFonts w:ascii="黑体" w:hAnsi="黑体" w:eastAsia="黑体"/>
          <w:sz w:val="48"/>
          <w:szCs w:val="48"/>
        </w:rPr>
        <w:sectPr>
          <w:footerReference r:id="rId5" w:type="first"/>
          <w:headerReference r:id="rId3" w:type="default"/>
          <w:footerReference r:id="rId4" w:type="default"/>
          <w:pgSz w:w="11906" w:h="16838"/>
          <w:pgMar w:top="1440" w:right="1800" w:bottom="1440" w:left="1800" w:header="851" w:footer="992" w:gutter="0"/>
          <w:pgNumType w:start="1"/>
          <w:cols w:space="0" w:num="1"/>
          <w:titlePg/>
          <w:docGrid w:type="lines" w:linePitch="312" w:charSpace="0"/>
        </w:sectPr>
      </w:pPr>
    </w:p>
    <w:p>
      <w:pPr>
        <w:widowControl/>
        <w:jc w:val="center"/>
        <w:rPr>
          <w:rFonts w:ascii="黑体" w:hAnsi="黑体" w:eastAsia="黑体" w:cstheme="minorBidi"/>
          <w:sz w:val="28"/>
          <w:szCs w:val="28"/>
        </w:rPr>
      </w:pPr>
      <w:r>
        <w:rPr>
          <w:rFonts w:hint="eastAsia" w:ascii="黑体" w:hAnsi="黑体" w:eastAsia="黑体"/>
          <w:sz w:val="48"/>
          <w:szCs w:val="48"/>
        </w:rPr>
        <w:t>目录</w:t>
      </w:r>
    </w:p>
    <w:p>
      <w:pPr>
        <w:pStyle w:val="10"/>
      </w:pPr>
      <w:r>
        <w:rPr>
          <w:rFonts w:hint="eastAsia"/>
        </w:rPr>
        <w:t>公开时间：2023年10月8日</w:t>
      </w:r>
    </w:p>
    <w:sdt>
      <w:sdtPr>
        <w:rPr>
          <w:rFonts w:ascii="宋体" w:hAnsi="宋体"/>
        </w:rPr>
        <w:id w:val="147470668"/>
        <w:docPartObj>
          <w:docPartGallery w:val="Table of Contents"/>
          <w:docPartUnique/>
        </w:docPartObj>
      </w:sdtPr>
      <w:sdtEndPr>
        <w:rPr>
          <w:rFonts w:ascii="宋体" w:hAnsi="宋体"/>
          <w:b/>
        </w:rPr>
      </w:sdtEndPr>
      <w:sdtContent>
        <w:p>
          <w:pPr>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"_Toc13859" </w:instrText>
          </w:r>
          <w:r>
            <w:fldChar w:fldCharType="separate"/>
          </w:r>
          <w:r>
            <w:rPr>
              <w:rFonts w:hint="eastAsia" w:ascii="仿宋_GB2312" w:hAnsi="仿宋_GB2312" w:eastAsia="仿宋_GB2312" w:cs="仿宋_GB2312"/>
              <w:sz w:val="24"/>
              <w:szCs w:val="24"/>
            </w:rPr>
            <w:t>第一部分 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"_Toc28917" </w:instrText>
          </w:r>
          <w:r>
            <w:fldChar w:fldCharType="separate"/>
          </w:r>
          <w:r>
            <w:rPr>
              <w:rFonts w:hint="eastAsia" w:ascii="宋体" w:hAnsi="宋体" w:cs="宋体"/>
              <w:sz w:val="24"/>
            </w:rPr>
            <w:t>一、 职能简介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_Toc28917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"_Toc25859" </w:instrText>
          </w:r>
          <w:r>
            <w:fldChar w:fldCharType="separate"/>
          </w:r>
          <w:r>
            <w:rPr>
              <w:rFonts w:hint="eastAsia" w:ascii="宋体" w:hAnsi="宋体" w:cs="宋体"/>
              <w:sz w:val="24"/>
            </w:rPr>
            <w:t>二、机构设置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_Toc25859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"_Toc31162" </w:instrText>
          </w:r>
          <w:r>
            <w:fldChar w:fldCharType="separate"/>
          </w:r>
          <w:r>
            <w:rPr>
              <w:rFonts w:hint="eastAsia" w:ascii="仿宋_GB2312" w:hAnsi="仿宋_GB2312" w:eastAsia="仿宋_GB2312" w:cs="仿宋_GB2312"/>
              <w:bCs/>
              <w:sz w:val="24"/>
              <w:szCs w:val="24"/>
            </w:rPr>
            <w:t>第二部分 2022年度单位决算情况说明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"_Toc3488" </w:instrText>
          </w:r>
          <w:r>
            <w:fldChar w:fldCharType="separate"/>
          </w:r>
          <w:r>
            <w:rPr>
              <w:rFonts w:hint="eastAsia" w:ascii="宋体" w:hAnsi="宋体" w:cs="宋体"/>
              <w:sz w:val="24"/>
            </w:rPr>
            <w:t>一、 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_Toc3488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"_Toc11707" </w:instrText>
          </w:r>
          <w:r>
            <w:fldChar w:fldCharType="separate"/>
          </w:r>
          <w:r>
            <w:rPr>
              <w:rFonts w:hint="eastAsia" w:ascii="宋体" w:hAnsi="宋体" w:cs="宋体"/>
              <w:sz w:val="24"/>
            </w:rPr>
            <w:t>二、 收入决算情况说明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_Toc11707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"_Toc15834" </w:instrText>
          </w:r>
          <w:r>
            <w:fldChar w:fldCharType="separate"/>
          </w:r>
          <w:r>
            <w:rPr>
              <w:rFonts w:hint="eastAsia" w:ascii="宋体" w:hAnsi="宋体" w:cs="宋体"/>
              <w:sz w:val="24"/>
            </w:rPr>
            <w:t>三、 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_Toc15834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"_Toc3674" </w:instrText>
          </w:r>
          <w:r>
            <w:fldChar w:fldCharType="separate"/>
          </w:r>
          <w:r>
            <w:rPr>
              <w:rFonts w:hint="eastAsia" w:ascii="宋体" w:hAnsi="宋体" w:cs="宋体"/>
              <w:sz w:val="24"/>
            </w:rPr>
            <w:t>四、财政拨款收入支出决算总体情况说明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_Toc3674 \h </w:instrText>
          </w:r>
          <w:r>
            <w:rPr>
              <w:rFonts w:hint="eastAsia" w:ascii="宋体" w:hAnsi="宋体" w:cs="宋体"/>
              <w:sz w:val="24"/>
            </w:rPr>
            <w:fldChar w:fldCharType="separate"/>
          </w:r>
          <w:r>
            <w:rPr>
              <w:rFonts w:hint="eastAsia" w:ascii="宋体" w:hAnsi="宋体" w:cs="宋体"/>
              <w:sz w:val="24"/>
            </w:rPr>
            <w:t>6</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"_Toc32249" </w:instrText>
          </w:r>
          <w:r>
            <w:fldChar w:fldCharType="separate"/>
          </w:r>
          <w:r>
            <w:rPr>
              <w:rFonts w:hint="eastAsia" w:ascii="宋体" w:hAnsi="宋体" w:cs="宋体"/>
              <w:sz w:val="24"/>
            </w:rPr>
            <w:t>五、一般公共预算财政拨款支出决算情况说明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_Toc32249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"_Toc21484" </w:instrText>
          </w:r>
          <w:r>
            <w:fldChar w:fldCharType="separate"/>
          </w:r>
          <w:r>
            <w:rPr>
              <w:rFonts w:hint="eastAsia" w:ascii="宋体" w:hAnsi="宋体" w:cs="宋体"/>
              <w:sz w:val="24"/>
            </w:rPr>
            <w:t>六、一般公共预算财政拨款基本支出决算情况说明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_Toc21484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"_Toc9808" </w:instrText>
          </w:r>
          <w:r>
            <w:fldChar w:fldCharType="separate"/>
          </w:r>
          <w:r>
            <w:rPr>
              <w:rFonts w:hint="eastAsia" w:ascii="宋体" w:hAnsi="宋体" w:cs="宋体"/>
              <w:sz w:val="24"/>
            </w:rPr>
            <w:t>七、“三公”经费财政拨款支出决算情况说明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_Toc9808 \h </w:instrText>
          </w:r>
          <w:r>
            <w:rPr>
              <w:rFonts w:hint="eastAsia" w:ascii="宋体" w:hAnsi="宋体" w:cs="宋体"/>
              <w:sz w:val="24"/>
            </w:rPr>
            <w:fldChar w:fldCharType="separate"/>
          </w:r>
          <w:r>
            <w:rPr>
              <w:rFonts w:hint="eastAsia" w:ascii="宋体" w:hAnsi="宋体" w:cs="宋体"/>
              <w:sz w:val="24"/>
            </w:rPr>
            <w:t>10</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"_Toc10844" </w:instrText>
          </w:r>
          <w:r>
            <w:fldChar w:fldCharType="separate"/>
          </w:r>
          <w:r>
            <w:rPr>
              <w:rFonts w:hint="eastAsia" w:ascii="宋体" w:hAnsi="宋体" w:cs="宋体"/>
              <w:sz w:val="24"/>
            </w:rPr>
            <w:t>八、政府性基金预算支出决算情况说明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_Toc10844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"_Toc1214" </w:instrText>
          </w:r>
          <w:r>
            <w:fldChar w:fldCharType="separate"/>
          </w:r>
          <w:r>
            <w:rPr>
              <w:rFonts w:hint="eastAsia" w:ascii="宋体" w:hAnsi="宋体" w:cs="宋体"/>
              <w:sz w:val="24"/>
            </w:rPr>
            <w:t>九、 国有资本经营预算支出决算情况说明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_Toc1214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"_Toc31091" </w:instrText>
          </w:r>
          <w:r>
            <w:fldChar w:fldCharType="separate"/>
          </w:r>
          <w:r>
            <w:rPr>
              <w:rFonts w:hint="eastAsia" w:ascii="宋体" w:hAnsi="宋体" w:cs="宋体"/>
              <w:sz w:val="24"/>
            </w:rPr>
            <w:t>十、 其他重要事项的情况说明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_Toc31091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"_Toc10613" </w:instrText>
          </w:r>
          <w:r>
            <w:fldChar w:fldCharType="separate"/>
          </w:r>
          <w:r>
            <w:rPr>
              <w:rFonts w:hint="eastAsia" w:ascii="仿宋_GB2312" w:hAnsi="仿宋_GB2312" w:eastAsia="仿宋_GB2312" w:cs="仿宋_GB2312"/>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"_Toc25087" </w:instrText>
          </w:r>
          <w:r>
            <w:fldChar w:fldCharType="separate"/>
          </w:r>
          <w:r>
            <w:rPr>
              <w:rFonts w:hint="eastAsia" w:ascii="仿宋_GB2312" w:hAnsi="仿宋_GB2312" w:eastAsia="仿宋_GB2312" w:cs="仿宋_GB2312"/>
              <w:sz w:val="24"/>
              <w:szCs w:val="24"/>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8306"/>
              <w:tab w:val="clear" w:pos="8296"/>
            </w:tabs>
            <w:spacing w:line="440" w:lineRule="exact"/>
            <w:rPr>
              <w:rFonts w:ascii="宋体" w:hAnsi="宋体" w:eastAsia="宋体" w:cs="宋体"/>
              <w:sz w:val="24"/>
              <w:szCs w:val="24"/>
            </w:rPr>
          </w:pPr>
          <w:r>
            <w:fldChar w:fldCharType="begin"/>
          </w:r>
          <w:r>
            <w:instrText xml:space="preserve"> HYPERLINK \l "_Toc31790" </w:instrText>
          </w:r>
          <w:r>
            <w:fldChar w:fldCharType="separate"/>
          </w:r>
          <w:r>
            <w:rPr>
              <w:rFonts w:hint="eastAsia" w:ascii="仿宋_GB2312" w:hAnsi="仿宋_GB2312" w:eastAsia="仿宋_GB2312" w:cs="仿宋_GB2312"/>
              <w:sz w:val="24"/>
              <w:szCs w:val="24"/>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"_Toc21540" </w:instrText>
          </w:r>
          <w:r>
            <w:fldChar w:fldCharType="separate"/>
          </w:r>
          <w:r>
            <w:rPr>
              <w:rFonts w:hint="eastAsia" w:ascii="宋体" w:hAnsi="宋体" w:cs="宋体"/>
              <w:sz w:val="24"/>
            </w:rPr>
            <w:t>一、收入支出决算总表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_Toc21540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"_Toc14740" </w:instrText>
          </w:r>
          <w:r>
            <w:fldChar w:fldCharType="separate"/>
          </w:r>
          <w:r>
            <w:rPr>
              <w:rFonts w:hint="eastAsia" w:ascii="宋体" w:hAnsi="宋体" w:cs="宋体"/>
              <w:sz w:val="24"/>
            </w:rPr>
            <w:t>二、收入决算表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_Toc14740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"_Toc26490" </w:instrText>
          </w:r>
          <w:r>
            <w:fldChar w:fldCharType="separate"/>
          </w:r>
          <w:r>
            <w:rPr>
              <w:rFonts w:hint="eastAsia" w:ascii="宋体" w:hAnsi="宋体" w:cs="宋体"/>
              <w:sz w:val="24"/>
            </w:rPr>
            <w:t>三、支出决算表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_Toc26490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"_Toc4249" </w:instrText>
          </w:r>
          <w:r>
            <w:fldChar w:fldCharType="separate"/>
          </w:r>
          <w:r>
            <w:rPr>
              <w:rFonts w:hint="eastAsia" w:ascii="宋体" w:hAnsi="宋体" w:cs="宋体"/>
              <w:sz w:val="24"/>
            </w:rPr>
            <w:t>四、财政拨款收入支出决算总表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_Toc4249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"_Toc21621" </w:instrText>
          </w:r>
          <w:r>
            <w:fldChar w:fldCharType="separate"/>
          </w:r>
          <w:r>
            <w:rPr>
              <w:rFonts w:hint="eastAsia" w:ascii="宋体" w:hAnsi="宋体" w:cs="宋体"/>
              <w:sz w:val="24"/>
            </w:rPr>
            <w:t>五、财政拨款支出决算明细表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_Toc21621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"_Toc1061" </w:instrText>
          </w:r>
          <w:r>
            <w:fldChar w:fldCharType="separate"/>
          </w:r>
          <w:r>
            <w:rPr>
              <w:rFonts w:hint="eastAsia" w:ascii="宋体" w:hAnsi="宋体" w:cs="宋体"/>
              <w:sz w:val="24"/>
            </w:rPr>
            <w:t>六、一般公共预算财政拨款支出决算表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_Toc1061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"_Toc6268" </w:instrText>
          </w:r>
          <w:r>
            <w:fldChar w:fldCharType="separate"/>
          </w:r>
          <w:r>
            <w:rPr>
              <w:rFonts w:hint="eastAsia" w:ascii="宋体" w:hAnsi="宋体" w:cs="宋体"/>
              <w:sz w:val="24"/>
            </w:rPr>
            <w:t>七、一般公共预算财政拨款支出决算明细表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_Toc6268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"_Toc29111" </w:instrText>
          </w:r>
          <w:r>
            <w:fldChar w:fldCharType="separate"/>
          </w:r>
          <w:r>
            <w:rPr>
              <w:rFonts w:hint="eastAsia" w:ascii="宋体" w:hAnsi="宋体" w:cs="宋体"/>
              <w:sz w:val="24"/>
            </w:rPr>
            <w:t>八、一般公共预算财政拨款基本支出决算表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_Toc29111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"_Toc25077" </w:instrText>
          </w:r>
          <w:r>
            <w:fldChar w:fldCharType="separate"/>
          </w:r>
          <w:r>
            <w:rPr>
              <w:rFonts w:hint="eastAsia" w:ascii="宋体" w:hAnsi="宋体" w:cs="宋体"/>
              <w:sz w:val="24"/>
            </w:rPr>
            <w:t>九、一般公共预算财政拨款项目支出决算表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_Toc25077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"_Toc8538" </w:instrText>
          </w:r>
          <w:r>
            <w:fldChar w:fldCharType="separate"/>
          </w:r>
          <w:r>
            <w:rPr>
              <w:rFonts w:hint="eastAsia" w:ascii="宋体" w:hAnsi="宋体" w:cs="宋体"/>
              <w:sz w:val="24"/>
            </w:rPr>
            <w:t>十、政府性基金预算财政拨款收入支出决算表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_Toc8538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"_Toc26365" </w:instrText>
          </w:r>
          <w:r>
            <w:fldChar w:fldCharType="separate"/>
          </w:r>
          <w:r>
            <w:rPr>
              <w:rFonts w:hint="eastAsia" w:ascii="宋体" w:hAnsi="宋体" w:cs="宋体"/>
              <w:sz w:val="24"/>
            </w:rPr>
            <w:t>十一、国有资本经营预算财政拨款收入支出决算表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_Toc26365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rPr>
              <w:rFonts w:ascii="宋体" w:hAnsi="宋体" w:cs="宋体"/>
              <w:sz w:val="24"/>
            </w:rPr>
          </w:pPr>
          <w:r>
            <w:fldChar w:fldCharType="begin"/>
          </w:r>
          <w:r>
            <w:instrText xml:space="preserve"> HYPERLINK \l "_Toc11791" </w:instrText>
          </w:r>
          <w:r>
            <w:fldChar w:fldCharType="separate"/>
          </w:r>
          <w:r>
            <w:rPr>
              <w:rFonts w:hint="eastAsia" w:ascii="宋体" w:hAnsi="宋体" w:cs="宋体"/>
              <w:sz w:val="24"/>
            </w:rPr>
            <w:t>十二、国有资本经营预算财政拨款支出决算表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_Toc11791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pPr>
            <w:pStyle w:val="11"/>
            <w:tabs>
              <w:tab w:val="right" w:leader="dot" w:pos="8306"/>
              <w:tab w:val="clear" w:pos="8296"/>
            </w:tabs>
            <w:spacing w:line="440" w:lineRule="exact"/>
          </w:pPr>
          <w:r>
            <w:fldChar w:fldCharType="begin"/>
          </w:r>
          <w:r>
            <w:instrText xml:space="preserve"> HYPERLINK \l "_Toc26267" </w:instrText>
          </w:r>
          <w:r>
            <w:fldChar w:fldCharType="separate"/>
          </w:r>
          <w:r>
            <w:rPr>
              <w:rFonts w:hint="eastAsia" w:ascii="宋体" w:hAnsi="宋体" w:cs="宋体"/>
              <w:sz w:val="24"/>
            </w:rPr>
            <w:t>十三、财政拨款“三公”经费支出决算表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_Toc26267 \h </w:instrText>
          </w:r>
          <w:r>
            <w:rPr>
              <w:rFonts w:hint="eastAsia" w:ascii="宋体" w:hAnsi="宋体" w:cs="宋体"/>
              <w:sz w:val="24"/>
            </w:rPr>
            <w:fldChar w:fldCharType="separate"/>
          </w:r>
          <w:r>
            <w:rPr>
              <w:rFonts w:hint="eastAsia" w:ascii="宋体" w:hAnsi="宋体" w:cs="宋体"/>
              <w:sz w:val="24"/>
            </w:rPr>
            <w:t>43</w:t>
          </w:r>
          <w:r>
            <w:rPr>
              <w:rFonts w:hint="eastAsia" w:ascii="宋体" w:hAnsi="宋体" w:cs="宋体"/>
              <w:sz w:val="24"/>
            </w:rPr>
            <w:fldChar w:fldCharType="end"/>
          </w:r>
          <w:r>
            <w:rPr>
              <w:rFonts w:hint="eastAsia" w:ascii="宋体" w:hAnsi="宋体" w:cs="宋体"/>
              <w:sz w:val="24"/>
            </w:rPr>
            <w:fldChar w:fldCharType="end"/>
          </w:r>
        </w:p>
        <w:p>
          <w:r>
            <w:rPr>
              <w:rFonts w:hint="eastAsia" w:ascii="仿宋_GB2312" w:hAnsi="仿宋_GB2312" w:eastAsia="仿宋_GB2312" w:cs="仿宋_GB2312"/>
              <w:szCs w:val="28"/>
            </w:rP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2"/>
        <w:jc w:val="center"/>
        <w:rPr>
          <w:rStyle w:val="24"/>
          <w:rFonts w:ascii="黑体" w:hAnsi="黑体" w:eastAsia="黑体"/>
          <w:b/>
          <w:bCs w:val="0"/>
        </w:rPr>
      </w:pPr>
      <w:bookmarkStart w:id="24" w:name="_Toc13859"/>
      <w:r>
        <w:rPr>
          <w:rFonts w:hint="eastAsia" w:ascii="黑体" w:hAnsi="黑体" w:eastAsia="黑体"/>
          <w:b w:val="0"/>
        </w:rPr>
        <w:t>第一部分 单位</w:t>
      </w:r>
      <w:r>
        <w:rPr>
          <w:rStyle w:val="24"/>
          <w:rFonts w:hint="eastAsia" w:ascii="黑体" w:hAnsi="黑体" w:eastAsia="黑体"/>
          <w:b w:val="0"/>
          <w:bCs w:val="0"/>
        </w:rPr>
        <w:t>概况</w:t>
      </w:r>
      <w:bookmarkEnd w:id="24"/>
    </w:p>
    <w:p>
      <w:pPr>
        <w:widowControl/>
        <w:jc w:val="left"/>
        <w:rPr>
          <w:rFonts w:ascii="黑体" w:eastAsia="黑体"/>
          <w:sz w:val="32"/>
          <w:szCs w:val="32"/>
        </w:rPr>
      </w:pPr>
    </w:p>
    <w:p>
      <w:pPr>
        <w:pStyle w:val="3"/>
        <w:numPr>
          <w:ilvl w:val="0"/>
          <w:numId w:val="1"/>
        </w:numPr>
        <w:rPr>
          <w:rStyle w:val="25"/>
          <w:rFonts w:ascii="黑体" w:hAnsi="黑体" w:eastAsia="黑体"/>
          <w:b w:val="0"/>
          <w:bCs w:val="0"/>
        </w:rPr>
      </w:pPr>
      <w:bookmarkStart w:id="25" w:name="_Toc28917"/>
      <w:bookmarkStart w:id="26" w:name="_Toc15396600"/>
      <w:bookmarkStart w:id="27" w:name="_Toc15377197"/>
      <w:r>
        <w:rPr>
          <w:rStyle w:val="25"/>
          <w:rFonts w:hint="eastAsia" w:ascii="黑体" w:hAnsi="黑体" w:eastAsia="黑体"/>
          <w:b w:val="0"/>
          <w:bCs w:val="0"/>
        </w:rPr>
        <w:t>职能简介</w:t>
      </w:r>
      <w:bookmarkEnd w:id="25"/>
    </w:p>
    <w:p>
      <w:pPr>
        <w:spacing w:line="600" w:lineRule="exact"/>
        <w:ind w:firstLine="640" w:firstLineChars="200"/>
        <w:rPr>
          <w:rFonts w:ascii="仿宋" w:hAnsi="仿宋" w:eastAsia="仿宋"/>
          <w:color w:val="000000" w:themeColor="text1"/>
          <w:sz w:val="32"/>
          <w:szCs w:val="32"/>
          <w:lang w:val="zh-CN"/>
          <w14:textFill>
            <w14:solidFill>
              <w14:schemeClr w14:val="tx1"/>
            </w14:solidFill>
          </w14:textFill>
        </w:rPr>
      </w:pPr>
      <w:r>
        <w:rPr>
          <w:rFonts w:hint="eastAsia" w:ascii="仿宋" w:hAnsi="仿宋" w:eastAsia="仿宋"/>
          <w:bCs/>
          <w:kern w:val="0"/>
          <w:sz w:val="32"/>
          <w:szCs w:val="32"/>
        </w:rPr>
        <w:t>大竹县教科局幼儿园是</w:t>
      </w:r>
      <w:r>
        <w:rPr>
          <w:rFonts w:hint="eastAsia" w:ascii="仿宋" w:hAnsi="仿宋" w:eastAsia="仿宋"/>
          <w:color w:val="000000" w:themeColor="text1"/>
          <w:sz w:val="32"/>
          <w:szCs w:val="32"/>
          <w14:textFill>
            <w14:solidFill>
              <w14:schemeClr w14:val="tx1"/>
            </w14:solidFill>
          </w14:textFill>
        </w:rPr>
        <w:t>大竹县教育局直属全额财政拨款事业单位（公益二类）。</w:t>
      </w:r>
      <w:r>
        <w:rPr>
          <w:rFonts w:hint="eastAsia" w:ascii="仿宋" w:hAnsi="仿宋" w:eastAsia="仿宋"/>
          <w:bCs/>
          <w:kern w:val="0"/>
          <w:sz w:val="32"/>
          <w:szCs w:val="32"/>
        </w:rPr>
        <w:t>工作职能及主要工作是贯彻执行国家教育方针政策，承担学前教育职责，实施学前教育，促进县域学前教育发展。</w:t>
      </w:r>
    </w:p>
    <w:p>
      <w:pPr>
        <w:pStyle w:val="3"/>
        <w:rPr>
          <w:rFonts w:ascii="黑体" w:hAnsi="黑体" w:eastAsia="黑体"/>
          <w:b w:val="0"/>
        </w:rPr>
      </w:pPr>
      <w:bookmarkStart w:id="28" w:name="_Toc25859"/>
      <w:r>
        <w:rPr>
          <w:rFonts w:hint="eastAsia" w:ascii="黑体" w:hAnsi="黑体" w:eastAsia="黑体"/>
          <w:b w:val="0"/>
        </w:rPr>
        <w:t>二、</w:t>
      </w:r>
      <w:bookmarkEnd w:id="26"/>
      <w:bookmarkEnd w:id="27"/>
      <w:r>
        <w:rPr>
          <w:rFonts w:hint="eastAsia" w:ascii="黑体" w:hAnsi="黑体" w:eastAsia="黑体"/>
          <w:b w:val="0"/>
        </w:rPr>
        <w:t>机构设置</w:t>
      </w:r>
      <w:bookmarkEnd w:id="28"/>
    </w:p>
    <w:p>
      <w:pPr>
        <w:ind w:firstLine="640" w:firstLineChars="200"/>
        <w:rPr>
          <w:rFonts w:ascii="仿宋" w:hAnsi="仿宋" w:eastAsia="仿宋"/>
          <w:color w:val="000000"/>
          <w:sz w:val="32"/>
          <w:szCs w:val="32"/>
        </w:rPr>
      </w:pPr>
      <w:r>
        <w:rPr>
          <w:rFonts w:hint="eastAsia" w:ascii="仿宋" w:hAnsi="仿宋" w:eastAsia="仿宋"/>
          <w:bCs/>
          <w:kern w:val="0"/>
          <w:sz w:val="32"/>
          <w:szCs w:val="32"/>
        </w:rPr>
        <w:t>大竹县教科局幼儿园</w:t>
      </w:r>
      <w:r>
        <w:rPr>
          <w:rFonts w:hint="eastAsia" w:ascii="仿宋" w:hAnsi="仿宋" w:eastAsia="仿宋"/>
          <w:color w:val="000000"/>
          <w:sz w:val="32"/>
          <w:szCs w:val="32"/>
        </w:rPr>
        <w:t>下属二级单位0个，其中行政单位0个，参照公务员法管理的事业单位0个，其他事业单位0个。</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bCs/>
          <w:kern w:val="0"/>
          <w:sz w:val="32"/>
          <w:szCs w:val="32"/>
        </w:rPr>
        <w:t>大竹县教科局幼儿园</w:t>
      </w:r>
      <w:r>
        <w:rPr>
          <w:rFonts w:hint="eastAsia" w:ascii="仿宋" w:hAnsi="仿宋" w:eastAsia="仿宋"/>
          <w:color w:val="000000"/>
          <w:sz w:val="32"/>
          <w:szCs w:val="32"/>
        </w:rPr>
        <w:t>2022年度部门决算编制范围的二级预算单位包括：</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无。</w:t>
      </w:r>
    </w:p>
    <w:p>
      <w:pPr>
        <w:ind w:firstLine="420" w:firstLineChars="200"/>
      </w:pPr>
    </w:p>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24"/>
          <w:rFonts w:ascii="黑体" w:hAnsi="黑体" w:eastAsia="黑体"/>
          <w:b w:val="0"/>
          <w:bCs/>
        </w:rPr>
      </w:pPr>
      <w:bookmarkStart w:id="29" w:name="_Toc31162"/>
      <w:bookmarkStart w:id="30" w:name="_Toc15396602"/>
      <w:bookmarkStart w:id="31" w:name="_Toc15377204"/>
      <w:r>
        <w:rPr>
          <w:rFonts w:hint="eastAsia" w:ascii="黑体" w:hAnsi="黑体" w:eastAsia="黑体"/>
          <w:b w:val="0"/>
        </w:rPr>
        <w:t>第二部分 2022年度</w:t>
      </w:r>
      <w:r>
        <w:rPr>
          <w:rStyle w:val="24"/>
          <w:rFonts w:hint="eastAsia" w:ascii="黑体" w:hAnsi="黑体" w:eastAsia="黑体"/>
          <w:b w:val="0"/>
          <w:bCs/>
        </w:rPr>
        <w:t>单位决算情况说明</w:t>
      </w:r>
      <w:bookmarkEnd w:id="29"/>
      <w:bookmarkEnd w:id="30"/>
      <w:bookmarkEnd w:id="31"/>
    </w:p>
    <w:p/>
    <w:p>
      <w:pPr>
        <w:pStyle w:val="23"/>
        <w:numPr>
          <w:ilvl w:val="0"/>
          <w:numId w:val="2"/>
        </w:numPr>
        <w:spacing w:line="600" w:lineRule="exact"/>
        <w:ind w:firstLineChars="0"/>
        <w:outlineLvl w:val="1"/>
        <w:rPr>
          <w:rStyle w:val="25"/>
          <w:rFonts w:ascii="黑体" w:hAnsi="黑体" w:eastAsia="黑体"/>
          <w:b w:val="0"/>
        </w:rPr>
      </w:pPr>
      <w:bookmarkStart w:id="32" w:name="_Toc3488"/>
      <w:bookmarkStart w:id="33" w:name="_Toc15396603"/>
      <w:bookmarkStart w:id="34"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32"/>
      <w:bookmarkEnd w:id="33"/>
      <w:bookmarkEnd w:id="34"/>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2022年度收、支总计914.58万元。与2021年相比，收、支总计各减少269.23万元，下降22.74</w:t>
      </w:r>
      <w:r>
        <w:rPr>
          <w:rFonts w:ascii="仿宋" w:hAnsi="仿宋" w:eastAsia="仿宋"/>
          <w:sz w:val="32"/>
          <w:szCs w:val="32"/>
        </w:rPr>
        <w:t>%</w:t>
      </w:r>
      <w:r>
        <w:rPr>
          <w:rFonts w:hint="eastAsia" w:ascii="仿宋" w:hAnsi="仿宋" w:eastAsia="仿宋"/>
          <w:sz w:val="32"/>
          <w:szCs w:val="32"/>
        </w:rPr>
        <w:t>。主要变动原因是项目投入减少而导致收入支出减少。</w:t>
      </w:r>
    </w:p>
    <w:p>
      <w:pPr>
        <w:pStyle w:val="5"/>
        <w:spacing w:before="93"/>
        <w:rPr>
          <w:rFonts w:ascii="仿宋" w:hAnsi="仿宋" w:eastAsia="仿宋"/>
          <w:sz w:val="32"/>
          <w:szCs w:val="32"/>
        </w:rPr>
      </w:pPr>
    </w:p>
    <w:p>
      <w:pPr>
        <w:pStyle w:val="5"/>
        <w:spacing w:before="93"/>
        <w:jc w:val="center"/>
        <w:rPr>
          <w:rFonts w:ascii="仿宋" w:hAnsi="仿宋" w:eastAsia="仿宋"/>
          <w:sz w:val="32"/>
          <w:szCs w:val="32"/>
        </w:rPr>
      </w:pPr>
      <w:r>
        <w:rPr>
          <w:rFonts w:hint="eastAsia" w:ascii="仿宋" w:hAnsi="仿宋" w:eastAsia="仿宋"/>
          <w:sz w:val="32"/>
          <w:szCs w:val="32"/>
        </w:rPr>
        <w:drawing>
          <wp:inline distT="0" distB="0" distL="114300" distR="114300">
            <wp:extent cx="4109085" cy="2743200"/>
            <wp:effectExtent l="0" t="0" r="2476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5"/>
        <w:spacing w:before="93"/>
        <w:jc w:val="center"/>
        <w:rPr>
          <w:rFonts w:ascii="仿宋" w:hAnsi="仿宋" w:eastAsia="仿宋"/>
          <w:sz w:val="32"/>
          <w:szCs w:val="32"/>
        </w:rPr>
      </w:pPr>
      <w:r>
        <w:rPr>
          <w:rFonts w:hint="eastAsia" w:ascii="仿宋" w:hAnsi="仿宋" w:eastAsia="仿宋"/>
          <w:sz w:val="32"/>
          <w:szCs w:val="32"/>
        </w:rPr>
        <w:t>（图1：收、支决算总计变动情况图）</w:t>
      </w:r>
    </w:p>
    <w:p>
      <w:pPr>
        <w:pStyle w:val="23"/>
        <w:numPr>
          <w:ilvl w:val="0"/>
          <w:numId w:val="2"/>
        </w:numPr>
        <w:spacing w:line="600" w:lineRule="exact"/>
        <w:ind w:firstLineChars="0"/>
        <w:outlineLvl w:val="1"/>
        <w:rPr>
          <w:rStyle w:val="25"/>
          <w:rFonts w:ascii="黑体" w:hAnsi="黑体" w:eastAsia="黑体"/>
          <w:b w:val="0"/>
        </w:rPr>
      </w:pPr>
      <w:bookmarkStart w:id="35" w:name="_Toc15377206"/>
      <w:bookmarkStart w:id="36" w:name="_Toc11707"/>
      <w:bookmarkStart w:id="37" w:name="_Toc15396604"/>
      <w:r>
        <w:rPr>
          <w:rFonts w:hint="eastAsia" w:ascii="黑体" w:hAnsi="黑体" w:eastAsia="黑体"/>
          <w:sz w:val="32"/>
          <w:szCs w:val="32"/>
        </w:rPr>
        <w:t>收</w:t>
      </w:r>
      <w:r>
        <w:rPr>
          <w:rStyle w:val="25"/>
          <w:rFonts w:hint="eastAsia" w:ascii="黑体" w:hAnsi="黑体" w:eastAsia="黑体"/>
          <w:b w:val="0"/>
        </w:rPr>
        <w:t>入决算情况说明</w:t>
      </w:r>
      <w:bookmarkEnd w:id="35"/>
      <w:bookmarkEnd w:id="36"/>
      <w:bookmarkEnd w:id="37"/>
    </w:p>
    <w:p>
      <w:pPr>
        <w:ind w:firstLine="640" w:firstLineChars="200"/>
        <w:outlineLvl w:val="1"/>
        <w:rPr>
          <w:rFonts w:ascii="仿宋" w:hAnsi="仿宋" w:eastAsia="仿宋"/>
          <w:sz w:val="32"/>
          <w:szCs w:val="32"/>
        </w:rPr>
      </w:pPr>
      <w:bookmarkStart w:id="38" w:name="_Toc8417"/>
      <w:bookmarkStart w:id="39" w:name="_Toc1077"/>
      <w:bookmarkStart w:id="40" w:name="_Toc27653"/>
      <w:r>
        <w:rPr>
          <w:rFonts w:ascii="仿宋" w:hAnsi="仿宋" w:eastAsia="仿宋"/>
          <w:sz w:val="32"/>
          <w:szCs w:val="32"/>
        </w:rPr>
        <w:t>20</w:t>
      </w:r>
      <w:r>
        <w:rPr>
          <w:rFonts w:hint="eastAsia" w:ascii="仿宋" w:hAnsi="仿宋" w:eastAsia="仿宋"/>
          <w:sz w:val="32"/>
          <w:szCs w:val="32"/>
        </w:rPr>
        <w:t>22年本年收入合计914.22万元，其中：一般公共预算财政拨款收入914.22万元，占100</w:t>
      </w:r>
      <w:r>
        <w:rPr>
          <w:rFonts w:ascii="仿宋" w:hAnsi="仿宋" w:eastAsia="仿宋"/>
          <w:sz w:val="32"/>
          <w:szCs w:val="32"/>
        </w:rPr>
        <w:t>%</w:t>
      </w:r>
      <w:r>
        <w:rPr>
          <w:rFonts w:hint="eastAsia" w:ascii="仿宋" w:hAnsi="仿宋" w:eastAsia="仿宋"/>
          <w:sz w:val="32"/>
          <w:szCs w:val="32"/>
        </w:rPr>
        <w:t>。</w:t>
      </w:r>
      <w:bookmarkEnd w:id="38"/>
      <w:bookmarkEnd w:id="39"/>
      <w:bookmarkEnd w:id="40"/>
    </w:p>
    <w:p>
      <w:pPr>
        <w:pStyle w:val="5"/>
        <w:spacing w:before="93"/>
      </w:pPr>
    </w:p>
    <w:p>
      <w:pPr>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114300" distR="114300">
            <wp:extent cx="3890010" cy="2734310"/>
            <wp:effectExtent l="0" t="0" r="15240" b="279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（图2：收入决算结构图）</w:t>
      </w:r>
    </w:p>
    <w:p>
      <w:pPr>
        <w:pStyle w:val="23"/>
        <w:numPr>
          <w:ilvl w:val="0"/>
          <w:numId w:val="2"/>
        </w:numPr>
        <w:spacing w:line="600" w:lineRule="exact"/>
        <w:ind w:firstLineChars="0"/>
        <w:outlineLvl w:val="1"/>
        <w:rPr>
          <w:rStyle w:val="25"/>
          <w:rFonts w:ascii="黑体" w:hAnsi="黑体" w:eastAsia="黑体"/>
          <w:b w:val="0"/>
        </w:rPr>
      </w:pPr>
      <w:bookmarkStart w:id="41" w:name="_Toc15834"/>
      <w:bookmarkStart w:id="42" w:name="_Toc15377207"/>
      <w:bookmarkStart w:id="43" w:name="_Toc15396605"/>
      <w:r>
        <w:rPr>
          <w:rFonts w:hint="eastAsia" w:ascii="黑体" w:hAnsi="黑体" w:eastAsia="黑体"/>
          <w:sz w:val="32"/>
          <w:szCs w:val="32"/>
        </w:rPr>
        <w:t>支</w:t>
      </w:r>
      <w:r>
        <w:rPr>
          <w:rStyle w:val="25"/>
          <w:rFonts w:hint="eastAsia" w:ascii="黑体" w:hAnsi="黑体" w:eastAsia="黑体"/>
          <w:b w:val="0"/>
        </w:rPr>
        <w:t>出决算情况说明</w:t>
      </w:r>
      <w:bookmarkEnd w:id="41"/>
      <w:bookmarkEnd w:id="42"/>
      <w:bookmarkEnd w:id="43"/>
    </w:p>
    <w:p>
      <w:pPr>
        <w:spacing w:line="600" w:lineRule="exact"/>
        <w:ind w:firstLine="640" w:firstLineChars="200"/>
        <w:outlineLvl w:val="1"/>
      </w:pPr>
      <w:bookmarkStart w:id="44" w:name="_Toc10252"/>
      <w:bookmarkStart w:id="45" w:name="_Toc7571"/>
      <w:bookmarkStart w:id="46" w:name="_Toc30049"/>
      <w:r>
        <w:rPr>
          <w:rFonts w:ascii="仿宋" w:hAnsi="仿宋" w:eastAsia="仿宋"/>
          <w:sz w:val="32"/>
          <w:szCs w:val="32"/>
        </w:rPr>
        <w:t>20</w:t>
      </w:r>
      <w:r>
        <w:rPr>
          <w:rFonts w:hint="eastAsia" w:ascii="仿宋" w:hAnsi="仿宋" w:eastAsia="仿宋"/>
          <w:sz w:val="32"/>
          <w:szCs w:val="32"/>
        </w:rPr>
        <w:t>22年本年支出合计914.58万元，其中：基本支出</w:t>
      </w:r>
      <w:r>
        <w:rPr>
          <w:rFonts w:ascii="仿宋" w:hAnsi="仿宋" w:eastAsia="仿宋"/>
          <w:sz w:val="32"/>
          <w:szCs w:val="32"/>
        </w:rPr>
        <w:t>716.83</w:t>
      </w:r>
      <w:r>
        <w:rPr>
          <w:rFonts w:hint="eastAsia" w:ascii="仿宋" w:hAnsi="仿宋" w:eastAsia="仿宋"/>
          <w:sz w:val="32"/>
          <w:szCs w:val="32"/>
        </w:rPr>
        <w:t>万元，占78.38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197.75</w:t>
      </w:r>
      <w:r>
        <w:rPr>
          <w:rFonts w:hint="eastAsia" w:ascii="仿宋" w:hAnsi="仿宋" w:eastAsia="仿宋"/>
          <w:sz w:val="32"/>
          <w:szCs w:val="32"/>
        </w:rPr>
        <w:t>万元，占21.62</w:t>
      </w:r>
      <w:r>
        <w:rPr>
          <w:rFonts w:ascii="仿宋" w:hAnsi="仿宋" w:eastAsia="仿宋"/>
          <w:sz w:val="32"/>
          <w:szCs w:val="32"/>
        </w:rPr>
        <w:t>%</w:t>
      </w:r>
      <w:r>
        <w:rPr>
          <w:rFonts w:hint="eastAsia" w:ascii="仿宋" w:hAnsi="仿宋" w:eastAsia="仿宋"/>
          <w:sz w:val="32"/>
          <w:szCs w:val="32"/>
        </w:rPr>
        <w:t>。</w:t>
      </w:r>
      <w:bookmarkEnd w:id="44"/>
      <w:bookmarkEnd w:id="45"/>
      <w:bookmarkEnd w:id="46"/>
    </w:p>
    <w:p>
      <w:pPr>
        <w:ind w:firstLine="640" w:firstLineChars="200"/>
        <w:jc w:val="center"/>
        <w:rPr>
          <w:rFonts w:ascii="仿宋_GB2312" w:eastAsia="仿宋_GB2312"/>
          <w:sz w:val="32"/>
          <w:szCs w:val="32"/>
        </w:rPr>
      </w:pPr>
      <w:r>
        <w:rPr>
          <w:rFonts w:hint="eastAsia" w:ascii="仿宋_GB2312" w:eastAsia="仿宋_GB2312"/>
          <w:sz w:val="32"/>
          <w:szCs w:val="32"/>
        </w:rPr>
        <w:drawing>
          <wp:inline distT="0" distB="0" distL="114300" distR="114300">
            <wp:extent cx="3832225" cy="2905760"/>
            <wp:effectExtent l="0" t="0" r="15875" b="279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5"/>
        <w:spacing w:before="93"/>
        <w:jc w:val="center"/>
      </w:pPr>
      <w:r>
        <w:rPr>
          <w:rFonts w:hint="eastAsia"/>
        </w:rPr>
        <w:t>（图3：支出决算结构图）</w:t>
      </w:r>
    </w:p>
    <w:p>
      <w:pPr>
        <w:spacing w:line="600" w:lineRule="exact"/>
        <w:ind w:firstLine="640" w:firstLineChars="200"/>
        <w:outlineLvl w:val="1"/>
        <w:rPr>
          <w:rStyle w:val="25"/>
          <w:rFonts w:ascii="黑体" w:hAnsi="黑体" w:eastAsia="黑体"/>
          <w:b w:val="0"/>
        </w:rPr>
      </w:pPr>
      <w:bookmarkStart w:id="47" w:name="_Toc15396606"/>
      <w:bookmarkStart w:id="48" w:name="_Toc15377208"/>
      <w:bookmarkStart w:id="49" w:name="_Toc3674"/>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47"/>
      <w:bookmarkEnd w:id="48"/>
      <w:bookmarkEnd w:id="49"/>
    </w:p>
    <w:p>
      <w:pPr>
        <w:ind w:firstLine="640" w:firstLineChars="200"/>
        <w:rPr>
          <w:rFonts w:ascii="仿宋" w:hAnsi="仿宋" w:eastAsia="仿宋"/>
          <w:sz w:val="32"/>
          <w:szCs w:val="32"/>
        </w:rPr>
      </w:pPr>
      <w:r>
        <w:rPr>
          <w:rFonts w:hint="eastAsia" w:ascii="仿宋" w:hAnsi="仿宋" w:eastAsia="仿宋"/>
          <w:sz w:val="32"/>
          <w:szCs w:val="32"/>
        </w:rPr>
        <w:t>2022年度收、支总计914.58万元。与2021年相比，收、支总计各减少269.23万元，下降22.74%。主要变动原因是项目投入减少。</w:t>
      </w:r>
    </w:p>
    <w:p>
      <w:pPr>
        <w:pStyle w:val="5"/>
        <w:spacing w:before="93"/>
      </w:pPr>
    </w:p>
    <w:p>
      <w:pPr>
        <w:ind w:firstLine="640"/>
        <w:jc w:val="center"/>
        <w:rPr>
          <w:rFonts w:ascii="仿宋" w:hAnsi="仿宋" w:eastAsia="仿宋"/>
          <w:sz w:val="32"/>
          <w:szCs w:val="32"/>
        </w:rPr>
      </w:pPr>
      <w:r>
        <w:rPr>
          <w:rFonts w:hint="eastAsia" w:ascii="仿宋" w:hAnsi="仿宋" w:eastAsia="仿宋"/>
          <w:sz w:val="32"/>
          <w:szCs w:val="32"/>
        </w:rPr>
        <w:drawing>
          <wp:inline distT="0" distB="0" distL="114300" distR="114300">
            <wp:extent cx="4109085" cy="2743200"/>
            <wp:effectExtent l="0" t="0" r="2476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5"/>
        <w:spacing w:before="93"/>
        <w:jc w:val="center"/>
      </w:pPr>
      <w:r>
        <w:rPr>
          <w:rFonts w:hint="eastAsia"/>
        </w:rPr>
        <w:t>（图4：财政拨款收、支决算总计变动情况）</w:t>
      </w:r>
    </w:p>
    <w:p>
      <w:pPr>
        <w:ind w:firstLine="640" w:firstLineChars="200"/>
        <w:outlineLvl w:val="1"/>
        <w:rPr>
          <w:rStyle w:val="25"/>
          <w:rFonts w:ascii="黑体" w:hAnsi="黑体" w:eastAsia="黑体"/>
          <w:b w:val="0"/>
        </w:rPr>
      </w:pPr>
      <w:bookmarkStart w:id="50" w:name="_Toc15377209"/>
      <w:bookmarkStart w:id="51" w:name="_Toc32249"/>
      <w:bookmarkStart w:id="52"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50"/>
      <w:bookmarkEnd w:id="51"/>
      <w:bookmarkEnd w:id="52"/>
    </w:p>
    <w:p>
      <w:pPr>
        <w:spacing w:line="600" w:lineRule="exact"/>
        <w:ind w:firstLine="643" w:firstLineChars="200"/>
        <w:outlineLvl w:val="2"/>
        <w:rPr>
          <w:rFonts w:ascii="仿宋" w:hAnsi="仿宋" w:eastAsia="仿宋"/>
          <w:b/>
          <w:sz w:val="32"/>
          <w:szCs w:val="32"/>
        </w:rPr>
      </w:pPr>
      <w:bookmarkStart w:id="53" w:name="_Toc15377210"/>
      <w:r>
        <w:rPr>
          <w:rFonts w:hint="eastAsia" w:ascii="仿宋" w:hAnsi="仿宋" w:eastAsia="仿宋"/>
          <w:b/>
          <w:sz w:val="32"/>
          <w:szCs w:val="32"/>
        </w:rPr>
        <w:t>（一）一般公共预算财政拨款支出决算总体情况</w:t>
      </w:r>
      <w:bookmarkEnd w:id="53"/>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22年一般公共预算财政拨款支出914.58万元，占本年支出合计的100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21年相比，一般公共预算财政拨款支出减少269.23万元，下降22.74%。主要变动原因是项目投入减少。</w:t>
      </w:r>
    </w:p>
    <w:p>
      <w:pPr>
        <w:pStyle w:val="5"/>
        <w:spacing w:before="93"/>
        <w:rPr>
          <w:rFonts w:ascii="仿宋" w:hAnsi="仿宋" w:eastAsia="仿宋"/>
          <w:sz w:val="32"/>
          <w:szCs w:val="32"/>
        </w:rPr>
      </w:pPr>
    </w:p>
    <w:p>
      <w:pPr>
        <w:pStyle w:val="5"/>
        <w:spacing w:before="93"/>
        <w:jc w:val="center"/>
        <w:rPr>
          <w:rFonts w:ascii="仿宋" w:hAnsi="仿宋" w:eastAsia="仿宋"/>
          <w:sz w:val="32"/>
          <w:szCs w:val="32"/>
        </w:rPr>
      </w:pPr>
      <w:r>
        <w:rPr>
          <w:rFonts w:hint="eastAsia" w:ascii="仿宋" w:hAnsi="仿宋" w:eastAsia="仿宋"/>
          <w:sz w:val="32"/>
          <w:szCs w:val="32"/>
        </w:rPr>
        <w:drawing>
          <wp:inline distT="0" distB="0" distL="114300" distR="114300">
            <wp:extent cx="3623310" cy="2734945"/>
            <wp:effectExtent l="0" t="0" r="15240" b="273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5"/>
        <w:spacing w:before="93"/>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54" w:name="_Toc15377211"/>
      <w:r>
        <w:rPr>
          <w:rFonts w:hint="eastAsia" w:ascii="仿宋" w:hAnsi="仿宋" w:eastAsia="仿宋"/>
          <w:b/>
          <w:sz w:val="32"/>
          <w:szCs w:val="32"/>
        </w:rPr>
        <w:t>（二）一般公共预算财政拨款支出决算结构情况</w:t>
      </w:r>
      <w:bookmarkEnd w:id="54"/>
    </w:p>
    <w:p>
      <w:pPr>
        <w:spacing w:line="600" w:lineRule="exact"/>
        <w:ind w:firstLine="640"/>
        <w:rPr>
          <w:rFonts w:ascii="仿宋" w:hAnsi="仿宋" w:eastAsia="仿宋"/>
          <w:bCs/>
          <w:sz w:val="32"/>
          <w:szCs w:val="32"/>
        </w:rPr>
      </w:pPr>
      <w:r>
        <w:rPr>
          <w:rFonts w:ascii="仿宋" w:hAnsi="仿宋" w:eastAsia="仿宋"/>
          <w:sz w:val="32"/>
          <w:szCs w:val="32"/>
        </w:rPr>
        <w:t>20</w:t>
      </w:r>
      <w:r>
        <w:rPr>
          <w:rFonts w:hint="eastAsia" w:ascii="仿宋" w:hAnsi="仿宋" w:eastAsia="仿宋"/>
          <w:sz w:val="32"/>
          <w:szCs w:val="32"/>
        </w:rPr>
        <w:t>22年一般公共预算财政拨款支出914.58万元，主要用于以下方面</w:t>
      </w:r>
      <w:r>
        <w:rPr>
          <w:rFonts w:ascii="仿宋" w:hAnsi="仿宋" w:eastAsia="仿宋"/>
          <w:sz w:val="32"/>
          <w:szCs w:val="32"/>
        </w:rPr>
        <w:t>:</w:t>
      </w:r>
      <w:r>
        <w:rPr>
          <w:rFonts w:hint="eastAsia" w:ascii="仿宋" w:hAnsi="仿宋" w:eastAsia="仿宋"/>
          <w:bCs/>
          <w:sz w:val="32"/>
          <w:szCs w:val="32"/>
        </w:rPr>
        <w:t>教育支出（205）836.87万元，占91.50</w:t>
      </w:r>
      <w:r>
        <w:rPr>
          <w:rFonts w:ascii="仿宋" w:hAnsi="仿宋" w:eastAsia="仿宋"/>
          <w:bCs/>
          <w:sz w:val="32"/>
          <w:szCs w:val="32"/>
        </w:rPr>
        <w:t>%</w:t>
      </w:r>
      <w:r>
        <w:rPr>
          <w:rFonts w:hint="eastAsia" w:ascii="仿宋" w:hAnsi="仿宋" w:eastAsia="仿宋"/>
          <w:bCs/>
          <w:sz w:val="32"/>
          <w:szCs w:val="32"/>
        </w:rPr>
        <w:t>；社会保障和就业支出（208）29.95万元，占3.27</w:t>
      </w:r>
      <w:r>
        <w:rPr>
          <w:rFonts w:ascii="仿宋" w:hAnsi="仿宋" w:eastAsia="仿宋"/>
          <w:bCs/>
          <w:sz w:val="32"/>
          <w:szCs w:val="32"/>
        </w:rPr>
        <w:t>%</w:t>
      </w:r>
      <w:r>
        <w:rPr>
          <w:rFonts w:hint="eastAsia" w:ascii="仿宋" w:hAnsi="仿宋" w:eastAsia="仿宋"/>
          <w:bCs/>
          <w:sz w:val="32"/>
          <w:szCs w:val="32"/>
        </w:rPr>
        <w:t>；卫生健康支出（210）15.87万元，占1.74</w:t>
      </w:r>
      <w:r>
        <w:rPr>
          <w:rFonts w:ascii="仿宋" w:hAnsi="仿宋" w:eastAsia="仿宋"/>
          <w:bCs/>
          <w:sz w:val="32"/>
          <w:szCs w:val="32"/>
        </w:rPr>
        <w:t>%</w:t>
      </w:r>
      <w:r>
        <w:rPr>
          <w:rFonts w:hint="eastAsia" w:ascii="仿宋" w:hAnsi="仿宋" w:eastAsia="仿宋"/>
          <w:bCs/>
          <w:sz w:val="32"/>
          <w:szCs w:val="32"/>
        </w:rPr>
        <w:t>；住房保障支出（221）31.89万元，占3.49</w:t>
      </w:r>
      <w:r>
        <w:rPr>
          <w:rFonts w:ascii="仿宋" w:hAnsi="仿宋" w:eastAsia="仿宋"/>
          <w:bCs/>
          <w:sz w:val="32"/>
          <w:szCs w:val="32"/>
        </w:rPr>
        <w:t>%</w:t>
      </w:r>
      <w:r>
        <w:rPr>
          <w:rFonts w:hint="eastAsia" w:ascii="仿宋" w:hAnsi="仿宋" w:eastAsia="仿宋"/>
          <w:bCs/>
          <w:sz w:val="32"/>
          <w:szCs w:val="32"/>
        </w:rPr>
        <w:t>。</w:t>
      </w:r>
    </w:p>
    <w:p>
      <w:pPr>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114300" distR="114300">
            <wp:extent cx="3938270" cy="2753360"/>
            <wp:effectExtent l="0" t="0" r="24130" b="279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55" w:name="_Toc15377212"/>
      <w:r>
        <w:rPr>
          <w:rFonts w:hint="eastAsia" w:ascii="仿宋" w:hAnsi="仿宋" w:eastAsia="仿宋"/>
          <w:b/>
          <w:sz w:val="32"/>
          <w:szCs w:val="32"/>
        </w:rPr>
        <w:t>（三）一般公共预算财政拨款支出决算具体情况</w:t>
      </w:r>
      <w:bookmarkEnd w:id="55"/>
    </w:p>
    <w:p>
      <w:pPr>
        <w:spacing w:line="600" w:lineRule="exact"/>
        <w:ind w:firstLine="640" w:firstLineChars="200"/>
        <w:rPr>
          <w:rStyle w:val="14"/>
          <w:rFonts w:ascii="仿宋" w:hAnsi="仿宋" w:eastAsia="仿宋"/>
          <w:b w:val="0"/>
          <w:bCs/>
          <w:sz w:val="32"/>
          <w:szCs w:val="32"/>
        </w:rPr>
      </w:pPr>
      <w:bookmarkStart w:id="56" w:name="_Toc15378460"/>
      <w:bookmarkStart w:id="57" w:name="_Toc15377444"/>
      <w:bookmarkStart w:id="58" w:name="_Toc15377213"/>
      <w:r>
        <w:rPr>
          <w:rStyle w:val="14"/>
          <w:rFonts w:hint="eastAsia" w:ascii="仿宋" w:hAnsi="仿宋" w:eastAsia="仿宋"/>
          <w:b w:val="0"/>
          <w:bCs/>
          <w:sz w:val="32"/>
          <w:szCs w:val="32"/>
        </w:rPr>
        <w:t>2022年一般公共预算支出决算数为914.58万元，完成预算100%。其中：</w:t>
      </w:r>
      <w:bookmarkEnd w:id="56"/>
      <w:bookmarkEnd w:id="57"/>
      <w:bookmarkEnd w:id="58"/>
    </w:p>
    <w:p>
      <w:pPr>
        <w:spacing w:line="600" w:lineRule="exact"/>
        <w:ind w:firstLine="640" w:firstLineChars="200"/>
        <w:rPr>
          <w:rStyle w:val="14"/>
          <w:rFonts w:ascii="仿宋" w:hAnsi="仿宋" w:eastAsia="仿宋"/>
          <w:b w:val="0"/>
          <w:sz w:val="32"/>
          <w:szCs w:val="32"/>
        </w:rPr>
      </w:pPr>
      <w:r>
        <w:rPr>
          <w:rStyle w:val="14"/>
          <w:rFonts w:ascii="仿宋" w:hAnsi="仿宋" w:eastAsia="仿宋"/>
          <w:b w:val="0"/>
          <w:sz w:val="32"/>
          <w:szCs w:val="32"/>
        </w:rPr>
        <w:t>1.</w:t>
      </w:r>
      <w:r>
        <w:rPr>
          <w:rStyle w:val="14"/>
          <w:rFonts w:hint="eastAsia" w:ascii="仿宋" w:hAnsi="仿宋" w:eastAsia="仿宋"/>
          <w:b w:val="0"/>
          <w:sz w:val="32"/>
          <w:szCs w:val="32"/>
        </w:rPr>
        <w:t>教育（205）基础教育（02）学前教育（01）</w:t>
      </w:r>
      <w:r>
        <w:rPr>
          <w:rStyle w:val="14"/>
          <w:rFonts w:ascii="仿宋" w:hAnsi="仿宋" w:eastAsia="仿宋"/>
          <w:b w:val="0"/>
          <w:sz w:val="32"/>
          <w:szCs w:val="32"/>
        </w:rPr>
        <w:t>:</w:t>
      </w:r>
      <w:r>
        <w:rPr>
          <w:rStyle w:val="14"/>
          <w:rFonts w:hint="eastAsia" w:ascii="仿宋" w:hAnsi="仿宋" w:eastAsia="仿宋"/>
          <w:b w:val="0"/>
          <w:sz w:val="32"/>
          <w:szCs w:val="32"/>
        </w:rPr>
        <w:t>支出决算为836.87万元，完成预算100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pPr>
        <w:spacing w:line="600" w:lineRule="exact"/>
        <w:ind w:firstLine="640" w:firstLineChars="200"/>
        <w:rPr>
          <w:rFonts w:ascii="仿宋" w:hAnsi="仿宋" w:eastAsia="仿宋"/>
          <w:sz w:val="32"/>
          <w:szCs w:val="32"/>
        </w:rPr>
      </w:pPr>
      <w:r>
        <w:rPr>
          <w:rStyle w:val="14"/>
          <w:rFonts w:ascii="仿宋" w:hAnsi="仿宋" w:eastAsia="仿宋"/>
          <w:b w:val="0"/>
          <w:sz w:val="32"/>
          <w:szCs w:val="32"/>
        </w:rPr>
        <w:t xml:space="preserve"> </w:t>
      </w:r>
      <w:r>
        <w:rPr>
          <w:rStyle w:val="14"/>
          <w:rFonts w:hint="eastAsia" w:ascii="仿宋" w:hAnsi="仿宋" w:eastAsia="仿宋"/>
          <w:b w:val="0"/>
          <w:sz w:val="32"/>
          <w:szCs w:val="32"/>
        </w:rPr>
        <w:t>2</w:t>
      </w:r>
      <w:r>
        <w:rPr>
          <w:rStyle w:val="14"/>
          <w:rFonts w:ascii="仿宋" w:hAnsi="仿宋" w:eastAsia="仿宋"/>
          <w:b w:val="0"/>
          <w:sz w:val="32"/>
          <w:szCs w:val="32"/>
        </w:rPr>
        <w:t>.</w:t>
      </w:r>
      <w:r>
        <w:rPr>
          <w:rStyle w:val="14"/>
          <w:rFonts w:hint="eastAsia" w:ascii="仿宋" w:hAnsi="仿宋" w:eastAsia="仿宋"/>
          <w:b w:val="0"/>
          <w:sz w:val="32"/>
          <w:szCs w:val="32"/>
        </w:rPr>
        <w:t>社会保障和就业（208）行政事业单位养老支出（05）事业单位离退休（02）:支出决算为13.69万元，完成预算100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pPr>
        <w:spacing w:line="600" w:lineRule="exact"/>
        <w:ind w:firstLine="640" w:firstLineChars="200"/>
        <w:rPr>
          <w:rStyle w:val="14"/>
          <w:rFonts w:ascii="仿宋" w:hAnsi="仿宋" w:eastAsia="仿宋"/>
          <w:b w:val="0"/>
          <w:sz w:val="32"/>
          <w:szCs w:val="32"/>
        </w:rPr>
      </w:pPr>
      <w:r>
        <w:rPr>
          <w:rStyle w:val="14"/>
          <w:rFonts w:hint="eastAsia" w:ascii="仿宋" w:hAnsi="仿宋" w:eastAsia="仿宋"/>
          <w:b w:val="0"/>
          <w:sz w:val="32"/>
          <w:szCs w:val="32"/>
        </w:rPr>
        <w:t>3</w:t>
      </w:r>
      <w:r>
        <w:rPr>
          <w:rStyle w:val="14"/>
          <w:rFonts w:ascii="仿宋" w:hAnsi="仿宋" w:eastAsia="仿宋"/>
          <w:b w:val="0"/>
          <w:sz w:val="32"/>
          <w:szCs w:val="32"/>
        </w:rPr>
        <w:t>.</w:t>
      </w:r>
      <w:r>
        <w:rPr>
          <w:rStyle w:val="14"/>
          <w:rFonts w:hint="eastAsia" w:ascii="仿宋" w:hAnsi="仿宋" w:eastAsia="仿宋"/>
          <w:b w:val="0"/>
          <w:sz w:val="32"/>
          <w:szCs w:val="32"/>
        </w:rPr>
        <w:t>社会保障和就业（208）行政事业单位养老支出（05）机关事业单位基本养老保险缴费支出（05）:支出决算为16.11万元，完成预算100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pPr>
        <w:pStyle w:val="5"/>
        <w:spacing w:before="93"/>
        <w:ind w:firstLine="640" w:firstLineChars="200"/>
        <w:rPr>
          <w:rStyle w:val="14"/>
          <w:rFonts w:ascii="仿宋" w:hAnsi="仿宋" w:eastAsia="仿宋"/>
          <w:b w:val="0"/>
          <w:sz w:val="32"/>
          <w:szCs w:val="32"/>
        </w:rPr>
      </w:pPr>
      <w:r>
        <w:rPr>
          <w:rStyle w:val="14"/>
          <w:rFonts w:hint="eastAsia" w:ascii="仿宋" w:hAnsi="仿宋" w:eastAsia="仿宋"/>
          <w:b w:val="0"/>
          <w:sz w:val="32"/>
          <w:szCs w:val="32"/>
        </w:rPr>
        <w:t>4.社会保障和就业（208）行政事业单位养老支出（05）其他行政事业单位养老支出（99）</w:t>
      </w:r>
      <w:r>
        <w:rPr>
          <w:rStyle w:val="14"/>
          <w:rFonts w:ascii="仿宋" w:hAnsi="仿宋" w:eastAsia="仿宋"/>
          <w:b w:val="0"/>
          <w:sz w:val="32"/>
          <w:szCs w:val="32"/>
        </w:rPr>
        <w:t>:</w:t>
      </w:r>
      <w:r>
        <w:rPr>
          <w:rStyle w:val="14"/>
          <w:rFonts w:hint="eastAsia" w:ascii="仿宋" w:hAnsi="仿宋" w:eastAsia="仿宋"/>
          <w:b w:val="0"/>
          <w:sz w:val="32"/>
          <w:szCs w:val="32"/>
        </w:rPr>
        <w:t>支出决算为0.15万元，完成预算100%。</w:t>
      </w:r>
    </w:p>
    <w:p>
      <w:pPr>
        <w:pStyle w:val="5"/>
        <w:spacing w:before="93"/>
        <w:ind w:firstLine="640" w:firstLineChars="200"/>
        <w:rPr>
          <w:rStyle w:val="14"/>
          <w:rFonts w:ascii="仿宋" w:hAnsi="仿宋" w:eastAsia="仿宋"/>
          <w:b w:val="0"/>
          <w:sz w:val="32"/>
          <w:szCs w:val="32"/>
        </w:rPr>
      </w:pPr>
      <w:r>
        <w:rPr>
          <w:rStyle w:val="14"/>
          <w:rFonts w:hint="eastAsia" w:ascii="仿宋" w:hAnsi="仿宋" w:eastAsia="仿宋"/>
          <w:b w:val="0"/>
          <w:sz w:val="32"/>
          <w:szCs w:val="32"/>
        </w:rPr>
        <w:t>5.</w:t>
      </w:r>
      <w:r>
        <w:rPr>
          <w:rFonts w:hint="eastAsia" w:ascii="仿宋" w:hAnsi="仿宋" w:eastAsia="仿宋"/>
          <w:sz w:val="32"/>
          <w:szCs w:val="32"/>
        </w:rPr>
        <w:t xml:space="preserve"> 卫生健康支出</w:t>
      </w:r>
      <w:r>
        <w:rPr>
          <w:rStyle w:val="14"/>
          <w:rFonts w:hint="eastAsia" w:ascii="仿宋" w:hAnsi="仿宋" w:eastAsia="仿宋"/>
          <w:b w:val="0"/>
          <w:sz w:val="32"/>
          <w:szCs w:val="32"/>
        </w:rPr>
        <w:t>（2</w:t>
      </w:r>
      <w:r>
        <w:rPr>
          <w:rStyle w:val="14"/>
          <w:rFonts w:ascii="仿宋" w:hAnsi="仿宋" w:eastAsia="仿宋"/>
          <w:b w:val="0"/>
          <w:sz w:val="32"/>
          <w:szCs w:val="32"/>
        </w:rPr>
        <w:t>10</w:t>
      </w:r>
      <w:r>
        <w:rPr>
          <w:rStyle w:val="14"/>
          <w:rFonts w:hint="eastAsia" w:ascii="仿宋" w:hAnsi="仿宋" w:eastAsia="仿宋"/>
          <w:b w:val="0"/>
          <w:sz w:val="32"/>
          <w:szCs w:val="32"/>
        </w:rPr>
        <w:t>）行政事业单位医疗（1</w:t>
      </w:r>
      <w:r>
        <w:rPr>
          <w:rStyle w:val="14"/>
          <w:rFonts w:ascii="仿宋" w:hAnsi="仿宋" w:eastAsia="仿宋"/>
          <w:b w:val="0"/>
          <w:sz w:val="32"/>
          <w:szCs w:val="32"/>
        </w:rPr>
        <w:t>1</w:t>
      </w:r>
      <w:r>
        <w:rPr>
          <w:rStyle w:val="14"/>
          <w:rFonts w:hint="eastAsia" w:ascii="仿宋" w:hAnsi="仿宋" w:eastAsia="仿宋"/>
          <w:b w:val="0"/>
          <w:sz w:val="32"/>
          <w:szCs w:val="32"/>
        </w:rPr>
        <w:t>）事业单位医疗（0</w:t>
      </w:r>
      <w:r>
        <w:rPr>
          <w:rStyle w:val="14"/>
          <w:rFonts w:ascii="仿宋" w:hAnsi="仿宋" w:eastAsia="仿宋"/>
          <w:b w:val="0"/>
          <w:sz w:val="32"/>
          <w:szCs w:val="32"/>
        </w:rPr>
        <w:t>2</w:t>
      </w:r>
      <w:r>
        <w:rPr>
          <w:rStyle w:val="14"/>
          <w:rFonts w:hint="eastAsia" w:ascii="仿宋" w:hAnsi="仿宋" w:eastAsia="仿宋"/>
          <w:b w:val="0"/>
          <w:sz w:val="32"/>
          <w:szCs w:val="32"/>
        </w:rPr>
        <w:t>）</w:t>
      </w:r>
      <w:r>
        <w:rPr>
          <w:rStyle w:val="14"/>
          <w:rFonts w:ascii="仿宋" w:hAnsi="仿宋" w:eastAsia="仿宋"/>
          <w:b w:val="0"/>
          <w:sz w:val="32"/>
          <w:szCs w:val="32"/>
        </w:rPr>
        <w:t>:</w:t>
      </w:r>
      <w:r>
        <w:rPr>
          <w:rStyle w:val="14"/>
          <w:rFonts w:hint="eastAsia" w:ascii="仿宋" w:hAnsi="仿宋" w:eastAsia="仿宋"/>
          <w:b w:val="0"/>
          <w:sz w:val="32"/>
          <w:szCs w:val="32"/>
        </w:rPr>
        <w:t>支出决算为15.87万元，完成预算100</w:t>
      </w:r>
      <w:r>
        <w:rPr>
          <w:rStyle w:val="14"/>
          <w:rFonts w:ascii="仿宋" w:hAnsi="仿宋" w:eastAsia="仿宋"/>
          <w:b w:val="0"/>
          <w:sz w:val="32"/>
          <w:szCs w:val="32"/>
        </w:rPr>
        <w:t>%</w:t>
      </w:r>
      <w:r>
        <w:rPr>
          <w:rStyle w:val="14"/>
          <w:rFonts w:hint="eastAsia" w:ascii="仿宋" w:hAnsi="仿宋" w:eastAsia="仿宋"/>
          <w:b w:val="0"/>
          <w:sz w:val="32"/>
          <w:szCs w:val="32"/>
        </w:rPr>
        <w:t>。</w:t>
      </w:r>
    </w:p>
    <w:p>
      <w:pPr>
        <w:spacing w:line="600" w:lineRule="exact"/>
        <w:ind w:firstLine="640" w:firstLineChars="200"/>
        <w:rPr>
          <w:rFonts w:ascii="仿宋" w:hAnsi="仿宋" w:eastAsia="仿宋"/>
          <w:sz w:val="32"/>
          <w:szCs w:val="32"/>
        </w:rPr>
      </w:pPr>
      <w:r>
        <w:rPr>
          <w:rStyle w:val="14"/>
          <w:rFonts w:hint="eastAsia" w:ascii="仿宋" w:hAnsi="仿宋" w:eastAsia="仿宋"/>
          <w:b w:val="0"/>
          <w:sz w:val="32"/>
          <w:szCs w:val="40"/>
        </w:rPr>
        <w:t>6</w:t>
      </w:r>
      <w:r>
        <w:rPr>
          <w:rStyle w:val="14"/>
          <w:rFonts w:ascii="仿宋" w:hAnsi="仿宋" w:eastAsia="仿宋"/>
          <w:b w:val="0"/>
          <w:sz w:val="32"/>
          <w:szCs w:val="40"/>
        </w:rPr>
        <w:t>.</w:t>
      </w:r>
      <w:r>
        <w:rPr>
          <w:rStyle w:val="14"/>
          <w:rFonts w:hint="eastAsia" w:ascii="仿宋" w:hAnsi="仿宋" w:eastAsia="仿宋"/>
          <w:b w:val="0"/>
          <w:sz w:val="32"/>
          <w:szCs w:val="40"/>
        </w:rPr>
        <w:t>住房保障支出（221）住房改革支出（02）住房公积金（01）:</w:t>
      </w:r>
      <w:r>
        <w:rPr>
          <w:rFonts w:hint="eastAsia" w:ascii="仿宋" w:hAnsi="仿宋" w:eastAsia="仿宋"/>
          <w:sz w:val="32"/>
          <w:szCs w:val="32"/>
        </w:rPr>
        <w:t>支出决算为31.89万元，完成预算100%。</w:t>
      </w:r>
    </w:p>
    <w:p>
      <w:pPr>
        <w:tabs>
          <w:tab w:val="right" w:pos="8306"/>
        </w:tabs>
        <w:spacing w:line="600" w:lineRule="exact"/>
        <w:ind w:firstLine="640"/>
        <w:outlineLvl w:val="1"/>
        <w:rPr>
          <w:rStyle w:val="25"/>
        </w:rPr>
      </w:pPr>
      <w:bookmarkStart w:id="59" w:name="_Toc15396608"/>
      <w:bookmarkStart w:id="60" w:name="_Toc15377214"/>
      <w:bookmarkStart w:id="61" w:name="_Toc2148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59"/>
      <w:bookmarkEnd w:id="60"/>
      <w:bookmarkEnd w:id="61"/>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22年一般公共预算财政拨款基本支出716.83万元，其中：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347.35万元，主要包括：基本工资140.10万元、津贴补贴4.33万元、奖金24.31万元、绩效工资80.43万元、机关事业单位基本养老保险缴费16.11万元、职工基本医疗保险缴费15.87万元、其他社会保障缴费0.15万元、生活补助34.16万元、住房公积金31.89万元。</w:t>
      </w:r>
    </w:p>
    <w:p>
      <w:pPr>
        <w:spacing w:line="600" w:lineRule="exact"/>
        <w:ind w:firstLine="645"/>
        <w:rPr>
          <w:rFonts w:ascii="仿宋" w:hAnsi="仿宋" w:eastAsia="仿宋"/>
          <w:b/>
          <w:sz w:val="32"/>
          <w:szCs w:val="32"/>
        </w:rPr>
      </w:pPr>
      <w:r>
        <w:rPr>
          <w:rFonts w:hint="eastAsia" w:ascii="仿宋" w:hAnsi="仿宋" w:eastAsia="仿宋"/>
          <w:sz w:val="32"/>
          <w:szCs w:val="32"/>
        </w:rPr>
        <w:t>公用经费369.48万元，主要包括：办公费</w:t>
      </w:r>
      <w:r>
        <w:rPr>
          <w:rFonts w:ascii="仿宋" w:hAnsi="仿宋" w:eastAsia="仿宋"/>
          <w:sz w:val="32"/>
          <w:szCs w:val="32"/>
        </w:rPr>
        <w:t>11.73</w:t>
      </w:r>
      <w:r>
        <w:rPr>
          <w:rFonts w:hint="eastAsia" w:ascii="仿宋" w:hAnsi="仿宋" w:eastAsia="仿宋"/>
          <w:sz w:val="32"/>
          <w:szCs w:val="32"/>
        </w:rPr>
        <w:t>万元、印刷费</w:t>
      </w:r>
      <w:r>
        <w:rPr>
          <w:rFonts w:ascii="仿宋" w:hAnsi="仿宋" w:eastAsia="仿宋"/>
          <w:sz w:val="32"/>
          <w:szCs w:val="32"/>
        </w:rPr>
        <w:t>3.08万元、咨询费</w:t>
      </w:r>
      <w:r>
        <w:rPr>
          <w:rFonts w:hint="eastAsia" w:ascii="仿宋" w:hAnsi="仿宋" w:eastAsia="仿宋"/>
          <w:sz w:val="32"/>
          <w:szCs w:val="32"/>
        </w:rPr>
        <w:t>2.00万元、水费1.64万元、电费6.33万元、邮电费0.26万元、物业管理费3.92万元、差旅费0.97万元、维修（护）费187.92万元、培训费13.37万元、专用材料费2.25万元、劳务费8.46万元、工会经费13.7万元、福利费1.02万元、其他交通费0.04万元、税金及附加费用0.02万元、其他商品和服务支出11.96万元、资本性支出100.87万元。</w:t>
      </w:r>
    </w:p>
    <w:p>
      <w:pPr>
        <w:spacing w:line="600" w:lineRule="exact"/>
        <w:ind w:firstLine="640"/>
        <w:outlineLvl w:val="1"/>
        <w:rPr>
          <w:rStyle w:val="25"/>
          <w:rFonts w:ascii="黑体" w:hAnsi="黑体" w:eastAsia="黑体"/>
          <w:b w:val="0"/>
        </w:rPr>
      </w:pPr>
      <w:bookmarkStart w:id="62" w:name="_Toc15396609"/>
      <w:bookmarkStart w:id="63" w:name="_Toc9808"/>
      <w:bookmarkStart w:id="64" w:name="_Toc15377215"/>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62"/>
      <w:bookmarkEnd w:id="63"/>
      <w:bookmarkEnd w:id="64"/>
    </w:p>
    <w:p>
      <w:pPr>
        <w:spacing w:line="600" w:lineRule="exact"/>
        <w:ind w:firstLine="640"/>
        <w:outlineLvl w:val="2"/>
        <w:rPr>
          <w:rFonts w:ascii="仿宋" w:hAnsi="仿宋" w:eastAsia="仿宋"/>
          <w:b/>
          <w:sz w:val="32"/>
          <w:szCs w:val="32"/>
        </w:rPr>
      </w:pPr>
      <w:bookmarkStart w:id="65" w:name="_Toc15377216"/>
      <w:r>
        <w:rPr>
          <w:rFonts w:hint="eastAsia" w:ascii="仿宋" w:hAnsi="仿宋" w:eastAsia="仿宋"/>
          <w:b/>
          <w:sz w:val="32"/>
          <w:szCs w:val="32"/>
        </w:rPr>
        <w:t>（一）“三公”经费财政拨款支出决算总体情况说明</w:t>
      </w:r>
      <w:bookmarkEnd w:id="6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66" w:name="_Toc15377217"/>
      <w:r>
        <w:rPr>
          <w:rFonts w:hint="eastAsia" w:ascii="仿宋" w:hAnsi="仿宋" w:eastAsia="仿宋"/>
          <w:b/>
          <w:sz w:val="32"/>
          <w:szCs w:val="32"/>
        </w:rPr>
        <w:t>（二）“三公”经费财政拨款支出决算具体情况说明</w:t>
      </w:r>
      <w:bookmarkEnd w:id="6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；公务接待费支出决算0万元，占100</w:t>
      </w:r>
      <w:r>
        <w:rPr>
          <w:rFonts w:ascii="仿宋" w:hAnsi="仿宋" w:eastAsia="仿宋"/>
          <w:sz w:val="32"/>
          <w:szCs w:val="32"/>
        </w:rPr>
        <w:t>%</w:t>
      </w:r>
      <w:r>
        <w:rPr>
          <w:rFonts w:hint="eastAsia" w:ascii="仿宋" w:hAnsi="仿宋" w:eastAsia="仿宋"/>
          <w:sz w:val="32"/>
          <w:szCs w:val="32"/>
        </w:rPr>
        <w:t>。具体情况如下：</w:t>
      </w:r>
    </w:p>
    <w:p>
      <w:pPr>
        <w:ind w:firstLine="641"/>
        <w:jc w:val="center"/>
        <w:rPr>
          <w:rFonts w:ascii="仿宋_GB2312" w:eastAsia="仿宋_GB2312"/>
          <w:b/>
          <w:sz w:val="32"/>
          <w:szCs w:val="32"/>
        </w:rPr>
      </w:pPr>
      <w:r>
        <w:rPr>
          <w:rFonts w:hint="eastAsia" w:ascii="仿宋" w:hAnsi="仿宋" w:eastAsia="仿宋"/>
          <w:sz w:val="32"/>
          <w:szCs w:val="32"/>
        </w:rPr>
        <w:drawing>
          <wp:inline distT="0" distB="0" distL="114300" distR="114300">
            <wp:extent cx="3938270" cy="2753360"/>
            <wp:effectExtent l="0" t="0" r="24130" b="279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641"/>
        <w:jc w:val="center"/>
        <w:rPr>
          <w:rFonts w:ascii="仿宋_GB2312" w:eastAsia="仿宋_GB2312"/>
          <w:b/>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21年持平。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21年持平。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公务接待费支出决算较</w:t>
      </w:r>
      <w:r>
        <w:rPr>
          <w:rFonts w:ascii="仿宋_GB2312" w:eastAsia="仿宋_GB2312"/>
          <w:sz w:val="32"/>
          <w:szCs w:val="32"/>
        </w:rPr>
        <w:t>20</w:t>
      </w:r>
      <w:r>
        <w:rPr>
          <w:rFonts w:hint="eastAsia" w:ascii="仿宋_GB2312" w:eastAsia="仿宋_GB2312"/>
          <w:sz w:val="32"/>
          <w:szCs w:val="32"/>
        </w:rPr>
        <w:t>21年降低100%。其中：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Style w:val="25"/>
          <w:rFonts w:ascii="黑体" w:hAnsi="黑体" w:eastAsia="黑体"/>
        </w:rPr>
      </w:pPr>
      <w:bookmarkStart w:id="67" w:name="_Toc10844"/>
      <w:bookmarkStart w:id="68" w:name="_Toc15396610"/>
      <w:bookmarkStart w:id="69"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67"/>
      <w:bookmarkEnd w:id="68"/>
      <w:bookmarkEnd w:id="6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600" w:lineRule="exact"/>
        <w:ind w:firstLine="640"/>
        <w:outlineLvl w:val="1"/>
        <w:rPr>
          <w:rStyle w:val="25"/>
          <w:rFonts w:ascii="黑体" w:hAnsi="黑体" w:eastAsia="黑体"/>
          <w:b w:val="0"/>
        </w:rPr>
      </w:pPr>
      <w:bookmarkStart w:id="70" w:name="_Toc15396611"/>
      <w:bookmarkStart w:id="71" w:name="_Toc15377219"/>
      <w:bookmarkStart w:id="72" w:name="_Toc1214"/>
      <w:r>
        <w:rPr>
          <w:rStyle w:val="25"/>
          <w:rFonts w:hint="eastAsia" w:ascii="黑体" w:hAnsi="黑体" w:eastAsia="黑体"/>
          <w:b w:val="0"/>
        </w:rPr>
        <w:t>国有资本经营预算支出决算情况说明</w:t>
      </w:r>
      <w:bookmarkEnd w:id="70"/>
      <w:bookmarkEnd w:id="71"/>
      <w:bookmarkEnd w:id="72"/>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600" w:lineRule="exact"/>
        <w:ind w:firstLine="640"/>
        <w:outlineLvl w:val="1"/>
        <w:rPr>
          <w:rStyle w:val="25"/>
          <w:rFonts w:ascii="黑体" w:hAnsi="黑体" w:eastAsia="黑体"/>
          <w:b w:val="0"/>
        </w:rPr>
      </w:pPr>
      <w:bookmarkStart w:id="73" w:name="_Toc15377221"/>
      <w:bookmarkStart w:id="74" w:name="_Toc15396612"/>
      <w:bookmarkStart w:id="75" w:name="_Toc31091"/>
      <w:r>
        <w:rPr>
          <w:rStyle w:val="25"/>
          <w:rFonts w:hint="eastAsia" w:ascii="黑体" w:hAnsi="黑体" w:eastAsia="黑体"/>
          <w:b w:val="0"/>
        </w:rPr>
        <w:t>其他重要事项的情况说明</w:t>
      </w:r>
      <w:bookmarkEnd w:id="73"/>
      <w:bookmarkEnd w:id="74"/>
      <w:bookmarkEnd w:id="75"/>
    </w:p>
    <w:p>
      <w:pPr>
        <w:spacing w:line="600" w:lineRule="exact"/>
        <w:ind w:firstLine="643" w:firstLineChars="200"/>
        <w:outlineLvl w:val="2"/>
        <w:rPr>
          <w:rFonts w:ascii="仿宋" w:hAnsi="仿宋" w:eastAsia="仿宋"/>
          <w:sz w:val="32"/>
          <w:szCs w:val="32"/>
        </w:rPr>
      </w:pPr>
      <w:bookmarkStart w:id="76" w:name="_Toc15377222"/>
      <w:r>
        <w:rPr>
          <w:rFonts w:hint="eastAsia" w:ascii="仿宋" w:hAnsi="仿宋" w:eastAsia="仿宋"/>
          <w:b/>
          <w:sz w:val="32"/>
          <w:szCs w:val="32"/>
        </w:rPr>
        <w:t>（一）机关运行经费支出情况</w:t>
      </w:r>
      <w:bookmarkEnd w:id="76"/>
    </w:p>
    <w:p>
      <w:pPr>
        <w:spacing w:line="600" w:lineRule="exact"/>
        <w:ind w:firstLine="640" w:firstLineChars="200"/>
        <w:rPr>
          <w:rFonts w:ascii="仿宋" w:hAnsi="仿宋" w:eastAsia="仿宋"/>
          <w:b/>
          <w:sz w:val="32"/>
          <w:szCs w:val="32"/>
        </w:rPr>
      </w:pPr>
      <w:r>
        <w:rPr>
          <w:rFonts w:hint="eastAsia" w:ascii="仿宋_GB2312" w:eastAsia="仿宋_GB2312"/>
          <w:sz w:val="32"/>
          <w:szCs w:val="32"/>
        </w:rPr>
        <w:t>我单位为事业单位（学校），执行政府会计制度，无机关运行经费。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7" w:name="_Toc15377223"/>
      <w:r>
        <w:rPr>
          <w:rFonts w:hint="eastAsia" w:ascii="仿宋" w:hAnsi="仿宋" w:eastAsia="仿宋"/>
          <w:b/>
          <w:sz w:val="32"/>
          <w:szCs w:val="32"/>
        </w:rPr>
        <w:t>（二）政府采购支出情况</w:t>
      </w:r>
      <w:bookmarkEnd w:id="7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22年，大竹县教科局幼儿园政府采购支出总额197.75万元。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15377224"/>
      <w:r>
        <w:rPr>
          <w:rFonts w:hint="eastAsia" w:ascii="仿宋" w:hAnsi="仿宋" w:eastAsia="仿宋"/>
          <w:b/>
          <w:sz w:val="32"/>
          <w:szCs w:val="32"/>
        </w:rPr>
        <w:t>（三）国有资产占有使用情况</w:t>
      </w:r>
      <w:bookmarkEnd w:id="7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日，大竹县教科局幼儿园共有车辆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eastAsia="仿宋_GB2312"/>
          <w:b/>
          <w:sz w:val="32"/>
          <w:szCs w:val="32"/>
        </w:rPr>
      </w:pPr>
      <w:r>
        <w:rPr>
          <w:rFonts w:hint="eastAsia" w:ascii="仿宋_GB2312" w:hAnsi="仿宋_GB2312" w:eastAsia="仿宋_GB2312" w:cs="仿宋_GB2312"/>
          <w:sz w:val="32"/>
          <w:szCs w:val="32"/>
        </w:rPr>
        <w:t>根据预算绩效管理要求，本单位在2022年度预算编制阶段，组织对0个预算项目开展了预算事前绩效评估，对21个项目编制了绩效目标，预算执行过程中，选取21个项目开展绩效监控，组织对21个预算项目开展绩效自评，绩效自评表详见第四部分附件。</w:t>
      </w:r>
    </w:p>
    <w:p>
      <w:pPr>
        <w:pStyle w:val="5"/>
        <w:spacing w:before="93"/>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79" w:name="_Toc15377225"/>
      <w:bookmarkStart w:id="80" w:name="_Toc15396613"/>
      <w:bookmarkStart w:id="81" w:name="_Toc10613"/>
      <w:r>
        <w:rPr>
          <w:rFonts w:hint="eastAsia" w:ascii="黑体" w:hAnsi="黑体" w:eastAsia="黑体"/>
          <w:sz w:val="44"/>
          <w:szCs w:val="44"/>
        </w:rPr>
        <w:t>名</w:t>
      </w:r>
      <w:r>
        <w:rPr>
          <w:rStyle w:val="24"/>
          <w:rFonts w:hint="eastAsia" w:ascii="黑体" w:hAnsi="黑体" w:eastAsia="黑体"/>
          <w:b w:val="0"/>
        </w:rPr>
        <w:t>词解释</w:t>
      </w:r>
      <w:bookmarkEnd w:id="79"/>
      <w:bookmarkEnd w:id="80"/>
      <w:bookmarkEnd w:id="81"/>
    </w:p>
    <w:p>
      <w:pPr>
        <w:spacing w:line="600" w:lineRule="exact"/>
        <w:jc w:val="left"/>
        <w:rPr>
          <w:rFonts w:ascii="宋体"/>
          <w:b/>
          <w:sz w:val="44"/>
          <w:szCs w:val="44"/>
        </w:rPr>
      </w:pP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1.财政拨款收入：指单位从同级财政部门取得的财政预算资金。</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2.事业收入：指事业单位开展专业业务活动及辅助活动取得的收入。</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3.年初结转和结余：指以前年度尚未完成、结转到本年按有关规定继续使用的资金。 </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4.结余分配：指事业单位按照事业单位会计制度的规定从非财政补助结余中分配的事业基金和职工福利基金等。</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5、年末结转和结余：指单位按有关规定结转到下年或以后年度继续使用的资金。</w:t>
      </w:r>
    </w:p>
    <w:p>
      <w:pPr>
        <w:ind w:firstLine="640" w:firstLineChars="200"/>
      </w:pPr>
      <w:r>
        <w:rPr>
          <w:rFonts w:hint="eastAsia" w:ascii="仿宋_GB2312" w:hAnsi="Calibri" w:eastAsia="仿宋_GB2312" w:cs="仿宋"/>
          <w:kern w:val="0"/>
          <w:sz w:val="32"/>
          <w:szCs w:val="32"/>
        </w:rPr>
        <w:t>6.教育（205）基础教育（02）学前教育（01）：反映各部门举办的学前教育支出。政府各部门对社会组织等举办的幼儿园的资助，如捐赠、补贴等，也在本科目中反映。</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7.社会保障和就业（208）行政事业单位养老支出（05）事业单位离退休（02）：反映事业单位的离退休经费。</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8. 社会保障和就业（208）行政事业单位养老支出（05）机关事业单位基本养老保险缴费支出（05）：反映机关事业单位实施养老保险制度由单位缴纳的基本养老保险费支出。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9. 社会保障和就业（208）行政事业单位养老支出（05）机关事业单位职业年金缴费支出（06）：反映机关事业单位实施养老保险制度由单位缴纳的职业年金支出。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10. 社会保障和就业（208）行政事业单位养老支出（05）其他行政事业单位养老支出（99）：反映除上述项目以外其他用于行政事业单位养老方面的支出。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11. 社会保障和就业（208）抚恤（08）死亡抚恤（01）：反映按规定用于烈士和牺牲、病故人员家属的一次性和定期抚恤金以及丧葬补助费。</w:t>
      </w:r>
    </w:p>
    <w:p>
      <w:pPr>
        <w:ind w:firstLine="640" w:firstLineChars="200"/>
      </w:pPr>
      <w:r>
        <w:rPr>
          <w:rFonts w:hint="eastAsia" w:ascii="仿宋_GB2312" w:hAnsi="Calibri" w:eastAsia="仿宋_GB2312" w:cs="仿宋"/>
          <w:kern w:val="0"/>
          <w:sz w:val="32"/>
          <w:szCs w:val="32"/>
        </w:rPr>
        <w:t xml:space="preserve">12. </w:t>
      </w:r>
      <w:r>
        <w:rPr>
          <w:rFonts w:hint="eastAsia" w:ascii="仿宋" w:hAnsi="仿宋" w:eastAsia="仿宋"/>
          <w:sz w:val="32"/>
          <w:szCs w:val="32"/>
        </w:rPr>
        <w:t>卫生健康支出（210）行政事业单位医疗（11）事业单位医疗（02）</w:t>
      </w:r>
      <w:r>
        <w:rPr>
          <w:rFonts w:hint="eastAsia" w:ascii="仿宋_GB2312" w:hAnsi="Calibri" w:eastAsia="仿宋_GB2312" w:cs="仿宋"/>
          <w:kern w:val="0"/>
          <w:sz w:val="32"/>
          <w:szCs w:val="32"/>
        </w:rPr>
        <w:t>：反映财政部门安排的事业单位基本医疗保险缴费经费，未参加医疗保险的事业单位的公费医疗经费，按国家规定享受离休人员待遇的医疗经费。</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13. 住房保障支出（221）住房改革支出（02）住房公积金（01）：反正行政事业单位按人力资源和社会保障部、财政部规定的基本工资和津贴补贴以及规定比例为职工缴纳的住房公积金。</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14.基本支出：指为保障机构正常运转、完成日常工作任务而发生的人员支出和公用支出。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15.项目支出：指在基本支出之外为完成特定行政任务和事业发展目标所发生的支出。 </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16.经营支出：指事业单位在专业业务活动及其辅助活动之外开展非独立核算经营活动发生的支出。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_GB2312" w:hAnsi="Calibri" w:eastAsia="仿宋_GB2312" w:cs="仿宋"/>
          <w:kern w:val="0"/>
          <w:sz w:val="32"/>
          <w:szCs w:val="32"/>
        </w:rPr>
      </w:pPr>
      <w:bookmarkStart w:id="82" w:name="_Toc15396614"/>
      <w:bookmarkStart w:id="83" w:name="_Toc15377226"/>
    </w:p>
    <w:p>
      <w:pPr>
        <w:spacing w:line="600" w:lineRule="exact"/>
        <w:ind w:firstLine="640"/>
        <w:rPr>
          <w:rFonts w:ascii="仿宋_GB2312" w:hAnsi="Calibri" w:eastAsia="仿宋_GB2312" w:cs="仿宋"/>
          <w:kern w:val="0"/>
          <w:sz w:val="32"/>
          <w:szCs w:val="32"/>
        </w:rPr>
      </w:pPr>
    </w:p>
    <w:p>
      <w:pPr>
        <w:spacing w:line="600" w:lineRule="exact"/>
        <w:ind w:firstLine="640"/>
        <w:rPr>
          <w:rFonts w:ascii="仿宋_GB2312" w:hAnsi="Calibri" w:eastAsia="仿宋_GB2312" w:cs="仿宋"/>
          <w:kern w:val="0"/>
          <w:sz w:val="32"/>
          <w:szCs w:val="32"/>
        </w:rPr>
      </w:pPr>
    </w:p>
    <w:p>
      <w:pPr>
        <w:spacing w:line="600" w:lineRule="exact"/>
        <w:ind w:firstLine="640"/>
        <w:rPr>
          <w:rFonts w:ascii="仿宋_GB2312" w:hAnsi="Calibri" w:eastAsia="仿宋_GB2312" w:cs="仿宋"/>
          <w:kern w:val="0"/>
          <w:sz w:val="32"/>
          <w:szCs w:val="32"/>
        </w:rPr>
      </w:pPr>
    </w:p>
    <w:p>
      <w:pPr>
        <w:spacing w:line="600" w:lineRule="exact"/>
        <w:ind w:firstLine="640"/>
        <w:rPr>
          <w:rFonts w:ascii="仿宋_GB2312" w:hAnsi="Calibri" w:eastAsia="仿宋_GB2312" w:cs="仿宋"/>
          <w:kern w:val="0"/>
          <w:sz w:val="32"/>
          <w:szCs w:val="32"/>
        </w:rPr>
      </w:pPr>
    </w:p>
    <w:bookmarkEnd w:id="82"/>
    <w:p>
      <w:pPr>
        <w:spacing w:line="600" w:lineRule="exact"/>
        <w:jc w:val="center"/>
        <w:outlineLvl w:val="0"/>
        <w:rPr>
          <w:rFonts w:ascii="黑体" w:hAnsi="黑体" w:eastAsia="黑体"/>
          <w:sz w:val="44"/>
          <w:szCs w:val="44"/>
        </w:rPr>
        <w:sectPr>
          <w:footerReference r:id="rId7" w:type="first"/>
          <w:footerReference r:id="rId6" w:type="default"/>
          <w:pgSz w:w="11906" w:h="16838"/>
          <w:pgMar w:top="1440" w:right="1800" w:bottom="1440" w:left="1800" w:header="851" w:footer="992" w:gutter="0"/>
          <w:pgNumType w:start="2"/>
          <w:cols w:space="0" w:num="1"/>
          <w:docGrid w:type="lines" w:linePitch="312" w:charSpace="0"/>
        </w:sectPr>
      </w:pPr>
      <w:bookmarkStart w:id="84" w:name="_Toc25087"/>
      <w:bookmarkStart w:id="85" w:name="_Toc15396618"/>
    </w:p>
    <w:p>
      <w:pPr>
        <w:spacing w:line="600" w:lineRule="exact"/>
        <w:jc w:val="center"/>
        <w:outlineLvl w:val="0"/>
        <w:rPr>
          <w:rStyle w:val="24"/>
          <w:rFonts w:ascii="黑体" w:hAnsi="黑体" w:eastAsia="黑体"/>
          <w:b w:val="0"/>
        </w:rPr>
      </w:pPr>
      <w:r>
        <w:rPr>
          <w:rFonts w:hint="eastAsia" w:ascii="黑体" w:hAnsi="黑体" w:eastAsia="黑体"/>
          <w:sz w:val="44"/>
          <w:szCs w:val="44"/>
        </w:rPr>
        <w:t>第</w:t>
      </w:r>
      <w:r>
        <w:rPr>
          <w:rStyle w:val="24"/>
          <w:rFonts w:hint="eastAsia" w:ascii="黑体" w:hAnsi="黑体" w:eastAsia="黑体"/>
          <w:b w:val="0"/>
        </w:rPr>
        <w:t>四部分 附件</w:t>
      </w:r>
      <w:bookmarkEnd w:id="84"/>
    </w:p>
    <w:p>
      <w:pPr>
        <w:spacing w:line="572" w:lineRule="exact"/>
        <w:jc w:val="left"/>
        <w:outlineLvl w:val="0"/>
        <w:rPr>
          <w:rFonts w:ascii="仿宋_GB2312" w:hAnsi="仿宋_GB2312" w:eastAsia="仿宋_GB2312" w:cs="仿宋_GB2312"/>
          <w:sz w:val="32"/>
          <w:szCs w:val="32"/>
        </w:rPr>
      </w:pPr>
    </w:p>
    <w:tbl>
      <w:tblPr>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4"/>
        <w:gridCol w:w="2046"/>
        <w:gridCol w:w="1770"/>
        <w:gridCol w:w="2258"/>
        <w:gridCol w:w="520"/>
        <w:gridCol w:w="1672"/>
        <w:gridCol w:w="520"/>
        <w:gridCol w:w="1090"/>
        <w:gridCol w:w="505"/>
        <w:gridCol w:w="486"/>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51172422T000005795624-幼儿活动用房及设施设备采购项目（存量）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大竹县教科局幼儿园部门</w:t>
            </w:r>
          </w:p>
        </w:tc>
        <w:tc>
          <w:tcPr>
            <w:tcW w:w="1091" w:type="dxa"/>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大竹县教科局幼儿园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保障活动用房及设施设备采购项目正常开展</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保障活动用房及设施设备采购项目正常开展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保障活动用房及设施设备采购项目正常开展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195.58</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195.58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default"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上年存量资金，没有纳入</w:t>
            </w:r>
            <w:r>
              <w:rPr>
                <w:rFonts w:hint="eastAsia" w:ascii="黑体" w:hAnsi="黑体" w:eastAsia="黑体" w:cs="黑体"/>
                <w:i/>
                <w:iCs/>
                <w:color w:val="000000"/>
                <w:sz w:val="18"/>
                <w:szCs w:val="18"/>
                <w:u w:val="none"/>
                <w:lang w:val="en-US" w:eastAsia="zh-CN"/>
              </w:rPr>
              <w:t>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195.58</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195.58</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项目负责人：文海燕</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财务负责人：朱红梅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51172422T000005795632-幼儿园计算机、空调、直饮机设备采购（存量）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大竹县教科局幼儿园部门</w:t>
            </w:r>
          </w:p>
        </w:tc>
        <w:tc>
          <w:tcPr>
            <w:tcW w:w="1091"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大竹县教科局幼儿园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保障计算机、空调、直饮机设备采购顺利开展</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保障计算机、空调、直饮机设备采购顺利开展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保障计算机、空调、直饮机设备采购顺利开展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2.17</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2.17</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上年存量资金，没有纳入年初预算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2.17</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2.17</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项目负责人：文海燕</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财务负责人：朱红梅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51172422T000006758359-大竹县教科局幼儿园维修改造设施设备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大竹县教科局幼儿园部门</w:t>
            </w:r>
          </w:p>
        </w:tc>
        <w:tc>
          <w:tcPr>
            <w:tcW w:w="1091"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大竹县教科局幼儿园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保障幼儿园维修改造顺利开展，保障校舍安全</w:t>
            </w:r>
          </w:p>
        </w:tc>
        <w:tc>
          <w:tcPr>
            <w:tcW w:w="4609"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保障幼儿园维修改造顺利开展，保障校舍安全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保障幼儿园维修改造顺利开展，保障校舍安全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r>
              <w:rPr>
                <w:rFonts w:hint="eastAsia" w:ascii="黑体" w:hAnsi="黑体" w:eastAsia="黑体" w:cs="黑体"/>
                <w:i/>
                <w:iCs/>
                <w:color w:val="000000"/>
                <w:sz w:val="18"/>
                <w:szCs w:val="18"/>
                <w:u w:val="none"/>
                <w:lang w:val="en-US" w:eastAsia="zh-CN"/>
              </w:rPr>
              <w:t>追加项目资金，没有纳入年初预算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7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项目负责人：文海燕</w:t>
            </w:r>
          </w:p>
        </w:tc>
        <w:tc>
          <w:tcPr>
            <w:tcW w:w="6807"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财务负责人：朱红梅</w:t>
            </w:r>
          </w:p>
        </w:tc>
      </w:tr>
    </w:tbl>
    <w:p>
      <w:pPr>
        <w:pStyle w:val="5"/>
        <w:spacing w:before="95"/>
        <w:rPr>
          <w:rFonts w:ascii="宋体" w:hAnsi="宋体" w:eastAsia="宋体" w:cs="宋体"/>
          <w:sz w:val="32"/>
          <w:szCs w:val="32"/>
        </w:rPr>
      </w:pPr>
    </w:p>
    <w:p>
      <w:pPr>
        <w:pStyle w:val="5"/>
        <w:spacing w:before="95"/>
        <w:rPr>
          <w:rFonts w:ascii="宋体" w:hAnsi="宋体" w:eastAsia="宋体" w:cs="宋体"/>
          <w:sz w:val="32"/>
          <w:szCs w:val="32"/>
        </w:rPr>
      </w:pPr>
    </w:p>
    <w:p>
      <w:pPr>
        <w:rPr>
          <w:rFonts w:ascii="宋体" w:hAnsi="宋体" w:cs="宋体"/>
          <w:kern w:val="0"/>
          <w:sz w:val="32"/>
          <w:szCs w:val="32"/>
        </w:rPr>
        <w:sectPr>
          <w:footerReference r:id="rId9" w:type="first"/>
          <w:footerReference r:id="rId8" w:type="default"/>
          <w:pgSz w:w="16838" w:h="11906" w:orient="landscape"/>
          <w:pgMar w:top="1803" w:right="1440" w:bottom="1803" w:left="1440" w:header="851" w:footer="992" w:gutter="0"/>
          <w:cols w:space="0" w:num="1"/>
          <w:titlePg/>
          <w:docGrid w:type="lines" w:linePitch="319" w:charSpace="0"/>
        </w:sectPr>
      </w:pPr>
    </w:p>
    <w:bookmarkEnd w:id="83"/>
    <w:bookmarkEnd w:id="85"/>
    <w:p>
      <w:pPr>
        <w:jc w:val="center"/>
        <w:rPr>
          <w:rFonts w:ascii="黑体" w:hAnsi="黑体" w:eastAsia="黑体"/>
          <w:sz w:val="44"/>
          <w:szCs w:val="44"/>
        </w:rPr>
      </w:pPr>
      <w:bookmarkStart w:id="86" w:name="_Toc31790"/>
    </w:p>
    <w:p>
      <w:pPr>
        <w:jc w:val="center"/>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86"/>
      <w:bookmarkStart w:id="87" w:name="_Toc15396619"/>
    </w:p>
    <w:p>
      <w:pPr>
        <w:pStyle w:val="3"/>
        <w:rPr>
          <w:rFonts w:ascii="仿宋" w:hAnsi="仿宋" w:eastAsia="仿宋"/>
        </w:rPr>
      </w:pPr>
      <w:bookmarkStart w:id="88" w:name="_Toc21540"/>
      <w:r>
        <w:rPr>
          <w:rFonts w:hint="eastAsia" w:ascii="仿宋" w:hAnsi="仿宋" w:eastAsia="仿宋"/>
          <w:b w:val="0"/>
        </w:rPr>
        <w:t>一、收</w:t>
      </w:r>
      <w:r>
        <w:rPr>
          <w:rStyle w:val="25"/>
          <w:rFonts w:hint="eastAsia" w:ascii="仿宋" w:hAnsi="仿宋" w:eastAsia="仿宋"/>
          <w:b w:val="0"/>
          <w:bCs w:val="0"/>
        </w:rPr>
        <w:t>入支出决算总表</w:t>
      </w:r>
      <w:bookmarkEnd w:id="87"/>
      <w:bookmarkEnd w:id="88"/>
    </w:p>
    <w:p>
      <w:pPr>
        <w:pStyle w:val="3"/>
        <w:rPr>
          <w:rFonts w:ascii="仿宋" w:hAnsi="仿宋" w:eastAsia="仿宋"/>
        </w:rPr>
      </w:pPr>
      <w:bookmarkStart w:id="89" w:name="_Toc14740"/>
      <w:bookmarkStart w:id="90" w:name="_Toc15396620"/>
      <w:r>
        <w:rPr>
          <w:rFonts w:hint="eastAsia" w:ascii="仿宋" w:hAnsi="仿宋" w:eastAsia="仿宋"/>
          <w:b w:val="0"/>
        </w:rPr>
        <w:t>二、收</w:t>
      </w:r>
      <w:r>
        <w:rPr>
          <w:rStyle w:val="25"/>
          <w:rFonts w:hint="eastAsia" w:ascii="仿宋" w:hAnsi="仿宋" w:eastAsia="仿宋"/>
          <w:b w:val="0"/>
          <w:bCs w:val="0"/>
        </w:rPr>
        <w:t>入决算表</w:t>
      </w:r>
      <w:bookmarkEnd w:id="89"/>
      <w:bookmarkEnd w:id="90"/>
    </w:p>
    <w:p>
      <w:pPr>
        <w:pStyle w:val="3"/>
        <w:rPr>
          <w:rFonts w:ascii="仿宋" w:hAnsi="仿宋" w:eastAsia="仿宋"/>
        </w:rPr>
      </w:pPr>
      <w:bookmarkStart w:id="91" w:name="_Toc15396621"/>
      <w:bookmarkStart w:id="92" w:name="_Toc26490"/>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91"/>
      <w:bookmarkEnd w:id="92"/>
    </w:p>
    <w:p>
      <w:pPr>
        <w:pStyle w:val="3"/>
        <w:rPr>
          <w:rFonts w:ascii="仿宋" w:hAnsi="仿宋" w:eastAsia="仿宋"/>
          <w:b w:val="0"/>
        </w:rPr>
      </w:pPr>
      <w:bookmarkStart w:id="93" w:name="_Toc4249"/>
      <w:bookmarkStart w:id="94"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93"/>
      <w:bookmarkEnd w:id="94"/>
    </w:p>
    <w:p>
      <w:pPr>
        <w:pStyle w:val="3"/>
        <w:rPr>
          <w:rStyle w:val="25"/>
          <w:rFonts w:ascii="仿宋" w:hAnsi="仿宋" w:eastAsia="仿宋"/>
          <w:b w:val="0"/>
          <w:bCs w:val="0"/>
        </w:rPr>
      </w:pPr>
      <w:bookmarkStart w:id="95" w:name="_Toc15396623"/>
      <w:bookmarkStart w:id="96" w:name="_Toc21621"/>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95"/>
      <w:bookmarkEnd w:id="96"/>
      <w:bookmarkStart w:id="97" w:name="_Toc15396624"/>
    </w:p>
    <w:p>
      <w:pPr>
        <w:pStyle w:val="3"/>
        <w:rPr>
          <w:rFonts w:ascii="仿宋" w:hAnsi="仿宋" w:eastAsia="仿宋"/>
        </w:rPr>
      </w:pPr>
      <w:bookmarkStart w:id="98" w:name="_Toc1061"/>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97"/>
      <w:bookmarkEnd w:id="98"/>
    </w:p>
    <w:p>
      <w:pPr>
        <w:pStyle w:val="3"/>
        <w:rPr>
          <w:rFonts w:ascii="仿宋" w:hAnsi="仿宋" w:eastAsia="仿宋"/>
        </w:rPr>
      </w:pPr>
      <w:bookmarkStart w:id="99" w:name="_Toc6268"/>
      <w:bookmarkStart w:id="10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99"/>
      <w:bookmarkEnd w:id="100"/>
    </w:p>
    <w:p>
      <w:pPr>
        <w:pStyle w:val="3"/>
        <w:rPr>
          <w:rFonts w:ascii="仿宋" w:hAnsi="仿宋" w:eastAsia="仿宋"/>
        </w:rPr>
      </w:pPr>
      <w:bookmarkStart w:id="101" w:name="_Toc15396626"/>
      <w:bookmarkStart w:id="102" w:name="_Toc29111"/>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01"/>
      <w:bookmarkEnd w:id="102"/>
    </w:p>
    <w:p>
      <w:pPr>
        <w:pStyle w:val="3"/>
        <w:rPr>
          <w:rFonts w:ascii="仿宋" w:hAnsi="仿宋" w:eastAsia="仿宋"/>
        </w:rPr>
      </w:pPr>
      <w:bookmarkStart w:id="103" w:name="_Toc15396627"/>
      <w:bookmarkStart w:id="104" w:name="_Toc2507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03"/>
      <w:bookmarkEnd w:id="104"/>
    </w:p>
    <w:p>
      <w:pPr>
        <w:pStyle w:val="3"/>
        <w:rPr>
          <w:rFonts w:ascii="仿宋" w:hAnsi="仿宋" w:eastAsia="仿宋"/>
        </w:rPr>
      </w:pPr>
      <w:bookmarkStart w:id="105" w:name="_Toc15396628"/>
      <w:bookmarkStart w:id="106" w:name="_Toc8538"/>
      <w:r>
        <w:rPr>
          <w:rStyle w:val="25"/>
          <w:rFonts w:hint="eastAsia" w:ascii="仿宋" w:hAnsi="仿宋" w:eastAsia="仿宋"/>
          <w:b w:val="0"/>
          <w:bCs w:val="0"/>
        </w:rPr>
        <w:t>十、</w:t>
      </w:r>
      <w:bookmarkEnd w:id="105"/>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06"/>
    </w:p>
    <w:p>
      <w:pPr>
        <w:pStyle w:val="3"/>
        <w:rPr>
          <w:rFonts w:ascii="仿宋" w:hAnsi="仿宋" w:eastAsia="仿宋"/>
        </w:rPr>
      </w:pPr>
      <w:bookmarkStart w:id="107" w:name="_Toc15396629"/>
      <w:bookmarkStart w:id="108" w:name="_Toc26365"/>
      <w:r>
        <w:rPr>
          <w:rStyle w:val="25"/>
          <w:rFonts w:hint="eastAsia" w:ascii="仿宋" w:hAnsi="仿宋" w:eastAsia="仿宋"/>
          <w:b w:val="0"/>
          <w:bCs w:val="0"/>
        </w:rPr>
        <w:t>十一、</w:t>
      </w:r>
      <w:bookmarkEnd w:id="107"/>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08"/>
    </w:p>
    <w:p>
      <w:pPr>
        <w:pStyle w:val="3"/>
        <w:rPr>
          <w:rFonts w:ascii="仿宋" w:hAnsi="仿宋" w:eastAsia="仿宋"/>
        </w:rPr>
      </w:pPr>
      <w:bookmarkStart w:id="109" w:name="_Toc15396630"/>
      <w:bookmarkStart w:id="110" w:name="_Toc11791"/>
      <w:r>
        <w:rPr>
          <w:rStyle w:val="25"/>
          <w:rFonts w:hint="eastAsia" w:ascii="仿宋" w:hAnsi="仿宋" w:eastAsia="仿宋"/>
          <w:b w:val="0"/>
          <w:bCs w:val="0"/>
        </w:rPr>
        <w:t>十二、</w:t>
      </w:r>
      <w:bookmarkEnd w:id="109"/>
      <w:r>
        <w:rPr>
          <w:rStyle w:val="25"/>
          <w:rFonts w:hint="eastAsia" w:ascii="仿宋" w:hAnsi="仿宋" w:eastAsia="仿宋"/>
          <w:b w:val="0"/>
          <w:bCs w:val="0"/>
        </w:rPr>
        <w:t>国有资本经营预算财政拨款支出决算表</w:t>
      </w:r>
      <w:bookmarkEnd w:id="110"/>
    </w:p>
    <w:p>
      <w:pPr>
        <w:pStyle w:val="3"/>
        <w:rPr>
          <w:rFonts w:eastAsia="仿宋"/>
        </w:rPr>
      </w:pPr>
      <w:bookmarkStart w:id="111" w:name="_Toc15396631"/>
      <w:bookmarkStart w:id="112" w:name="_Toc26267"/>
      <w:r>
        <w:rPr>
          <w:rStyle w:val="25"/>
          <w:rFonts w:hint="eastAsia" w:ascii="仿宋" w:hAnsi="仿宋" w:eastAsia="仿宋"/>
          <w:b w:val="0"/>
          <w:bCs w:val="0"/>
        </w:rPr>
        <w:t>十三、</w:t>
      </w:r>
      <w:bookmarkEnd w:id="111"/>
      <w:r>
        <w:rPr>
          <w:rStyle w:val="25"/>
          <w:rFonts w:hint="eastAsia" w:ascii="仿宋" w:hAnsi="仿宋" w:eastAsia="仿宋"/>
          <w:b w:val="0"/>
          <w:bCs w:val="0"/>
        </w:rPr>
        <w:t>财政拨款“三公”经费支出决算表</w:t>
      </w:r>
      <w:bookmarkEnd w:id="112"/>
    </w:p>
    <w:p>
      <w:pPr>
        <w:rPr>
          <w:rFonts w:eastAsia="仿宋"/>
        </w:rPr>
      </w:pPr>
    </w:p>
    <w:sectPr>
      <w:pgSz w:w="11906" w:h="16838"/>
      <w:pgMar w:top="1440" w:right="1803" w:bottom="1440" w:left="1803" w:header="851" w:footer="992" w:gutter="0"/>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42</w:t>
                    </w:r>
                    <w:r>
                      <w:fldChar w:fldCharType="end"/>
                    </w:r>
                  </w:p>
                </w:txbxContent>
              </v:textbox>
            </v:shape>
          </w:pict>
        </mc:Fallback>
      </mc:AlternateConten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MDYzYzc0MTUzZGY3ZDM5NWEzMzNhN2E4MDFhY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569E7"/>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5DFB"/>
    <w:rsid w:val="004D3458"/>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1A10"/>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D42C4"/>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0D56"/>
    <w:rsid w:val="00BF5BD6"/>
    <w:rsid w:val="00C03E31"/>
    <w:rsid w:val="00C33E72"/>
    <w:rsid w:val="00C354B2"/>
    <w:rsid w:val="00C35554"/>
    <w:rsid w:val="00C42709"/>
    <w:rsid w:val="00C533CC"/>
    <w:rsid w:val="00C5751C"/>
    <w:rsid w:val="00C61BFC"/>
    <w:rsid w:val="00C62B85"/>
    <w:rsid w:val="00C65438"/>
    <w:rsid w:val="00C70B80"/>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3137"/>
    <w:rsid w:val="00D7035F"/>
    <w:rsid w:val="00D973C8"/>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4B3D"/>
    <w:rsid w:val="00F45853"/>
    <w:rsid w:val="00F602DF"/>
    <w:rsid w:val="00F754A1"/>
    <w:rsid w:val="00F81FD9"/>
    <w:rsid w:val="00F841AA"/>
    <w:rsid w:val="00F84A94"/>
    <w:rsid w:val="00F87E96"/>
    <w:rsid w:val="00FA00BE"/>
    <w:rsid w:val="00FA23E8"/>
    <w:rsid w:val="00FD3CC1"/>
    <w:rsid w:val="00FF1E02"/>
    <w:rsid w:val="00FF30B4"/>
    <w:rsid w:val="01254BA9"/>
    <w:rsid w:val="06902E7C"/>
    <w:rsid w:val="086A485C"/>
    <w:rsid w:val="0A2032A3"/>
    <w:rsid w:val="0B8A37D8"/>
    <w:rsid w:val="0C372DBB"/>
    <w:rsid w:val="0C434FF4"/>
    <w:rsid w:val="0FB029A1"/>
    <w:rsid w:val="10923E54"/>
    <w:rsid w:val="10A03C51"/>
    <w:rsid w:val="10C055FF"/>
    <w:rsid w:val="11765FEF"/>
    <w:rsid w:val="118107EC"/>
    <w:rsid w:val="11B86C9D"/>
    <w:rsid w:val="11DD6519"/>
    <w:rsid w:val="121A6898"/>
    <w:rsid w:val="12C0114D"/>
    <w:rsid w:val="136151FC"/>
    <w:rsid w:val="15D867AD"/>
    <w:rsid w:val="160F7CF5"/>
    <w:rsid w:val="165C4B9F"/>
    <w:rsid w:val="1675334D"/>
    <w:rsid w:val="16BB723D"/>
    <w:rsid w:val="18015F3F"/>
    <w:rsid w:val="183D6D9C"/>
    <w:rsid w:val="1A787A3E"/>
    <w:rsid w:val="1BE8440E"/>
    <w:rsid w:val="1D155CEE"/>
    <w:rsid w:val="1D334A43"/>
    <w:rsid w:val="1DFA6CCA"/>
    <w:rsid w:val="1E2E5180"/>
    <w:rsid w:val="1E3429EF"/>
    <w:rsid w:val="1F274302"/>
    <w:rsid w:val="1F494278"/>
    <w:rsid w:val="20E53DA9"/>
    <w:rsid w:val="20F57F95"/>
    <w:rsid w:val="21CD2F3E"/>
    <w:rsid w:val="240371BF"/>
    <w:rsid w:val="25C741E6"/>
    <w:rsid w:val="27842671"/>
    <w:rsid w:val="28534B6C"/>
    <w:rsid w:val="29FD04D3"/>
    <w:rsid w:val="2ABE7A3E"/>
    <w:rsid w:val="2C3826C8"/>
    <w:rsid w:val="2EFA178C"/>
    <w:rsid w:val="2F8B61E7"/>
    <w:rsid w:val="30182170"/>
    <w:rsid w:val="30517430"/>
    <w:rsid w:val="30B46D73"/>
    <w:rsid w:val="319F7F4E"/>
    <w:rsid w:val="32A66287"/>
    <w:rsid w:val="335A484E"/>
    <w:rsid w:val="33765052"/>
    <w:rsid w:val="33BD7F35"/>
    <w:rsid w:val="34441786"/>
    <w:rsid w:val="36687282"/>
    <w:rsid w:val="39AE70AB"/>
    <w:rsid w:val="3A640B2C"/>
    <w:rsid w:val="3B4A3072"/>
    <w:rsid w:val="3B702D0A"/>
    <w:rsid w:val="3C0C0783"/>
    <w:rsid w:val="3E5C76CC"/>
    <w:rsid w:val="3E78202C"/>
    <w:rsid w:val="3F5C7D12"/>
    <w:rsid w:val="3F9F3A96"/>
    <w:rsid w:val="406B6A21"/>
    <w:rsid w:val="42666D6B"/>
    <w:rsid w:val="43CC52F4"/>
    <w:rsid w:val="452D47A4"/>
    <w:rsid w:val="493C27E9"/>
    <w:rsid w:val="496F39ED"/>
    <w:rsid w:val="49FF41D3"/>
    <w:rsid w:val="4ADD7DE7"/>
    <w:rsid w:val="4BE068DB"/>
    <w:rsid w:val="4BF6002B"/>
    <w:rsid w:val="4C2D49E9"/>
    <w:rsid w:val="4CFF4044"/>
    <w:rsid w:val="4E191E11"/>
    <w:rsid w:val="4ECE2238"/>
    <w:rsid w:val="4EF23735"/>
    <w:rsid w:val="4F97381A"/>
    <w:rsid w:val="50A767D4"/>
    <w:rsid w:val="51DB4B86"/>
    <w:rsid w:val="526811C1"/>
    <w:rsid w:val="532E7431"/>
    <w:rsid w:val="55333C3E"/>
    <w:rsid w:val="55501DDF"/>
    <w:rsid w:val="558772CD"/>
    <w:rsid w:val="58382B00"/>
    <w:rsid w:val="587C0C3F"/>
    <w:rsid w:val="5B2E1D2D"/>
    <w:rsid w:val="5B372BFB"/>
    <w:rsid w:val="5DE62663"/>
    <w:rsid w:val="5FAC19D9"/>
    <w:rsid w:val="63E47698"/>
    <w:rsid w:val="64486CB6"/>
    <w:rsid w:val="64BE01BC"/>
    <w:rsid w:val="64CA39A1"/>
    <w:rsid w:val="653D52B2"/>
    <w:rsid w:val="65425D45"/>
    <w:rsid w:val="65DF609E"/>
    <w:rsid w:val="66855163"/>
    <w:rsid w:val="66E22CF2"/>
    <w:rsid w:val="67087745"/>
    <w:rsid w:val="67D56C28"/>
    <w:rsid w:val="67F4570A"/>
    <w:rsid w:val="682B7F8C"/>
    <w:rsid w:val="6B9D2F4E"/>
    <w:rsid w:val="6BB26425"/>
    <w:rsid w:val="6C4A05C8"/>
    <w:rsid w:val="6C8E6038"/>
    <w:rsid w:val="6CD75DC0"/>
    <w:rsid w:val="72734D90"/>
    <w:rsid w:val="75B75ABB"/>
    <w:rsid w:val="7891051A"/>
    <w:rsid w:val="79E7B28D"/>
    <w:rsid w:val="7A21770D"/>
    <w:rsid w:val="7A5B16D3"/>
    <w:rsid w:val="7ACF29F8"/>
    <w:rsid w:val="7C606577"/>
    <w:rsid w:val="7D0E502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0">
    <w:name w:val="WPSOffice手动目录 1"/>
    <w:qFormat/>
    <w:uiPriority w:val="0"/>
    <w:rPr>
      <w:rFonts w:ascii="Calibri" w:hAnsi="Calibri" w:eastAsia="宋体" w:cs="Times New Roman"/>
      <w:lang w:val="en-US" w:eastAsia="zh-CN" w:bidi="ar-SA"/>
    </w:rPr>
  </w:style>
  <w:style w:type="paragraph" w:customStyle="1" w:styleId="31">
    <w:name w:val="WPSOffice手动目录 2"/>
    <w:qFormat/>
    <w:uiPriority w:val="0"/>
    <w:pPr>
      <w:ind w:left="200" w:leftChars="200"/>
    </w:pPr>
    <w:rPr>
      <w:rFonts w:ascii="Calibri" w:hAnsi="Calibri" w:eastAsia="宋体" w:cs="Times New Roman"/>
      <w:lang w:val="en-US" w:eastAsia="zh-CN" w:bidi="ar-SA"/>
    </w:rPr>
  </w:style>
  <w:style w:type="paragraph" w:customStyle="1" w:styleId="32">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2022</a:t>
            </a:r>
            <a:r>
              <a:rPr lang="zh-CN" altLang="en-US" sz="1400" b="1"/>
              <a:t>年收、支决算变动情况表</a:t>
            </a:r>
            <a:endParaRPr lang="zh-CN" altLang="en-US" sz="14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1183.81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774501332619358"/>
                  <c:y val="0.013888888888888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914.58</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1183.81</c:v>
                </c:pt>
                <c:pt idx="1">
                  <c:v>914.58</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1183.81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27357032457496"/>
                  <c:y val="0.017361111111111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914.58</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1183.81</c:v>
                </c:pt>
                <c:pt idx="1">
                  <c:v>914.58</c:v>
                </c:pt>
              </c:numCache>
            </c:numRef>
          </c:val>
        </c:ser>
        <c:dLbls>
          <c:showLegendKey val="0"/>
          <c:showVal val="1"/>
          <c:showCatName val="0"/>
          <c:showSerName val="0"/>
          <c:showPercent val="0"/>
          <c:showBubbleSize val="0"/>
        </c:dLbls>
        <c:gapWidth val="179"/>
        <c:overlap val="-57"/>
        <c:axId val="308918528"/>
        <c:axId val="385474560"/>
      </c:barChart>
      <c:catAx>
        <c:axId val="3089185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474560"/>
        <c:crosses val="autoZero"/>
        <c:auto val="1"/>
        <c:lblAlgn val="ctr"/>
        <c:lblOffset val="100"/>
        <c:noMultiLvlLbl val="0"/>
      </c:catAx>
      <c:valAx>
        <c:axId val="385474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89185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2022</a:t>
            </a:r>
            <a:r>
              <a:rPr lang="zh-CN" altLang="en-US" sz="1400" b="1"/>
              <a:t>年收入决算结构图</a:t>
            </a:r>
            <a:endParaRPr lang="zh-CN" altLang="en-US"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sz="900" b="0" i="0" u="none" strike="noStrike" baseline="0">
                        <a:effectLst/>
                      </a:rPr>
                      <a:t>914.22</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c:v>
                </c:pt>
              </c:strCache>
            </c:strRef>
          </c:cat>
          <c:val>
            <c:numRef>
              <c:f>Sheet1!$B$2</c:f>
              <c:numCache>
                <c:formatCode>General</c:formatCode>
                <c:ptCount val="1"/>
                <c:pt idx="0">
                  <c:v>914.22</c:v>
                </c:pt>
              </c:numCache>
            </c:numRef>
          </c:val>
        </c:ser>
        <c:ser>
          <c:idx val="1"/>
          <c:order val="1"/>
          <c:tx>
            <c:strRef>
              <c:f>Sheet1!$C$1</c:f>
              <c:strCache>
                <c:ptCount val="1"/>
                <c:pt idx="0">
                  <c:v/>
                </c:pt>
              </c:strCache>
            </c:strRef>
          </c:tx>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2022</a:t>
            </a:r>
            <a:r>
              <a:rPr lang="zh-CN" altLang="en-US" sz="1400" b="1"/>
              <a:t>年支出决算结构图</a:t>
            </a:r>
            <a:endParaRPr lang="zh-CN" altLang="en-US"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23482325903292"/>
                  <c:y val="-0.1203218374995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716.83</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197.75</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716.83</c:v>
                </c:pt>
                <c:pt idx="1">
                  <c:v>197.75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sz="1400" b="1"/>
              <a:t>财政拨款收、支出总体变动情况</a:t>
            </a:r>
            <a:endParaRPr lang="zh-CN" altLang="en-US" sz="1400" b="1"/>
          </a:p>
        </c:rich>
      </c:tx>
      <c:layout>
        <c:manualLayout>
          <c:xMode val="edge"/>
          <c:yMode val="edge"/>
          <c:x val="0.213181888425282"/>
          <c:y val="0.038194444444444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Lbl>
              <c:idx val="0"/>
              <c:layout>
                <c:manualLayout>
                  <c:x val="0.00309071240921032"/>
                  <c:y val="0.018518518518518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1183.81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8518518518518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1183.81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1183.81</c:v>
                </c:pt>
                <c:pt idx="1">
                  <c:v>1183.81</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914.58</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914.58</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914.58</c:v>
                </c:pt>
                <c:pt idx="1">
                  <c:v>914.58</c:v>
                </c:pt>
              </c:numCache>
            </c:numRef>
          </c:val>
        </c:ser>
        <c:dLbls>
          <c:showLegendKey val="0"/>
          <c:showVal val="1"/>
          <c:showCatName val="0"/>
          <c:showSerName val="0"/>
          <c:showPercent val="0"/>
          <c:showBubbleSize val="0"/>
        </c:dLbls>
        <c:gapWidth val="219"/>
        <c:overlap val="-27"/>
        <c:axId val="387265664"/>
        <c:axId val="387267200"/>
      </c:barChart>
      <c:catAx>
        <c:axId val="3872656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267200"/>
        <c:crosses val="autoZero"/>
        <c:auto val="1"/>
        <c:lblAlgn val="ctr"/>
        <c:lblOffset val="100"/>
        <c:noMultiLvlLbl val="0"/>
      </c:catAx>
      <c:valAx>
        <c:axId val="3872672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2656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sz="1400" b="1"/>
              <a:t>一般公共预算财政拨款支出</a:t>
            </a:r>
            <a:endParaRPr lang="zh-CN" altLang="en-US"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1183.81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1183.81</c:v>
                </c:pt>
              </c:numCache>
            </c:numRef>
          </c:val>
        </c:ser>
        <c:ser>
          <c:idx val="1"/>
          <c:order val="1"/>
          <c:tx>
            <c:strRef>
              <c:f>Sheet1!$C$1</c:f>
              <c:strCache>
                <c:ptCount val="1"/>
                <c:pt idx="0">
                  <c:v>2022年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914.58</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914.58</c:v>
                </c:pt>
              </c:numCache>
            </c:numRef>
          </c:val>
        </c:ser>
        <c:dLbls>
          <c:showLegendKey val="0"/>
          <c:showVal val="1"/>
          <c:showCatName val="0"/>
          <c:showSerName val="0"/>
          <c:showPercent val="0"/>
          <c:showBubbleSize val="0"/>
        </c:dLbls>
        <c:gapWidth val="212"/>
        <c:overlap val="-90"/>
        <c:axId val="387727744"/>
        <c:axId val="387729280"/>
      </c:barChart>
      <c:catAx>
        <c:axId val="387727744"/>
        <c:scaling>
          <c:orientation val="minMax"/>
        </c:scaling>
        <c:delete val="1"/>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7729280"/>
        <c:crosses val="autoZero"/>
        <c:auto val="1"/>
        <c:lblAlgn val="ctr"/>
        <c:lblOffset val="100"/>
        <c:noMultiLvlLbl val="0"/>
      </c:catAx>
      <c:valAx>
        <c:axId val="387729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727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sz="1400" b="1"/>
              <a:t>一般公共预算财政拨款支出</a:t>
            </a:r>
            <a:endParaRPr lang="zh-CN" altLang="en-US"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688656337312675"/>
                  <c:y val="-0.22890308066330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836.87</a:t>
                    </a:r>
                    <a:r>
                      <a:rPr lang="zh-CN" altLang="en-US">
                        <a:solidFill>
                          <a:schemeClr val="bg1"/>
                        </a:solidFill>
                      </a:rPr>
                      <a:t>万元</a:t>
                    </a:r>
                    <a:endParaRPr lang="zh-CN" altLang="en-US">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10467360934722"/>
                  <c:y val="-0.00184767226677308"/>
                </c:manualLayout>
              </c:layout>
              <c:tx>
                <c:rich>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r>
                      <a:rPr lang="en-US" altLang="zh-CN">
                        <a:solidFill>
                          <a:sysClr val="windowText" lastClr="000000"/>
                        </a:solidFill>
                      </a:rPr>
                      <a:t>29.95</a:t>
                    </a:r>
                    <a:r>
                      <a:rPr lang="zh-CN" altLang="en-US">
                        <a:solidFill>
                          <a:sysClr val="windowText" lastClr="000000"/>
                        </a:solidFill>
                      </a:rPr>
                      <a:t>万元</a:t>
                    </a:r>
                    <a:endParaRPr lang="zh-CN" altLang="en-US">
                      <a:solidFill>
                        <a:sysClr val="windowText" lastClr="000000"/>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01386842773686"/>
                  <c:y val="-0.0271232628179542"/>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15.87</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13811023622047"/>
                  <c:y val="0.016412424253419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31.89</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General</c:formatCode>
                <c:ptCount val="4"/>
                <c:pt idx="0">
                  <c:v>836.87</c:v>
                </c:pt>
                <c:pt idx="1" c:formatCode="#,##0.00">
                  <c:v>29.95</c:v>
                </c:pt>
                <c:pt idx="2" c:formatCode="#,##0.00">
                  <c:v>15.87</c:v>
                </c:pt>
                <c:pt idx="3" c:formatCode="#,##0.00">
                  <c:v>31.89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sz="1400" b="1"/>
              <a:t>“三公”经费财政拨款支出决算结构图</a:t>
            </a:r>
            <a:endParaRPr lang="zh-CN" altLang="en-US"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57890279623267e-7"/>
                  <c:y val="-0.17127611518501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0</a:t>
                    </a:r>
                    <a:r>
                      <a:rPr lang="zh-CN" altLang="en-US">
                        <a:solidFill>
                          <a:schemeClr val="bg1"/>
                        </a:solidFill>
                      </a:rPr>
                      <a:t>万元</a:t>
                    </a:r>
                    <a:endParaRPr lang="zh-CN" altLang="en-US">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0.00</a:t>
                    </a:r>
                    <a:r>
                      <a:rPr lang="zh-CN" altLang="en-US"/>
                      <a:t>万元</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#,##0.00</c:formatCode>
                <c:ptCount val="3"/>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11455</Words>
  <Characters>6900</Characters>
  <Lines>57</Lines>
  <Paragraphs>36</Paragraphs>
  <TotalTime>39</TotalTime>
  <ScaleCrop>false</ScaleCrop>
  <LinksUpToDate>false</LinksUpToDate>
  <CharactersWithSpaces>18319</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快乐分享</cp:lastModifiedBy>
  <cp:lastPrinted>2022-08-06T02:23:00Z</cp:lastPrinted>
  <dcterms:modified xsi:type="dcterms:W3CDTF">2023-10-09T01:59:43Z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F7493DBC2CFB4CE99F79228614F8A882</vt:lpwstr>
  </property>
</Properties>
</file>