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37222">
      <w:pPr>
        <w:spacing w:line="600" w:lineRule="exact"/>
        <w:jc w:val="left"/>
        <w:outlineLvl w:val="0"/>
        <w:rPr>
          <w:rFonts w:ascii="方正小标宋简体" w:hAnsi="宋体" w:eastAsia="方正小标宋简体"/>
          <w:szCs w:val="21"/>
        </w:rPr>
      </w:pPr>
      <w:bookmarkStart w:id="0" w:name="_Toc15306267"/>
    </w:p>
    <w:p w14:paraId="0DF087E9">
      <w:pPr>
        <w:pStyle w:val="6"/>
        <w:spacing w:before="93"/>
      </w:pPr>
    </w:p>
    <w:p w14:paraId="725566A8">
      <w:pPr>
        <w:spacing w:line="600" w:lineRule="exact"/>
        <w:jc w:val="center"/>
        <w:outlineLvl w:val="0"/>
        <w:rPr>
          <w:rFonts w:ascii="方正小标宋简体" w:hAnsi="宋体" w:eastAsia="方正小标宋简体"/>
          <w:sz w:val="72"/>
          <w:szCs w:val="72"/>
        </w:rPr>
      </w:pPr>
    </w:p>
    <w:p w14:paraId="54091FB7">
      <w:pPr>
        <w:spacing w:line="600" w:lineRule="exact"/>
        <w:jc w:val="center"/>
        <w:outlineLvl w:val="0"/>
        <w:rPr>
          <w:rFonts w:ascii="方正小标宋简体" w:hAnsi="宋体" w:eastAsia="方正小标宋简体"/>
          <w:sz w:val="72"/>
          <w:szCs w:val="72"/>
        </w:rPr>
      </w:pPr>
    </w:p>
    <w:p w14:paraId="662805C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5DBD2215">
      <w:pPr>
        <w:adjustRightInd w:val="0"/>
        <w:snapToGrid w:val="0"/>
        <w:spacing w:line="360" w:lineRule="auto"/>
        <w:jc w:val="center"/>
        <w:outlineLvl w:val="0"/>
        <w:rPr>
          <w:rFonts w:ascii="黑体" w:hAnsi="黑体" w:eastAsia="黑体"/>
          <w:sz w:val="48"/>
          <w:szCs w:val="48"/>
        </w:rPr>
      </w:pPr>
      <w:bookmarkStart w:id="6" w:name="_Toc15377426"/>
      <w:bookmarkStart w:id="7" w:name="_Toc15377194"/>
      <w:bookmarkStart w:id="8" w:name="_Toc15396476"/>
      <w:bookmarkStart w:id="9" w:name="_Toc15378442"/>
      <w:bookmarkStart w:id="10" w:name="_Toc15396598"/>
      <w:r>
        <w:rPr>
          <w:rFonts w:hint="eastAsia"/>
          <w:b/>
          <w:bCs/>
          <w:sz w:val="72"/>
          <w:szCs w:val="72"/>
        </w:rPr>
        <w:t>四川省</w:t>
      </w:r>
      <w:bookmarkEnd w:id="0"/>
      <w:bookmarkStart w:id="11" w:name="_Toc15306268"/>
      <w:r>
        <w:rPr>
          <w:rFonts w:hint="eastAsia"/>
          <w:b/>
          <w:bCs/>
          <w:sz w:val="72"/>
          <w:szCs w:val="72"/>
          <w:lang w:eastAsia="zh-CN"/>
        </w:rPr>
        <w:t>大竹县清河镇柏家学校</w:t>
      </w:r>
      <w:r>
        <w:rPr>
          <w:rFonts w:hint="eastAsia"/>
          <w:b/>
          <w:bCs/>
          <w:sz w:val="72"/>
          <w:szCs w:val="72"/>
        </w:rPr>
        <w:t>单位决算</w:t>
      </w:r>
      <w:bookmarkEnd w:id="6"/>
      <w:bookmarkEnd w:id="7"/>
      <w:bookmarkEnd w:id="8"/>
      <w:bookmarkEnd w:id="9"/>
      <w:bookmarkEnd w:id="10"/>
      <w:bookmarkEnd w:id="11"/>
      <w:r>
        <w:rPr>
          <w:rFonts w:ascii="方正小标宋简体" w:hAnsi="宋体" w:eastAsia="方正小标宋简体"/>
          <w:sz w:val="36"/>
          <w:szCs w:val="36"/>
        </w:rPr>
        <w:br w:type="page"/>
      </w:r>
      <w:r>
        <w:rPr>
          <w:rFonts w:hint="eastAsia" w:ascii="黑体" w:hAnsi="黑体" w:eastAsia="黑体"/>
          <w:sz w:val="48"/>
          <w:szCs w:val="48"/>
        </w:rPr>
        <w:t>目录</w:t>
      </w:r>
    </w:p>
    <w:p w14:paraId="00BCDEE8">
      <w:pPr>
        <w:widowControl/>
        <w:jc w:val="center"/>
        <w:rPr>
          <w:rFonts w:ascii="黑体" w:hAnsi="黑体" w:eastAsia="黑体" w:cstheme="minorBidi"/>
          <w:sz w:val="28"/>
          <w:szCs w:val="28"/>
        </w:rPr>
      </w:pPr>
    </w:p>
    <w:p w14:paraId="105B3564">
      <w:pPr>
        <w:pStyle w:val="12"/>
        <w:rPr>
          <w:rFonts w:hint="default" w:eastAsia="仿宋"/>
          <w:highlight w:val="yellow"/>
          <w:lang w:val="en-US" w:eastAsia="zh-CN"/>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5FDF2B70"/>
    <w:p w14:paraId="650122F8">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.4</w:t>
      </w:r>
    </w:p>
    <w:p w14:paraId="07B5C621">
      <w:pPr>
        <w:pStyle w:val="13"/>
        <w:adjustRightInd w:val="0"/>
        <w:snapToGrid w:val="0"/>
        <w:spacing w:line="440" w:lineRule="exact"/>
        <w:jc w:val="left"/>
        <w:rPr>
          <w:rFonts w:hint="default"/>
          <w:sz w:val="24"/>
          <w:lang w:val="en-US"/>
        </w:rPr>
      </w:pPr>
      <w:r>
        <w:rPr>
          <w:rFonts w:hint="eastAsia"/>
          <w:sz w:val="24"/>
        </w:rPr>
        <w:t>一</w:t>
      </w:r>
      <w:r>
        <w:rPr>
          <w:rFonts w:hint="eastAsia" w:ascii="仿宋" w:hAnsi="仿宋" w:eastAsia="仿宋" w:cs="Times New Roman"/>
          <w:kern w:val="2"/>
          <w:sz w:val="24"/>
          <w:szCs w:val="28"/>
          <w:lang w:val="en-US" w:eastAsia="zh-CN" w:bidi="ar-SA"/>
        </w:rPr>
        <w:t>、主要职责</w:t>
      </w:r>
      <w:r>
        <w:rPr>
          <w:rFonts w:hint="eastAsia"/>
          <w:sz w:val="24"/>
          <w:lang w:val="en-US" w:eastAsia="zh-CN"/>
        </w:rPr>
        <w:t>..........................................................................................................4</w:t>
      </w:r>
    </w:p>
    <w:p w14:paraId="12136597">
      <w:pPr>
        <w:pStyle w:val="13"/>
        <w:adjustRightInd w:val="0"/>
        <w:snapToGrid w:val="0"/>
        <w:spacing w:line="440" w:lineRule="exact"/>
        <w:jc w:val="left"/>
      </w:pPr>
      <w:r>
        <w:rPr>
          <w:rFonts w:hint="eastAsia"/>
          <w:sz w:val="24"/>
        </w:rPr>
        <w:t>二、</w:t>
      </w:r>
      <w:r>
        <w:rPr>
          <w:rFonts w:hint="eastAsia" w:ascii="仿宋" w:hAnsi="仿宋" w:eastAsia="仿宋" w:cs="Times New Roman"/>
          <w:kern w:val="2"/>
          <w:sz w:val="24"/>
          <w:szCs w:val="28"/>
          <w:lang w:val="en-US" w:eastAsia="zh-CN" w:bidi="ar-SA"/>
        </w:rPr>
        <w:t>机构设置</w:t>
      </w:r>
      <w:r>
        <w:rPr>
          <w:rFonts w:hint="eastAsia"/>
          <w:sz w:val="24"/>
          <w:lang w:val="en-US" w:eastAsia="zh-CN"/>
        </w:rPr>
        <w:t>...........................................................................................................4</w:t>
      </w:r>
    </w:p>
    <w:p w14:paraId="7481CC3D">
      <w:pPr>
        <w:pStyle w:val="12"/>
        <w:adjustRightInd w:val="0"/>
        <w:snapToGrid w:val="0"/>
        <w:spacing w:before="0" w:line="440" w:lineRule="exact"/>
        <w:jc w:val="left"/>
        <w:rPr>
          <w:sz w:val="24"/>
          <w:szCs w:val="24"/>
        </w:rPr>
      </w:pPr>
      <w:r>
        <w:rPr>
          <w:rFonts w:hint="eastAsia"/>
          <w:sz w:val="24"/>
        </w:rPr>
        <w:t>第二部分 2023年度单位决算情况说明</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4</w:t>
      </w:r>
    </w:p>
    <w:p w14:paraId="796D4955">
      <w:pPr>
        <w:pStyle w:val="13"/>
        <w:adjustRightInd w:val="0"/>
        <w:snapToGrid w:val="0"/>
        <w:spacing w:line="440" w:lineRule="exact"/>
        <w:jc w:val="left"/>
        <w:rPr>
          <w:rFonts w:hint="eastAsia"/>
          <w:sz w:val="24"/>
          <w:lang w:val="en-US" w:eastAsia="zh-CN"/>
        </w:rPr>
      </w:pPr>
      <w:r>
        <w:rPr>
          <w:rFonts w:hint="eastAsia" w:ascii="仿宋" w:hAnsi="仿宋" w:eastAsia="仿宋" w:cs="Times New Roman"/>
          <w:kern w:val="2"/>
          <w:sz w:val="24"/>
          <w:szCs w:val="28"/>
          <w:lang w:val="en-US" w:eastAsia="zh-CN" w:bidi="ar-SA"/>
        </w:rPr>
        <w:t>一、收入支出决算总体情况说明</w:t>
      </w:r>
      <w:r>
        <w:rPr>
          <w:rFonts w:hint="eastAsia"/>
          <w:sz w:val="24"/>
          <w:lang w:val="en-US" w:eastAsia="zh-CN"/>
        </w:rPr>
        <w:t>...........................................................................4</w:t>
      </w:r>
      <w:r>
        <w:rPr>
          <w:rFonts w:hint="eastAsia" w:ascii="仿宋" w:hAnsi="仿宋" w:eastAsia="仿宋" w:cs="Times New Roman"/>
          <w:kern w:val="2"/>
          <w:sz w:val="24"/>
          <w:szCs w:val="28"/>
          <w:lang w:val="en-US" w:eastAsia="zh-CN" w:bidi="ar-SA"/>
        </w:rPr>
        <w:t>二、收入决算情况说明</w:t>
      </w:r>
      <w:r>
        <w:rPr>
          <w:rFonts w:hint="eastAsia"/>
          <w:sz w:val="24"/>
          <w:lang w:val="en-US" w:eastAsia="zh-CN"/>
        </w:rPr>
        <w:t>...........................................................................................5</w:t>
      </w:r>
    </w:p>
    <w:p w14:paraId="798C371A">
      <w:pPr>
        <w:pStyle w:val="13"/>
        <w:adjustRightInd w:val="0"/>
        <w:snapToGrid w:val="0"/>
        <w:spacing w:line="440" w:lineRule="exact"/>
        <w:jc w:val="left"/>
        <w:rPr>
          <w:rFonts w:ascii="仿宋" w:hAnsi="仿宋" w:eastAsia="仿宋" w:cstheme="minorBidi"/>
          <w:sz w:val="24"/>
        </w:rPr>
      </w:pPr>
      <w:r>
        <w:rPr>
          <w:rFonts w:hint="eastAsia" w:ascii="仿宋" w:hAnsi="仿宋" w:eastAsia="仿宋" w:cs="Times New Roman"/>
          <w:kern w:val="2"/>
          <w:sz w:val="24"/>
          <w:szCs w:val="28"/>
          <w:lang w:val="en-US" w:eastAsia="zh-CN" w:bidi="ar-SA"/>
        </w:rPr>
        <w:t>三、支出决算情况说明</w:t>
      </w:r>
      <w:r>
        <w:rPr>
          <w:rFonts w:hint="eastAsia"/>
          <w:sz w:val="24"/>
          <w:lang w:val="en-US" w:eastAsia="zh-CN"/>
        </w:rPr>
        <w:t>..........................................................................................6</w:t>
      </w:r>
    </w:p>
    <w:p w14:paraId="61758A76">
      <w:pPr>
        <w:pStyle w:val="13"/>
        <w:adjustRightInd w:val="0"/>
        <w:snapToGrid w:val="0"/>
        <w:spacing w:line="440" w:lineRule="exact"/>
        <w:jc w:val="left"/>
        <w:rPr>
          <w:rFonts w:ascii="仿宋" w:hAnsi="仿宋" w:eastAsia="仿宋" w:cstheme="minorBidi"/>
          <w:sz w:val="24"/>
        </w:rPr>
      </w:pPr>
      <w:r>
        <w:rPr>
          <w:rFonts w:hint="eastAsia" w:ascii="仿宋" w:hAnsi="仿宋" w:eastAsia="仿宋" w:cs="Times New Roman"/>
          <w:kern w:val="2"/>
          <w:sz w:val="24"/>
          <w:szCs w:val="28"/>
          <w:lang w:val="en-US" w:eastAsia="zh-CN" w:bidi="ar-SA"/>
        </w:rPr>
        <w:t>四、财政拨款收入支出决算总体情况说明</w:t>
      </w:r>
      <w:r>
        <w:rPr>
          <w:rFonts w:hint="eastAsia"/>
          <w:sz w:val="24"/>
          <w:lang w:val="en-US" w:eastAsia="zh-CN"/>
        </w:rPr>
        <w:t>...........................................................6</w:t>
      </w:r>
    </w:p>
    <w:p w14:paraId="6D87AFC8">
      <w:pPr>
        <w:pStyle w:val="13"/>
        <w:adjustRightInd w:val="0"/>
        <w:snapToGrid w:val="0"/>
        <w:spacing w:line="440" w:lineRule="exact"/>
        <w:jc w:val="left"/>
        <w:rPr>
          <w:rFonts w:ascii="仿宋" w:hAnsi="仿宋" w:eastAsia="仿宋" w:cstheme="minorBidi"/>
          <w:sz w:val="24"/>
        </w:rPr>
      </w:pPr>
      <w:r>
        <w:rPr>
          <w:rFonts w:hint="eastAsia" w:ascii="仿宋" w:hAnsi="仿宋" w:eastAsia="仿宋" w:cs="Times New Roman"/>
          <w:kern w:val="2"/>
          <w:sz w:val="24"/>
          <w:szCs w:val="28"/>
          <w:lang w:val="en-US" w:eastAsia="zh-CN" w:bidi="ar-SA"/>
        </w:rPr>
        <w:t>五、一般公共预算财政拨款支出决算情况说明</w:t>
      </w:r>
      <w:r>
        <w:rPr>
          <w:rFonts w:hint="eastAsia"/>
          <w:sz w:val="24"/>
          <w:lang w:val="en-US" w:eastAsia="zh-CN"/>
        </w:rPr>
        <w:t>...................................................7</w:t>
      </w:r>
    </w:p>
    <w:p w14:paraId="4B993201">
      <w:pPr>
        <w:pStyle w:val="13"/>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cs="Times New Roman"/>
          <w:kern w:val="2"/>
          <w:sz w:val="24"/>
          <w:szCs w:val="28"/>
          <w:lang w:val="en-US" w:eastAsia="zh-CN" w:bidi="ar-SA"/>
        </w:rPr>
        <w:t>六、一般公共预算财政拨款基本支出决算情况说明</w:t>
      </w:r>
      <w:r>
        <w:rPr>
          <w:rFonts w:hint="eastAsia"/>
          <w:sz w:val="24"/>
          <w:lang w:val="en-US" w:eastAsia="zh-CN"/>
        </w:rPr>
        <w:t>.........................................10</w:t>
      </w:r>
    </w:p>
    <w:p w14:paraId="3BB49D6B">
      <w:pPr>
        <w:pStyle w:val="13"/>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cs="Times New Roman"/>
          <w:kern w:val="2"/>
          <w:sz w:val="24"/>
          <w:szCs w:val="28"/>
          <w:lang w:val="en-US" w:eastAsia="zh-CN" w:bidi="ar-SA"/>
        </w:rPr>
        <w:t>七、财政拨款“三公”经费支出决算情况说明</w:t>
      </w:r>
      <w:r>
        <w:rPr>
          <w:rFonts w:hint="eastAsia"/>
          <w:sz w:val="24"/>
          <w:lang w:val="en-US" w:eastAsia="zh-CN"/>
        </w:rPr>
        <w:t>.....................................................10</w:t>
      </w:r>
    </w:p>
    <w:p w14:paraId="17514BE6">
      <w:pPr>
        <w:pStyle w:val="13"/>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cs="Times New Roman"/>
          <w:kern w:val="2"/>
          <w:sz w:val="24"/>
          <w:szCs w:val="28"/>
          <w:lang w:val="en-US" w:eastAsia="zh-CN" w:bidi="ar-SA"/>
        </w:rPr>
        <w:t>八、政府性基金预算支出决算情况说明</w:t>
      </w:r>
      <w:r>
        <w:rPr>
          <w:rFonts w:hint="eastAsia"/>
          <w:sz w:val="24"/>
          <w:lang w:val="en-US" w:eastAsia="zh-CN"/>
        </w:rPr>
        <w:t>.............................................................12</w:t>
      </w:r>
    </w:p>
    <w:p w14:paraId="0846E71D">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九、国有资本经营预算支出决算情况说明</w:t>
      </w:r>
      <w:r>
        <w:rPr>
          <w:rFonts w:hint="eastAsia"/>
          <w:sz w:val="24"/>
          <w:lang w:val="en-US" w:eastAsia="zh-CN"/>
        </w:rPr>
        <w:t>.........................................................12</w:t>
      </w:r>
      <w:r>
        <w:rPr>
          <w:rFonts w:hint="eastAsia" w:ascii="仿宋" w:hAnsi="仿宋" w:eastAsia="仿宋" w:cs="Times New Roman"/>
          <w:kern w:val="2"/>
          <w:sz w:val="24"/>
          <w:szCs w:val="28"/>
          <w:lang w:val="en-US" w:eastAsia="zh-CN" w:bidi="ar-SA"/>
        </w:rPr>
        <w:t>十、其他重要事项的情况说明</w:t>
      </w:r>
      <w:r>
        <w:rPr>
          <w:rFonts w:hint="eastAsia"/>
          <w:sz w:val="24"/>
          <w:lang w:val="en-US" w:eastAsia="zh-CN"/>
        </w:rPr>
        <w:t>.............................................................................12</w:t>
      </w:r>
    </w:p>
    <w:p w14:paraId="0234A6E4">
      <w:pPr>
        <w:pStyle w:val="12"/>
        <w:adjustRightInd w:val="0"/>
        <w:snapToGrid w:val="0"/>
        <w:spacing w:before="0" w:line="440" w:lineRule="exact"/>
        <w:jc w:val="left"/>
        <w:rPr>
          <w:rFonts w:hint="eastAsia"/>
          <w:sz w:val="24"/>
          <w:lang w:val="en-US" w:eastAsia="zh-CN"/>
        </w:rPr>
      </w:pPr>
      <w:r>
        <w:rPr>
          <w:rFonts w:hint="eastAsia" w:ascii="仿宋" w:hAnsi="仿宋" w:eastAsia="仿宋" w:cs="Times New Roman"/>
          <w:kern w:val="2"/>
          <w:sz w:val="24"/>
          <w:szCs w:val="28"/>
          <w:lang w:val="en-US" w:eastAsia="zh-CN" w:bidi="ar-SA"/>
        </w:rPr>
        <w:t>第三部分 名词解释</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13</w:t>
      </w:r>
    </w:p>
    <w:p w14:paraId="4DAEC7D4">
      <w:pPr>
        <w:pStyle w:val="12"/>
        <w:adjustRightInd w:val="0"/>
        <w:snapToGrid w:val="0"/>
        <w:spacing w:before="0" w:line="440" w:lineRule="exact"/>
        <w:ind w:left="720" w:hanging="720" w:hangingChars="300"/>
        <w:jc w:val="left"/>
        <w:rPr>
          <w:rFonts w:hint="eastAsia"/>
          <w:sz w:val="24"/>
          <w:lang w:val="en-US" w:eastAsia="zh-CN"/>
        </w:rPr>
      </w:pPr>
      <w:r>
        <w:rPr>
          <w:rFonts w:hint="eastAsia" w:ascii="仿宋" w:hAnsi="仿宋" w:eastAsia="仿宋" w:cs="Times New Roman"/>
          <w:kern w:val="2"/>
          <w:sz w:val="24"/>
          <w:szCs w:val="28"/>
          <w:lang w:val="en-US" w:eastAsia="zh-CN" w:bidi="ar-SA"/>
        </w:rPr>
        <w:t>第四部分 附件</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16</w:t>
      </w:r>
    </w:p>
    <w:p w14:paraId="7A7AFFD7">
      <w:pPr>
        <w:pStyle w:val="12"/>
        <w:adjustRightInd w:val="0"/>
        <w:snapToGrid w:val="0"/>
        <w:spacing w:before="0" w:line="440" w:lineRule="exact"/>
        <w:ind w:firstLine="480" w:firstLineChars="200"/>
        <w:jc w:val="left"/>
        <w:rPr>
          <w:rFonts w:hint="eastAsia"/>
          <w:sz w:val="24"/>
          <w:lang w:val="en-US" w:eastAsia="zh-CN"/>
        </w:rPr>
      </w:pPr>
      <w:r>
        <w:rPr>
          <w:rFonts w:hint="eastAsia" w:ascii="仿宋" w:hAnsi="仿宋" w:eastAsia="仿宋" w:cs="Times New Roman"/>
          <w:kern w:val="2"/>
          <w:sz w:val="24"/>
          <w:szCs w:val="28"/>
          <w:lang w:val="en-US" w:eastAsia="zh-CN" w:bidi="ar-SA"/>
        </w:rPr>
        <w:t>附件1部门整体支出绩效目标完成情况自评表</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16</w:t>
      </w:r>
    </w:p>
    <w:p w14:paraId="526660AD">
      <w:pPr>
        <w:rPr>
          <w:rFonts w:hint="default"/>
          <w:lang w:val="en-US"/>
        </w:rPr>
      </w:pPr>
      <w:r>
        <w:rPr>
          <w:rFonts w:hint="eastAsia"/>
          <w:sz w:val="24"/>
          <w:lang w:val="en-US" w:eastAsia="zh-CN"/>
        </w:rPr>
        <w:t xml:space="preserve">    </w:t>
      </w:r>
      <w:r>
        <w:rPr>
          <w:rFonts w:hint="eastAsia" w:ascii="仿宋" w:hAnsi="仿宋" w:eastAsia="仿宋" w:cs="Times New Roman"/>
          <w:kern w:val="2"/>
          <w:sz w:val="24"/>
          <w:szCs w:val="28"/>
          <w:lang w:val="en-US" w:eastAsia="zh-CN" w:bidi="ar-SA"/>
        </w:rPr>
        <w:t>附件2部门预算项目支出绩效自评表</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18</w:t>
      </w:r>
    </w:p>
    <w:p w14:paraId="36C2FA4A">
      <w:pPr>
        <w:pStyle w:val="12"/>
        <w:adjustRightInd w:val="0"/>
        <w:snapToGrid w:val="0"/>
        <w:spacing w:before="0" w:line="440" w:lineRule="exact"/>
        <w:jc w:val="left"/>
        <w:rPr>
          <w:rFonts w:hint="default" w:cstheme="minorBidi"/>
          <w:sz w:val="24"/>
          <w:szCs w:val="24"/>
          <w:lang w:val="en-US"/>
        </w:rPr>
      </w:pPr>
      <w:r>
        <w:rPr>
          <w:rFonts w:hint="eastAsia" w:ascii="仿宋" w:hAnsi="仿宋" w:eastAsia="仿宋" w:cs="Times New Roman"/>
          <w:kern w:val="2"/>
          <w:sz w:val="24"/>
          <w:szCs w:val="28"/>
          <w:lang w:val="en-US" w:eastAsia="zh-CN" w:bidi="ar-SA"/>
        </w:rPr>
        <w:t>第五部分 附表</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20</w:t>
      </w:r>
    </w:p>
    <w:p w14:paraId="277D8B3C">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一、收入支出决算总表</w:t>
      </w:r>
      <w:r>
        <w:rPr>
          <w:rFonts w:hint="eastAsia"/>
          <w:sz w:val="24"/>
          <w:lang w:val="en-US" w:eastAsia="zh-CN"/>
        </w:rPr>
        <w:t>.........................................................................................20</w:t>
      </w:r>
    </w:p>
    <w:p w14:paraId="620499D9">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二、收入决算表</w:t>
      </w:r>
      <w:r>
        <w:rPr>
          <w:rFonts w:hint="eastAsia"/>
          <w:sz w:val="24"/>
          <w:lang w:val="en-US" w:eastAsia="zh-CN"/>
        </w:rPr>
        <w:t>.....................................................................................................20</w:t>
      </w:r>
    </w:p>
    <w:p w14:paraId="3FBA20AF">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三、支出决算表</w:t>
      </w:r>
      <w:r>
        <w:rPr>
          <w:rFonts w:hint="eastAsia"/>
          <w:sz w:val="24"/>
          <w:lang w:val="en-US" w:eastAsia="zh-CN"/>
        </w:rPr>
        <w:t>.....................................................................................................20</w:t>
      </w:r>
    </w:p>
    <w:p w14:paraId="727595B7">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四、财政拨款收入支出决算总表</w:t>
      </w:r>
      <w:r>
        <w:rPr>
          <w:rFonts w:hint="eastAsia"/>
          <w:sz w:val="24"/>
          <w:lang w:val="en-US" w:eastAsia="zh-CN"/>
        </w:rPr>
        <w:t>.........................................................................20</w:t>
      </w:r>
    </w:p>
    <w:p w14:paraId="1686167B">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五、财政拨款支出决算明细表</w:t>
      </w:r>
      <w:r>
        <w:rPr>
          <w:rFonts w:hint="eastAsia"/>
          <w:sz w:val="24"/>
          <w:lang w:val="en-US" w:eastAsia="zh-CN"/>
        </w:rPr>
        <w:t>.............................................................................20</w:t>
      </w:r>
    </w:p>
    <w:p w14:paraId="21308857">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六、一般公共预算财政拨款支出决算表</w:t>
      </w:r>
      <w:r>
        <w:rPr>
          <w:rFonts w:hint="eastAsia"/>
          <w:sz w:val="24"/>
          <w:lang w:val="en-US" w:eastAsia="zh-CN"/>
        </w:rPr>
        <w:t>............................................................20</w:t>
      </w:r>
    </w:p>
    <w:p w14:paraId="0673811B">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七、一般公共预算财政拨款支出决算明细表</w:t>
      </w:r>
      <w:r>
        <w:rPr>
          <w:rFonts w:hint="eastAsia"/>
          <w:sz w:val="24"/>
          <w:lang w:val="en-US" w:eastAsia="zh-CN"/>
        </w:rPr>
        <w:t>.....................................................20</w:t>
      </w:r>
      <w:r>
        <w:rPr>
          <w:rFonts w:hint="eastAsia" w:ascii="仿宋" w:hAnsi="仿宋" w:eastAsia="仿宋" w:cs="Times New Roman"/>
          <w:kern w:val="2"/>
          <w:sz w:val="24"/>
          <w:szCs w:val="28"/>
          <w:lang w:val="en-US" w:eastAsia="zh-CN" w:bidi="ar-SA"/>
        </w:rPr>
        <w:t>八、一般公共预算财政拨款基本支出决算明细表</w:t>
      </w:r>
      <w:r>
        <w:rPr>
          <w:rFonts w:hint="eastAsia"/>
          <w:sz w:val="24"/>
          <w:lang w:val="en-US" w:eastAsia="zh-CN"/>
        </w:rPr>
        <w:t>.............................................20</w:t>
      </w:r>
    </w:p>
    <w:p w14:paraId="14FF1097">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九、一般公共预算财政拨款项目支出决算表</w:t>
      </w:r>
      <w:r>
        <w:rPr>
          <w:rFonts w:hint="eastAsia"/>
          <w:sz w:val="24"/>
          <w:lang w:val="en-US" w:eastAsia="zh-CN"/>
        </w:rPr>
        <w:t>....................................................20</w:t>
      </w:r>
    </w:p>
    <w:p w14:paraId="2FE1B5B9">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十、政府性基金预算财政拨款收入支出决算表</w:t>
      </w:r>
      <w:r>
        <w:rPr>
          <w:rFonts w:hint="eastAsia"/>
          <w:sz w:val="24"/>
          <w:lang w:val="en-US" w:eastAsia="zh-CN"/>
        </w:rPr>
        <w:t>...............................................20</w:t>
      </w:r>
    </w:p>
    <w:p w14:paraId="4F866117">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十一、国有资本经营预算财政拨款收入支出决算表</w:t>
      </w:r>
      <w:r>
        <w:rPr>
          <w:rFonts w:hint="eastAsia"/>
          <w:sz w:val="24"/>
          <w:lang w:val="en-US" w:eastAsia="zh-CN"/>
        </w:rPr>
        <w:t>.......................................20</w:t>
      </w:r>
      <w:bookmarkStart w:id="66" w:name="_GoBack"/>
      <w:bookmarkEnd w:id="66"/>
    </w:p>
    <w:p w14:paraId="0B57B00F">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十二、国有资本经营预算财政拨款支出决算表</w:t>
      </w:r>
      <w:r>
        <w:rPr>
          <w:rFonts w:hint="eastAsia"/>
          <w:sz w:val="24"/>
          <w:lang w:val="en-US" w:eastAsia="zh-CN"/>
        </w:rPr>
        <w:t>................................................20</w:t>
      </w:r>
    </w:p>
    <w:p w14:paraId="243B060A">
      <w:pPr>
        <w:pStyle w:val="13"/>
        <w:adjustRightInd w:val="0"/>
        <w:snapToGrid w:val="0"/>
        <w:spacing w:line="440" w:lineRule="exact"/>
        <w:jc w:val="left"/>
        <w:rPr>
          <w:rFonts w:hint="default"/>
          <w:sz w:val="24"/>
          <w:lang w:val="en-US"/>
        </w:rPr>
      </w:pPr>
      <w:r>
        <w:rPr>
          <w:rFonts w:hint="eastAsia" w:ascii="仿宋" w:hAnsi="仿宋" w:eastAsia="仿宋" w:cs="Times New Roman"/>
          <w:kern w:val="2"/>
          <w:sz w:val="24"/>
          <w:szCs w:val="28"/>
          <w:lang w:val="en-US" w:eastAsia="zh-CN" w:bidi="ar-SA"/>
        </w:rPr>
        <w:t>十三、财政拨款“三公”经费支出决算表</w:t>
      </w:r>
      <w:r>
        <w:rPr>
          <w:rFonts w:hint="eastAsia"/>
          <w:sz w:val="24"/>
          <w:lang w:val="en-US" w:eastAsia="zh-CN"/>
        </w:rPr>
        <w:t>............................................................20</w:t>
      </w:r>
    </w:p>
    <w:p w14:paraId="25883656">
      <w:pPr>
        <w:widowControl/>
        <w:adjustRightInd w:val="0"/>
        <w:snapToGrid w:val="0"/>
        <w:spacing w:line="440" w:lineRule="exact"/>
        <w:ind w:firstLine="1320" w:firstLineChars="550"/>
        <w:jc w:val="left"/>
        <w:rPr>
          <w:rFonts w:ascii="仿宋" w:hAnsi="仿宋" w:eastAsia="仿宋"/>
          <w:sz w:val="24"/>
        </w:rPr>
      </w:pPr>
    </w:p>
    <w:p w14:paraId="0E3FB9B6">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01B4520">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5A400107">
      <w:pPr>
        <w:ind w:firstLine="562" w:firstLineChars="200"/>
        <w:rPr>
          <w:b/>
          <w:bCs/>
          <w:sz w:val="28"/>
          <w:szCs w:val="28"/>
        </w:rPr>
      </w:pPr>
      <w:bookmarkStart w:id="14" w:name="_Toc15396600"/>
      <w:bookmarkStart w:id="15" w:name="_Toc15377197"/>
      <w:r>
        <w:rPr>
          <w:rFonts w:hint="eastAsia"/>
          <w:b/>
          <w:bCs/>
          <w:sz w:val="28"/>
          <w:szCs w:val="28"/>
          <w:lang w:eastAsia="zh-CN"/>
        </w:rPr>
        <w:t>一、</w:t>
      </w:r>
      <w:r>
        <w:rPr>
          <w:rFonts w:hint="eastAsia"/>
          <w:b/>
          <w:bCs/>
          <w:sz w:val="28"/>
          <w:szCs w:val="28"/>
        </w:rPr>
        <w:t>主要职责</w:t>
      </w:r>
    </w:p>
    <w:p w14:paraId="7FCEB800">
      <w:pPr>
        <w:ind w:firstLine="560" w:firstLineChars="200"/>
        <w:rPr>
          <w:sz w:val="28"/>
          <w:szCs w:val="28"/>
        </w:rPr>
      </w:pPr>
      <w:r>
        <w:rPr>
          <w:rFonts w:hint="eastAsia"/>
          <w:sz w:val="28"/>
          <w:szCs w:val="28"/>
        </w:rPr>
        <w:t>宣传贯彻执行党和国家的教育方针、教育政策、教育法律和教育法规，贯彻执行上级教育行政部门的行政规章。根据县委、县政府制定的教育事业发展规划，结合实际制定并组织实施本校的教育事业发展规划。大竹县清河镇柏家学校是贯彻执行国家义务教育方面政策，承担辖区内适龄儿童义务教育的一所九年义务教育学校。实施义务教育，促进基础教育发展，进行中小学历教育及相关的社会活动。</w:t>
      </w:r>
    </w:p>
    <w:p w14:paraId="352A611F">
      <w:pPr>
        <w:ind w:firstLine="560" w:firstLineChars="200"/>
        <w:rPr>
          <w:rFonts w:hint="eastAsia"/>
          <w:sz w:val="28"/>
          <w:szCs w:val="28"/>
        </w:rPr>
      </w:pPr>
      <w:r>
        <w:rPr>
          <w:rFonts w:hint="eastAsia"/>
          <w:sz w:val="28"/>
          <w:szCs w:val="28"/>
          <w:lang w:eastAsia="zh-CN"/>
        </w:rPr>
        <w:t>二、</w:t>
      </w:r>
      <w:r>
        <w:rPr>
          <w:rFonts w:hint="eastAsia"/>
          <w:sz w:val="28"/>
          <w:szCs w:val="28"/>
        </w:rPr>
        <w:t>机构设置</w:t>
      </w:r>
    </w:p>
    <w:p w14:paraId="592D3CFA">
      <w:pPr>
        <w:numPr>
          <w:ilvl w:val="0"/>
          <w:numId w:val="0"/>
        </w:numPr>
        <w:ind w:leftChars="0" w:firstLine="560" w:firstLineChars="200"/>
        <w:rPr>
          <w:sz w:val="28"/>
          <w:szCs w:val="28"/>
        </w:rPr>
      </w:pPr>
      <w:r>
        <w:rPr>
          <w:rFonts w:hint="eastAsia"/>
          <w:sz w:val="28"/>
          <w:szCs w:val="28"/>
        </w:rPr>
        <w:t>大竹县清河镇柏家学校为一级预算单位，下属二级预算单位0个，其中行政单位0个，参照公务员法管理的事业单位0个，其他事业单位0个。</w:t>
      </w:r>
    </w:p>
    <w:bookmarkEnd w:id="14"/>
    <w:bookmarkEnd w:id="15"/>
    <w:p w14:paraId="20FC4E61">
      <w:pPr>
        <w:pStyle w:val="3"/>
        <w:jc w:val="center"/>
      </w:pPr>
      <w:bookmarkStart w:id="16" w:name="_Toc15396602"/>
      <w:bookmarkStart w:id="17" w:name="_Toc15377204"/>
      <w:r>
        <w:rPr>
          <w:rFonts w:hint="eastAsia" w:ascii="黑体" w:hAnsi="黑体" w:eastAsia="黑体"/>
          <w:b w:val="0"/>
        </w:rPr>
        <w:t>第二部分 2023年度单位决算情况说明</w:t>
      </w:r>
      <w:bookmarkEnd w:id="16"/>
      <w:bookmarkEnd w:id="17"/>
    </w:p>
    <w:p w14:paraId="0222C286">
      <w:pPr>
        <w:pStyle w:val="26"/>
        <w:numPr>
          <w:ilvl w:val="0"/>
          <w:numId w:val="1"/>
        </w:numPr>
        <w:spacing w:line="600" w:lineRule="exact"/>
        <w:ind w:firstLineChars="0"/>
        <w:outlineLvl w:val="1"/>
        <w:rPr>
          <w:rStyle w:val="28"/>
          <w:rFonts w:ascii="黑体" w:hAnsi="黑体" w:eastAsia="黑体"/>
          <w:b w:val="0"/>
          <w:sz w:val="28"/>
          <w:szCs w:val="28"/>
        </w:rPr>
      </w:pPr>
      <w:bookmarkStart w:id="18" w:name="_Toc15396603"/>
      <w:bookmarkStart w:id="19" w:name="_Toc15377205"/>
      <w:r>
        <w:rPr>
          <w:rFonts w:hint="eastAsia" w:ascii="黑体" w:hAnsi="黑体" w:eastAsia="黑体"/>
          <w:sz w:val="28"/>
          <w:szCs w:val="28"/>
        </w:rPr>
        <w:t>收</w:t>
      </w:r>
      <w:r>
        <w:rPr>
          <w:rStyle w:val="28"/>
          <w:rFonts w:hint="eastAsia" w:ascii="黑体" w:hAnsi="黑体" w:eastAsia="黑体"/>
          <w:b w:val="0"/>
          <w:sz w:val="28"/>
          <w:szCs w:val="28"/>
        </w:rPr>
        <w:t>入支出决算总体情况说明</w:t>
      </w:r>
      <w:bookmarkEnd w:id="18"/>
      <w:bookmarkEnd w:id="19"/>
    </w:p>
    <w:p w14:paraId="551A2D6A">
      <w:pPr>
        <w:ind w:firstLine="560" w:firstLineChars="200"/>
        <w:rPr>
          <w:rFonts w:hint="eastAsia" w:ascii="宋体" w:hAnsi="宋体" w:eastAsia="宋体" w:cs="宋体"/>
          <w:sz w:val="28"/>
          <w:szCs w:val="28"/>
        </w:rPr>
      </w:pPr>
      <w:r>
        <w:rPr>
          <w:rFonts w:hint="eastAsia" w:ascii="宋体" w:hAnsi="宋体" w:eastAsia="宋体" w:cs="宋体"/>
          <w:sz w:val="28"/>
          <w:szCs w:val="28"/>
        </w:rPr>
        <w:t>2023年度收、支总计均为</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万元。与2022年度相比，收、支总计各增加</w:t>
      </w:r>
      <w:r>
        <w:rPr>
          <w:rFonts w:hint="eastAsia" w:ascii="宋体" w:hAnsi="宋体" w:eastAsia="宋体" w:cs="宋体"/>
          <w:sz w:val="28"/>
          <w:szCs w:val="28"/>
          <w:lang w:val="en-US" w:eastAsia="zh-CN"/>
        </w:rPr>
        <w:t>234.48</w:t>
      </w:r>
      <w:r>
        <w:rPr>
          <w:rFonts w:hint="eastAsia" w:ascii="宋体" w:hAnsi="宋体" w:eastAsia="宋体" w:cs="宋体"/>
          <w:sz w:val="28"/>
          <w:szCs w:val="28"/>
        </w:rPr>
        <w:t>万元，增长</w:t>
      </w:r>
      <w:r>
        <w:rPr>
          <w:rFonts w:hint="eastAsia" w:ascii="宋体" w:hAnsi="宋体" w:eastAsia="宋体" w:cs="宋体"/>
          <w:sz w:val="28"/>
          <w:szCs w:val="28"/>
          <w:lang w:val="en-US" w:eastAsia="zh-CN"/>
        </w:rPr>
        <w:t>51.18</w:t>
      </w:r>
      <w:r>
        <w:rPr>
          <w:rFonts w:hint="eastAsia" w:ascii="宋体" w:hAnsi="宋体" w:eastAsia="宋体" w:cs="宋体"/>
          <w:sz w:val="28"/>
          <w:szCs w:val="28"/>
        </w:rPr>
        <w:t>%。主要变动原因是</w:t>
      </w:r>
      <w:r>
        <w:rPr>
          <w:rFonts w:hint="eastAsia" w:ascii="宋体" w:hAnsi="宋体" w:eastAsia="宋体" w:cs="宋体"/>
          <w:sz w:val="28"/>
          <w:szCs w:val="28"/>
          <w:lang w:val="en-US" w:eastAsia="zh-CN"/>
        </w:rPr>
        <w:t>2023年解缴了2022年及以前年度的职工“五险一金”</w:t>
      </w:r>
      <w:r>
        <w:rPr>
          <w:rFonts w:hint="eastAsia" w:ascii="宋体" w:hAnsi="宋体" w:eastAsia="宋体" w:cs="宋体"/>
          <w:sz w:val="28"/>
          <w:szCs w:val="28"/>
        </w:rPr>
        <w:t>。</w:t>
      </w:r>
    </w:p>
    <w:p w14:paraId="2B37DC5F">
      <w:pPr>
        <w:rPr>
          <w:rFonts w:hint="eastAsia" w:ascii="宋体" w:hAnsi="宋体" w:eastAsia="宋体" w:cs="宋体"/>
          <w:sz w:val="28"/>
          <w:szCs w:val="28"/>
        </w:rPr>
      </w:pPr>
      <w:r>
        <w:rPr>
          <w:rFonts w:hint="eastAsia" w:ascii="宋体" w:hAnsi="宋体" w:eastAsia="宋体" w:cs="宋体"/>
          <w:sz w:val="28"/>
          <w:szCs w:val="28"/>
        </w:rPr>
        <w:t>（图1：收、支决算总计变动情况图）（柱状图）</w:t>
      </w:r>
    </w:p>
    <w:p w14:paraId="17E15CEA">
      <w:pPr>
        <w:pStyle w:val="2"/>
        <w:rPr>
          <w:rFonts w:ascii="仿宋_GB2312" w:eastAsia="仿宋_GB2312"/>
          <w:sz w:val="32"/>
          <w:szCs w:val="32"/>
        </w:rPr>
      </w:pPr>
      <w:r>
        <w:rPr>
          <w:rFonts w:hint="eastAsia" w:eastAsia="黑体"/>
          <w:lang w:eastAsia="zh-CN"/>
        </w:rPr>
        <w:drawing>
          <wp:inline distT="0" distB="0" distL="114300" distR="114300">
            <wp:extent cx="5256530" cy="2693035"/>
            <wp:effectExtent l="4445" t="4445" r="15875"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7D0B94">
      <w:pPr>
        <w:pStyle w:val="26"/>
        <w:numPr>
          <w:ilvl w:val="0"/>
          <w:numId w:val="1"/>
        </w:numPr>
        <w:spacing w:line="600" w:lineRule="exact"/>
        <w:ind w:firstLineChars="0"/>
        <w:outlineLvl w:val="1"/>
        <w:rPr>
          <w:rStyle w:val="28"/>
          <w:rFonts w:ascii="黑体" w:hAnsi="黑体" w:eastAsia="黑体"/>
          <w:b w:val="0"/>
          <w:sz w:val="28"/>
          <w:szCs w:val="28"/>
        </w:rPr>
      </w:pPr>
      <w:bookmarkStart w:id="20" w:name="_Toc15377206"/>
      <w:bookmarkStart w:id="21" w:name="_Toc15396604"/>
      <w:r>
        <w:rPr>
          <w:rFonts w:hint="eastAsia" w:ascii="黑体" w:hAnsi="黑体" w:eastAsia="黑体"/>
          <w:sz w:val="28"/>
          <w:szCs w:val="28"/>
        </w:rPr>
        <w:t>收</w:t>
      </w:r>
      <w:r>
        <w:rPr>
          <w:rStyle w:val="28"/>
          <w:rFonts w:hint="eastAsia" w:ascii="黑体" w:hAnsi="黑体" w:eastAsia="黑体"/>
          <w:b w:val="0"/>
          <w:sz w:val="28"/>
          <w:szCs w:val="28"/>
        </w:rPr>
        <w:t>入决算情况说明</w:t>
      </w:r>
      <w:bookmarkEnd w:id="20"/>
      <w:bookmarkEnd w:id="21"/>
    </w:p>
    <w:p w14:paraId="762A5D55">
      <w:pPr>
        <w:spacing w:line="600" w:lineRule="exact"/>
        <w:ind w:firstLine="560" w:firstLineChars="200"/>
        <w:outlineLvl w:val="1"/>
        <w:rPr>
          <w:rFonts w:hint="eastAsia" w:ascii="宋体" w:hAnsi="宋体" w:eastAsia="宋体" w:cs="宋体"/>
          <w:sz w:val="28"/>
          <w:szCs w:val="28"/>
        </w:rPr>
      </w:pPr>
      <w:r>
        <w:rPr>
          <w:rFonts w:hint="eastAsia" w:ascii="宋体" w:hAnsi="宋体" w:eastAsia="宋体" w:cs="宋体"/>
          <w:sz w:val="28"/>
          <w:szCs w:val="28"/>
        </w:rPr>
        <w:t>2023年度本年收入合计</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万元，其中：一般公共预算财政拨款收入</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万元，占</w:t>
      </w:r>
      <w:r>
        <w:rPr>
          <w:rFonts w:hint="eastAsia" w:ascii="宋体" w:hAnsi="宋体" w:eastAsia="宋体" w:cs="宋体"/>
          <w:b/>
          <w:sz w:val="28"/>
          <w:szCs w:val="28"/>
        </w:rPr>
        <w:t>100%</w:t>
      </w:r>
      <w:r>
        <w:rPr>
          <w:rFonts w:hint="eastAsia" w:ascii="宋体" w:hAnsi="宋体" w:eastAsia="宋体" w:cs="宋体"/>
          <w:sz w:val="28"/>
          <w:szCs w:val="28"/>
        </w:rPr>
        <w:t>；政府性基金预算财政拨款收入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%；国有资本经营预算财政拨款收入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%；上级补助收入</w:t>
      </w:r>
      <w:r>
        <w:rPr>
          <w:rFonts w:hint="eastAsia" w:ascii="宋体" w:hAnsi="宋体" w:eastAsia="宋体" w:cs="宋体"/>
          <w:b/>
          <w:sz w:val="28"/>
          <w:szCs w:val="28"/>
        </w:rPr>
        <w:t>0</w:t>
      </w:r>
      <w:r>
        <w:rPr>
          <w:rFonts w:hint="eastAsia" w:ascii="宋体" w:hAnsi="宋体" w:eastAsia="宋体" w:cs="宋体"/>
          <w:sz w:val="28"/>
          <w:szCs w:val="28"/>
        </w:rPr>
        <w:t>万元，占0%；事业收入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%；经营收入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%；附属单位上缴收入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%；其他收入</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w:t>
      </w:r>
    </w:p>
    <w:p w14:paraId="7D01265A">
      <w:pPr>
        <w:rPr>
          <w:rFonts w:hint="eastAsia" w:ascii="宋体" w:hAnsi="宋体" w:eastAsia="宋体" w:cs="宋体"/>
          <w:sz w:val="28"/>
          <w:szCs w:val="28"/>
        </w:rPr>
      </w:pPr>
      <w:r>
        <w:rPr>
          <w:rFonts w:hint="eastAsia" w:ascii="宋体" w:hAnsi="宋体" w:eastAsia="宋体" w:cs="宋体"/>
          <w:sz w:val="28"/>
          <w:szCs w:val="28"/>
        </w:rPr>
        <w:t>（图2：收入决算结构图）（饼状图）</w:t>
      </w:r>
    </w:p>
    <w:p w14:paraId="352D7E4A">
      <w:pPr>
        <w:pStyle w:val="2"/>
        <w:rPr>
          <w:rFonts w:hint="eastAsia" w:eastAsia="黑体"/>
          <w:lang w:eastAsia="zh-CN"/>
        </w:rPr>
      </w:pPr>
      <w:r>
        <w:rPr>
          <w:rFonts w:hint="eastAsia" w:eastAsia="黑体"/>
          <w:lang w:eastAsia="zh-CN"/>
        </w:rPr>
        <w:drawing>
          <wp:inline distT="0" distB="0" distL="114300" distR="114300">
            <wp:extent cx="5256530" cy="2552065"/>
            <wp:effectExtent l="4445" t="4445" r="1587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CA1813"/>
    <w:p w14:paraId="2CA8AD78">
      <w:pPr>
        <w:pStyle w:val="26"/>
        <w:numPr>
          <w:ilvl w:val="0"/>
          <w:numId w:val="1"/>
        </w:numPr>
        <w:spacing w:line="600" w:lineRule="exact"/>
        <w:ind w:firstLineChars="0"/>
        <w:outlineLvl w:val="1"/>
        <w:rPr>
          <w:rStyle w:val="28"/>
          <w:rFonts w:hint="eastAsia" w:ascii="宋体" w:hAnsi="宋体" w:eastAsia="宋体" w:cs="宋体"/>
          <w:b w:val="0"/>
          <w:sz w:val="28"/>
          <w:szCs w:val="28"/>
        </w:rPr>
      </w:pPr>
      <w:bookmarkStart w:id="22" w:name="_Toc15377207"/>
      <w:bookmarkStart w:id="23" w:name="_Toc15396605"/>
      <w:r>
        <w:rPr>
          <w:rFonts w:hint="eastAsia" w:ascii="宋体" w:hAnsi="宋体" w:eastAsia="宋体" w:cs="宋体"/>
          <w:sz w:val="28"/>
          <w:szCs w:val="28"/>
        </w:rPr>
        <w:t>支</w:t>
      </w:r>
      <w:r>
        <w:rPr>
          <w:rStyle w:val="28"/>
          <w:rFonts w:hint="eastAsia" w:ascii="宋体" w:hAnsi="宋体" w:eastAsia="宋体" w:cs="宋体"/>
          <w:b w:val="0"/>
          <w:sz w:val="28"/>
          <w:szCs w:val="28"/>
        </w:rPr>
        <w:t>出决算情况说明</w:t>
      </w:r>
      <w:bookmarkEnd w:id="22"/>
      <w:bookmarkEnd w:id="23"/>
    </w:p>
    <w:p w14:paraId="3AA9FA18">
      <w:pPr>
        <w:spacing w:line="600" w:lineRule="exact"/>
        <w:ind w:firstLine="560" w:firstLineChars="200"/>
        <w:outlineLvl w:val="1"/>
        <w:rPr>
          <w:rFonts w:hint="eastAsia" w:ascii="宋体" w:hAnsi="宋体" w:eastAsia="宋体" w:cs="宋体"/>
          <w:sz w:val="28"/>
          <w:szCs w:val="28"/>
          <w:shd w:val="pct10" w:color="auto" w:fill="FFFFFF"/>
        </w:rPr>
      </w:pPr>
      <w:r>
        <w:rPr>
          <w:rFonts w:hint="eastAsia" w:ascii="宋体" w:hAnsi="宋体" w:eastAsia="宋体" w:cs="宋体"/>
          <w:sz w:val="28"/>
          <w:szCs w:val="28"/>
        </w:rPr>
        <w:t>2023年度本年支出合计</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万元，其中：基本支出</w:t>
      </w:r>
      <w:r>
        <w:rPr>
          <w:rFonts w:hint="eastAsia" w:ascii="宋体" w:hAnsi="宋体" w:eastAsia="宋体" w:cs="宋体"/>
          <w:b/>
          <w:sz w:val="28"/>
          <w:szCs w:val="28"/>
          <w:lang w:val="en-US" w:eastAsia="zh-CN"/>
        </w:rPr>
        <w:t>670.69</w:t>
      </w:r>
      <w:r>
        <w:rPr>
          <w:rFonts w:hint="eastAsia" w:ascii="宋体" w:hAnsi="宋体" w:eastAsia="宋体" w:cs="宋体"/>
          <w:sz w:val="28"/>
          <w:szCs w:val="28"/>
        </w:rPr>
        <w:t>万元，占</w:t>
      </w:r>
      <w:r>
        <w:rPr>
          <w:rFonts w:hint="eastAsia" w:ascii="宋体" w:hAnsi="宋体" w:eastAsia="宋体" w:cs="宋体"/>
          <w:b/>
          <w:sz w:val="28"/>
          <w:szCs w:val="28"/>
          <w:lang w:val="en-US" w:eastAsia="zh-CN"/>
        </w:rPr>
        <w:t>96.84</w:t>
      </w:r>
      <w:r>
        <w:rPr>
          <w:rFonts w:hint="eastAsia" w:ascii="宋体" w:hAnsi="宋体" w:eastAsia="宋体" w:cs="宋体"/>
          <w:sz w:val="28"/>
          <w:szCs w:val="28"/>
        </w:rPr>
        <w:t>%；项目支出</w:t>
      </w:r>
      <w:r>
        <w:rPr>
          <w:rFonts w:hint="eastAsia" w:ascii="宋体" w:hAnsi="宋体" w:eastAsia="宋体" w:cs="宋体"/>
          <w:b/>
          <w:sz w:val="28"/>
          <w:szCs w:val="28"/>
          <w:lang w:val="en-US" w:eastAsia="zh-CN"/>
        </w:rPr>
        <w:t>21.9</w:t>
      </w:r>
      <w:r>
        <w:rPr>
          <w:rFonts w:hint="eastAsia" w:ascii="宋体" w:hAnsi="宋体" w:eastAsia="宋体" w:cs="宋体"/>
          <w:sz w:val="28"/>
          <w:szCs w:val="28"/>
        </w:rPr>
        <w:t>万元，占</w:t>
      </w:r>
      <w:r>
        <w:rPr>
          <w:rFonts w:hint="eastAsia" w:ascii="宋体" w:hAnsi="宋体" w:eastAsia="宋体" w:cs="宋体"/>
          <w:b/>
          <w:sz w:val="28"/>
          <w:szCs w:val="28"/>
          <w:lang w:val="en-US" w:eastAsia="zh-CN"/>
        </w:rPr>
        <w:t>3.16</w:t>
      </w:r>
      <w:r>
        <w:rPr>
          <w:rFonts w:hint="eastAsia" w:ascii="宋体" w:hAnsi="宋体" w:eastAsia="宋体" w:cs="宋体"/>
          <w:sz w:val="28"/>
          <w:szCs w:val="28"/>
        </w:rPr>
        <w:t>%；上缴上级支出</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%；经营支出</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%；对附属单位补助支出</w:t>
      </w:r>
      <w:r>
        <w:rPr>
          <w:rFonts w:hint="eastAsia" w:ascii="宋体" w:hAnsi="宋体" w:eastAsia="宋体" w:cs="宋体"/>
          <w:b/>
          <w:sz w:val="28"/>
          <w:szCs w:val="28"/>
        </w:rPr>
        <w:t>0</w:t>
      </w:r>
      <w:r>
        <w:rPr>
          <w:rFonts w:hint="eastAsia" w:ascii="宋体" w:hAnsi="宋体" w:eastAsia="宋体" w:cs="宋体"/>
          <w:sz w:val="28"/>
          <w:szCs w:val="28"/>
        </w:rPr>
        <w:t>万元，占</w:t>
      </w:r>
      <w:r>
        <w:rPr>
          <w:rFonts w:hint="eastAsia" w:ascii="宋体" w:hAnsi="宋体" w:eastAsia="宋体" w:cs="宋体"/>
          <w:b/>
          <w:sz w:val="28"/>
          <w:szCs w:val="28"/>
        </w:rPr>
        <w:t>0</w:t>
      </w:r>
      <w:r>
        <w:rPr>
          <w:rFonts w:hint="eastAsia" w:ascii="宋体" w:hAnsi="宋体" w:eastAsia="宋体" w:cs="宋体"/>
          <w:sz w:val="28"/>
          <w:szCs w:val="28"/>
        </w:rPr>
        <w:t>%。</w:t>
      </w:r>
    </w:p>
    <w:p w14:paraId="5DB8BC68">
      <w:pPr>
        <w:rPr>
          <w:rFonts w:hint="eastAsia" w:ascii="宋体" w:hAnsi="宋体" w:eastAsia="宋体" w:cs="宋体"/>
          <w:sz w:val="28"/>
          <w:szCs w:val="28"/>
        </w:rPr>
      </w:pPr>
      <w:r>
        <w:rPr>
          <w:rFonts w:hint="eastAsia" w:ascii="宋体" w:hAnsi="宋体" w:eastAsia="宋体" w:cs="宋体"/>
          <w:sz w:val="28"/>
          <w:szCs w:val="28"/>
        </w:rPr>
        <w:t>（图3：支出决算结构图）（饼状图）</w:t>
      </w:r>
    </w:p>
    <w:p w14:paraId="12D490DC">
      <w:pPr>
        <w:pStyle w:val="2"/>
        <w:rPr>
          <w:rFonts w:hint="eastAsia" w:ascii="黑体" w:hAnsi="黑体" w:eastAsia="黑体"/>
          <w:sz w:val="32"/>
          <w:szCs w:val="32"/>
        </w:rPr>
      </w:pPr>
      <w:r>
        <w:rPr>
          <w:rFonts w:hint="eastAsia" w:eastAsia="黑体"/>
          <w:lang w:eastAsia="zh-CN"/>
        </w:rPr>
        <w:drawing>
          <wp:inline distT="0" distB="0" distL="114300" distR="114300">
            <wp:extent cx="5256530" cy="2750185"/>
            <wp:effectExtent l="4445" t="4445" r="1587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4" w:name="_Toc15377208"/>
      <w:bookmarkStart w:id="25" w:name="_Toc15396606"/>
    </w:p>
    <w:p w14:paraId="0BABA0B9">
      <w:pPr>
        <w:spacing w:line="600" w:lineRule="exact"/>
        <w:ind w:firstLine="560" w:firstLineChars="200"/>
        <w:outlineLvl w:val="1"/>
        <w:rPr>
          <w:rStyle w:val="28"/>
          <w:rFonts w:hint="eastAsia" w:ascii="宋体" w:hAnsi="宋体" w:eastAsia="宋体" w:cs="宋体"/>
          <w:b w:val="0"/>
          <w:sz w:val="28"/>
          <w:szCs w:val="28"/>
        </w:rPr>
      </w:pPr>
      <w:r>
        <w:rPr>
          <w:rFonts w:hint="eastAsia" w:ascii="宋体" w:hAnsi="宋体" w:eastAsia="宋体" w:cs="宋体"/>
          <w:sz w:val="28"/>
          <w:szCs w:val="28"/>
        </w:rPr>
        <w:t>四、财</w:t>
      </w:r>
      <w:r>
        <w:rPr>
          <w:rStyle w:val="28"/>
          <w:rFonts w:hint="eastAsia" w:ascii="宋体" w:hAnsi="宋体" w:eastAsia="宋体" w:cs="宋体"/>
          <w:b w:val="0"/>
          <w:sz w:val="28"/>
          <w:szCs w:val="28"/>
        </w:rPr>
        <w:t>政拨款收入支出决算总体情况说明</w:t>
      </w:r>
      <w:bookmarkEnd w:id="24"/>
      <w:bookmarkEnd w:id="25"/>
    </w:p>
    <w:p w14:paraId="548FBCC8">
      <w:pPr>
        <w:rPr>
          <w:rFonts w:hint="eastAsia" w:ascii="宋体" w:hAnsi="宋体" w:eastAsia="宋体" w:cs="宋体"/>
          <w:sz w:val="28"/>
          <w:szCs w:val="28"/>
        </w:rPr>
      </w:pPr>
      <w:r>
        <w:rPr>
          <w:rFonts w:hint="eastAsia" w:ascii="宋体" w:hAnsi="宋体" w:eastAsia="宋体" w:cs="宋体"/>
          <w:sz w:val="28"/>
          <w:szCs w:val="28"/>
        </w:rPr>
        <w:t>2023年度财政拨款收、支总计均为</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万元。与2022年度相比，财政拨款收、支总计各增加</w:t>
      </w:r>
      <w:r>
        <w:rPr>
          <w:rFonts w:hint="eastAsia" w:ascii="宋体" w:hAnsi="宋体" w:eastAsia="宋体" w:cs="宋体"/>
          <w:sz w:val="28"/>
          <w:szCs w:val="28"/>
          <w:lang w:val="en-US" w:eastAsia="zh-CN"/>
        </w:rPr>
        <w:t>234.48</w:t>
      </w:r>
      <w:r>
        <w:rPr>
          <w:rFonts w:hint="eastAsia" w:ascii="宋体" w:hAnsi="宋体" w:eastAsia="宋体" w:cs="宋体"/>
          <w:sz w:val="28"/>
          <w:szCs w:val="28"/>
        </w:rPr>
        <w:t>万元，增长</w:t>
      </w:r>
      <w:r>
        <w:rPr>
          <w:rFonts w:hint="eastAsia" w:ascii="宋体" w:hAnsi="宋体" w:eastAsia="宋体" w:cs="宋体"/>
          <w:sz w:val="28"/>
          <w:szCs w:val="28"/>
          <w:lang w:val="en-US" w:eastAsia="zh-CN"/>
        </w:rPr>
        <w:t>51.18</w:t>
      </w:r>
      <w:r>
        <w:rPr>
          <w:rFonts w:hint="eastAsia" w:ascii="宋体" w:hAnsi="宋体" w:eastAsia="宋体" w:cs="宋体"/>
          <w:sz w:val="28"/>
          <w:szCs w:val="28"/>
        </w:rPr>
        <w:t>%。主要变动原因是2023年解缴了2022年及以前年度的职工“五险一金”。</w:t>
      </w:r>
    </w:p>
    <w:p w14:paraId="10200388">
      <w:pPr>
        <w:rPr>
          <w:rFonts w:hint="eastAsia" w:ascii="宋体" w:hAnsi="宋体" w:eastAsia="宋体" w:cs="宋体"/>
          <w:sz w:val="28"/>
          <w:szCs w:val="28"/>
        </w:rPr>
      </w:pPr>
      <w:r>
        <w:rPr>
          <w:rFonts w:hint="eastAsia" w:ascii="宋体" w:hAnsi="宋体" w:eastAsia="宋体" w:cs="宋体"/>
          <w:sz w:val="28"/>
          <w:szCs w:val="28"/>
        </w:rPr>
        <w:t>（图4：财政拨款收、支决算总计变动情况）（柱状图）</w:t>
      </w:r>
    </w:p>
    <w:p w14:paraId="405C4F96">
      <w:pPr>
        <w:pStyle w:val="2"/>
        <w:rPr>
          <w:rFonts w:ascii="仿宋" w:hAnsi="仿宋" w:eastAsia="仿宋"/>
          <w:b/>
          <w:sz w:val="32"/>
          <w:szCs w:val="32"/>
        </w:rPr>
      </w:pPr>
      <w:r>
        <w:rPr>
          <w:rFonts w:hint="eastAsia" w:eastAsia="黑体"/>
          <w:lang w:eastAsia="zh-CN"/>
        </w:rPr>
        <w:drawing>
          <wp:inline distT="0" distB="0" distL="114300" distR="114300">
            <wp:extent cx="5256530" cy="2750185"/>
            <wp:effectExtent l="4445" t="4445" r="15875" b="76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1D185E">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E8BA028">
      <w:pPr>
        <w:spacing w:line="600" w:lineRule="exact"/>
        <w:ind w:firstLine="562" w:firstLineChars="200"/>
        <w:outlineLvl w:val="2"/>
        <w:rPr>
          <w:rFonts w:hint="eastAsia" w:ascii="宋体" w:hAnsi="宋体" w:eastAsia="宋体" w:cs="宋体"/>
          <w:b/>
          <w:sz w:val="28"/>
          <w:szCs w:val="28"/>
        </w:rPr>
      </w:pPr>
      <w:bookmarkStart w:id="28" w:name="_Toc15377210"/>
      <w:r>
        <w:rPr>
          <w:rFonts w:hint="eastAsia" w:ascii="宋体" w:hAnsi="宋体" w:eastAsia="宋体" w:cs="宋体"/>
          <w:b/>
          <w:sz w:val="28"/>
          <w:szCs w:val="28"/>
        </w:rPr>
        <w:t>（一）一般公共预算财政拨款支出决算总体情况</w:t>
      </w:r>
      <w:bookmarkEnd w:id="28"/>
    </w:p>
    <w:p w14:paraId="36BAB371">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2023年度一般公共预算财政拨款支出</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万元，占本年支出合计的</w:t>
      </w:r>
      <w:r>
        <w:rPr>
          <w:rFonts w:hint="eastAsia" w:ascii="宋体" w:hAnsi="宋体" w:eastAsia="宋体" w:cs="宋体"/>
          <w:b/>
          <w:sz w:val="28"/>
          <w:szCs w:val="28"/>
          <w:lang w:val="en-US" w:eastAsia="zh-CN"/>
        </w:rPr>
        <w:t>100</w:t>
      </w:r>
      <w:r>
        <w:rPr>
          <w:rFonts w:hint="eastAsia" w:ascii="宋体" w:hAnsi="宋体" w:eastAsia="宋体" w:cs="宋体"/>
          <w:sz w:val="28"/>
          <w:szCs w:val="28"/>
        </w:rPr>
        <w:t>%。与2022年度相比，一般公共预算财政拨款支出增加</w:t>
      </w:r>
      <w:r>
        <w:rPr>
          <w:rFonts w:hint="eastAsia" w:ascii="宋体" w:hAnsi="宋体" w:eastAsia="宋体" w:cs="宋体"/>
          <w:sz w:val="28"/>
          <w:szCs w:val="28"/>
          <w:lang w:val="en-US" w:eastAsia="zh-CN"/>
        </w:rPr>
        <w:t>234.48</w:t>
      </w:r>
      <w:r>
        <w:rPr>
          <w:rFonts w:hint="eastAsia" w:ascii="宋体" w:hAnsi="宋体" w:eastAsia="宋体" w:cs="宋体"/>
          <w:sz w:val="28"/>
          <w:szCs w:val="28"/>
        </w:rPr>
        <w:t>万元，增长</w:t>
      </w:r>
      <w:r>
        <w:rPr>
          <w:rFonts w:hint="eastAsia" w:ascii="宋体" w:hAnsi="宋体" w:eastAsia="宋体" w:cs="宋体"/>
          <w:sz w:val="28"/>
          <w:szCs w:val="28"/>
          <w:lang w:val="en-US" w:eastAsia="zh-CN"/>
        </w:rPr>
        <w:t>51.18</w:t>
      </w:r>
      <w:r>
        <w:rPr>
          <w:rFonts w:hint="eastAsia" w:ascii="宋体" w:hAnsi="宋体" w:eastAsia="宋体" w:cs="宋体"/>
          <w:sz w:val="28"/>
          <w:szCs w:val="28"/>
        </w:rPr>
        <w:t>%。主要变动原因是2023年解缴了2022年及以前年度的职工“五险一金”。</w:t>
      </w:r>
    </w:p>
    <w:p w14:paraId="08015289">
      <w:pPr>
        <w:rPr>
          <w:rFonts w:hint="eastAsia" w:ascii="宋体" w:hAnsi="宋体" w:eastAsia="宋体" w:cs="宋体"/>
          <w:sz w:val="28"/>
          <w:szCs w:val="28"/>
        </w:rPr>
      </w:pPr>
      <w:r>
        <w:rPr>
          <w:rFonts w:hint="eastAsia" w:ascii="宋体" w:hAnsi="宋体" w:eastAsia="宋体" w:cs="宋体"/>
          <w:sz w:val="28"/>
          <w:szCs w:val="28"/>
        </w:rPr>
        <w:t>（图5：一般公共预算财政拨款支出决算变动情况）（柱状图）</w:t>
      </w:r>
    </w:p>
    <w:p w14:paraId="7CBC0155">
      <w:pPr>
        <w:pStyle w:val="2"/>
        <w:rPr>
          <w:rFonts w:hint="eastAsia" w:eastAsia="黑体"/>
          <w:lang w:eastAsia="zh-CN"/>
        </w:rPr>
      </w:pPr>
      <w:r>
        <w:rPr>
          <w:rFonts w:hint="eastAsia" w:eastAsia="黑体"/>
          <w:lang w:eastAsia="zh-CN"/>
        </w:rPr>
        <w:drawing>
          <wp:inline distT="0" distB="0" distL="114300" distR="114300">
            <wp:extent cx="5256530" cy="2548255"/>
            <wp:effectExtent l="4445" t="4445" r="1587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94526D"/>
    <w:p w14:paraId="4C159359">
      <w:pPr>
        <w:spacing w:line="600" w:lineRule="exact"/>
        <w:ind w:firstLine="562" w:firstLineChars="200"/>
        <w:outlineLvl w:val="2"/>
        <w:rPr>
          <w:rFonts w:hint="eastAsia" w:ascii="宋体" w:hAnsi="宋体" w:eastAsia="宋体" w:cs="宋体"/>
          <w:b/>
          <w:sz w:val="28"/>
          <w:szCs w:val="28"/>
        </w:rPr>
      </w:pPr>
      <w:bookmarkStart w:id="29" w:name="_Toc15377211"/>
      <w:r>
        <w:rPr>
          <w:rFonts w:hint="eastAsia" w:ascii="宋体" w:hAnsi="宋体" w:eastAsia="宋体" w:cs="宋体"/>
          <w:b/>
          <w:sz w:val="28"/>
          <w:szCs w:val="28"/>
        </w:rPr>
        <w:t>（二）一般公共预算财政拨款支出决算结构情况</w:t>
      </w:r>
      <w:bookmarkEnd w:id="29"/>
    </w:p>
    <w:p w14:paraId="14E7BEFB">
      <w:pPr>
        <w:ind w:firstLine="560" w:firstLineChars="200"/>
        <w:rPr>
          <w:rFonts w:hint="eastAsia" w:ascii="宋体" w:hAnsi="宋体" w:eastAsia="宋体" w:cs="宋体"/>
          <w:sz w:val="28"/>
          <w:szCs w:val="28"/>
        </w:rPr>
      </w:pPr>
      <w:r>
        <w:rPr>
          <w:rFonts w:hint="eastAsia" w:ascii="宋体" w:hAnsi="宋体" w:eastAsia="宋体" w:cs="宋体"/>
          <w:sz w:val="28"/>
          <w:szCs w:val="28"/>
        </w:rPr>
        <w:t>2023年度一般公共预算财政拨款支出</w:t>
      </w:r>
      <w:r>
        <w:rPr>
          <w:rFonts w:hint="eastAsia" w:ascii="宋体" w:hAnsi="宋体" w:eastAsia="宋体" w:cs="宋体"/>
          <w:b/>
          <w:sz w:val="28"/>
          <w:szCs w:val="28"/>
          <w:lang w:val="en-US" w:eastAsia="zh-CN"/>
        </w:rPr>
        <w:t>692.59</w:t>
      </w:r>
      <w:r>
        <w:rPr>
          <w:rFonts w:hint="eastAsia" w:ascii="宋体" w:hAnsi="宋体" w:eastAsia="宋体" w:cs="宋体"/>
          <w:sz w:val="28"/>
          <w:szCs w:val="28"/>
        </w:rPr>
        <w:t>万元，主要用于以下方面:教育支出</w:t>
      </w:r>
      <w:r>
        <w:rPr>
          <w:rFonts w:hint="eastAsia" w:ascii="宋体" w:hAnsi="宋体" w:eastAsia="宋体" w:cs="宋体"/>
          <w:sz w:val="28"/>
          <w:szCs w:val="28"/>
          <w:lang w:val="en-US" w:eastAsia="zh-CN"/>
        </w:rPr>
        <w:t>496.22</w:t>
      </w:r>
      <w:r>
        <w:rPr>
          <w:rFonts w:hint="eastAsia" w:ascii="宋体" w:hAnsi="宋体" w:eastAsia="宋体" w:cs="宋体"/>
          <w:sz w:val="28"/>
          <w:szCs w:val="28"/>
        </w:rPr>
        <w:t>万元，占</w:t>
      </w:r>
      <w:r>
        <w:rPr>
          <w:rFonts w:hint="eastAsia" w:ascii="宋体" w:hAnsi="宋体" w:eastAsia="宋体" w:cs="宋体"/>
          <w:sz w:val="28"/>
          <w:szCs w:val="28"/>
          <w:lang w:val="en-US" w:eastAsia="zh-CN"/>
        </w:rPr>
        <w:t>71.65</w:t>
      </w:r>
      <w:r>
        <w:rPr>
          <w:rFonts w:hint="eastAsia" w:ascii="宋体" w:hAnsi="宋体" w:eastAsia="宋体" w:cs="宋体"/>
          <w:sz w:val="28"/>
          <w:szCs w:val="28"/>
        </w:rPr>
        <w:t>%；</w:t>
      </w:r>
      <w:r>
        <w:rPr>
          <w:rFonts w:hint="eastAsia" w:ascii="宋体" w:hAnsi="宋体" w:eastAsia="宋体" w:cs="宋体"/>
          <w:sz w:val="28"/>
          <w:szCs w:val="28"/>
          <w:lang w:eastAsia="zh-CN"/>
        </w:rPr>
        <w:t>文化旅游体育与传媒支出</w:t>
      </w:r>
      <w:r>
        <w:rPr>
          <w:rFonts w:hint="eastAsia" w:ascii="宋体" w:hAnsi="宋体" w:eastAsia="宋体" w:cs="宋体"/>
          <w:sz w:val="28"/>
          <w:szCs w:val="28"/>
          <w:lang w:val="en-US" w:eastAsia="zh-CN"/>
        </w:rPr>
        <w:t>2.5</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占</w:t>
      </w:r>
      <w:r>
        <w:rPr>
          <w:rFonts w:hint="eastAsia" w:ascii="宋体" w:hAnsi="宋体" w:eastAsia="宋体" w:cs="宋体"/>
          <w:sz w:val="28"/>
          <w:szCs w:val="28"/>
          <w:lang w:val="en-US" w:eastAsia="zh-CN"/>
        </w:rPr>
        <w:t>0.36</w:t>
      </w:r>
      <w:r>
        <w:rPr>
          <w:rFonts w:hint="eastAsia" w:ascii="宋体" w:hAnsi="宋体" w:eastAsia="宋体" w:cs="宋体"/>
          <w:sz w:val="28"/>
          <w:szCs w:val="28"/>
        </w:rPr>
        <w:t>%；社会保障和就业支出</w:t>
      </w:r>
      <w:r>
        <w:rPr>
          <w:rFonts w:hint="eastAsia" w:ascii="宋体" w:hAnsi="宋体" w:eastAsia="宋体" w:cs="宋体"/>
          <w:sz w:val="28"/>
          <w:szCs w:val="28"/>
          <w:lang w:val="en-US" w:eastAsia="zh-CN"/>
        </w:rPr>
        <w:t>133.73</w:t>
      </w:r>
      <w:r>
        <w:rPr>
          <w:rFonts w:hint="eastAsia" w:ascii="宋体" w:hAnsi="宋体" w:eastAsia="宋体" w:cs="宋体"/>
          <w:sz w:val="28"/>
          <w:szCs w:val="28"/>
        </w:rPr>
        <w:t>万元，占</w:t>
      </w:r>
      <w:r>
        <w:rPr>
          <w:rFonts w:hint="eastAsia" w:ascii="宋体" w:hAnsi="宋体" w:eastAsia="宋体" w:cs="宋体"/>
          <w:sz w:val="28"/>
          <w:szCs w:val="28"/>
          <w:lang w:val="en-US" w:eastAsia="zh-CN"/>
        </w:rPr>
        <w:t>19.31</w:t>
      </w:r>
      <w:r>
        <w:rPr>
          <w:rFonts w:hint="eastAsia" w:ascii="宋体" w:hAnsi="宋体" w:eastAsia="宋体" w:cs="宋体"/>
          <w:sz w:val="28"/>
          <w:szCs w:val="28"/>
        </w:rPr>
        <w:t>%；卫生健康支出</w:t>
      </w:r>
      <w:r>
        <w:rPr>
          <w:rFonts w:hint="eastAsia" w:ascii="宋体" w:hAnsi="宋体" w:eastAsia="宋体" w:cs="宋体"/>
          <w:sz w:val="28"/>
          <w:szCs w:val="28"/>
          <w:lang w:val="en-US" w:eastAsia="zh-CN"/>
        </w:rPr>
        <w:t>29.79</w:t>
      </w:r>
      <w:r>
        <w:rPr>
          <w:rFonts w:hint="eastAsia" w:ascii="宋体" w:hAnsi="宋体" w:eastAsia="宋体" w:cs="宋体"/>
          <w:sz w:val="28"/>
          <w:szCs w:val="28"/>
        </w:rPr>
        <w:t>万元，占</w:t>
      </w:r>
      <w:r>
        <w:rPr>
          <w:rFonts w:hint="eastAsia" w:ascii="宋体" w:hAnsi="宋体" w:eastAsia="宋体" w:cs="宋体"/>
          <w:sz w:val="28"/>
          <w:szCs w:val="28"/>
          <w:lang w:val="en-US" w:eastAsia="zh-CN"/>
        </w:rPr>
        <w:t>4.30</w:t>
      </w:r>
      <w:r>
        <w:rPr>
          <w:rFonts w:hint="eastAsia" w:ascii="宋体" w:hAnsi="宋体" w:eastAsia="宋体" w:cs="宋体"/>
          <w:sz w:val="28"/>
          <w:szCs w:val="28"/>
        </w:rPr>
        <w:t>%；住房保障支出</w:t>
      </w:r>
      <w:r>
        <w:rPr>
          <w:rFonts w:hint="eastAsia" w:ascii="宋体" w:hAnsi="宋体" w:eastAsia="宋体" w:cs="宋体"/>
          <w:sz w:val="28"/>
          <w:szCs w:val="28"/>
          <w:lang w:val="en-US" w:eastAsia="zh-CN"/>
        </w:rPr>
        <w:t>30.35</w:t>
      </w:r>
      <w:r>
        <w:rPr>
          <w:rFonts w:hint="eastAsia" w:ascii="宋体" w:hAnsi="宋体" w:eastAsia="宋体" w:cs="宋体"/>
          <w:sz w:val="28"/>
          <w:szCs w:val="28"/>
        </w:rPr>
        <w:t>万元，占</w:t>
      </w:r>
      <w:r>
        <w:rPr>
          <w:rFonts w:hint="eastAsia" w:ascii="宋体" w:hAnsi="宋体" w:eastAsia="宋体" w:cs="宋体"/>
          <w:sz w:val="28"/>
          <w:szCs w:val="28"/>
          <w:lang w:val="en-US" w:eastAsia="zh-CN"/>
        </w:rPr>
        <w:t>4.38</w:t>
      </w:r>
      <w:r>
        <w:rPr>
          <w:rFonts w:hint="eastAsia" w:ascii="宋体" w:hAnsi="宋体" w:eastAsia="宋体" w:cs="宋体"/>
          <w:sz w:val="28"/>
          <w:szCs w:val="28"/>
        </w:rPr>
        <w:t>%。</w:t>
      </w:r>
    </w:p>
    <w:p w14:paraId="6460A4D9">
      <w:pPr>
        <w:rPr>
          <w:rFonts w:hint="eastAsia" w:ascii="宋体" w:hAnsi="宋体" w:eastAsia="宋体" w:cs="宋体"/>
          <w:sz w:val="28"/>
          <w:szCs w:val="28"/>
        </w:rPr>
      </w:pPr>
      <w:r>
        <w:rPr>
          <w:rFonts w:hint="eastAsia" w:ascii="宋体" w:hAnsi="宋体" w:eastAsia="宋体" w:cs="宋体"/>
          <w:sz w:val="28"/>
          <w:szCs w:val="28"/>
        </w:rPr>
        <w:t>（图6：一般公共预算财政拨款支出决算结构）（饼状图）</w:t>
      </w:r>
    </w:p>
    <w:p w14:paraId="3F925D03">
      <w:pPr>
        <w:pStyle w:val="2"/>
        <w:rPr>
          <w:rFonts w:hint="eastAsia" w:eastAsia="黑体"/>
          <w:lang w:eastAsia="zh-CN"/>
        </w:rPr>
      </w:pPr>
      <w:r>
        <w:rPr>
          <w:rFonts w:hint="eastAsia" w:eastAsia="黑体"/>
          <w:lang w:eastAsia="zh-CN"/>
        </w:rPr>
        <w:drawing>
          <wp:inline distT="0" distB="0" distL="114300" distR="114300">
            <wp:extent cx="5256530" cy="2988310"/>
            <wp:effectExtent l="5080" t="4445" r="15240"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A1AA84">
      <w:pPr>
        <w:spacing w:line="600" w:lineRule="exact"/>
        <w:ind w:firstLine="562" w:firstLineChars="200"/>
        <w:outlineLvl w:val="2"/>
        <w:rPr>
          <w:rFonts w:hint="eastAsia" w:ascii="宋体" w:hAnsi="宋体" w:eastAsia="宋体" w:cs="宋体"/>
          <w:b/>
          <w:sz w:val="28"/>
          <w:szCs w:val="28"/>
        </w:rPr>
      </w:pPr>
      <w:bookmarkStart w:id="30" w:name="_Toc15377212"/>
      <w:r>
        <w:rPr>
          <w:rFonts w:hint="eastAsia" w:ascii="宋体" w:hAnsi="宋体" w:eastAsia="宋体" w:cs="宋体"/>
          <w:b/>
          <w:sz w:val="28"/>
          <w:szCs w:val="28"/>
        </w:rPr>
        <w:t>（三）一般公共预算财政拨款支出决算具体情况</w:t>
      </w:r>
      <w:bookmarkEnd w:id="30"/>
    </w:p>
    <w:p w14:paraId="6CF29E1E">
      <w:pPr>
        <w:ind w:firstLine="560" w:firstLineChars="200"/>
        <w:rPr>
          <w:rFonts w:hint="eastAsia" w:ascii="宋体" w:hAnsi="宋体" w:eastAsia="宋体" w:cs="宋体"/>
          <w:sz w:val="28"/>
          <w:szCs w:val="28"/>
        </w:rPr>
      </w:pPr>
      <w:bookmarkStart w:id="31" w:name="_Toc15377444"/>
      <w:bookmarkStart w:id="32" w:name="_Toc15378460"/>
      <w:bookmarkStart w:id="33" w:name="_Toc15377213"/>
      <w:r>
        <w:rPr>
          <w:rFonts w:hint="eastAsia" w:ascii="宋体" w:hAnsi="宋体" w:eastAsia="宋体" w:cs="宋体"/>
          <w:sz w:val="28"/>
          <w:szCs w:val="28"/>
        </w:rPr>
        <w:t>2023年度一般公共预算支出决算数为</w:t>
      </w:r>
      <w:r>
        <w:rPr>
          <w:rFonts w:hint="eastAsia" w:ascii="宋体" w:hAnsi="宋体" w:eastAsia="宋体" w:cs="宋体"/>
          <w:sz w:val="28"/>
          <w:szCs w:val="28"/>
          <w:lang w:val="en-US" w:eastAsia="zh-CN"/>
        </w:rPr>
        <w:t>692.59万元</w:t>
      </w:r>
      <w:r>
        <w:rPr>
          <w:rFonts w:hint="eastAsia" w:ascii="宋体" w:hAnsi="宋体" w:eastAsia="宋体" w:cs="宋体"/>
          <w:sz w:val="28"/>
          <w:szCs w:val="28"/>
        </w:rPr>
        <w:t>，完成预算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%。其中：</w:t>
      </w:r>
      <w:bookmarkEnd w:id="31"/>
      <w:bookmarkEnd w:id="32"/>
      <w:bookmarkEnd w:id="33"/>
    </w:p>
    <w:p w14:paraId="4F7F0BF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学前教育</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0.01</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10357B52">
      <w:pPr>
        <w:ind w:firstLine="560" w:firstLineChars="200"/>
        <w:rPr>
          <w:rFonts w:hint="eastAsia" w:ascii="宋体" w:hAnsi="宋体" w:eastAsia="宋体" w:cs="宋体"/>
          <w:sz w:val="28"/>
          <w:szCs w:val="28"/>
        </w:rPr>
      </w:pPr>
      <w:r>
        <w:rPr>
          <w:rFonts w:hint="eastAsia" w:ascii="宋体" w:hAnsi="宋体" w:eastAsia="宋体" w:cs="宋体"/>
          <w:sz w:val="28"/>
          <w:szCs w:val="28"/>
        </w:rPr>
        <w:t>2.教育（类）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小学教育</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388.35</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09E6C6AC">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初中教育</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91.96</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5D17934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其他普通教育支出</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15.9</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79069433">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文化旅游体育与传媒</w:t>
      </w:r>
      <w:r>
        <w:rPr>
          <w:rFonts w:hint="eastAsia" w:ascii="宋体" w:hAnsi="宋体" w:eastAsia="宋体" w:cs="宋体"/>
          <w:sz w:val="28"/>
          <w:szCs w:val="28"/>
        </w:rPr>
        <w:t>（类）</w:t>
      </w:r>
      <w:r>
        <w:rPr>
          <w:rFonts w:hint="eastAsia" w:ascii="宋体" w:hAnsi="宋体" w:eastAsia="宋体" w:cs="宋体"/>
          <w:sz w:val="28"/>
          <w:szCs w:val="28"/>
          <w:lang w:eastAsia="zh-CN"/>
        </w:rPr>
        <w:t>文化旅游体育与传媒支出</w:t>
      </w:r>
      <w:r>
        <w:rPr>
          <w:rFonts w:hint="eastAsia" w:ascii="宋体" w:hAnsi="宋体" w:eastAsia="宋体" w:cs="宋体"/>
          <w:sz w:val="28"/>
          <w:szCs w:val="28"/>
        </w:rPr>
        <w:t>（款）</w:t>
      </w:r>
      <w:r>
        <w:rPr>
          <w:rFonts w:hint="eastAsia" w:ascii="宋体" w:hAnsi="宋体" w:eastAsia="宋体" w:cs="宋体"/>
          <w:sz w:val="28"/>
          <w:szCs w:val="28"/>
          <w:lang w:eastAsia="zh-CN"/>
        </w:rPr>
        <w:t>其他文化旅游体育与传媒支出</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2.5</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483F1E65">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事业单位离退休</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0.03</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2831ED40">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机关事业单位基本养老保险缴费支出</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20.01</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7848B59F">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机关事业单位职业年金缴费支出</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6.23</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7106F567">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其他行政事业单位养老支出</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81.32</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抚恤</w:t>
      </w:r>
      <w:r>
        <w:rPr>
          <w:rFonts w:hint="eastAsia" w:ascii="宋体" w:hAnsi="宋体" w:eastAsia="宋体" w:cs="宋体"/>
          <w:sz w:val="28"/>
          <w:szCs w:val="28"/>
        </w:rPr>
        <w:t>（款）</w:t>
      </w:r>
      <w:r>
        <w:rPr>
          <w:rFonts w:hint="eastAsia" w:ascii="宋体" w:hAnsi="宋体" w:eastAsia="宋体" w:cs="宋体"/>
          <w:sz w:val="28"/>
          <w:szCs w:val="28"/>
          <w:lang w:eastAsia="zh-CN"/>
        </w:rPr>
        <w:t>死亡抚恤</w:t>
      </w:r>
      <w:r>
        <w:rPr>
          <w:rFonts w:hint="eastAsia" w:ascii="宋体" w:hAnsi="宋体" w:eastAsia="宋体" w:cs="宋体"/>
          <w:sz w:val="28"/>
          <w:szCs w:val="28"/>
        </w:rPr>
        <w:t>（项）: 支出决算为</w:t>
      </w:r>
      <w:r>
        <w:rPr>
          <w:rFonts w:hint="eastAsia" w:ascii="宋体" w:hAnsi="宋体" w:eastAsia="宋体" w:cs="宋体"/>
          <w:sz w:val="28"/>
          <w:szCs w:val="28"/>
          <w:lang w:val="en-US" w:eastAsia="zh-CN"/>
        </w:rPr>
        <w:t>21.15</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16E09396">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.卫生健康（类）</w:t>
      </w:r>
      <w:r>
        <w:rPr>
          <w:rFonts w:hint="eastAsia" w:ascii="宋体" w:hAnsi="宋体" w:eastAsia="宋体" w:cs="宋体"/>
          <w:sz w:val="28"/>
          <w:szCs w:val="28"/>
          <w:lang w:eastAsia="zh-CN"/>
        </w:rPr>
        <w:t>行政事业单位医疗</w:t>
      </w:r>
      <w:r>
        <w:rPr>
          <w:rFonts w:hint="eastAsia" w:ascii="宋体" w:hAnsi="宋体" w:eastAsia="宋体" w:cs="宋体"/>
          <w:sz w:val="28"/>
          <w:szCs w:val="28"/>
        </w:rPr>
        <w:t>（款）</w:t>
      </w:r>
      <w:r>
        <w:rPr>
          <w:rFonts w:hint="eastAsia" w:ascii="宋体" w:hAnsi="宋体" w:eastAsia="宋体" w:cs="宋体"/>
          <w:sz w:val="28"/>
          <w:szCs w:val="28"/>
          <w:lang w:eastAsia="zh-CN"/>
        </w:rPr>
        <w:t>事业单位医疗</w:t>
      </w:r>
      <w:r>
        <w:rPr>
          <w:rFonts w:hint="eastAsia" w:ascii="宋体" w:hAnsi="宋体" w:eastAsia="宋体" w:cs="宋体"/>
          <w:sz w:val="28"/>
          <w:szCs w:val="28"/>
        </w:rPr>
        <w:t>（项）:支出决算为</w:t>
      </w:r>
      <w:r>
        <w:rPr>
          <w:rFonts w:hint="eastAsia" w:ascii="宋体" w:hAnsi="宋体" w:eastAsia="宋体" w:cs="宋体"/>
          <w:sz w:val="28"/>
          <w:szCs w:val="28"/>
          <w:lang w:val="en-US" w:eastAsia="zh-CN"/>
        </w:rPr>
        <w:t>29.79</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2C9BAE7D">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sz w:val="28"/>
          <w:szCs w:val="28"/>
          <w:lang w:eastAsia="zh-CN"/>
        </w:rPr>
        <w:t>住房保障支出</w:t>
      </w:r>
      <w:r>
        <w:rPr>
          <w:rFonts w:hint="eastAsia" w:ascii="宋体" w:hAnsi="宋体" w:eastAsia="宋体" w:cs="宋体"/>
          <w:sz w:val="28"/>
          <w:szCs w:val="28"/>
        </w:rPr>
        <w:t>（类）</w:t>
      </w:r>
      <w:r>
        <w:rPr>
          <w:rFonts w:hint="eastAsia" w:ascii="宋体" w:hAnsi="宋体" w:eastAsia="宋体" w:cs="宋体"/>
          <w:sz w:val="28"/>
          <w:szCs w:val="28"/>
          <w:lang w:eastAsia="zh-CN"/>
        </w:rPr>
        <w:t>住房改革支出</w:t>
      </w:r>
      <w:r>
        <w:rPr>
          <w:rFonts w:hint="eastAsia" w:ascii="宋体" w:hAnsi="宋体" w:eastAsia="宋体" w:cs="宋体"/>
          <w:sz w:val="28"/>
          <w:szCs w:val="28"/>
        </w:rPr>
        <w:t>（款）</w:t>
      </w:r>
      <w:r>
        <w:rPr>
          <w:rFonts w:hint="eastAsia" w:ascii="宋体" w:hAnsi="宋体" w:eastAsia="宋体" w:cs="宋体"/>
          <w:sz w:val="28"/>
          <w:szCs w:val="28"/>
          <w:lang w:eastAsia="zh-CN"/>
        </w:rPr>
        <w:t>住房公积金</w:t>
      </w:r>
      <w:r>
        <w:rPr>
          <w:rFonts w:hint="eastAsia" w:ascii="宋体" w:hAnsi="宋体" w:eastAsia="宋体" w:cs="宋体"/>
          <w:sz w:val="28"/>
          <w:szCs w:val="28"/>
        </w:rPr>
        <w:t>（项）:支出决算为</w:t>
      </w:r>
      <w:r>
        <w:rPr>
          <w:rFonts w:hint="eastAsia" w:ascii="宋体" w:hAnsi="宋体" w:eastAsia="宋体" w:cs="宋体"/>
          <w:sz w:val="28"/>
          <w:szCs w:val="28"/>
          <w:lang w:val="en-US" w:eastAsia="zh-CN"/>
        </w:rPr>
        <w:t>30.35</w:t>
      </w:r>
      <w:r>
        <w:rPr>
          <w:rFonts w:hint="eastAsia" w:ascii="宋体" w:hAnsi="宋体" w:eastAsia="宋体" w:cs="宋体"/>
          <w:sz w:val="28"/>
          <w:szCs w:val="28"/>
        </w:rPr>
        <w:t>万元，完成预算</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14:paraId="397F5944">
      <w:pPr>
        <w:ind w:firstLine="562" w:firstLineChars="200"/>
        <w:rPr>
          <w:rFonts w:hint="eastAsia" w:ascii="宋体" w:hAnsi="宋体" w:eastAsia="宋体" w:cs="宋体"/>
          <w:sz w:val="28"/>
          <w:szCs w:val="28"/>
        </w:rPr>
      </w:pPr>
      <w:bookmarkStart w:id="34" w:name="_Toc15396608"/>
      <w:bookmarkStart w:id="35" w:name="_Toc15377214"/>
      <w:r>
        <w:rPr>
          <w:rFonts w:hint="eastAsia" w:ascii="宋体" w:hAnsi="宋体" w:eastAsia="宋体" w:cs="宋体"/>
          <w:b/>
          <w:bCs/>
          <w:sz w:val="28"/>
          <w:szCs w:val="28"/>
        </w:rPr>
        <w:t>六、一般公共预算财政拨款基本支出决算情况说明</w:t>
      </w:r>
      <w:bookmarkEnd w:id="34"/>
      <w:bookmarkEnd w:id="35"/>
      <w:r>
        <w:rPr>
          <w:rFonts w:hint="eastAsia" w:ascii="宋体" w:hAnsi="宋体" w:eastAsia="宋体" w:cs="宋体"/>
          <w:sz w:val="28"/>
          <w:szCs w:val="28"/>
        </w:rPr>
        <w:tab/>
      </w:r>
    </w:p>
    <w:p w14:paraId="7CD89674">
      <w:pPr>
        <w:ind w:firstLine="560" w:firstLineChars="200"/>
        <w:rPr>
          <w:rFonts w:hint="eastAsia" w:ascii="宋体" w:hAnsi="宋体" w:eastAsia="宋体" w:cs="宋体"/>
          <w:sz w:val="28"/>
          <w:szCs w:val="28"/>
        </w:rPr>
      </w:pPr>
      <w:r>
        <w:rPr>
          <w:rFonts w:hint="eastAsia" w:ascii="宋体" w:hAnsi="宋体" w:eastAsia="宋体" w:cs="宋体"/>
          <w:sz w:val="28"/>
          <w:szCs w:val="28"/>
        </w:rPr>
        <w:t>2023年度一般公共预算财政拨款基本支出</w:t>
      </w:r>
      <w:r>
        <w:rPr>
          <w:rFonts w:hint="eastAsia" w:ascii="宋体" w:hAnsi="宋体" w:eastAsia="宋体" w:cs="宋体"/>
          <w:sz w:val="28"/>
          <w:szCs w:val="28"/>
          <w:lang w:val="en-US" w:eastAsia="zh-CN"/>
        </w:rPr>
        <w:t>513.47</w:t>
      </w:r>
      <w:r>
        <w:rPr>
          <w:rFonts w:hint="eastAsia" w:ascii="宋体" w:hAnsi="宋体" w:eastAsia="宋体" w:cs="宋体"/>
          <w:sz w:val="28"/>
          <w:szCs w:val="28"/>
        </w:rPr>
        <w:t>万元，其中：</w:t>
      </w:r>
    </w:p>
    <w:p w14:paraId="373573A0">
      <w:pPr>
        <w:rPr>
          <w:rFonts w:hint="eastAsia" w:ascii="宋体" w:hAnsi="宋体" w:eastAsia="宋体" w:cs="宋体"/>
          <w:sz w:val="28"/>
          <w:szCs w:val="28"/>
        </w:rPr>
      </w:pPr>
      <w:r>
        <w:rPr>
          <w:rFonts w:hint="eastAsia" w:ascii="宋体" w:hAnsi="宋体" w:eastAsia="宋体" w:cs="宋体"/>
          <w:sz w:val="28"/>
          <w:szCs w:val="28"/>
        </w:rPr>
        <w:t>人员经费</w:t>
      </w:r>
      <w:r>
        <w:rPr>
          <w:rFonts w:hint="eastAsia" w:ascii="宋体" w:hAnsi="宋体" w:eastAsia="宋体" w:cs="宋体"/>
          <w:sz w:val="28"/>
          <w:szCs w:val="28"/>
          <w:lang w:val="en-US" w:eastAsia="zh-CN"/>
        </w:rPr>
        <w:t>491.05</w:t>
      </w:r>
      <w:r>
        <w:rPr>
          <w:rFonts w:hint="eastAsia" w:ascii="宋体" w:hAnsi="宋体" w:eastAsia="宋体" w:cs="宋体"/>
          <w:sz w:val="28"/>
          <w:szCs w:val="28"/>
        </w:rPr>
        <w:t>万元，主要包括：基本工资、津贴补贴、奖金、伙食补助费、绩效工资、机关事业单位基本养老保险缴费、职业年金缴费、其他社会保障缴费、其他工资福利支出、退休费、抚恤金、生活补助、奖励金、住房公积金、其他对个人和家庭的补助支出等。</w:t>
      </w:r>
      <w:r>
        <w:rPr>
          <w:rFonts w:hint="eastAsia" w:ascii="宋体" w:hAnsi="宋体" w:eastAsia="宋体" w:cs="宋体"/>
          <w:sz w:val="28"/>
          <w:szCs w:val="28"/>
        </w:rPr>
        <w:br w:type="textWrapping"/>
      </w:r>
      <w:r>
        <w:rPr>
          <w:rFonts w:hint="eastAsia" w:ascii="宋体" w:hAnsi="宋体" w:eastAsia="宋体" w:cs="宋体"/>
          <w:sz w:val="28"/>
          <w:szCs w:val="28"/>
        </w:rPr>
        <w:t>　　公用经费</w:t>
      </w:r>
      <w:r>
        <w:rPr>
          <w:rFonts w:hint="eastAsia" w:ascii="宋体" w:hAnsi="宋体" w:eastAsia="宋体" w:cs="宋体"/>
          <w:sz w:val="28"/>
          <w:szCs w:val="28"/>
          <w:lang w:val="en-US" w:eastAsia="zh-CN"/>
        </w:rPr>
        <w:t>22.42</w:t>
      </w:r>
      <w:r>
        <w:rPr>
          <w:rFonts w:hint="eastAsia" w:ascii="宋体" w:hAnsi="宋体" w:eastAsia="宋体" w:cs="宋体"/>
          <w:sz w:val="28"/>
          <w:szCs w:val="28"/>
        </w:rPr>
        <w:t>万元，主要包括：办公费、印刷费、咨询费、手续费、水费、电费、邮电费、差旅费、维修（护）费、会议费、培训费、公务接待费、劳务费、工会经费、福利费、其他商品和服务支出等。</w:t>
      </w:r>
    </w:p>
    <w:p w14:paraId="5116499B">
      <w:pPr>
        <w:ind w:firstLine="562" w:firstLineChars="200"/>
        <w:rPr>
          <w:rFonts w:hint="eastAsia" w:ascii="宋体" w:hAnsi="宋体" w:eastAsia="宋体" w:cs="宋体"/>
          <w:sz w:val="28"/>
          <w:szCs w:val="28"/>
        </w:rPr>
      </w:pPr>
      <w:bookmarkStart w:id="36" w:name="_Toc15396609"/>
      <w:bookmarkStart w:id="37" w:name="_Toc15377215"/>
      <w:r>
        <w:rPr>
          <w:rFonts w:hint="eastAsia" w:ascii="宋体" w:hAnsi="宋体" w:eastAsia="宋体" w:cs="宋体"/>
          <w:b/>
          <w:bCs/>
          <w:sz w:val="28"/>
          <w:szCs w:val="28"/>
        </w:rPr>
        <w:t>七、财政拨款“三公”经费支出决算情况说明</w:t>
      </w:r>
      <w:bookmarkEnd w:id="36"/>
      <w:bookmarkEnd w:id="37"/>
    </w:p>
    <w:p w14:paraId="529497CF">
      <w:pPr>
        <w:ind w:firstLine="280" w:firstLineChars="100"/>
        <w:rPr>
          <w:rFonts w:hint="eastAsia" w:ascii="宋体" w:hAnsi="宋体" w:eastAsia="宋体" w:cs="宋体"/>
          <w:sz w:val="28"/>
          <w:szCs w:val="28"/>
        </w:rPr>
      </w:pPr>
      <w:bookmarkStart w:id="38" w:name="_Toc15377216"/>
      <w:r>
        <w:rPr>
          <w:rFonts w:hint="eastAsia" w:ascii="宋体" w:hAnsi="宋体" w:eastAsia="宋体" w:cs="宋体"/>
          <w:sz w:val="28"/>
          <w:szCs w:val="28"/>
        </w:rPr>
        <w:t>（一）“三公”经费财政拨款支出决算总体情况说明</w:t>
      </w:r>
      <w:bookmarkEnd w:id="38"/>
    </w:p>
    <w:p w14:paraId="1C0DF587">
      <w:pPr>
        <w:ind w:firstLine="560" w:firstLineChars="200"/>
        <w:rPr>
          <w:rFonts w:hint="eastAsia" w:ascii="宋体" w:hAnsi="宋体" w:eastAsia="宋体" w:cs="宋体"/>
          <w:b/>
          <w:sz w:val="28"/>
          <w:szCs w:val="28"/>
        </w:rPr>
      </w:pPr>
      <w:r>
        <w:rPr>
          <w:rFonts w:hint="eastAsia" w:ascii="宋体" w:hAnsi="宋体" w:eastAsia="宋体" w:cs="宋体"/>
          <w:sz w:val="28"/>
          <w:szCs w:val="28"/>
        </w:rPr>
        <w:t>2023年度“三公”经费财政拨款支出决算为</w:t>
      </w:r>
      <w:r>
        <w:rPr>
          <w:rFonts w:hint="eastAsia" w:ascii="宋体" w:hAnsi="宋体" w:eastAsia="宋体" w:cs="宋体"/>
          <w:sz w:val="28"/>
          <w:szCs w:val="28"/>
          <w:lang w:val="en-US" w:eastAsia="zh-CN"/>
        </w:rPr>
        <w:t>0.00</w:t>
      </w:r>
      <w:r>
        <w:rPr>
          <w:rFonts w:hint="eastAsia" w:ascii="宋体" w:hAnsi="宋体" w:eastAsia="宋体" w:cs="宋体"/>
          <w:sz w:val="28"/>
          <w:szCs w:val="28"/>
        </w:rPr>
        <w:t>万元，完成预算100%，较上年度</w:t>
      </w:r>
      <w:r>
        <w:rPr>
          <w:rFonts w:hint="eastAsia" w:ascii="宋体" w:hAnsi="宋体" w:eastAsia="宋体" w:cs="宋体"/>
          <w:sz w:val="28"/>
          <w:szCs w:val="28"/>
          <w:lang w:eastAsia="zh-CN"/>
        </w:rPr>
        <w:t>持平</w:t>
      </w:r>
      <w:r>
        <w:rPr>
          <w:rFonts w:hint="eastAsia" w:ascii="宋体" w:hAnsi="宋体" w:eastAsia="宋体" w:cs="宋体"/>
          <w:sz w:val="28"/>
          <w:szCs w:val="28"/>
        </w:rPr>
        <w:t>。</w:t>
      </w:r>
    </w:p>
    <w:p w14:paraId="61C6B092">
      <w:pPr>
        <w:spacing w:line="600" w:lineRule="exact"/>
        <w:ind w:firstLine="640"/>
        <w:outlineLvl w:val="2"/>
        <w:rPr>
          <w:rFonts w:hint="eastAsia" w:ascii="宋体" w:hAnsi="宋体" w:eastAsia="宋体" w:cs="宋体"/>
          <w:b/>
          <w:sz w:val="28"/>
          <w:szCs w:val="28"/>
        </w:rPr>
      </w:pPr>
      <w:bookmarkStart w:id="39" w:name="_Toc15377217"/>
      <w:r>
        <w:rPr>
          <w:rFonts w:hint="eastAsia" w:ascii="宋体" w:hAnsi="宋体" w:eastAsia="宋体" w:cs="宋体"/>
          <w:b/>
          <w:sz w:val="28"/>
          <w:szCs w:val="28"/>
        </w:rPr>
        <w:t>（二）“三公”经费财政拨款支出决算具体情况说明</w:t>
      </w:r>
      <w:bookmarkEnd w:id="39"/>
    </w:p>
    <w:p w14:paraId="1B8DC6E6">
      <w:pPr>
        <w:spacing w:line="600" w:lineRule="exact"/>
        <w:ind w:firstLine="640"/>
        <w:rPr>
          <w:rFonts w:hint="eastAsia" w:ascii="宋体" w:hAnsi="宋体" w:eastAsia="宋体" w:cs="宋体"/>
          <w:sz w:val="28"/>
          <w:szCs w:val="28"/>
          <w:highlight w:val="none"/>
        </w:rPr>
      </w:pPr>
      <w:r>
        <w:rPr>
          <w:rFonts w:hint="eastAsia" w:ascii="宋体" w:hAnsi="宋体" w:eastAsia="宋体" w:cs="宋体"/>
          <w:sz w:val="28"/>
          <w:szCs w:val="28"/>
        </w:rPr>
        <w:t>2023年度“三公”经费财政拨款支出决算中</w:t>
      </w:r>
      <w:r>
        <w:rPr>
          <w:rFonts w:hint="eastAsia" w:ascii="宋体" w:hAnsi="宋体" w:eastAsia="宋体" w:cs="宋体"/>
          <w:sz w:val="28"/>
          <w:szCs w:val="28"/>
          <w:highlight w:val="none"/>
        </w:rPr>
        <w:t>，因公出国（境）费支出决算</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万元，占</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%；公务用车购置及运行维护费支出决算</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万元，占</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%；公务接待费支出决算</w:t>
      </w:r>
      <w:r>
        <w:rPr>
          <w:rFonts w:hint="eastAsia" w:ascii="宋体" w:hAnsi="宋体" w:eastAsia="宋体" w:cs="宋体"/>
          <w:b/>
          <w:sz w:val="28"/>
          <w:szCs w:val="28"/>
          <w:highlight w:val="none"/>
          <w:lang w:val="en-US" w:eastAsia="zh-CN"/>
        </w:rPr>
        <w:t>0.00</w:t>
      </w:r>
      <w:r>
        <w:rPr>
          <w:rFonts w:hint="eastAsia" w:ascii="宋体" w:hAnsi="宋体" w:eastAsia="宋体" w:cs="宋体"/>
          <w:sz w:val="28"/>
          <w:szCs w:val="28"/>
          <w:highlight w:val="none"/>
        </w:rPr>
        <w:t>万元，占</w:t>
      </w:r>
      <w:r>
        <w:rPr>
          <w:rFonts w:hint="eastAsia" w:ascii="宋体" w:hAnsi="宋体" w:eastAsia="宋体" w:cs="宋体"/>
          <w:b/>
          <w:sz w:val="28"/>
          <w:szCs w:val="28"/>
          <w:highlight w:val="none"/>
        </w:rPr>
        <w:t>100</w:t>
      </w:r>
      <w:r>
        <w:rPr>
          <w:rFonts w:hint="eastAsia" w:ascii="宋体" w:hAnsi="宋体" w:eastAsia="宋体" w:cs="宋体"/>
          <w:sz w:val="28"/>
          <w:szCs w:val="28"/>
          <w:highlight w:val="none"/>
        </w:rPr>
        <w:t>%。具体情况如下：</w:t>
      </w:r>
    </w:p>
    <w:p w14:paraId="61E5EC4B">
      <w:pPr>
        <w:spacing w:line="600" w:lineRule="exact"/>
        <w:ind w:firstLine="640"/>
        <w:rPr>
          <w:rFonts w:hint="eastAsia"/>
          <w:sz w:val="32"/>
          <w:szCs w:val="32"/>
        </w:rPr>
      </w:pPr>
      <w:r>
        <w:rPr>
          <w:rFonts w:hint="eastAsia"/>
          <w:sz w:val="32"/>
          <w:szCs w:val="32"/>
        </w:rPr>
        <w:t>（图7：“三公”经费财政拨款支出结构）（饼状图）</w:t>
      </w:r>
    </w:p>
    <w:p w14:paraId="2BF219AD">
      <w:pPr>
        <w:pStyle w:val="2"/>
        <w:rPr>
          <w:rFonts w:hint="eastAsia"/>
          <w:lang w:eastAsia="zh-CN"/>
        </w:rPr>
      </w:pPr>
      <w:r>
        <w:drawing>
          <wp:inline distT="0" distB="0" distL="0" distR="0">
            <wp:extent cx="4333240" cy="2886075"/>
            <wp:effectExtent l="4445" t="4445" r="571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2CDD4F">
      <w:pPr>
        <w:spacing w:line="600" w:lineRule="exact"/>
        <w:ind w:firstLine="640"/>
        <w:rPr>
          <w:rFonts w:hint="eastAsia" w:ascii="宋体" w:hAnsi="宋体" w:eastAsia="宋体" w:cs="宋体"/>
          <w:b/>
          <w:sz w:val="28"/>
          <w:szCs w:val="28"/>
          <w:highlight w:val="none"/>
        </w:rPr>
      </w:pPr>
      <w:bookmarkStart w:id="40" w:name="_Toc15396610"/>
      <w:bookmarkStart w:id="41" w:name="_Toc15377218"/>
      <w:r>
        <w:rPr>
          <w:rFonts w:hint="eastAsia" w:ascii="宋体" w:hAnsi="宋体" w:eastAsia="宋体" w:cs="宋体"/>
          <w:b/>
          <w:sz w:val="28"/>
          <w:szCs w:val="28"/>
          <w:highlight w:val="none"/>
        </w:rPr>
        <w:t>1.因公出国（境）经费支出0</w:t>
      </w:r>
      <w:r>
        <w:rPr>
          <w:rFonts w:hint="eastAsia" w:ascii="宋体" w:hAnsi="宋体" w:eastAsia="宋体" w:cs="宋体"/>
          <w:sz w:val="28"/>
          <w:szCs w:val="28"/>
          <w:highlight w:val="none"/>
        </w:rPr>
        <w:t>万元，</w:t>
      </w:r>
      <w:r>
        <w:rPr>
          <w:rStyle w:val="17"/>
          <w:rFonts w:hint="eastAsia" w:ascii="宋体" w:hAnsi="宋体" w:eastAsia="宋体" w:cs="宋体"/>
          <w:b w:val="0"/>
          <w:bCs/>
          <w:sz w:val="28"/>
          <w:szCs w:val="28"/>
          <w:highlight w:val="none"/>
        </w:rPr>
        <w:t>完成预算</w:t>
      </w:r>
      <w:r>
        <w:rPr>
          <w:rStyle w:val="17"/>
          <w:rFonts w:hint="eastAsia" w:ascii="宋体" w:hAnsi="宋体" w:eastAsia="宋体" w:cs="宋体"/>
          <w:bCs/>
          <w:sz w:val="28"/>
          <w:szCs w:val="28"/>
          <w:highlight w:val="none"/>
        </w:rPr>
        <w:t>0</w:t>
      </w:r>
      <w:r>
        <w:rPr>
          <w:rStyle w:val="17"/>
          <w:rFonts w:hint="eastAsia" w:ascii="宋体" w:hAnsi="宋体" w:eastAsia="宋体" w:cs="宋体"/>
          <w:b w:val="0"/>
          <w:bCs/>
          <w:sz w:val="28"/>
          <w:szCs w:val="28"/>
          <w:highlight w:val="none"/>
        </w:rPr>
        <w:t>%。</w:t>
      </w:r>
      <w:r>
        <w:rPr>
          <w:rFonts w:hint="eastAsia" w:ascii="宋体" w:hAnsi="宋体" w:eastAsia="宋体" w:cs="宋体"/>
          <w:sz w:val="28"/>
          <w:szCs w:val="28"/>
          <w:highlight w:val="none"/>
        </w:rPr>
        <w:t>全年安排因公出国（境）团组</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次，出国（境）</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人。因公出国（境）支出决算比2022年</w:t>
      </w:r>
      <w:r>
        <w:rPr>
          <w:rFonts w:hint="eastAsia" w:ascii="宋体" w:hAnsi="宋体" w:eastAsia="宋体" w:cs="宋体"/>
          <w:sz w:val="28"/>
          <w:szCs w:val="28"/>
          <w:highlight w:val="none"/>
          <w:lang w:eastAsia="zh-CN"/>
        </w:rPr>
        <w:t>持平</w:t>
      </w:r>
      <w:r>
        <w:rPr>
          <w:rFonts w:hint="eastAsia" w:ascii="宋体" w:hAnsi="宋体" w:eastAsia="宋体" w:cs="宋体"/>
          <w:sz w:val="28"/>
          <w:szCs w:val="28"/>
          <w:highlight w:val="none"/>
        </w:rPr>
        <w:t>。</w:t>
      </w:r>
    </w:p>
    <w:p w14:paraId="3FAEC945">
      <w:pPr>
        <w:spacing w:line="600" w:lineRule="exact"/>
        <w:ind w:firstLine="640"/>
        <w:rPr>
          <w:rFonts w:hint="eastAsia" w:ascii="宋体" w:hAnsi="宋体" w:eastAsia="宋体" w:cs="宋体"/>
          <w:b/>
          <w:sz w:val="28"/>
          <w:szCs w:val="28"/>
          <w:highlight w:val="none"/>
        </w:rPr>
      </w:pPr>
      <w:r>
        <w:rPr>
          <w:rFonts w:hint="eastAsia" w:ascii="宋体" w:hAnsi="宋体" w:eastAsia="宋体" w:cs="宋体"/>
          <w:b/>
          <w:sz w:val="28"/>
          <w:szCs w:val="28"/>
          <w:highlight w:val="none"/>
        </w:rPr>
        <w:t>2.公务用车购置及运行维护费支出0</w:t>
      </w:r>
      <w:r>
        <w:rPr>
          <w:rFonts w:hint="eastAsia" w:ascii="宋体" w:hAnsi="宋体" w:eastAsia="宋体" w:cs="宋体"/>
          <w:sz w:val="28"/>
          <w:szCs w:val="28"/>
          <w:highlight w:val="none"/>
        </w:rPr>
        <w:t>万元,</w:t>
      </w:r>
      <w:r>
        <w:rPr>
          <w:rStyle w:val="17"/>
          <w:rFonts w:hint="eastAsia" w:ascii="宋体" w:hAnsi="宋体" w:eastAsia="宋体" w:cs="宋体"/>
          <w:b w:val="0"/>
          <w:bCs/>
          <w:sz w:val="28"/>
          <w:szCs w:val="28"/>
          <w:highlight w:val="none"/>
        </w:rPr>
        <w:t>完成预算</w:t>
      </w:r>
      <w:r>
        <w:rPr>
          <w:rStyle w:val="17"/>
          <w:rFonts w:hint="eastAsia" w:ascii="宋体" w:hAnsi="宋体" w:eastAsia="宋体" w:cs="宋体"/>
          <w:bCs/>
          <w:sz w:val="28"/>
          <w:szCs w:val="28"/>
          <w:highlight w:val="none"/>
        </w:rPr>
        <w:t>0</w:t>
      </w:r>
      <w:r>
        <w:rPr>
          <w:rStyle w:val="17"/>
          <w:rFonts w:hint="eastAsia" w:ascii="宋体" w:hAnsi="宋体" w:eastAsia="宋体" w:cs="宋体"/>
          <w:b w:val="0"/>
          <w:bCs/>
          <w:sz w:val="28"/>
          <w:szCs w:val="28"/>
          <w:highlight w:val="none"/>
        </w:rPr>
        <w:t>%。</w:t>
      </w:r>
      <w:r>
        <w:rPr>
          <w:rFonts w:hint="eastAsia" w:ascii="宋体" w:hAnsi="宋体" w:eastAsia="宋体" w:cs="宋体"/>
          <w:sz w:val="28"/>
          <w:szCs w:val="28"/>
          <w:highlight w:val="none"/>
        </w:rPr>
        <w:t>公务用车购置及运行维护费支出决算比2022年度</w:t>
      </w:r>
      <w:r>
        <w:rPr>
          <w:rFonts w:hint="eastAsia" w:ascii="宋体" w:hAnsi="宋体" w:eastAsia="宋体" w:cs="宋体"/>
          <w:sz w:val="28"/>
          <w:szCs w:val="28"/>
          <w:highlight w:val="none"/>
          <w:lang w:eastAsia="zh-CN"/>
        </w:rPr>
        <w:t>持平</w:t>
      </w:r>
      <w:r>
        <w:rPr>
          <w:rFonts w:hint="eastAsia" w:ascii="宋体" w:hAnsi="宋体" w:eastAsia="宋体" w:cs="宋体"/>
          <w:sz w:val="28"/>
          <w:szCs w:val="28"/>
          <w:highlight w:val="none"/>
        </w:rPr>
        <w:t>。</w:t>
      </w:r>
    </w:p>
    <w:p w14:paraId="4DC24E48">
      <w:pPr>
        <w:spacing w:line="600" w:lineRule="exact"/>
        <w:ind w:firstLine="560" w:firstLineChars="200"/>
        <w:rPr>
          <w:rFonts w:hint="eastAsia" w:ascii="宋体" w:hAnsi="宋体" w:eastAsia="宋体" w:cs="宋体"/>
          <w:b/>
          <w:sz w:val="28"/>
          <w:szCs w:val="28"/>
          <w:highlight w:val="none"/>
        </w:rPr>
      </w:pPr>
      <w:r>
        <w:rPr>
          <w:rFonts w:hint="eastAsia" w:ascii="宋体" w:hAnsi="宋体" w:eastAsia="宋体" w:cs="宋体"/>
          <w:sz w:val="28"/>
          <w:szCs w:val="28"/>
          <w:highlight w:val="none"/>
        </w:rPr>
        <w:t>其中：</w:t>
      </w:r>
      <w:r>
        <w:rPr>
          <w:rFonts w:hint="eastAsia" w:ascii="宋体" w:hAnsi="宋体" w:eastAsia="宋体" w:cs="宋体"/>
          <w:b/>
          <w:sz w:val="28"/>
          <w:szCs w:val="28"/>
          <w:highlight w:val="none"/>
        </w:rPr>
        <w:t>公务用车购置支出0</w:t>
      </w:r>
      <w:r>
        <w:rPr>
          <w:rFonts w:hint="eastAsia" w:ascii="宋体" w:hAnsi="宋体" w:eastAsia="宋体" w:cs="宋体"/>
          <w:sz w:val="28"/>
          <w:szCs w:val="28"/>
          <w:highlight w:val="none"/>
        </w:rPr>
        <w:t>万元。全年更新购置公务用车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辆，其中：轿车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辆、金额</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万元，越野车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辆、金额</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万元，载客汽车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辆、金额</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万元。截至2023年12月31日，单位共有公务用车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辆，其中：轿车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辆、越野车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辆、载客汽车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w:t>
      </w:r>
    </w:p>
    <w:p w14:paraId="2F42F2F2">
      <w:pPr>
        <w:spacing w:line="600" w:lineRule="exact"/>
        <w:ind w:firstLine="640"/>
        <w:rPr>
          <w:rFonts w:hint="eastAsia" w:ascii="宋体" w:hAnsi="宋体" w:eastAsia="宋体" w:cs="宋体"/>
          <w:sz w:val="28"/>
          <w:szCs w:val="28"/>
          <w:highlight w:val="none"/>
        </w:rPr>
      </w:pPr>
      <w:r>
        <w:rPr>
          <w:rFonts w:hint="eastAsia" w:ascii="宋体" w:hAnsi="宋体" w:eastAsia="宋体" w:cs="宋体"/>
          <w:b/>
          <w:sz w:val="28"/>
          <w:szCs w:val="28"/>
          <w:highlight w:val="none"/>
        </w:rPr>
        <w:t>公务用车运行维护费支出0</w:t>
      </w:r>
      <w:r>
        <w:rPr>
          <w:rFonts w:hint="eastAsia" w:ascii="宋体" w:hAnsi="宋体" w:eastAsia="宋体" w:cs="宋体"/>
          <w:sz w:val="28"/>
          <w:szCs w:val="28"/>
          <w:highlight w:val="none"/>
        </w:rPr>
        <w:t>万元。</w:t>
      </w:r>
    </w:p>
    <w:p w14:paraId="39942BCF">
      <w:pPr>
        <w:spacing w:line="600" w:lineRule="exact"/>
        <w:ind w:firstLine="640"/>
        <w:rPr>
          <w:rFonts w:hint="eastAsia" w:ascii="宋体" w:hAnsi="宋体" w:eastAsia="宋体" w:cs="宋体"/>
          <w:sz w:val="28"/>
          <w:szCs w:val="28"/>
          <w:highlight w:val="none"/>
        </w:rPr>
      </w:pPr>
      <w:r>
        <w:rPr>
          <w:rFonts w:hint="eastAsia" w:ascii="宋体" w:hAnsi="宋体" w:eastAsia="宋体" w:cs="宋体"/>
          <w:b/>
          <w:sz w:val="28"/>
          <w:szCs w:val="28"/>
          <w:highlight w:val="none"/>
        </w:rPr>
        <w:t>3.公务接待费支出</w:t>
      </w:r>
      <w:r>
        <w:rPr>
          <w:rFonts w:hint="eastAsia" w:ascii="宋体" w:hAnsi="宋体" w:eastAsia="宋体" w:cs="宋体"/>
          <w:b/>
          <w:sz w:val="28"/>
          <w:szCs w:val="28"/>
          <w:highlight w:val="none"/>
          <w:lang w:val="en-US" w:eastAsia="zh-CN"/>
        </w:rPr>
        <w:t>0.00</w:t>
      </w:r>
      <w:r>
        <w:rPr>
          <w:rFonts w:hint="eastAsia" w:ascii="宋体" w:hAnsi="宋体" w:eastAsia="宋体" w:cs="宋体"/>
          <w:sz w:val="28"/>
          <w:szCs w:val="28"/>
          <w:highlight w:val="none"/>
        </w:rPr>
        <w:t>万元，</w:t>
      </w:r>
      <w:r>
        <w:rPr>
          <w:rStyle w:val="17"/>
          <w:rFonts w:hint="eastAsia" w:ascii="宋体" w:hAnsi="宋体" w:eastAsia="宋体" w:cs="宋体"/>
          <w:b w:val="0"/>
          <w:bCs/>
          <w:sz w:val="28"/>
          <w:szCs w:val="28"/>
          <w:highlight w:val="none"/>
        </w:rPr>
        <w:t>完成预算100%。</w:t>
      </w:r>
      <w:r>
        <w:rPr>
          <w:rFonts w:hint="eastAsia" w:ascii="宋体" w:hAnsi="宋体" w:eastAsia="宋体" w:cs="宋体"/>
          <w:sz w:val="28"/>
          <w:szCs w:val="28"/>
          <w:highlight w:val="none"/>
        </w:rPr>
        <w:t>公务接待费支出决算比2022年度</w:t>
      </w:r>
      <w:r>
        <w:rPr>
          <w:rFonts w:hint="eastAsia" w:ascii="宋体" w:hAnsi="宋体" w:eastAsia="宋体" w:cs="宋体"/>
          <w:sz w:val="28"/>
          <w:szCs w:val="28"/>
          <w:highlight w:val="none"/>
          <w:lang w:eastAsia="zh-CN"/>
        </w:rPr>
        <w:t>持平</w:t>
      </w:r>
      <w:r>
        <w:rPr>
          <w:rFonts w:hint="eastAsia" w:ascii="宋体" w:hAnsi="宋体" w:eastAsia="宋体" w:cs="宋体"/>
          <w:sz w:val="28"/>
          <w:szCs w:val="28"/>
          <w:highlight w:val="none"/>
        </w:rPr>
        <w:t>。其中：</w:t>
      </w:r>
    </w:p>
    <w:p w14:paraId="705F012C">
      <w:pPr>
        <w:spacing w:line="600" w:lineRule="exact"/>
        <w:ind w:firstLine="640"/>
        <w:rPr>
          <w:rFonts w:hint="eastAsia" w:ascii="宋体" w:hAnsi="宋体" w:eastAsia="宋体" w:cs="宋体"/>
          <w:sz w:val="28"/>
          <w:szCs w:val="28"/>
          <w:highlight w:val="none"/>
        </w:rPr>
      </w:pPr>
      <w:r>
        <w:rPr>
          <w:rFonts w:hint="eastAsia" w:ascii="宋体" w:hAnsi="宋体" w:eastAsia="宋体" w:cs="宋体"/>
          <w:b/>
          <w:sz w:val="28"/>
          <w:szCs w:val="28"/>
          <w:highlight w:val="none"/>
        </w:rPr>
        <w:t>国内公务接待支出</w:t>
      </w:r>
      <w:r>
        <w:rPr>
          <w:rFonts w:hint="eastAsia" w:ascii="宋体" w:hAnsi="宋体" w:eastAsia="宋体" w:cs="宋体"/>
          <w:b/>
          <w:sz w:val="28"/>
          <w:szCs w:val="28"/>
          <w:highlight w:val="none"/>
          <w:lang w:val="en-US" w:eastAsia="zh-CN"/>
        </w:rPr>
        <w:t>0.00</w:t>
      </w:r>
      <w:r>
        <w:rPr>
          <w:rFonts w:hint="eastAsia" w:ascii="宋体" w:hAnsi="宋体" w:eastAsia="宋体" w:cs="宋体"/>
          <w:sz w:val="28"/>
          <w:szCs w:val="28"/>
          <w:highlight w:val="none"/>
        </w:rPr>
        <w:t>万元。国内公务接待</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批次，</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人次（不包括陪同人员），共计支出</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万元。</w:t>
      </w:r>
    </w:p>
    <w:p w14:paraId="170729B4">
      <w:pPr>
        <w:spacing w:line="600" w:lineRule="exact"/>
        <w:ind w:firstLine="562" w:firstLineChars="200"/>
        <w:rPr>
          <w:rFonts w:hint="eastAsia" w:ascii="宋体" w:hAnsi="宋体" w:eastAsia="宋体" w:cs="宋体"/>
          <w:sz w:val="28"/>
          <w:szCs w:val="28"/>
          <w:highlight w:val="none"/>
        </w:rPr>
      </w:pPr>
      <w:r>
        <w:rPr>
          <w:rFonts w:hint="eastAsia" w:ascii="宋体" w:hAnsi="宋体" w:eastAsia="宋体" w:cs="宋体"/>
          <w:b/>
          <w:sz w:val="28"/>
          <w:szCs w:val="28"/>
          <w:highlight w:val="none"/>
        </w:rPr>
        <w:t>外事接待支出0</w:t>
      </w:r>
      <w:r>
        <w:rPr>
          <w:rFonts w:hint="eastAsia" w:ascii="宋体" w:hAnsi="宋体" w:eastAsia="宋体" w:cs="宋体"/>
          <w:b/>
          <w:sz w:val="28"/>
          <w:szCs w:val="28"/>
          <w:highlight w:val="none"/>
          <w:lang w:val="en-US" w:eastAsia="zh-CN"/>
        </w:rPr>
        <w:t>.00</w:t>
      </w:r>
      <w:r>
        <w:rPr>
          <w:rFonts w:hint="eastAsia" w:ascii="宋体" w:hAnsi="宋体" w:eastAsia="宋体" w:cs="宋体"/>
          <w:sz w:val="28"/>
          <w:szCs w:val="28"/>
          <w:highlight w:val="none"/>
        </w:rPr>
        <w:t>万元。</w:t>
      </w:r>
    </w:p>
    <w:p w14:paraId="41B5A826">
      <w:pPr>
        <w:spacing w:line="600" w:lineRule="exact"/>
        <w:ind w:firstLine="640"/>
        <w:outlineLvl w:val="1"/>
        <w:rPr>
          <w:rStyle w:val="28"/>
          <w:rFonts w:hint="eastAsia" w:ascii="宋体" w:hAnsi="宋体" w:eastAsia="宋体" w:cs="宋体"/>
          <w:sz w:val="28"/>
          <w:szCs w:val="28"/>
          <w:highlight w:val="none"/>
        </w:rPr>
      </w:pPr>
      <w:r>
        <w:rPr>
          <w:rFonts w:hint="eastAsia" w:ascii="宋体" w:hAnsi="宋体" w:eastAsia="宋体" w:cs="宋体"/>
          <w:sz w:val="28"/>
          <w:szCs w:val="28"/>
          <w:highlight w:val="none"/>
        </w:rPr>
        <w:t>八、</w:t>
      </w:r>
      <w:r>
        <w:rPr>
          <w:rStyle w:val="28"/>
          <w:rFonts w:hint="eastAsia" w:ascii="宋体" w:hAnsi="宋体" w:eastAsia="宋体" w:cs="宋体"/>
          <w:b w:val="0"/>
          <w:sz w:val="28"/>
          <w:szCs w:val="28"/>
          <w:highlight w:val="none"/>
        </w:rPr>
        <w:t>政府性基金预算支出决算情况说明</w:t>
      </w:r>
      <w:bookmarkEnd w:id="40"/>
      <w:bookmarkEnd w:id="41"/>
    </w:p>
    <w:p w14:paraId="417972FD">
      <w:pPr>
        <w:spacing w:line="600" w:lineRule="exact"/>
        <w:ind w:firstLine="640"/>
        <w:rPr>
          <w:rFonts w:hint="eastAsia" w:ascii="宋体" w:hAnsi="宋体" w:eastAsia="宋体" w:cs="宋体"/>
          <w:sz w:val="28"/>
          <w:szCs w:val="28"/>
          <w:highlight w:val="none"/>
        </w:rPr>
      </w:pPr>
      <w:r>
        <w:rPr>
          <w:rFonts w:hint="eastAsia" w:ascii="宋体" w:hAnsi="宋体" w:eastAsia="宋体" w:cs="宋体"/>
          <w:sz w:val="28"/>
          <w:szCs w:val="28"/>
          <w:highlight w:val="none"/>
        </w:rPr>
        <w:t>2023年度政府性基金预算财政拨款支出</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w:t>
      </w:r>
    </w:p>
    <w:p w14:paraId="0DFD949E">
      <w:pPr>
        <w:numPr>
          <w:ilvl w:val="0"/>
          <w:numId w:val="2"/>
        </w:numPr>
        <w:spacing w:line="600" w:lineRule="exact"/>
        <w:ind w:firstLine="640"/>
        <w:outlineLvl w:val="1"/>
        <w:rPr>
          <w:rStyle w:val="28"/>
          <w:rFonts w:hint="eastAsia" w:ascii="宋体" w:hAnsi="宋体" w:eastAsia="宋体" w:cs="宋体"/>
          <w:b w:val="0"/>
          <w:sz w:val="28"/>
          <w:szCs w:val="28"/>
          <w:highlight w:val="none"/>
        </w:rPr>
      </w:pPr>
      <w:bookmarkStart w:id="42" w:name="_Toc15377219"/>
      <w:bookmarkStart w:id="43" w:name="_Toc15396611"/>
      <w:r>
        <w:rPr>
          <w:rStyle w:val="28"/>
          <w:rFonts w:hint="eastAsia" w:ascii="宋体" w:hAnsi="宋体" w:eastAsia="宋体" w:cs="宋体"/>
          <w:b w:val="0"/>
          <w:sz w:val="28"/>
          <w:szCs w:val="28"/>
          <w:highlight w:val="none"/>
        </w:rPr>
        <w:t>国有资本经营预算支出决算情况说明</w:t>
      </w:r>
      <w:bookmarkEnd w:id="42"/>
      <w:bookmarkEnd w:id="43"/>
    </w:p>
    <w:p w14:paraId="0BFED3FB">
      <w:pPr>
        <w:spacing w:line="600" w:lineRule="exact"/>
        <w:ind w:firstLine="640"/>
        <w:rPr>
          <w:rFonts w:hint="eastAsia" w:ascii="宋体" w:hAnsi="宋体" w:eastAsia="宋体" w:cs="宋体"/>
          <w:sz w:val="28"/>
          <w:szCs w:val="28"/>
          <w:highlight w:val="none"/>
        </w:rPr>
      </w:pPr>
      <w:r>
        <w:rPr>
          <w:rFonts w:hint="eastAsia" w:ascii="宋体" w:hAnsi="宋体" w:eastAsia="宋体" w:cs="宋体"/>
          <w:sz w:val="28"/>
          <w:szCs w:val="28"/>
          <w:highlight w:val="none"/>
        </w:rPr>
        <w:t>2023年度国有资本经营预算财政拨款支出</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w:t>
      </w:r>
    </w:p>
    <w:p w14:paraId="7DE8298C">
      <w:pPr>
        <w:numPr>
          <w:ilvl w:val="0"/>
          <w:numId w:val="2"/>
        </w:numPr>
        <w:spacing w:line="600" w:lineRule="exact"/>
        <w:ind w:firstLine="640"/>
        <w:outlineLvl w:val="1"/>
        <w:rPr>
          <w:rStyle w:val="28"/>
          <w:rFonts w:hint="eastAsia" w:ascii="宋体" w:hAnsi="宋体" w:eastAsia="宋体" w:cs="宋体"/>
          <w:b w:val="0"/>
          <w:sz w:val="28"/>
          <w:szCs w:val="28"/>
          <w:highlight w:val="none"/>
        </w:rPr>
      </w:pPr>
      <w:bookmarkStart w:id="44" w:name="_Toc15396612"/>
      <w:bookmarkStart w:id="45" w:name="_Toc15377221"/>
      <w:r>
        <w:rPr>
          <w:rStyle w:val="28"/>
          <w:rFonts w:hint="eastAsia" w:ascii="宋体" w:hAnsi="宋体" w:eastAsia="宋体" w:cs="宋体"/>
          <w:b w:val="0"/>
          <w:sz w:val="28"/>
          <w:szCs w:val="28"/>
          <w:highlight w:val="none"/>
        </w:rPr>
        <w:t>其他重要事项的情况说明</w:t>
      </w:r>
      <w:bookmarkEnd w:id="44"/>
      <w:bookmarkEnd w:id="45"/>
    </w:p>
    <w:p w14:paraId="28938E9D">
      <w:pPr>
        <w:spacing w:line="600" w:lineRule="exact"/>
        <w:ind w:firstLine="562" w:firstLineChars="200"/>
        <w:outlineLvl w:val="2"/>
        <w:rPr>
          <w:rFonts w:hint="eastAsia" w:ascii="宋体" w:hAnsi="宋体" w:eastAsia="宋体" w:cs="宋体"/>
          <w:sz w:val="28"/>
          <w:szCs w:val="28"/>
          <w:highlight w:val="none"/>
        </w:rPr>
      </w:pPr>
      <w:bookmarkStart w:id="46" w:name="_Toc15377222"/>
      <w:r>
        <w:rPr>
          <w:rFonts w:hint="eastAsia" w:ascii="宋体" w:hAnsi="宋体" w:eastAsia="宋体" w:cs="宋体"/>
          <w:b/>
          <w:sz w:val="28"/>
          <w:szCs w:val="28"/>
          <w:highlight w:val="none"/>
        </w:rPr>
        <w:t>（一）机关运行经费支出情况</w:t>
      </w:r>
      <w:bookmarkEnd w:id="46"/>
    </w:p>
    <w:p w14:paraId="7A0129F5">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2023年度，</w:t>
      </w:r>
      <w:r>
        <w:rPr>
          <w:rFonts w:hint="eastAsia" w:ascii="宋体" w:hAnsi="宋体" w:eastAsia="宋体" w:cs="宋体"/>
          <w:b/>
          <w:sz w:val="28"/>
          <w:szCs w:val="28"/>
          <w:highlight w:val="none"/>
          <w:lang w:val="en-US" w:eastAsia="zh-CN"/>
        </w:rPr>
        <w:t>大竹县清河镇柏家学校不是机关单位，没有机关运行经费支出</w:t>
      </w:r>
      <w:r>
        <w:rPr>
          <w:rFonts w:hint="eastAsia" w:ascii="宋体" w:hAnsi="宋体" w:eastAsia="宋体" w:cs="宋体"/>
          <w:sz w:val="28"/>
          <w:szCs w:val="28"/>
          <w:highlight w:val="none"/>
        </w:rPr>
        <w:t>。</w:t>
      </w:r>
    </w:p>
    <w:p w14:paraId="168B3614">
      <w:pPr>
        <w:autoSpaceDE w:val="0"/>
        <w:autoSpaceDN w:val="0"/>
        <w:adjustRightInd w:val="0"/>
        <w:spacing w:line="600" w:lineRule="exact"/>
        <w:ind w:firstLine="562" w:firstLineChars="200"/>
        <w:jc w:val="left"/>
        <w:outlineLvl w:val="2"/>
        <w:rPr>
          <w:rFonts w:hint="eastAsia" w:ascii="宋体" w:hAnsi="宋体" w:eastAsia="宋体" w:cs="宋体"/>
          <w:b/>
          <w:sz w:val="28"/>
          <w:szCs w:val="28"/>
          <w:highlight w:val="none"/>
        </w:rPr>
      </w:pPr>
      <w:bookmarkStart w:id="47" w:name="_Toc15377223"/>
      <w:r>
        <w:rPr>
          <w:rFonts w:hint="eastAsia" w:ascii="宋体" w:hAnsi="宋体" w:eastAsia="宋体" w:cs="宋体"/>
          <w:b/>
          <w:sz w:val="28"/>
          <w:szCs w:val="28"/>
          <w:highlight w:val="none"/>
        </w:rPr>
        <w:t>（二）政府采购支出情况</w:t>
      </w:r>
      <w:bookmarkEnd w:id="47"/>
    </w:p>
    <w:p w14:paraId="72E58A84">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2023年度，</w:t>
      </w:r>
      <w:r>
        <w:rPr>
          <w:rFonts w:hint="eastAsia" w:ascii="宋体" w:hAnsi="宋体" w:eastAsia="宋体" w:cs="宋体"/>
          <w:b/>
          <w:sz w:val="28"/>
          <w:szCs w:val="28"/>
          <w:highlight w:val="none"/>
          <w:lang w:eastAsia="zh-CN"/>
        </w:rPr>
        <w:t>大竹县清河镇柏家学校</w:t>
      </w:r>
      <w:r>
        <w:rPr>
          <w:rFonts w:hint="eastAsia" w:ascii="宋体" w:hAnsi="宋体" w:eastAsia="宋体" w:cs="宋体"/>
          <w:sz w:val="28"/>
          <w:szCs w:val="28"/>
          <w:highlight w:val="none"/>
        </w:rPr>
        <w:t>政府采购支出总额</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万元，其中：政府采购货物支出</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万元、政府采购工程支出</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万元、政府采购服务支出</w:t>
      </w:r>
      <w:r>
        <w:rPr>
          <w:rFonts w:hint="eastAsia" w:ascii="宋体" w:hAnsi="宋体" w:eastAsia="宋体" w:cs="宋体"/>
          <w:b/>
          <w:sz w:val="28"/>
          <w:szCs w:val="28"/>
          <w:highlight w:val="none"/>
        </w:rPr>
        <w:t>0</w:t>
      </w:r>
      <w:r>
        <w:rPr>
          <w:rFonts w:hint="eastAsia" w:ascii="宋体" w:hAnsi="宋体" w:eastAsia="宋体" w:cs="宋体"/>
          <w:sz w:val="28"/>
          <w:szCs w:val="28"/>
          <w:highlight w:val="none"/>
        </w:rPr>
        <w:t>万元。</w:t>
      </w:r>
    </w:p>
    <w:p w14:paraId="25A3D742">
      <w:pPr>
        <w:autoSpaceDE w:val="0"/>
        <w:autoSpaceDN w:val="0"/>
        <w:adjustRightInd w:val="0"/>
        <w:spacing w:line="600" w:lineRule="exact"/>
        <w:ind w:firstLine="562" w:firstLineChars="200"/>
        <w:jc w:val="left"/>
        <w:outlineLvl w:val="2"/>
        <w:rPr>
          <w:rFonts w:hint="eastAsia" w:ascii="宋体" w:hAnsi="宋体" w:eastAsia="宋体" w:cs="宋体"/>
          <w:b/>
          <w:sz w:val="28"/>
          <w:szCs w:val="28"/>
          <w:highlight w:val="none"/>
        </w:rPr>
      </w:pPr>
      <w:bookmarkStart w:id="48" w:name="_Toc15377224"/>
      <w:r>
        <w:rPr>
          <w:rFonts w:hint="eastAsia" w:ascii="宋体" w:hAnsi="宋体" w:eastAsia="宋体" w:cs="宋体"/>
          <w:b/>
          <w:sz w:val="28"/>
          <w:szCs w:val="28"/>
          <w:highlight w:val="none"/>
        </w:rPr>
        <w:t>（三）国有资产占有使用情况</w:t>
      </w:r>
      <w:bookmarkEnd w:id="48"/>
    </w:p>
    <w:p w14:paraId="7746A771">
      <w:pPr>
        <w:autoSpaceDE w:val="0"/>
        <w:autoSpaceDN w:val="0"/>
        <w:adjustRightInd w:val="0"/>
        <w:spacing w:line="600" w:lineRule="exact"/>
        <w:ind w:firstLine="560" w:firstLineChars="200"/>
        <w:jc w:val="left"/>
        <w:rPr>
          <w:rFonts w:hint="eastAsia" w:ascii="宋体" w:hAnsi="宋体" w:eastAsia="宋体" w:cs="宋体"/>
          <w:b/>
          <w:sz w:val="28"/>
          <w:szCs w:val="28"/>
          <w:highlight w:val="none"/>
        </w:rPr>
      </w:pPr>
      <w:r>
        <w:rPr>
          <w:rFonts w:hint="eastAsia" w:ascii="宋体" w:hAnsi="宋体" w:eastAsia="宋体" w:cs="宋体"/>
          <w:sz w:val="28"/>
          <w:szCs w:val="28"/>
          <w:highlight w:val="none"/>
        </w:rPr>
        <w:t>截至2023年12月31日，</w:t>
      </w:r>
      <w:r>
        <w:rPr>
          <w:rFonts w:hint="eastAsia" w:ascii="宋体" w:hAnsi="宋体" w:eastAsia="宋体" w:cs="宋体"/>
          <w:b/>
          <w:sz w:val="28"/>
          <w:szCs w:val="28"/>
          <w:highlight w:val="none"/>
          <w:lang w:eastAsia="zh-CN"/>
        </w:rPr>
        <w:t>大竹县清河镇柏家学校</w:t>
      </w:r>
      <w:r>
        <w:rPr>
          <w:rFonts w:hint="eastAsia" w:ascii="宋体" w:hAnsi="宋体" w:eastAsia="宋体" w:cs="宋体"/>
          <w:sz w:val="28"/>
          <w:szCs w:val="28"/>
          <w:highlight w:val="none"/>
        </w:rPr>
        <w:t>共有车辆</w:t>
      </w:r>
      <w:r>
        <w:rPr>
          <w:rFonts w:hint="eastAsia" w:ascii="宋体" w:hAnsi="宋体" w:eastAsia="宋体" w:cs="宋体"/>
          <w:b/>
          <w:sz w:val="28"/>
          <w:szCs w:val="28"/>
          <w:highlight w:val="none"/>
          <w:lang w:val="en-US" w:eastAsia="zh-CN"/>
        </w:rPr>
        <w:t>0</w:t>
      </w:r>
      <w:r>
        <w:rPr>
          <w:rFonts w:hint="eastAsia" w:ascii="宋体" w:hAnsi="宋体" w:eastAsia="宋体" w:cs="宋体"/>
          <w:sz w:val="28"/>
          <w:szCs w:val="28"/>
          <w:highlight w:val="none"/>
        </w:rPr>
        <w:t>辆，其中：主要领导干部用车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辆、机要通信用车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辆、应急保障用车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辆、其他用车</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辆。</w:t>
      </w:r>
    </w:p>
    <w:p w14:paraId="7DEB3A84">
      <w:pPr>
        <w:autoSpaceDE w:val="0"/>
        <w:autoSpaceDN w:val="0"/>
        <w:adjustRightInd w:val="0"/>
        <w:spacing w:line="600" w:lineRule="exact"/>
        <w:ind w:firstLine="562" w:firstLineChars="200"/>
        <w:jc w:val="left"/>
        <w:outlineLvl w:val="2"/>
        <w:rPr>
          <w:rFonts w:hint="eastAsia" w:ascii="宋体" w:hAnsi="宋体" w:eastAsia="宋体" w:cs="宋体"/>
          <w:b/>
          <w:sz w:val="28"/>
          <w:szCs w:val="28"/>
        </w:rPr>
      </w:pPr>
      <w:r>
        <w:rPr>
          <w:rFonts w:hint="eastAsia" w:ascii="宋体" w:hAnsi="宋体" w:eastAsia="宋体" w:cs="宋体"/>
          <w:b/>
          <w:sz w:val="28"/>
          <w:szCs w:val="28"/>
        </w:rPr>
        <w:t>（四）预算绩效管理情况</w:t>
      </w:r>
    </w:p>
    <w:p w14:paraId="3CF6DAF5">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根据预算绩效管理要求，本单位在2023年度预算编制阶段，组织</w:t>
      </w:r>
      <w:r>
        <w:rPr>
          <w:rFonts w:hint="eastAsia" w:ascii="宋体" w:hAnsi="宋体" w:eastAsia="宋体" w:cs="宋体"/>
          <w:sz w:val="28"/>
          <w:szCs w:val="28"/>
          <w:lang w:val="en-US" w:eastAsia="zh-CN"/>
        </w:rPr>
        <w:t>0</w:t>
      </w:r>
      <w:r>
        <w:rPr>
          <w:rFonts w:hint="eastAsia" w:ascii="宋体" w:hAnsi="宋体" w:eastAsia="宋体" w:cs="宋体"/>
          <w:sz w:val="28"/>
          <w:szCs w:val="28"/>
        </w:rPr>
        <w:t>个项目开展了预算事前绩效评估，对</w:t>
      </w:r>
      <w:r>
        <w:rPr>
          <w:rFonts w:hint="eastAsia" w:ascii="宋体" w:hAnsi="宋体" w:eastAsia="宋体" w:cs="宋体"/>
          <w:sz w:val="28"/>
          <w:szCs w:val="28"/>
          <w:lang w:val="en-US" w:eastAsia="zh-CN"/>
        </w:rPr>
        <w:t>0</w:t>
      </w:r>
      <w:r>
        <w:rPr>
          <w:rFonts w:hint="eastAsia" w:ascii="宋体" w:hAnsi="宋体" w:eastAsia="宋体" w:cs="宋体"/>
          <w:sz w:val="28"/>
          <w:szCs w:val="28"/>
        </w:rPr>
        <w:t>个项目编制了绩效目标，预算执行过程中，选取</w:t>
      </w:r>
      <w:r>
        <w:rPr>
          <w:rFonts w:hint="eastAsia" w:ascii="宋体" w:hAnsi="宋体" w:eastAsia="宋体" w:cs="宋体"/>
          <w:sz w:val="28"/>
          <w:szCs w:val="28"/>
          <w:lang w:val="en-US" w:eastAsia="zh-CN"/>
        </w:rPr>
        <w:t>0</w:t>
      </w:r>
      <w:r>
        <w:rPr>
          <w:rFonts w:hint="eastAsia" w:ascii="宋体" w:hAnsi="宋体" w:eastAsia="宋体" w:cs="宋体"/>
          <w:sz w:val="28"/>
          <w:szCs w:val="28"/>
        </w:rPr>
        <w:t>个项目开展绩效监控，组织对</w:t>
      </w:r>
      <w:r>
        <w:rPr>
          <w:rFonts w:hint="eastAsia" w:ascii="宋体" w:hAnsi="宋体" w:eastAsia="宋体" w:cs="宋体"/>
          <w:sz w:val="28"/>
          <w:szCs w:val="28"/>
          <w:lang w:val="en-US" w:eastAsia="zh-CN"/>
        </w:rPr>
        <w:t>0</w:t>
      </w:r>
      <w:r>
        <w:rPr>
          <w:rFonts w:hint="eastAsia" w:ascii="宋体" w:hAnsi="宋体" w:eastAsia="宋体" w:cs="宋体"/>
          <w:sz w:val="28"/>
          <w:szCs w:val="28"/>
        </w:rPr>
        <w:t>个项目开展绩效自评。</w:t>
      </w:r>
    </w:p>
    <w:p w14:paraId="560E5955">
      <w:pPr>
        <w:spacing w:line="600" w:lineRule="exact"/>
        <w:ind w:firstLine="560" w:firstLineChars="200"/>
        <w:rPr>
          <w:rFonts w:ascii="仿宋_GB2312" w:eastAsia="仿宋_GB2312"/>
          <w:sz w:val="28"/>
          <w:szCs w:val="28"/>
        </w:rPr>
      </w:pPr>
      <w:r>
        <w:rPr>
          <w:rFonts w:hint="eastAsia" w:ascii="仿宋_GB2312" w:eastAsia="仿宋_GB2312"/>
          <w:sz w:val="28"/>
          <w:szCs w:val="28"/>
        </w:rPr>
        <w:br w:type="page"/>
      </w:r>
    </w:p>
    <w:p w14:paraId="1426A0BC">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57DACACB">
      <w:pPr>
        <w:spacing w:line="600" w:lineRule="exact"/>
        <w:jc w:val="left"/>
        <w:rPr>
          <w:rFonts w:ascii="宋体"/>
          <w:b/>
          <w:sz w:val="44"/>
          <w:szCs w:val="44"/>
        </w:rPr>
      </w:pPr>
    </w:p>
    <w:p w14:paraId="40A02A22">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1.财政拨款收入：指单位从同级财政部门取得的财政预算资金。</w:t>
      </w:r>
    </w:p>
    <w:p w14:paraId="36B083DD">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2.事业收入：指事业单位开展专业业务活动及辅助活动取得的收入。如…（二级预算单位事业收入情况）等。</w:t>
      </w:r>
    </w:p>
    <w:p w14:paraId="49F37B4F">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3.经营收入：指事业单位在专业业务活动及其辅助活动之外开展非独立核算经营活动取得的收入。如…（二级预算单位经营收入情况）等。</w:t>
      </w:r>
    </w:p>
    <w:p w14:paraId="0DA2E966">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4.其他收入：指单位取得的除上述收入以外的各项收入。主要是…（收入类型）等。 </w:t>
      </w:r>
    </w:p>
    <w:p w14:paraId="7FD96A53">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sz w:val="28"/>
          <w:szCs w:val="28"/>
        </w:rPr>
        <w:t>使用非财政拨款结余（含专用结余）</w:t>
      </w:r>
      <w:r>
        <w:rPr>
          <w:rFonts w:hint="eastAsia" w:ascii="宋体" w:hAnsi="宋体" w:eastAsia="宋体" w:cs="宋体"/>
          <w:color w:val="auto"/>
          <w:sz w:val="28"/>
          <w:szCs w:val="28"/>
        </w:rPr>
        <w:t xml:space="preserve">：指事业单位使用以前年度积累的非财政拨款结余弥补当年收支差额的金额。 </w:t>
      </w:r>
    </w:p>
    <w:p w14:paraId="6C20B7C1">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6.年初结转和结余：指以前年度尚未完成、结转到本年按有关规定继续使用的资金。 </w:t>
      </w:r>
    </w:p>
    <w:p w14:paraId="719FBE6F">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7.结余分配：指事业单位按照会计制度规定缴纳的所得税、提取的专用结余以及转入非财政拨款结余的金额等。</w:t>
      </w:r>
    </w:p>
    <w:p w14:paraId="6E5FE856">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8.年末结转和结余：指单位按有关规定结转到下年或以后年度继续使用的资金。</w:t>
      </w:r>
    </w:p>
    <w:p w14:paraId="3D7B7124">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学前教育</w:t>
      </w:r>
      <w:r>
        <w:rPr>
          <w:rFonts w:hint="eastAsia" w:ascii="宋体" w:hAnsi="宋体" w:eastAsia="宋体" w:cs="宋体"/>
          <w:sz w:val="28"/>
          <w:szCs w:val="28"/>
        </w:rPr>
        <w:t>（项）：指</w:t>
      </w:r>
      <w:r>
        <w:rPr>
          <w:rFonts w:hint="eastAsia" w:ascii="宋体" w:hAnsi="宋体" w:eastAsia="宋体" w:cs="宋体"/>
          <w:sz w:val="28"/>
          <w:szCs w:val="28"/>
          <w:lang w:eastAsia="zh-CN"/>
        </w:rPr>
        <w:t>学前教育的办公经费</w:t>
      </w:r>
      <w:r>
        <w:rPr>
          <w:rFonts w:hint="eastAsia" w:ascii="宋体" w:hAnsi="宋体" w:eastAsia="宋体" w:cs="宋体"/>
          <w:sz w:val="28"/>
          <w:szCs w:val="28"/>
        </w:rPr>
        <w:t>。</w:t>
      </w:r>
    </w:p>
    <w:p w14:paraId="7871A28F">
      <w:pPr>
        <w:ind w:left="0" w:leftChars="0"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10</w:t>
      </w:r>
      <w:r>
        <w:rPr>
          <w:rFonts w:hint="eastAsia" w:ascii="宋体" w:hAnsi="宋体" w:eastAsia="宋体" w:cs="宋体"/>
          <w:b w:val="0"/>
          <w:bCs/>
          <w:sz w:val="28"/>
          <w:szCs w:val="28"/>
        </w:rPr>
        <w:t>.教育（类）</w:t>
      </w:r>
      <w:r>
        <w:rPr>
          <w:rFonts w:hint="eastAsia" w:ascii="宋体" w:hAnsi="宋体" w:eastAsia="宋体" w:cs="宋体"/>
          <w:b w:val="0"/>
          <w:bCs/>
          <w:sz w:val="28"/>
          <w:szCs w:val="28"/>
          <w:lang w:eastAsia="zh-CN"/>
        </w:rPr>
        <w:t>普通教育</w:t>
      </w:r>
      <w:r>
        <w:rPr>
          <w:rFonts w:hint="eastAsia" w:ascii="宋体" w:hAnsi="宋体" w:eastAsia="宋体" w:cs="宋体"/>
          <w:b w:val="0"/>
          <w:bCs/>
          <w:sz w:val="28"/>
          <w:szCs w:val="28"/>
        </w:rPr>
        <w:t>（款）</w:t>
      </w:r>
      <w:r>
        <w:rPr>
          <w:rFonts w:hint="eastAsia" w:ascii="宋体" w:hAnsi="宋体" w:eastAsia="宋体" w:cs="宋体"/>
          <w:b w:val="0"/>
          <w:bCs/>
          <w:sz w:val="28"/>
          <w:szCs w:val="28"/>
          <w:lang w:eastAsia="zh-CN"/>
        </w:rPr>
        <w:t>小学教育</w:t>
      </w:r>
      <w:r>
        <w:rPr>
          <w:rFonts w:hint="eastAsia" w:ascii="宋体" w:hAnsi="宋体" w:eastAsia="宋体" w:cs="宋体"/>
          <w:b w:val="0"/>
          <w:bCs/>
          <w:sz w:val="28"/>
          <w:szCs w:val="28"/>
        </w:rPr>
        <w:t>（项）:</w:t>
      </w:r>
      <w:r>
        <w:rPr>
          <w:rFonts w:hint="eastAsia" w:ascii="宋体" w:hAnsi="宋体" w:eastAsia="宋体" w:cs="宋体"/>
          <w:b w:val="0"/>
          <w:bCs/>
          <w:sz w:val="28"/>
          <w:szCs w:val="28"/>
          <w:lang w:eastAsia="zh-CN"/>
        </w:rPr>
        <w:t>指进行小学学历教育的人员和办公经费。</w:t>
      </w:r>
    </w:p>
    <w:p w14:paraId="361F13F2">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初中教育</w:t>
      </w:r>
      <w:r>
        <w:rPr>
          <w:rFonts w:hint="eastAsia" w:ascii="宋体" w:hAnsi="宋体" w:eastAsia="宋体" w:cs="宋体"/>
          <w:sz w:val="28"/>
          <w:szCs w:val="28"/>
        </w:rPr>
        <w:t>（项）:</w:t>
      </w:r>
      <w:r>
        <w:rPr>
          <w:rFonts w:hint="eastAsia" w:ascii="宋体" w:hAnsi="宋体" w:eastAsia="宋体" w:cs="宋体"/>
          <w:b w:val="0"/>
          <w:bCs/>
          <w:sz w:val="28"/>
          <w:szCs w:val="28"/>
          <w:lang w:eastAsia="zh-CN"/>
        </w:rPr>
        <w:t>指进行初中学历教育的人员和办公经费。</w:t>
      </w:r>
    </w:p>
    <w:p w14:paraId="74FDA728">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其他普通教育支出</w:t>
      </w:r>
      <w:r>
        <w:rPr>
          <w:rFonts w:hint="eastAsia" w:ascii="宋体" w:hAnsi="宋体" w:eastAsia="宋体" w:cs="宋体"/>
          <w:sz w:val="28"/>
          <w:szCs w:val="28"/>
        </w:rPr>
        <w:t>（项）:</w:t>
      </w:r>
      <w:r>
        <w:rPr>
          <w:rFonts w:hint="eastAsia" w:ascii="宋体" w:hAnsi="宋体" w:eastAsia="宋体" w:cs="宋体"/>
          <w:sz w:val="28"/>
          <w:szCs w:val="28"/>
          <w:lang w:eastAsia="zh-CN"/>
        </w:rPr>
        <w:t>指以前年度实施的校舍安全强制达标项目。</w:t>
      </w:r>
    </w:p>
    <w:p w14:paraId="53DD3F10">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rPr>
        <w:t>.</w:t>
      </w:r>
      <w:r>
        <w:rPr>
          <w:rFonts w:hint="eastAsia" w:ascii="宋体" w:hAnsi="宋体" w:eastAsia="宋体" w:cs="宋体"/>
          <w:sz w:val="28"/>
          <w:szCs w:val="28"/>
          <w:lang w:eastAsia="zh-CN"/>
        </w:rPr>
        <w:t>文化旅游体育与传媒</w:t>
      </w:r>
      <w:r>
        <w:rPr>
          <w:rFonts w:hint="eastAsia" w:ascii="宋体" w:hAnsi="宋体" w:eastAsia="宋体" w:cs="宋体"/>
          <w:sz w:val="28"/>
          <w:szCs w:val="28"/>
        </w:rPr>
        <w:t>（类）</w:t>
      </w:r>
      <w:r>
        <w:rPr>
          <w:rFonts w:hint="eastAsia" w:ascii="宋体" w:hAnsi="宋体" w:eastAsia="宋体" w:cs="宋体"/>
          <w:sz w:val="28"/>
          <w:szCs w:val="28"/>
          <w:lang w:eastAsia="zh-CN"/>
        </w:rPr>
        <w:t>文化旅游体育与传媒支出</w:t>
      </w:r>
      <w:r>
        <w:rPr>
          <w:rFonts w:hint="eastAsia" w:ascii="宋体" w:hAnsi="宋体" w:eastAsia="宋体" w:cs="宋体"/>
          <w:sz w:val="28"/>
          <w:szCs w:val="28"/>
        </w:rPr>
        <w:t>（款）</w:t>
      </w:r>
      <w:r>
        <w:rPr>
          <w:rFonts w:hint="eastAsia" w:ascii="宋体" w:hAnsi="宋体" w:eastAsia="宋体" w:cs="宋体"/>
          <w:sz w:val="28"/>
          <w:szCs w:val="28"/>
          <w:lang w:eastAsia="zh-CN"/>
        </w:rPr>
        <w:t>其他文化旅游体育与传媒支出</w:t>
      </w:r>
      <w:r>
        <w:rPr>
          <w:rFonts w:hint="eastAsia" w:ascii="宋体" w:hAnsi="宋体" w:eastAsia="宋体" w:cs="宋体"/>
          <w:sz w:val="28"/>
          <w:szCs w:val="28"/>
        </w:rPr>
        <w:t>（项）:</w:t>
      </w:r>
      <w:r>
        <w:rPr>
          <w:rFonts w:hint="eastAsia" w:ascii="宋体" w:hAnsi="宋体" w:eastAsia="宋体" w:cs="宋体"/>
          <w:sz w:val="28"/>
          <w:szCs w:val="28"/>
          <w:lang w:eastAsia="zh-CN"/>
        </w:rPr>
        <w:t>指乡村少年宫运行费。</w:t>
      </w:r>
    </w:p>
    <w:p w14:paraId="07908555">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14</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事业单位离退休</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退休人员地区生活补助。</w:t>
      </w:r>
    </w:p>
    <w:p w14:paraId="44FF4DB5">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机关事业单位基本养老保险缴费支出</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单位为职工缴纳的医疗保险费。</w:t>
      </w:r>
    </w:p>
    <w:p w14:paraId="0D53DA9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16</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机关事业单位职业年金缴费支出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单位为职工缴纳的职业年金。</w:t>
      </w:r>
    </w:p>
    <w:p w14:paraId="6EA2C078">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17</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其他行政事业单位养老支出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退休生活补助。</w:t>
      </w:r>
    </w:p>
    <w:p w14:paraId="18FDE05B">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.卫生健康（类）</w:t>
      </w:r>
      <w:r>
        <w:rPr>
          <w:rFonts w:hint="eastAsia" w:ascii="宋体" w:hAnsi="宋体" w:eastAsia="宋体" w:cs="宋体"/>
          <w:sz w:val="28"/>
          <w:szCs w:val="28"/>
          <w:lang w:eastAsia="zh-CN"/>
        </w:rPr>
        <w:t>行政事业单位医疗</w:t>
      </w:r>
      <w:r>
        <w:rPr>
          <w:rFonts w:hint="eastAsia" w:ascii="宋体" w:hAnsi="宋体" w:eastAsia="宋体" w:cs="宋体"/>
          <w:sz w:val="28"/>
          <w:szCs w:val="28"/>
        </w:rPr>
        <w:t>（款）</w:t>
      </w:r>
      <w:r>
        <w:rPr>
          <w:rFonts w:hint="eastAsia" w:ascii="宋体" w:hAnsi="宋体" w:eastAsia="宋体" w:cs="宋体"/>
          <w:sz w:val="28"/>
          <w:szCs w:val="28"/>
          <w:lang w:eastAsia="zh-CN"/>
        </w:rPr>
        <w:t>事业单位医疗</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单位为职工缴纳的养老保险。</w:t>
      </w:r>
    </w:p>
    <w:p w14:paraId="4C032973">
      <w:pPr>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lang w:val="en-US" w:eastAsia="zh-CN"/>
        </w:rPr>
        <w:t>19</w:t>
      </w:r>
      <w:r>
        <w:rPr>
          <w:rFonts w:hint="eastAsia" w:ascii="宋体" w:hAnsi="宋体" w:eastAsia="宋体" w:cs="宋体"/>
          <w:sz w:val="28"/>
          <w:szCs w:val="28"/>
        </w:rPr>
        <w:t>.</w:t>
      </w:r>
      <w:r>
        <w:rPr>
          <w:rFonts w:hint="eastAsia" w:ascii="宋体" w:hAnsi="宋体" w:eastAsia="宋体" w:cs="宋体"/>
          <w:sz w:val="28"/>
          <w:szCs w:val="28"/>
          <w:lang w:eastAsia="zh-CN"/>
        </w:rPr>
        <w:t>住房保障支出</w:t>
      </w:r>
      <w:r>
        <w:rPr>
          <w:rFonts w:hint="eastAsia" w:ascii="宋体" w:hAnsi="宋体" w:eastAsia="宋体" w:cs="宋体"/>
          <w:sz w:val="28"/>
          <w:szCs w:val="28"/>
        </w:rPr>
        <w:t>（类）</w:t>
      </w:r>
      <w:r>
        <w:rPr>
          <w:rFonts w:hint="eastAsia" w:ascii="宋体" w:hAnsi="宋体" w:eastAsia="宋体" w:cs="宋体"/>
          <w:sz w:val="28"/>
          <w:szCs w:val="28"/>
          <w:lang w:eastAsia="zh-CN"/>
        </w:rPr>
        <w:t>住房改革支出</w:t>
      </w:r>
      <w:r>
        <w:rPr>
          <w:rFonts w:hint="eastAsia" w:ascii="宋体" w:hAnsi="宋体" w:eastAsia="宋体" w:cs="宋体"/>
          <w:sz w:val="28"/>
          <w:szCs w:val="28"/>
        </w:rPr>
        <w:t>（款）</w:t>
      </w:r>
      <w:r>
        <w:rPr>
          <w:rFonts w:hint="eastAsia" w:ascii="宋体" w:hAnsi="宋体" w:eastAsia="宋体" w:cs="宋体"/>
          <w:sz w:val="28"/>
          <w:szCs w:val="28"/>
          <w:lang w:eastAsia="zh-CN"/>
        </w:rPr>
        <w:t>住房公积金</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单位为职工缴纳的住房公积金。</w:t>
      </w:r>
    </w:p>
    <w:p w14:paraId="3A8F81FB">
      <w:pPr>
        <w:ind w:firstLine="560" w:firstLineChars="200"/>
        <w:rPr>
          <w:rFonts w:hint="eastAsia" w:ascii="宋体" w:hAnsi="宋体" w:eastAsia="宋体" w:cs="宋体"/>
          <w:sz w:val="28"/>
          <w:szCs w:val="28"/>
        </w:rPr>
      </w:pPr>
      <w:r>
        <w:rPr>
          <w:rFonts w:hint="eastAsia" w:ascii="宋体" w:hAnsi="宋体" w:eastAsia="宋体" w:cs="宋体"/>
          <w:sz w:val="28"/>
          <w:szCs w:val="28"/>
        </w:rPr>
        <w:t>27.基本支出：指为保障机构正常运转、完成日常工作任务而发生的人员支出和公用支出。</w:t>
      </w:r>
    </w:p>
    <w:p w14:paraId="328407B3">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28.项目支出：指在基本支出之外为完成特定行政任务和事业发展目标所发生的支出。 </w:t>
      </w:r>
    </w:p>
    <w:p w14:paraId="4EDF506D">
      <w:pPr>
        <w:ind w:firstLine="560" w:firstLineChars="200"/>
        <w:rPr>
          <w:rFonts w:hint="eastAsia" w:ascii="宋体" w:hAnsi="宋体" w:eastAsia="宋体" w:cs="宋体"/>
          <w:sz w:val="28"/>
          <w:szCs w:val="28"/>
        </w:rPr>
      </w:pPr>
      <w:r>
        <w:rPr>
          <w:rFonts w:hint="eastAsia" w:ascii="宋体" w:hAnsi="宋体" w:eastAsia="宋体" w:cs="宋体"/>
          <w:sz w:val="28"/>
          <w:szCs w:val="28"/>
        </w:rPr>
        <w:t>29.经营支出：指事业单位在专业业务活动及其辅助活动之外开展非独立核算经营活动发生的支出。</w:t>
      </w:r>
    </w:p>
    <w:p w14:paraId="71F862C6">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586896A8">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4EEFB9">
      <w:pPr>
        <w:spacing w:line="600" w:lineRule="exact"/>
        <w:jc w:val="center"/>
        <w:outlineLvl w:val="0"/>
        <w:rPr>
          <w:rFonts w:hint="eastAsia" w:ascii="黑体" w:hAnsi="黑体" w:eastAsia="黑体"/>
          <w:sz w:val="44"/>
          <w:szCs w:val="44"/>
        </w:rPr>
      </w:pPr>
    </w:p>
    <w:p w14:paraId="4E43D83D">
      <w:pPr>
        <w:spacing w:line="600" w:lineRule="exact"/>
        <w:jc w:val="center"/>
        <w:outlineLvl w:val="0"/>
        <w:rPr>
          <w:rFonts w:hint="eastAsia" w:ascii="黑体" w:hAnsi="黑体" w:eastAsia="黑体"/>
          <w:sz w:val="44"/>
          <w:szCs w:val="44"/>
        </w:rPr>
      </w:pPr>
    </w:p>
    <w:p w14:paraId="74A483E8">
      <w:pPr>
        <w:spacing w:line="600" w:lineRule="exact"/>
        <w:jc w:val="center"/>
        <w:outlineLvl w:val="0"/>
        <w:rPr>
          <w:rFonts w:hint="eastAsia" w:ascii="黑体" w:hAnsi="黑体" w:eastAsia="黑体"/>
          <w:sz w:val="44"/>
          <w:szCs w:val="44"/>
        </w:rPr>
      </w:pPr>
    </w:p>
    <w:p w14:paraId="1C3F9FED">
      <w:pPr>
        <w:spacing w:line="600" w:lineRule="exact"/>
        <w:jc w:val="center"/>
        <w:outlineLvl w:val="0"/>
        <w:rPr>
          <w:rFonts w:hint="eastAsia" w:ascii="黑体" w:hAnsi="黑体" w:eastAsia="黑体"/>
          <w:sz w:val="44"/>
          <w:szCs w:val="44"/>
        </w:rPr>
      </w:pPr>
    </w:p>
    <w:p w14:paraId="4325A675">
      <w:pPr>
        <w:spacing w:line="600" w:lineRule="exact"/>
        <w:jc w:val="center"/>
        <w:outlineLvl w:val="0"/>
        <w:rPr>
          <w:rFonts w:hint="eastAsia" w:ascii="黑体" w:hAnsi="黑体" w:eastAsia="黑体"/>
          <w:sz w:val="44"/>
          <w:szCs w:val="44"/>
        </w:rPr>
      </w:pPr>
    </w:p>
    <w:p w14:paraId="5481E8A3">
      <w:pPr>
        <w:spacing w:line="600" w:lineRule="exact"/>
        <w:jc w:val="center"/>
        <w:outlineLvl w:val="0"/>
        <w:rPr>
          <w:rFonts w:hint="eastAsia" w:ascii="黑体" w:hAnsi="黑体" w:eastAsia="黑体"/>
          <w:sz w:val="44"/>
          <w:szCs w:val="44"/>
        </w:rPr>
      </w:pPr>
    </w:p>
    <w:p w14:paraId="70C3E2BB">
      <w:pPr>
        <w:spacing w:line="600" w:lineRule="exact"/>
        <w:jc w:val="center"/>
        <w:outlineLvl w:val="0"/>
        <w:rPr>
          <w:rFonts w:hint="eastAsia" w:ascii="黑体" w:hAnsi="黑体" w:eastAsia="黑体"/>
          <w:sz w:val="44"/>
          <w:szCs w:val="44"/>
        </w:rPr>
      </w:pPr>
    </w:p>
    <w:p w14:paraId="1A373F25">
      <w:pPr>
        <w:spacing w:line="600" w:lineRule="exact"/>
        <w:jc w:val="center"/>
        <w:outlineLvl w:val="0"/>
        <w:rPr>
          <w:rFonts w:hint="eastAsia" w:ascii="黑体" w:hAnsi="黑体" w:eastAsia="黑体"/>
          <w:sz w:val="44"/>
          <w:szCs w:val="44"/>
        </w:rPr>
      </w:pPr>
    </w:p>
    <w:p w14:paraId="533DA642">
      <w:pPr>
        <w:spacing w:line="600" w:lineRule="exact"/>
        <w:jc w:val="center"/>
        <w:outlineLvl w:val="0"/>
        <w:rPr>
          <w:rFonts w:hint="eastAsia" w:ascii="黑体" w:hAnsi="黑体" w:eastAsia="黑体"/>
          <w:sz w:val="44"/>
          <w:szCs w:val="44"/>
        </w:rPr>
      </w:pPr>
    </w:p>
    <w:p w14:paraId="53C18164">
      <w:pPr>
        <w:spacing w:line="600" w:lineRule="exact"/>
        <w:jc w:val="center"/>
        <w:outlineLvl w:val="0"/>
        <w:rPr>
          <w:rFonts w:hint="eastAsia" w:ascii="黑体" w:hAnsi="黑体" w:eastAsia="黑体"/>
          <w:sz w:val="44"/>
          <w:szCs w:val="44"/>
        </w:rPr>
      </w:pPr>
    </w:p>
    <w:p w14:paraId="658A2605">
      <w:pPr>
        <w:spacing w:line="600" w:lineRule="exact"/>
        <w:jc w:val="center"/>
        <w:outlineLvl w:val="0"/>
        <w:rPr>
          <w:rFonts w:hint="eastAsia" w:ascii="黑体" w:hAnsi="黑体" w:eastAsia="黑体"/>
          <w:sz w:val="44"/>
          <w:szCs w:val="44"/>
        </w:rPr>
      </w:pPr>
    </w:p>
    <w:p w14:paraId="2694A9BE">
      <w:pPr>
        <w:spacing w:line="600" w:lineRule="exact"/>
        <w:jc w:val="center"/>
        <w:outlineLvl w:val="0"/>
        <w:rPr>
          <w:rFonts w:hint="eastAsia" w:ascii="黑体" w:hAnsi="黑体" w:eastAsia="黑体"/>
          <w:sz w:val="44"/>
          <w:szCs w:val="44"/>
        </w:rPr>
      </w:pPr>
    </w:p>
    <w:p w14:paraId="749AC32D">
      <w:pPr>
        <w:spacing w:line="600" w:lineRule="exact"/>
        <w:jc w:val="center"/>
        <w:outlineLvl w:val="0"/>
        <w:rPr>
          <w:rStyle w:val="27"/>
          <w:rFonts w:hint="eastAsia" w:ascii="黑体" w:hAnsi="黑体" w:eastAsia="黑体"/>
          <w:b w:val="0"/>
          <w:lang w:eastAsia="zh-CN"/>
        </w:rPr>
      </w:pPr>
      <w:r>
        <w:rPr>
          <w:rFonts w:hint="eastAsia" w:ascii="黑体" w:hAnsi="黑体" w:eastAsia="黑体"/>
          <w:sz w:val="44"/>
          <w:szCs w:val="44"/>
        </w:rPr>
        <w:t>第</w:t>
      </w:r>
      <w:r>
        <w:rPr>
          <w:rStyle w:val="27"/>
          <w:rFonts w:hint="eastAsia" w:ascii="黑体" w:hAnsi="黑体" w:eastAsia="黑体"/>
          <w:b w:val="0"/>
          <w:lang w:eastAsia="zh-CN"/>
        </w:rPr>
        <w:t>四</w:t>
      </w:r>
      <w:r>
        <w:rPr>
          <w:rStyle w:val="27"/>
          <w:rFonts w:hint="eastAsia" w:ascii="黑体" w:hAnsi="黑体" w:eastAsia="黑体"/>
          <w:b w:val="0"/>
        </w:rPr>
        <w:t>部分 附</w:t>
      </w:r>
      <w:r>
        <w:rPr>
          <w:rStyle w:val="27"/>
          <w:rFonts w:hint="eastAsia" w:ascii="黑体" w:hAnsi="黑体" w:eastAsia="黑体"/>
          <w:b w:val="0"/>
          <w:lang w:eastAsia="zh-CN"/>
        </w:rPr>
        <w:t>件</w:t>
      </w:r>
    </w:p>
    <w:p w14:paraId="7BE74933">
      <w:pPr>
        <w:rPr>
          <w:rFonts w:hint="eastAsia"/>
          <w:sz w:val="32"/>
          <w:szCs w:val="32"/>
          <w:lang w:eastAsia="zh-CN"/>
        </w:rPr>
      </w:pPr>
    </w:p>
    <w:p w14:paraId="3DB07437">
      <w:pPr>
        <w:rPr>
          <w:rFonts w:hint="eastAsia"/>
          <w:sz w:val="32"/>
          <w:szCs w:val="32"/>
          <w:lang w:val="en-US" w:eastAsia="zh-CN"/>
        </w:rPr>
      </w:pPr>
      <w:r>
        <w:rPr>
          <w:rFonts w:hint="eastAsia"/>
          <w:sz w:val="32"/>
          <w:szCs w:val="32"/>
          <w:lang w:eastAsia="zh-CN"/>
        </w:rPr>
        <w:t>附件</w:t>
      </w:r>
      <w:r>
        <w:rPr>
          <w:rFonts w:hint="eastAsia"/>
          <w:sz w:val="32"/>
          <w:szCs w:val="32"/>
          <w:lang w:val="en-US" w:eastAsia="zh-CN"/>
        </w:rPr>
        <w:t>1:部门整体支出绩效目标完成情况自评表</w:t>
      </w:r>
    </w:p>
    <w:tbl>
      <w:tblPr>
        <w:tblW w:w="8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8"/>
        <w:gridCol w:w="780"/>
        <w:gridCol w:w="820"/>
        <w:gridCol w:w="2150"/>
        <w:gridCol w:w="710"/>
        <w:gridCol w:w="840"/>
        <w:gridCol w:w="630"/>
        <w:gridCol w:w="580"/>
        <w:gridCol w:w="670"/>
      </w:tblGrid>
      <w:tr w14:paraId="789A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8158" w:type="dxa"/>
            <w:gridSpan w:val="9"/>
            <w:tcBorders>
              <w:top w:val="nil"/>
              <w:left w:val="nil"/>
              <w:bottom w:val="nil"/>
              <w:right w:val="nil"/>
            </w:tcBorders>
            <w:shd w:val="clear"/>
            <w:vAlign w:val="center"/>
          </w:tcPr>
          <w:p w14:paraId="1A67CD2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部门整体支出绩效目标完成情况自评表</w:t>
            </w:r>
          </w:p>
        </w:tc>
      </w:tr>
      <w:tr w14:paraId="3422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158" w:type="dxa"/>
            <w:gridSpan w:val="9"/>
            <w:tcBorders>
              <w:top w:val="nil"/>
              <w:left w:val="nil"/>
              <w:bottom w:val="nil"/>
              <w:right w:val="nil"/>
            </w:tcBorders>
            <w:shd w:val="clear"/>
            <w:vAlign w:val="center"/>
          </w:tcPr>
          <w:p w14:paraId="05E59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（2023年度）</w:t>
            </w:r>
          </w:p>
        </w:tc>
      </w:tr>
      <w:tr w14:paraId="5501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158" w:type="dxa"/>
            <w:gridSpan w:val="9"/>
            <w:tcBorders>
              <w:top w:val="nil"/>
              <w:left w:val="nil"/>
              <w:bottom w:val="nil"/>
              <w:right w:val="nil"/>
            </w:tcBorders>
            <w:shd w:val="clear"/>
            <w:vAlign w:val="center"/>
          </w:tcPr>
          <w:p w14:paraId="44D503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0C5C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78" w:type="dxa"/>
            <w:gridSpan w:val="3"/>
            <w:tcBorders>
              <w:top w:val="single" w:color="000000" w:sz="4" w:space="0"/>
              <w:left w:val="single" w:color="000000" w:sz="4" w:space="0"/>
              <w:bottom w:val="single" w:color="000000" w:sz="4" w:space="0"/>
              <w:right w:val="single" w:color="000000" w:sz="4" w:space="0"/>
            </w:tcBorders>
            <w:shd w:val="clear"/>
            <w:vAlign w:val="center"/>
          </w:tcPr>
          <w:p w14:paraId="460DF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6E248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大竹县清河镇柏家学校部门</w:t>
            </w:r>
          </w:p>
        </w:tc>
      </w:tr>
      <w:tr w14:paraId="73CB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6D0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年度部门整体支出预算</w:t>
            </w: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6173C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2860" w:type="dxa"/>
            <w:gridSpan w:val="2"/>
            <w:tcBorders>
              <w:top w:val="single" w:color="000000" w:sz="4" w:space="0"/>
              <w:left w:val="single" w:color="000000" w:sz="4" w:space="0"/>
              <w:bottom w:val="single" w:color="000000" w:sz="4" w:space="0"/>
              <w:right w:val="single" w:color="000000" w:sz="4" w:space="0"/>
            </w:tcBorders>
            <w:shd w:val="clear"/>
            <w:vAlign w:val="center"/>
          </w:tcPr>
          <w:p w14:paraId="0E4D2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w:t>
            </w:r>
          </w:p>
        </w:tc>
        <w:tc>
          <w:tcPr>
            <w:tcW w:w="2720" w:type="dxa"/>
            <w:gridSpan w:val="4"/>
            <w:tcBorders>
              <w:top w:val="single" w:color="000000" w:sz="4" w:space="0"/>
              <w:left w:val="single" w:color="000000" w:sz="4" w:space="0"/>
              <w:bottom w:val="single" w:color="000000" w:sz="4" w:space="0"/>
              <w:right w:val="single" w:color="000000" w:sz="4" w:space="0"/>
            </w:tcBorders>
            <w:shd w:val="clear"/>
            <w:vAlign w:val="center"/>
          </w:tcPr>
          <w:p w14:paraId="155FE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r>
      <w:tr w14:paraId="743A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63082">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29F276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514.97</w:t>
            </w:r>
          </w:p>
        </w:tc>
        <w:tc>
          <w:tcPr>
            <w:tcW w:w="2860" w:type="dxa"/>
            <w:gridSpan w:val="2"/>
            <w:tcBorders>
              <w:top w:val="single" w:color="000000" w:sz="4" w:space="0"/>
              <w:left w:val="single" w:color="000000" w:sz="4" w:space="0"/>
              <w:bottom w:val="single" w:color="000000" w:sz="4" w:space="0"/>
              <w:right w:val="single" w:color="000000" w:sz="4" w:space="0"/>
            </w:tcBorders>
            <w:shd w:val="clear"/>
            <w:vAlign w:val="center"/>
          </w:tcPr>
          <w:p w14:paraId="2E99A4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514.97</w:t>
            </w:r>
          </w:p>
        </w:tc>
        <w:tc>
          <w:tcPr>
            <w:tcW w:w="2720" w:type="dxa"/>
            <w:gridSpan w:val="4"/>
            <w:tcBorders>
              <w:top w:val="single" w:color="000000" w:sz="4" w:space="0"/>
              <w:left w:val="single" w:color="000000" w:sz="4" w:space="0"/>
              <w:bottom w:val="single" w:color="000000" w:sz="4" w:space="0"/>
              <w:right w:val="single" w:color="000000" w:sz="4" w:space="0"/>
            </w:tcBorders>
            <w:shd w:val="clear"/>
            <w:vAlign w:val="center"/>
          </w:tcPr>
          <w:p w14:paraId="3D7BF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r>
      <w:tr w14:paraId="01EC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978" w:type="dxa"/>
            <w:tcBorders>
              <w:top w:val="single" w:color="000000" w:sz="4" w:space="0"/>
              <w:left w:val="single" w:color="000000" w:sz="4" w:space="0"/>
              <w:bottom w:val="single" w:color="000000" w:sz="4" w:space="0"/>
              <w:right w:val="single" w:color="000000" w:sz="4" w:space="0"/>
            </w:tcBorders>
            <w:shd w:val="clear"/>
            <w:vAlign w:val="center"/>
          </w:tcPr>
          <w:p w14:paraId="74B08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年度总体目标</w:t>
            </w:r>
          </w:p>
        </w:tc>
        <w:tc>
          <w:tcPr>
            <w:tcW w:w="7180" w:type="dxa"/>
            <w:gridSpan w:val="8"/>
            <w:tcBorders>
              <w:top w:val="single" w:color="000000" w:sz="4" w:space="0"/>
              <w:left w:val="single" w:color="000000" w:sz="4" w:space="0"/>
              <w:bottom w:val="single" w:color="000000" w:sz="4" w:space="0"/>
              <w:right w:val="single" w:color="000000" w:sz="4" w:space="0"/>
            </w:tcBorders>
            <w:shd w:val="clear"/>
            <w:vAlign w:val="center"/>
          </w:tcPr>
          <w:p w14:paraId="69E142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目标1：保障学生平等权益。</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目标2：促进学生全面发展。</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目标3：引领教师专业进步。</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目标4：提升教育教学水平。</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目标5：营造和谐美丽校园。</w:t>
            </w:r>
          </w:p>
        </w:tc>
      </w:tr>
      <w:tr w14:paraId="0472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78" w:type="dxa"/>
            <w:vMerge w:val="restart"/>
            <w:tcBorders>
              <w:top w:val="nil"/>
              <w:left w:val="single" w:color="000000" w:sz="4" w:space="0"/>
              <w:bottom w:val="single" w:color="000000" w:sz="4" w:space="0"/>
              <w:right w:val="single" w:color="000000" w:sz="4" w:space="0"/>
            </w:tcBorders>
            <w:shd w:val="clear"/>
            <w:vAlign w:val="center"/>
          </w:tcPr>
          <w:p w14:paraId="0B35A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1600" w:type="dxa"/>
            <w:gridSpan w:val="2"/>
            <w:tcBorders>
              <w:top w:val="nil"/>
              <w:left w:val="single" w:color="000000" w:sz="4" w:space="0"/>
              <w:bottom w:val="single" w:color="000000" w:sz="4" w:space="0"/>
              <w:right w:val="single" w:color="000000" w:sz="4" w:space="0"/>
            </w:tcBorders>
            <w:shd w:val="clear"/>
            <w:vAlign w:val="center"/>
          </w:tcPr>
          <w:p w14:paraId="69504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5C3302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166A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78" w:type="dxa"/>
            <w:vMerge w:val="continue"/>
            <w:tcBorders>
              <w:top w:val="nil"/>
              <w:left w:val="single" w:color="000000" w:sz="4" w:space="0"/>
              <w:bottom w:val="single" w:color="000000" w:sz="4" w:space="0"/>
              <w:right w:val="single" w:color="000000" w:sz="4" w:space="0"/>
            </w:tcBorders>
            <w:shd w:val="clear"/>
            <w:vAlign w:val="center"/>
          </w:tcPr>
          <w:p w14:paraId="492D8F6D">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5B5478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帮助教师全面发展</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038B49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督促、指导学校教师的思想政治工作、德育工作、体育卫生与艺术教育、国防教育工作、安全稳定工作。</w:t>
            </w:r>
          </w:p>
        </w:tc>
      </w:tr>
      <w:tr w14:paraId="789E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78" w:type="dxa"/>
            <w:vMerge w:val="continue"/>
            <w:tcBorders>
              <w:top w:val="nil"/>
              <w:left w:val="single" w:color="000000" w:sz="4" w:space="0"/>
              <w:bottom w:val="single" w:color="000000" w:sz="4" w:space="0"/>
              <w:right w:val="single" w:color="000000" w:sz="4" w:space="0"/>
            </w:tcBorders>
            <w:shd w:val="clear"/>
            <w:vAlign w:val="center"/>
          </w:tcPr>
          <w:p w14:paraId="4DD171D7">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7A7C6A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加强人才队伍建设</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18278A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贯彻实施各类教师资格标准。会同有关部门研究制定人才队伍建设。</w:t>
            </w:r>
          </w:p>
        </w:tc>
      </w:tr>
      <w:tr w14:paraId="0E95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78" w:type="dxa"/>
            <w:vMerge w:val="continue"/>
            <w:tcBorders>
              <w:top w:val="nil"/>
              <w:left w:val="single" w:color="000000" w:sz="4" w:space="0"/>
              <w:bottom w:val="single" w:color="000000" w:sz="4" w:space="0"/>
              <w:right w:val="single" w:color="000000" w:sz="4" w:space="0"/>
            </w:tcBorders>
            <w:shd w:val="clear"/>
            <w:vAlign w:val="center"/>
          </w:tcPr>
          <w:p w14:paraId="5A370096">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786825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保障学校各项工作正常运行</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67E6D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依法办学，严格执行党的教育方针政策。确保各项工作正常开展</w:t>
            </w:r>
          </w:p>
        </w:tc>
      </w:tr>
      <w:tr w14:paraId="712F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78" w:type="dxa"/>
            <w:vMerge w:val="continue"/>
            <w:tcBorders>
              <w:top w:val="nil"/>
              <w:left w:val="single" w:color="000000" w:sz="4" w:space="0"/>
              <w:bottom w:val="single" w:color="000000" w:sz="4" w:space="0"/>
              <w:right w:val="single" w:color="000000" w:sz="4" w:space="0"/>
            </w:tcBorders>
            <w:shd w:val="clear"/>
            <w:vAlign w:val="center"/>
          </w:tcPr>
          <w:p w14:paraId="01065A3C">
            <w:pPr>
              <w:jc w:val="center"/>
              <w:rPr>
                <w:rFonts w:hint="eastAsia" w:ascii="宋体" w:hAnsi="宋体" w:eastAsia="宋体" w:cs="宋体"/>
                <w:i w:val="0"/>
                <w:iCs w:val="0"/>
                <w:color w:val="000000"/>
                <w:sz w:val="18"/>
                <w:szCs w:val="18"/>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vAlign w:val="center"/>
          </w:tcPr>
          <w:p w14:paraId="067204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完成教育教学工作</w:t>
            </w:r>
          </w:p>
        </w:tc>
        <w:tc>
          <w:tcPr>
            <w:tcW w:w="5580" w:type="dxa"/>
            <w:gridSpan w:val="6"/>
            <w:tcBorders>
              <w:top w:val="single" w:color="000000" w:sz="4" w:space="0"/>
              <w:left w:val="single" w:color="000000" w:sz="4" w:space="0"/>
              <w:bottom w:val="single" w:color="000000" w:sz="4" w:space="0"/>
              <w:right w:val="single" w:color="000000" w:sz="4" w:space="0"/>
            </w:tcBorders>
            <w:shd w:val="clear"/>
            <w:vAlign w:val="center"/>
          </w:tcPr>
          <w:p w14:paraId="2F290B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指导、协调和监督教师教育教学工作。指导、管理资助经济困难学生工作。完成年度教育教学任务。</w:t>
            </w:r>
          </w:p>
        </w:tc>
      </w:tr>
      <w:tr w14:paraId="291E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D68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年度绩效指标</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5C53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14:paraId="3797B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150" w:type="dxa"/>
            <w:tcBorders>
              <w:top w:val="nil"/>
              <w:left w:val="single" w:color="000000" w:sz="4" w:space="0"/>
              <w:bottom w:val="single" w:color="000000" w:sz="4" w:space="0"/>
              <w:right w:val="single" w:color="000000" w:sz="4" w:space="0"/>
            </w:tcBorders>
            <w:shd w:val="clear"/>
            <w:vAlign w:val="center"/>
          </w:tcPr>
          <w:p w14:paraId="35A61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710" w:type="dxa"/>
            <w:tcBorders>
              <w:top w:val="nil"/>
              <w:left w:val="single" w:color="000000" w:sz="4" w:space="0"/>
              <w:bottom w:val="single" w:color="000000" w:sz="4" w:space="0"/>
              <w:right w:val="single" w:color="000000" w:sz="4" w:space="0"/>
            </w:tcBorders>
            <w:shd w:val="clear"/>
            <w:vAlign w:val="center"/>
          </w:tcPr>
          <w:p w14:paraId="134F1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绩效指标性质</w:t>
            </w:r>
          </w:p>
        </w:tc>
        <w:tc>
          <w:tcPr>
            <w:tcW w:w="840" w:type="dxa"/>
            <w:tcBorders>
              <w:top w:val="nil"/>
              <w:left w:val="single" w:color="000000" w:sz="4" w:space="0"/>
              <w:bottom w:val="single" w:color="000000" w:sz="4" w:space="0"/>
              <w:right w:val="single" w:color="000000" w:sz="4" w:space="0"/>
            </w:tcBorders>
            <w:shd w:val="clear"/>
            <w:vAlign w:val="center"/>
          </w:tcPr>
          <w:p w14:paraId="7568A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绩效指标值</w:t>
            </w:r>
          </w:p>
        </w:tc>
        <w:tc>
          <w:tcPr>
            <w:tcW w:w="630" w:type="dxa"/>
            <w:tcBorders>
              <w:top w:val="nil"/>
              <w:left w:val="single" w:color="000000" w:sz="4" w:space="0"/>
              <w:bottom w:val="single" w:color="000000" w:sz="4" w:space="0"/>
              <w:right w:val="single" w:color="000000" w:sz="4" w:space="0"/>
            </w:tcBorders>
            <w:shd w:val="clear"/>
            <w:vAlign w:val="center"/>
          </w:tcPr>
          <w:p w14:paraId="106A8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绩效度量单位</w:t>
            </w:r>
          </w:p>
        </w:tc>
        <w:tc>
          <w:tcPr>
            <w:tcW w:w="580" w:type="dxa"/>
            <w:tcBorders>
              <w:top w:val="nil"/>
              <w:left w:val="single" w:color="000000" w:sz="4" w:space="0"/>
              <w:bottom w:val="single" w:color="000000" w:sz="4" w:space="0"/>
              <w:right w:val="single" w:color="000000" w:sz="4" w:space="0"/>
            </w:tcBorders>
            <w:shd w:val="clear"/>
            <w:vAlign w:val="center"/>
          </w:tcPr>
          <w:p w14:paraId="4D900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670" w:type="dxa"/>
            <w:tcBorders>
              <w:top w:val="nil"/>
              <w:left w:val="single" w:color="000000" w:sz="4" w:space="0"/>
              <w:bottom w:val="single" w:color="000000" w:sz="4" w:space="0"/>
              <w:right w:val="single" w:color="000000" w:sz="4" w:space="0"/>
            </w:tcBorders>
            <w:shd w:val="clear"/>
            <w:vAlign w:val="center"/>
          </w:tcPr>
          <w:p w14:paraId="4E827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实际完成指标值</w:t>
            </w:r>
          </w:p>
        </w:tc>
      </w:tr>
      <w:tr w14:paraId="33D0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6C1680">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5AF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8378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40FAC1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优秀教师评选活动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5DCE8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85512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2886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14B3D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4533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C58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7FE6C8">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33FC02">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D5F6F6">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33FF7D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专项治理“教育四乱”活动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3544D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F7E49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7DA8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6B264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6351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038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53B85E">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0C010">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C3ACDA">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68312F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应急安全演练</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2F92B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A337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ECB3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60633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6FDCE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7503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2B9DCB">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ED6CD">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A6B99B">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0EF2A5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安全教育（周）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68E62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B817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9106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32ECF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7118B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C16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BDF47D">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2E9E22">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DBAEA1">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300E9B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班班通开通率</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079F08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392D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39A1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732B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6BAA6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3C52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83DED">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CF5AEF">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DB5FDB">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3F35E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德育先进少年评选</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54E31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FA717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84304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期</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FD7E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C2BC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70D1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B32D55">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6E4CF0">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7A1A32">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5FB8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定期开展留守学生亲情交流及课外活动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7A049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F14CE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7C39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EA7B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6B39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3B4D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E3440">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A09D0">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272790">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8E88B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家校活动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587753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9DA5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BD7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期</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3366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1E16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7870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369CB">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97949">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CB4187">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43F5F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教育教研活动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676F1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E456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1AC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期</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53C3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2E08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18D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74D1B">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50AF0">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720E72">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FE691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进行法制教育讲座</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782DB0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CF29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AC3E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674C6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EFB2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979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D322E">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9DADCE">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25489">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00F9F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师培师训</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7BC0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42E7B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C064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FF5C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712FC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14:paraId="532F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54A3F">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CC474">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ADDF6D">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0D5AB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特色课程（国旗下的讲话）</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62CF1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C0845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805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36DB1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789A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25FE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03651">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DC13CC">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DB026">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2D430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图书借阅（生）</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796E6F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EEE00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B0983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册</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21D39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4F3C0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14:paraId="25EB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525839">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E5203B">
            <w:pPr>
              <w:jc w:val="left"/>
              <w:rPr>
                <w:rFonts w:hint="eastAsia" w:ascii="宋体" w:hAnsi="宋体" w:eastAsia="宋体" w:cs="宋体"/>
                <w:i w:val="0"/>
                <w:iCs w:val="0"/>
                <w:color w:val="000000"/>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08F0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6EA6DB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安全事故发生率</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9FCDA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02370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2B1C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次/年</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67320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E8D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6365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D55F06">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6FFC38">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10C715">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104B9E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参加篮球、田径比赛</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7A6DDD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6E03A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31B9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名</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1C869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116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14:paraId="2518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8A09E">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5B17DD">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50B88">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24CDE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公开课</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4C3B7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09C0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39A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2C9FB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226D1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FA6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4FB23">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D3589D">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4D1D2F">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2D3979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教育教学论文</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B4241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FA97A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D86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0DEF2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4115A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73A4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F7A685">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8929DD">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DA83FD">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54EE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培训通过率</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30BC36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B9D59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79D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0FEB1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48CD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13C5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B94025">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55C89D">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EBED7D">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497E69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师生安全演练参与度</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6B65EE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1ACC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F47B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3B035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7417C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0A86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99364">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900EB">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2FF401">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1EA45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学生体质健康测试</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49A3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DC25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18D9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7897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44E53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14:paraId="58F0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0CD075">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8FAB7F">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04DED">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4183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学生征文大赛参与度</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68BF68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E22F0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730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DD79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CBB7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2253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A28169">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A338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57F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26705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教育教学水平提高</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4B289E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FC586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1515EF">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EED7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2FED6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1FEC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6EC5B3">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FC233">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27513">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27E2C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提高教师的整体素质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5105E1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92A99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F50384">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2B9FC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0FCA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4A73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EDB08">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2379CF">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53BE5D">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62BC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提高学生整体素质</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07F4F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242F9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D64B17">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091EC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B83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075F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42B274">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A8255B">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11B324">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04C6BD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维护学生合法权益</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6CA7FD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C615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91E0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39901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434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71B1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E048F0">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26BCF3">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6CE22">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4F0DE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学校安全风险显著降低</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4F62F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32126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5BD417">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1D431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576E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68DB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560930">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F9BE1">
            <w:pPr>
              <w:jc w:val="left"/>
              <w:rPr>
                <w:rFonts w:hint="eastAsia" w:ascii="宋体" w:hAnsi="宋体" w:eastAsia="宋体" w:cs="宋体"/>
                <w:i w:val="0"/>
                <w:iCs w:val="0"/>
                <w:color w:val="000000"/>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57D7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16BF35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树立学生安全意识，学生安全应急能力显著提高</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7EFA9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7DD7C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305056">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58E6D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C1DE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7BAD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6F2307">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A5F55">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1F004">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5AD0C0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提高教师队伍的影响力</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50D91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C7D9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15CB4C">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1752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6DC94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76D7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155A9">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BD4858">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A58D7">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A250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对学生的心理健康影响</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0821E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E761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好坏</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0D9AB1C">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738E2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7468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好</w:t>
            </w:r>
          </w:p>
        </w:tc>
      </w:tr>
      <w:tr w14:paraId="75DD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5069B0">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EC617">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8C091C">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30785C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教育质量提高</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41F99D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FEBE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高中低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3EAD54">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9C4F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6A0E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w:t>
            </w:r>
          </w:p>
        </w:tc>
      </w:tr>
      <w:tr w14:paraId="7BA8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FE447C">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6735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CCAA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742372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教师满意度</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4B8AA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0A7A3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CEE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496E4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30F1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14:paraId="1517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ECF541">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211E16">
            <w:pPr>
              <w:jc w:val="left"/>
              <w:rPr>
                <w:rFonts w:hint="eastAsia" w:ascii="宋体" w:hAnsi="宋体" w:eastAsia="宋体" w:cs="宋体"/>
                <w:i w:val="0"/>
                <w:iCs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53793B">
            <w:pPr>
              <w:jc w:val="left"/>
              <w:rPr>
                <w:rFonts w:hint="eastAsia" w:ascii="宋体" w:hAnsi="宋体" w:eastAsia="宋体" w:cs="宋体"/>
                <w:i w:val="0"/>
                <w:iCs w:val="0"/>
                <w:color w:val="000000"/>
                <w:sz w:val="18"/>
                <w:szCs w:val="18"/>
                <w:u w:val="none"/>
              </w:rPr>
            </w:pP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287416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学生满意度</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14:paraId="126481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7C270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EFD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14:paraId="2ECCF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4C154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bl>
    <w:p w14:paraId="4C9D4001">
      <w:pPr>
        <w:pStyle w:val="2"/>
        <w:rPr>
          <w:rFonts w:hint="eastAsia" w:ascii="Times New Roman" w:hAnsi="Times New Roman" w:eastAsia="宋体" w:cs="Times New Roman"/>
          <w:b w:val="0"/>
          <w:kern w:val="2"/>
          <w:sz w:val="32"/>
          <w:szCs w:val="32"/>
          <w:lang w:val="en-US" w:eastAsia="zh-CN" w:bidi="ar-SA"/>
        </w:rPr>
      </w:pPr>
    </w:p>
    <w:p w14:paraId="6118BD5F">
      <w:pPr>
        <w:pStyle w:val="2"/>
        <w:rPr>
          <w:rFonts w:hint="eastAsia" w:ascii="Times New Roman" w:hAnsi="Times New Roman" w:eastAsia="宋体" w:cs="Times New Roman"/>
          <w:b w:val="0"/>
          <w:kern w:val="2"/>
          <w:sz w:val="32"/>
          <w:szCs w:val="32"/>
          <w:lang w:val="en-US" w:eastAsia="zh-CN" w:bidi="ar-SA"/>
        </w:rPr>
      </w:pPr>
    </w:p>
    <w:p w14:paraId="46E0EC11">
      <w:pPr>
        <w:rPr>
          <w:rFonts w:hint="eastAsia"/>
          <w:lang w:val="en-US" w:eastAsia="zh-CN"/>
        </w:rPr>
      </w:pPr>
    </w:p>
    <w:p w14:paraId="22E1B926">
      <w:pPr>
        <w:pStyle w:val="2"/>
        <w:rPr>
          <w:rFonts w:hint="eastAsia" w:ascii="Times New Roman" w:hAnsi="Times New Roman" w:eastAsia="宋体" w:cs="Times New Roman"/>
          <w:b w:val="0"/>
          <w:kern w:val="2"/>
          <w:sz w:val="32"/>
          <w:szCs w:val="32"/>
          <w:lang w:val="en-US" w:eastAsia="zh-CN" w:bidi="ar-SA"/>
        </w:rPr>
      </w:pPr>
      <w:r>
        <w:rPr>
          <w:rFonts w:hint="eastAsia" w:ascii="Times New Roman" w:hAnsi="Times New Roman" w:eastAsia="宋体" w:cs="Times New Roman"/>
          <w:b w:val="0"/>
          <w:kern w:val="2"/>
          <w:sz w:val="32"/>
          <w:szCs w:val="32"/>
          <w:lang w:val="en-US" w:eastAsia="zh-CN" w:bidi="ar-SA"/>
        </w:rPr>
        <w:t>附件2:部门预算项目支出绩效自评表（2023年度）</w:t>
      </w:r>
    </w:p>
    <w:p w14:paraId="3DC4FF34">
      <w:pPr>
        <w:pStyle w:val="6"/>
        <w:spacing w:before="93"/>
        <w:rPr>
          <w:rFonts w:hAnsi="Calibri" w:cs="仿宋"/>
          <w:sz w:val="32"/>
          <w:szCs w:val="32"/>
        </w:rPr>
      </w:pPr>
      <w:bookmarkStart w:id="51" w:name="_Toc15377226"/>
      <w:bookmarkStart w:id="52" w:name="_Toc15396618"/>
      <w:r>
        <w:rPr>
          <w:rFonts w:hAnsi="Calibri" w:cs="仿宋"/>
          <w:sz w:val="32"/>
          <w:szCs w:val="32"/>
        </w:rPr>
        <w:object>
          <v:shape id="_x0000_i1028" o:spt="75" type="#_x0000_t75" style="height:349.8pt;width:415.2pt;" o:ole="t" filled="f" o:preferrelative="t" stroked="f" coordsize="21600,21600">
            <v:path/>
            <v:fill on="f" focussize="0,0"/>
            <v:stroke on="f"/>
            <v:imagedata r:id="rId14" o:title=""/>
            <o:lock v:ext="edit" aspectratio="f"/>
            <w10:wrap type="none"/>
            <w10:anchorlock/>
          </v:shape>
          <o:OLEObject Type="Embed" ProgID="Excel.Sheet.12" ShapeID="_x0000_i1028" DrawAspect="Content" ObjectID="_1468075725" r:id="rId13">
            <o:LockedField>false</o:LockedField>
          </o:OLEObject>
        </w:object>
      </w:r>
    </w:p>
    <w:p w14:paraId="14072965">
      <w:pPr>
        <w:pStyle w:val="6"/>
        <w:spacing w:before="93"/>
        <w:rPr>
          <w:rFonts w:hAnsi="Calibri" w:cs="仿宋"/>
          <w:sz w:val="32"/>
          <w:szCs w:val="32"/>
        </w:rPr>
      </w:pPr>
      <w:r>
        <w:rPr>
          <w:rFonts w:hAnsi="Calibri" w:cs="仿宋"/>
          <w:sz w:val="32"/>
          <w:szCs w:val="32"/>
        </w:rPr>
        <w:object>
          <v:shape id="_x0000_i1029" o:spt="75" type="#_x0000_t75" style="height:349.8pt;width:415.2pt;" o:ole="t" filled="f" o:preferrelative="t" stroked="f" coordsize="21600,21600">
            <v:path/>
            <v:fill on="f" focussize="0,0"/>
            <v:stroke on="f"/>
            <v:imagedata r:id="rId16" o:title=""/>
            <o:lock v:ext="edit" aspectratio="f"/>
            <w10:wrap type="none"/>
            <w10:anchorlock/>
          </v:shape>
          <o:OLEObject Type="Embed" ProgID="Excel.Sheet.12" ShapeID="_x0000_i1029" DrawAspect="Content" ObjectID="_1468075726" r:id="rId15">
            <o:LockedField>false</o:LockedField>
          </o:OLEObject>
        </w:object>
      </w:r>
    </w:p>
    <w:p w14:paraId="2340C806">
      <w:pPr>
        <w:pStyle w:val="6"/>
        <w:spacing w:before="93"/>
        <w:rPr>
          <w:rFonts w:hAnsi="Calibri" w:cs="仿宋"/>
          <w:sz w:val="32"/>
          <w:szCs w:val="32"/>
        </w:rPr>
      </w:pPr>
    </w:p>
    <w:p w14:paraId="0FF9D83A">
      <w:pPr>
        <w:pStyle w:val="6"/>
        <w:spacing w:before="93"/>
        <w:rPr>
          <w:rFonts w:hAnsi="Calibri" w:cs="仿宋"/>
          <w:sz w:val="32"/>
          <w:szCs w:val="32"/>
        </w:rPr>
      </w:pPr>
    </w:p>
    <w:p w14:paraId="1461EA4D">
      <w:pPr>
        <w:pStyle w:val="6"/>
        <w:spacing w:before="93"/>
        <w:rPr>
          <w:rFonts w:hAnsi="Calibri" w:cs="仿宋"/>
          <w:sz w:val="32"/>
          <w:szCs w:val="32"/>
        </w:rPr>
      </w:pPr>
    </w:p>
    <w:p w14:paraId="7B4C32A1">
      <w:pPr>
        <w:pStyle w:val="6"/>
        <w:spacing w:before="93"/>
        <w:rPr>
          <w:rFonts w:hAnsi="Calibri" w:cs="仿宋"/>
          <w:sz w:val="32"/>
          <w:szCs w:val="32"/>
        </w:rPr>
      </w:pPr>
    </w:p>
    <w:p w14:paraId="74C3E074">
      <w:pPr>
        <w:pStyle w:val="6"/>
        <w:spacing w:before="93"/>
        <w:rPr>
          <w:rFonts w:hAnsi="Calibri" w:cs="仿宋"/>
          <w:sz w:val="32"/>
          <w:szCs w:val="32"/>
        </w:rPr>
      </w:pPr>
    </w:p>
    <w:p w14:paraId="6335131C">
      <w:pPr>
        <w:pStyle w:val="6"/>
        <w:spacing w:before="93"/>
        <w:rPr>
          <w:rFonts w:hAnsi="Calibri" w:cs="仿宋"/>
          <w:sz w:val="32"/>
          <w:szCs w:val="32"/>
        </w:rPr>
      </w:pPr>
    </w:p>
    <w:p w14:paraId="4D2D7236">
      <w:pPr>
        <w:pStyle w:val="6"/>
        <w:spacing w:before="93"/>
        <w:rPr>
          <w:rFonts w:hAnsi="Calibri" w:cs="仿宋"/>
          <w:sz w:val="32"/>
          <w:szCs w:val="32"/>
        </w:rPr>
      </w:pPr>
    </w:p>
    <w:p w14:paraId="04BA07E3">
      <w:pPr>
        <w:pStyle w:val="6"/>
        <w:spacing w:before="93"/>
        <w:rPr>
          <w:rFonts w:hAnsi="Calibri" w:cs="仿宋"/>
          <w:sz w:val="32"/>
          <w:szCs w:val="32"/>
        </w:rPr>
      </w:pPr>
    </w:p>
    <w:p w14:paraId="577C2D85">
      <w:pPr>
        <w:pStyle w:val="6"/>
        <w:spacing w:before="93"/>
        <w:rPr>
          <w:rFonts w:hAnsi="Calibri" w:cs="仿宋"/>
          <w:sz w:val="32"/>
          <w:szCs w:val="32"/>
        </w:rPr>
      </w:pPr>
    </w:p>
    <w:p w14:paraId="40B7ABB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2"/>
      <w:bookmarkStart w:id="53" w:name="_Toc15396619"/>
    </w:p>
    <w:p w14:paraId="4F4D9C0A">
      <w:pPr>
        <w:pStyle w:val="4"/>
        <w:rPr>
          <w:rFonts w:hint="eastAsia" w:ascii="宋体" w:hAnsi="宋体" w:eastAsia="宋体" w:cs="宋体"/>
          <w:sz w:val="28"/>
          <w:szCs w:val="28"/>
        </w:rPr>
      </w:pPr>
      <w:r>
        <w:rPr>
          <w:rFonts w:hint="eastAsia" w:ascii="宋体" w:hAnsi="宋体" w:eastAsia="宋体" w:cs="宋体"/>
          <w:b w:val="0"/>
          <w:sz w:val="28"/>
          <w:szCs w:val="28"/>
        </w:rPr>
        <w:t>一、收</w:t>
      </w:r>
      <w:r>
        <w:rPr>
          <w:rStyle w:val="28"/>
          <w:rFonts w:hint="eastAsia" w:ascii="宋体" w:hAnsi="宋体" w:eastAsia="宋体" w:cs="宋体"/>
          <w:b w:val="0"/>
          <w:bCs w:val="0"/>
          <w:sz w:val="28"/>
          <w:szCs w:val="28"/>
        </w:rPr>
        <w:t>入支出决算总表</w:t>
      </w:r>
      <w:bookmarkEnd w:id="53"/>
    </w:p>
    <w:p w14:paraId="4D15AF06">
      <w:pPr>
        <w:pStyle w:val="4"/>
        <w:rPr>
          <w:rFonts w:hint="eastAsia" w:ascii="宋体" w:hAnsi="宋体" w:eastAsia="宋体" w:cs="宋体"/>
          <w:sz w:val="28"/>
          <w:szCs w:val="28"/>
        </w:rPr>
      </w:pPr>
      <w:bookmarkStart w:id="54" w:name="_Toc15396620"/>
      <w:r>
        <w:rPr>
          <w:rFonts w:hint="eastAsia" w:ascii="宋体" w:hAnsi="宋体" w:eastAsia="宋体" w:cs="宋体"/>
          <w:b w:val="0"/>
          <w:sz w:val="28"/>
          <w:szCs w:val="28"/>
        </w:rPr>
        <w:t>二、收</w:t>
      </w:r>
      <w:r>
        <w:rPr>
          <w:rStyle w:val="28"/>
          <w:rFonts w:hint="eastAsia" w:ascii="宋体" w:hAnsi="宋体" w:eastAsia="宋体" w:cs="宋体"/>
          <w:b w:val="0"/>
          <w:bCs w:val="0"/>
          <w:sz w:val="28"/>
          <w:szCs w:val="28"/>
        </w:rPr>
        <w:t>入决算表</w:t>
      </w:r>
      <w:bookmarkEnd w:id="54"/>
    </w:p>
    <w:p w14:paraId="7F8BB0BD">
      <w:pPr>
        <w:pStyle w:val="4"/>
        <w:rPr>
          <w:rFonts w:hint="eastAsia" w:ascii="宋体" w:hAnsi="宋体" w:eastAsia="宋体" w:cs="宋体"/>
          <w:sz w:val="28"/>
          <w:szCs w:val="28"/>
        </w:rPr>
      </w:pPr>
      <w:bookmarkStart w:id="55" w:name="_Toc15396621"/>
      <w:r>
        <w:rPr>
          <w:rStyle w:val="28"/>
          <w:rFonts w:hint="eastAsia" w:ascii="宋体" w:hAnsi="宋体" w:eastAsia="宋体" w:cs="宋体"/>
          <w:b w:val="0"/>
          <w:bCs w:val="0"/>
          <w:sz w:val="28"/>
          <w:szCs w:val="28"/>
        </w:rPr>
        <w:t>三、</w:t>
      </w:r>
      <w:r>
        <w:rPr>
          <w:rFonts w:hint="eastAsia" w:ascii="宋体" w:hAnsi="宋体" w:eastAsia="宋体" w:cs="宋体"/>
          <w:b w:val="0"/>
          <w:sz w:val="28"/>
          <w:szCs w:val="28"/>
        </w:rPr>
        <w:t>支</w:t>
      </w:r>
      <w:r>
        <w:rPr>
          <w:rStyle w:val="28"/>
          <w:rFonts w:hint="eastAsia" w:ascii="宋体" w:hAnsi="宋体" w:eastAsia="宋体" w:cs="宋体"/>
          <w:b w:val="0"/>
          <w:bCs w:val="0"/>
          <w:sz w:val="28"/>
          <w:szCs w:val="28"/>
        </w:rPr>
        <w:t>出决算表</w:t>
      </w:r>
      <w:bookmarkEnd w:id="55"/>
    </w:p>
    <w:p w14:paraId="022CFB1A">
      <w:pPr>
        <w:pStyle w:val="4"/>
        <w:rPr>
          <w:rFonts w:hint="eastAsia" w:ascii="宋体" w:hAnsi="宋体" w:eastAsia="宋体" w:cs="宋体"/>
          <w:b w:val="0"/>
          <w:sz w:val="28"/>
          <w:szCs w:val="28"/>
        </w:rPr>
      </w:pPr>
      <w:bookmarkStart w:id="56" w:name="_Toc15396622"/>
      <w:r>
        <w:rPr>
          <w:rStyle w:val="28"/>
          <w:rFonts w:hint="eastAsia" w:ascii="宋体" w:hAnsi="宋体" w:eastAsia="宋体" w:cs="宋体"/>
          <w:b w:val="0"/>
          <w:bCs w:val="0"/>
          <w:sz w:val="28"/>
          <w:szCs w:val="28"/>
        </w:rPr>
        <w:t>四、</w:t>
      </w:r>
      <w:r>
        <w:rPr>
          <w:rFonts w:hint="eastAsia" w:ascii="宋体" w:hAnsi="宋体" w:eastAsia="宋体" w:cs="宋体"/>
          <w:b w:val="0"/>
          <w:sz w:val="28"/>
          <w:szCs w:val="28"/>
        </w:rPr>
        <w:t>财</w:t>
      </w:r>
      <w:r>
        <w:rPr>
          <w:rStyle w:val="28"/>
          <w:rFonts w:hint="eastAsia" w:ascii="宋体" w:hAnsi="宋体" w:eastAsia="宋体" w:cs="宋体"/>
          <w:b w:val="0"/>
          <w:bCs w:val="0"/>
          <w:sz w:val="28"/>
          <w:szCs w:val="28"/>
        </w:rPr>
        <w:t>政拨款收入支出决算总表</w:t>
      </w:r>
      <w:bookmarkEnd w:id="56"/>
    </w:p>
    <w:p w14:paraId="194143D5">
      <w:pPr>
        <w:pStyle w:val="4"/>
        <w:rPr>
          <w:rStyle w:val="28"/>
          <w:rFonts w:hint="eastAsia" w:ascii="宋体" w:hAnsi="宋体" w:eastAsia="宋体" w:cs="宋体"/>
          <w:b w:val="0"/>
          <w:bCs w:val="0"/>
          <w:sz w:val="28"/>
          <w:szCs w:val="28"/>
        </w:rPr>
      </w:pPr>
      <w:bookmarkStart w:id="57" w:name="_Toc15396623"/>
      <w:r>
        <w:rPr>
          <w:rStyle w:val="28"/>
          <w:rFonts w:hint="eastAsia" w:ascii="宋体" w:hAnsi="宋体" w:eastAsia="宋体" w:cs="宋体"/>
          <w:b w:val="0"/>
          <w:bCs w:val="0"/>
          <w:sz w:val="28"/>
          <w:szCs w:val="28"/>
        </w:rPr>
        <w:t>五、</w:t>
      </w:r>
      <w:r>
        <w:rPr>
          <w:rFonts w:hint="eastAsia" w:ascii="宋体" w:hAnsi="宋体" w:eastAsia="宋体" w:cs="宋体"/>
          <w:b w:val="0"/>
          <w:sz w:val="28"/>
          <w:szCs w:val="28"/>
        </w:rPr>
        <w:t>财</w:t>
      </w:r>
      <w:r>
        <w:rPr>
          <w:rStyle w:val="28"/>
          <w:rFonts w:hint="eastAsia" w:ascii="宋体" w:hAnsi="宋体" w:eastAsia="宋体" w:cs="宋体"/>
          <w:b w:val="0"/>
          <w:bCs w:val="0"/>
          <w:sz w:val="28"/>
          <w:szCs w:val="28"/>
        </w:rPr>
        <w:t>政拨款支出决算明细表</w:t>
      </w:r>
      <w:bookmarkEnd w:id="57"/>
      <w:bookmarkStart w:id="58" w:name="_Toc15396624"/>
    </w:p>
    <w:p w14:paraId="5D224A95">
      <w:pPr>
        <w:pStyle w:val="4"/>
        <w:rPr>
          <w:rFonts w:hint="eastAsia" w:ascii="宋体" w:hAnsi="宋体" w:eastAsia="宋体" w:cs="宋体"/>
          <w:sz w:val="28"/>
          <w:szCs w:val="28"/>
        </w:rPr>
      </w:pPr>
      <w:r>
        <w:rPr>
          <w:rStyle w:val="28"/>
          <w:rFonts w:hint="eastAsia" w:ascii="宋体" w:hAnsi="宋体" w:eastAsia="宋体" w:cs="宋体"/>
          <w:b w:val="0"/>
          <w:bCs w:val="0"/>
          <w:sz w:val="28"/>
          <w:szCs w:val="28"/>
        </w:rPr>
        <w:t>六、</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般公共预算财政拨款支出决算表</w:t>
      </w:r>
      <w:bookmarkEnd w:id="58"/>
    </w:p>
    <w:p w14:paraId="723CB21D">
      <w:pPr>
        <w:pStyle w:val="4"/>
        <w:rPr>
          <w:rFonts w:hint="eastAsia" w:ascii="宋体" w:hAnsi="宋体" w:eastAsia="宋体" w:cs="宋体"/>
          <w:sz w:val="28"/>
          <w:szCs w:val="28"/>
        </w:rPr>
      </w:pPr>
      <w:bookmarkStart w:id="59" w:name="_Toc15396625"/>
      <w:r>
        <w:rPr>
          <w:rStyle w:val="28"/>
          <w:rFonts w:hint="eastAsia" w:ascii="宋体" w:hAnsi="宋体" w:eastAsia="宋体" w:cs="宋体"/>
          <w:b w:val="0"/>
          <w:bCs w:val="0"/>
          <w:sz w:val="28"/>
          <w:szCs w:val="28"/>
        </w:rPr>
        <w:t>七、</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般公共预算财政拨款支出决算明细表</w:t>
      </w:r>
      <w:bookmarkEnd w:id="59"/>
    </w:p>
    <w:p w14:paraId="0B415AC1">
      <w:pPr>
        <w:pStyle w:val="4"/>
        <w:rPr>
          <w:rFonts w:hint="eastAsia" w:ascii="宋体" w:hAnsi="宋体" w:eastAsia="宋体" w:cs="宋体"/>
          <w:sz w:val="28"/>
          <w:szCs w:val="28"/>
        </w:rPr>
      </w:pPr>
      <w:bookmarkStart w:id="60" w:name="_Toc15396626"/>
      <w:r>
        <w:rPr>
          <w:rStyle w:val="28"/>
          <w:rFonts w:hint="eastAsia" w:ascii="宋体" w:hAnsi="宋体" w:eastAsia="宋体" w:cs="宋体"/>
          <w:b w:val="0"/>
          <w:bCs w:val="0"/>
          <w:sz w:val="28"/>
          <w:szCs w:val="28"/>
        </w:rPr>
        <w:t>八、</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般公共预算财政拨款基本支出决算表</w:t>
      </w:r>
      <w:bookmarkEnd w:id="60"/>
    </w:p>
    <w:p w14:paraId="79153A73">
      <w:pPr>
        <w:pStyle w:val="4"/>
        <w:rPr>
          <w:rFonts w:hint="eastAsia" w:ascii="宋体" w:hAnsi="宋体" w:eastAsia="宋体" w:cs="宋体"/>
          <w:sz w:val="28"/>
          <w:szCs w:val="28"/>
        </w:rPr>
      </w:pPr>
      <w:bookmarkStart w:id="61" w:name="_Toc15396627"/>
      <w:r>
        <w:rPr>
          <w:rStyle w:val="28"/>
          <w:rFonts w:hint="eastAsia" w:ascii="宋体" w:hAnsi="宋体" w:eastAsia="宋体" w:cs="宋体"/>
          <w:b w:val="0"/>
          <w:bCs w:val="0"/>
          <w:sz w:val="28"/>
          <w:szCs w:val="28"/>
        </w:rPr>
        <w:t>九、</w:t>
      </w:r>
      <w:r>
        <w:rPr>
          <w:rFonts w:hint="eastAsia" w:ascii="宋体" w:hAnsi="宋体" w:eastAsia="宋体" w:cs="宋体"/>
          <w:b w:val="0"/>
          <w:sz w:val="28"/>
          <w:szCs w:val="28"/>
        </w:rPr>
        <w:t>一</w:t>
      </w:r>
      <w:r>
        <w:rPr>
          <w:rStyle w:val="28"/>
          <w:rFonts w:hint="eastAsia" w:ascii="宋体" w:hAnsi="宋体" w:eastAsia="宋体" w:cs="宋体"/>
          <w:b w:val="0"/>
          <w:bCs w:val="0"/>
          <w:sz w:val="28"/>
          <w:szCs w:val="28"/>
        </w:rPr>
        <w:t>般公共预算财政拨款项目支出决算表</w:t>
      </w:r>
      <w:bookmarkEnd w:id="61"/>
    </w:p>
    <w:p w14:paraId="3F68EA74">
      <w:pPr>
        <w:pStyle w:val="4"/>
        <w:rPr>
          <w:rFonts w:hint="eastAsia" w:ascii="宋体" w:hAnsi="宋体" w:eastAsia="宋体" w:cs="宋体"/>
          <w:sz w:val="28"/>
          <w:szCs w:val="28"/>
        </w:rPr>
      </w:pPr>
      <w:bookmarkStart w:id="62" w:name="_Toc15396628"/>
      <w:r>
        <w:rPr>
          <w:rStyle w:val="28"/>
          <w:rFonts w:hint="eastAsia" w:ascii="宋体" w:hAnsi="宋体" w:eastAsia="宋体" w:cs="宋体"/>
          <w:b w:val="0"/>
          <w:bCs w:val="0"/>
          <w:sz w:val="28"/>
          <w:szCs w:val="28"/>
        </w:rPr>
        <w:t>十、</w:t>
      </w:r>
      <w:bookmarkEnd w:id="62"/>
      <w:r>
        <w:rPr>
          <w:rFonts w:hint="eastAsia" w:ascii="宋体" w:hAnsi="宋体" w:eastAsia="宋体" w:cs="宋体"/>
          <w:b w:val="0"/>
          <w:sz w:val="28"/>
          <w:szCs w:val="28"/>
        </w:rPr>
        <w:t>政</w:t>
      </w:r>
      <w:r>
        <w:rPr>
          <w:rStyle w:val="28"/>
          <w:rFonts w:hint="eastAsia" w:ascii="宋体" w:hAnsi="宋体" w:eastAsia="宋体" w:cs="宋体"/>
          <w:b w:val="0"/>
          <w:bCs w:val="0"/>
          <w:sz w:val="28"/>
          <w:szCs w:val="28"/>
        </w:rPr>
        <w:t>府性基金预算财政拨款收入支出决算表</w:t>
      </w:r>
    </w:p>
    <w:p w14:paraId="6CC5282A">
      <w:pPr>
        <w:pStyle w:val="4"/>
        <w:rPr>
          <w:rFonts w:hint="eastAsia" w:ascii="宋体" w:hAnsi="宋体" w:eastAsia="宋体" w:cs="宋体"/>
          <w:sz w:val="28"/>
          <w:szCs w:val="28"/>
        </w:rPr>
      </w:pPr>
      <w:bookmarkStart w:id="63" w:name="_Toc15396629"/>
      <w:r>
        <w:rPr>
          <w:rStyle w:val="28"/>
          <w:rFonts w:hint="eastAsia" w:ascii="宋体" w:hAnsi="宋体" w:eastAsia="宋体" w:cs="宋体"/>
          <w:b w:val="0"/>
          <w:bCs w:val="0"/>
          <w:sz w:val="28"/>
          <w:szCs w:val="28"/>
        </w:rPr>
        <w:t>十一、</w:t>
      </w:r>
      <w:bookmarkEnd w:id="63"/>
      <w:r>
        <w:rPr>
          <w:rFonts w:hint="eastAsia" w:ascii="宋体" w:hAnsi="宋体" w:eastAsia="宋体" w:cs="宋体"/>
          <w:b w:val="0"/>
          <w:sz w:val="28"/>
          <w:szCs w:val="28"/>
        </w:rPr>
        <w:t>国</w:t>
      </w:r>
      <w:r>
        <w:rPr>
          <w:rStyle w:val="28"/>
          <w:rFonts w:hint="eastAsia" w:ascii="宋体" w:hAnsi="宋体" w:eastAsia="宋体" w:cs="宋体"/>
          <w:b w:val="0"/>
          <w:bCs w:val="0"/>
          <w:sz w:val="28"/>
          <w:szCs w:val="28"/>
        </w:rPr>
        <w:t>有资本经营预算财政拨款收入支出决算表</w:t>
      </w:r>
    </w:p>
    <w:p w14:paraId="7FD3DAAE">
      <w:pPr>
        <w:pStyle w:val="4"/>
        <w:rPr>
          <w:rFonts w:hint="eastAsia" w:ascii="宋体" w:hAnsi="宋体" w:eastAsia="宋体" w:cs="宋体"/>
          <w:sz w:val="28"/>
          <w:szCs w:val="28"/>
        </w:rPr>
      </w:pPr>
      <w:bookmarkStart w:id="64" w:name="_Toc15396630"/>
      <w:r>
        <w:rPr>
          <w:rStyle w:val="28"/>
          <w:rFonts w:hint="eastAsia" w:ascii="宋体" w:hAnsi="宋体" w:eastAsia="宋体" w:cs="宋体"/>
          <w:b w:val="0"/>
          <w:bCs w:val="0"/>
          <w:sz w:val="28"/>
          <w:szCs w:val="28"/>
        </w:rPr>
        <w:t>十二、</w:t>
      </w:r>
      <w:bookmarkEnd w:id="64"/>
      <w:r>
        <w:rPr>
          <w:rStyle w:val="28"/>
          <w:rFonts w:hint="eastAsia" w:ascii="宋体" w:hAnsi="宋体" w:eastAsia="宋体" w:cs="宋体"/>
          <w:b w:val="0"/>
          <w:bCs w:val="0"/>
          <w:sz w:val="28"/>
          <w:szCs w:val="28"/>
        </w:rPr>
        <w:t>国有资本经营预算财政拨款支出决算表</w:t>
      </w:r>
    </w:p>
    <w:p w14:paraId="0DED9C4C">
      <w:pPr>
        <w:pStyle w:val="4"/>
        <w:rPr>
          <w:rFonts w:hint="eastAsia" w:ascii="宋体" w:hAnsi="宋体" w:eastAsia="宋体" w:cs="宋体"/>
          <w:sz w:val="28"/>
          <w:szCs w:val="28"/>
        </w:rPr>
      </w:pPr>
      <w:bookmarkStart w:id="65" w:name="_Toc15396631"/>
      <w:r>
        <w:rPr>
          <w:rStyle w:val="28"/>
          <w:rFonts w:hint="eastAsia" w:ascii="宋体" w:hAnsi="宋体" w:eastAsia="宋体" w:cs="宋体"/>
          <w:b w:val="0"/>
          <w:bCs w:val="0"/>
          <w:sz w:val="28"/>
          <w:szCs w:val="28"/>
        </w:rPr>
        <w:t>十三、</w:t>
      </w:r>
      <w:bookmarkEnd w:id="65"/>
      <w:r>
        <w:rPr>
          <w:rStyle w:val="28"/>
          <w:rFonts w:hint="eastAsia" w:ascii="宋体" w:hAnsi="宋体" w:eastAsia="宋体" w:cs="宋体"/>
          <w:b w:val="0"/>
          <w:bCs w:val="0"/>
          <w:sz w:val="28"/>
          <w:szCs w:val="28"/>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FC68543">
        <w:pPr>
          <w:pStyle w:val="10"/>
          <w:jc w:val="center"/>
        </w:pPr>
        <w:r>
          <w:fldChar w:fldCharType="begin"/>
        </w:r>
        <w:r>
          <w:instrText xml:space="preserve">PAGE   \* MERGEFORMAT</w:instrText>
        </w:r>
        <w:r>
          <w:fldChar w:fldCharType="separate"/>
        </w:r>
        <w:r>
          <w:rPr>
            <w:lang w:val="zh-CN"/>
          </w:rPr>
          <w:t>15</w:t>
        </w:r>
        <w:r>
          <w:fldChar w:fldCharType="end"/>
        </w:r>
      </w:p>
    </w:sdtContent>
  </w:sdt>
  <w:p w14:paraId="3A20641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068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NGIxMzg1M2I2MzA2NDU4YjFkNGFmMzNjZTcxO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4766A8E"/>
    <w:rsid w:val="081B5E94"/>
    <w:rsid w:val="08F0055B"/>
    <w:rsid w:val="0A2032A3"/>
    <w:rsid w:val="0B8A37D8"/>
    <w:rsid w:val="0F5FFB2F"/>
    <w:rsid w:val="0FFFCF60"/>
    <w:rsid w:val="10C055FF"/>
    <w:rsid w:val="118107EC"/>
    <w:rsid w:val="11DD6519"/>
    <w:rsid w:val="16BB723D"/>
    <w:rsid w:val="17E42975"/>
    <w:rsid w:val="18015F3F"/>
    <w:rsid w:val="198F7B75"/>
    <w:rsid w:val="1BE8440E"/>
    <w:rsid w:val="1D155CEE"/>
    <w:rsid w:val="1DBB50F4"/>
    <w:rsid w:val="1DCC5172"/>
    <w:rsid w:val="1FDBBF84"/>
    <w:rsid w:val="20F57F95"/>
    <w:rsid w:val="240371BF"/>
    <w:rsid w:val="25711CC6"/>
    <w:rsid w:val="25C741E6"/>
    <w:rsid w:val="276F80C0"/>
    <w:rsid w:val="27842671"/>
    <w:rsid w:val="29FD04D3"/>
    <w:rsid w:val="2ABE7A3E"/>
    <w:rsid w:val="2AFF09B6"/>
    <w:rsid w:val="2CA234A8"/>
    <w:rsid w:val="2EFA178C"/>
    <w:rsid w:val="2EFDF86C"/>
    <w:rsid w:val="2F9D17E1"/>
    <w:rsid w:val="30144E32"/>
    <w:rsid w:val="30B46D73"/>
    <w:rsid w:val="319F7F4E"/>
    <w:rsid w:val="356A28F1"/>
    <w:rsid w:val="357C035A"/>
    <w:rsid w:val="368E000D"/>
    <w:rsid w:val="369C53C7"/>
    <w:rsid w:val="383D272C"/>
    <w:rsid w:val="39AE70AB"/>
    <w:rsid w:val="3A4DCE41"/>
    <w:rsid w:val="3BCB56FA"/>
    <w:rsid w:val="3C0C0783"/>
    <w:rsid w:val="3EE7C2F4"/>
    <w:rsid w:val="3F371B56"/>
    <w:rsid w:val="3F792ED8"/>
    <w:rsid w:val="3F9F3A96"/>
    <w:rsid w:val="3FECA4B2"/>
    <w:rsid w:val="3FF58C48"/>
    <w:rsid w:val="42B75819"/>
    <w:rsid w:val="42FF6694"/>
    <w:rsid w:val="48BF60AB"/>
    <w:rsid w:val="493C27E9"/>
    <w:rsid w:val="496F39ED"/>
    <w:rsid w:val="49FF41D3"/>
    <w:rsid w:val="4BE068DB"/>
    <w:rsid w:val="4BF6002B"/>
    <w:rsid w:val="4BFFC6BE"/>
    <w:rsid w:val="4ECE2238"/>
    <w:rsid w:val="51DB4B86"/>
    <w:rsid w:val="51F64DB0"/>
    <w:rsid w:val="55333C3E"/>
    <w:rsid w:val="582C253F"/>
    <w:rsid w:val="5F67802D"/>
    <w:rsid w:val="5F7DC4F2"/>
    <w:rsid w:val="5F876D52"/>
    <w:rsid w:val="5FB36814"/>
    <w:rsid w:val="5FBB8E56"/>
    <w:rsid w:val="5FFB5535"/>
    <w:rsid w:val="63F16313"/>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4B3FEA"/>
    <w:rsid w:val="79E7B28D"/>
    <w:rsid w:val="7ACFF0C2"/>
    <w:rsid w:val="7AFB9108"/>
    <w:rsid w:val="7BD5340C"/>
    <w:rsid w:val="7BFB19D2"/>
    <w:rsid w:val="7BFD1750"/>
    <w:rsid w:val="7BFDAA1B"/>
    <w:rsid w:val="7CDF9A82"/>
    <w:rsid w:val="7CFFA1BD"/>
    <w:rsid w:val="7D2E3F7A"/>
    <w:rsid w:val="7D822BB5"/>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autoRedefine/>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458.11</c:v>
                </c:pt>
                <c:pt idx="1">
                  <c:v>692.59</c:v>
                </c:pt>
              </c:numCache>
            </c:numRef>
          </c:val>
        </c:ser>
        <c:dLbls>
          <c:showLegendKey val="0"/>
          <c:showVal val="0"/>
          <c:showCatName val="0"/>
          <c:showSerName val="0"/>
          <c:showPercent val="0"/>
          <c:showBubbleSize val="0"/>
        </c:dLbls>
        <c:gapWidth val="150"/>
        <c:overlap val="0"/>
        <c:axId val="622651402"/>
        <c:axId val="661561914"/>
      </c:barChart>
      <c:catAx>
        <c:axId val="6226514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61914"/>
        <c:crosses val="autoZero"/>
        <c:auto val="1"/>
        <c:lblAlgn val="ctr"/>
        <c:lblOffset val="100"/>
        <c:noMultiLvlLbl val="0"/>
      </c:catAx>
      <c:valAx>
        <c:axId val="6615619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26514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manualLayout>
          <c:xMode val="edge"/>
          <c:yMode val="edge"/>
          <c:x val="0.374003382459531"/>
          <c:y val="0.0214619634509137"/>
        </c:manualLayout>
      </c:layout>
      <c:overlay val="0"/>
      <c:spPr>
        <a:noFill/>
        <a:ln>
          <a:noFill/>
        </a:ln>
        <a:effectLst/>
      </c:spPr>
    </c:title>
    <c:autoTitleDeleted val="0"/>
    <c:plotArea>
      <c:layout/>
      <c:pieChart>
        <c:varyColors val="1"/>
        <c:ser>
          <c:idx val="0"/>
          <c:order val="0"/>
          <c:tx>
            <c:strRef>
              <c:f>Sheet1!$B$1</c:f>
              <c:strCache>
                <c:ptCount val="1"/>
                <c:pt idx="0">
                  <c:v>收入决算结构图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00121073873302939"/>
                  <c:y val="-0.127498775209463"/>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71807038449567"/>
                  <c:y val="-0.0341840204000873"/>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51727244934942"/>
                  <c:y val="0.0775881852947704"/>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6426898577984"/>
                  <c:y val="0.0535762855922629"/>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2332686800642"/>
                  <c:y val="0.208909902251846"/>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9932373356228"/>
                  <c:y val="0.117324691882106"/>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701858098056835"/>
                  <c:y val="0.0336017849547789"/>
                </c:manualLayout>
              </c:layout>
              <c:numFmt formatCode="General" sourceLinked="1"/>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lumMod val="60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solidFill>
                <a:schemeClr val="bg1"/>
              </a:solidFill>
              <a:ln w="12700" cmpd="sng">
                <a:solidFill>
                  <a:schemeClr val="accent1"/>
                </a:solidFill>
                <a:prstDash val="sysDot"/>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strCache>
            </c:strRef>
          </c:cat>
          <c:val>
            <c:numRef>
              <c:f>Sheet1!$B$2:$B$8</c:f>
              <c:numCache>
                <c:formatCode>General</c:formatCode>
                <c:ptCount val="7"/>
                <c:pt idx="0">
                  <c:v>692.59</c:v>
                </c:pt>
                <c:pt idx="1">
                  <c:v>0</c:v>
                </c:pt>
                <c:pt idx="2">
                  <c:v>0</c:v>
                </c:pt>
                <c:pt idx="3">
                  <c:v>0</c:v>
                </c:pt>
                <c:pt idx="4">
                  <c:v>0</c:v>
                </c:pt>
                <c:pt idx="5">
                  <c:v>0</c:v>
                </c:pt>
                <c:pt idx="6">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670.69</c:v>
                </c:pt>
                <c:pt idx="1">
                  <c:v>21.9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c:v>
                </c:pt>
                <c:pt idx="1">
                  <c:v>收支</c:v>
                </c:pt>
              </c:strCache>
            </c:strRef>
          </c:cat>
          <c:val>
            <c:numRef>
              <c:f>Sheet1!$B$2:$B$3</c:f>
              <c:numCache>
                <c:formatCode>General</c:formatCode>
                <c:ptCount val="2"/>
                <c:pt idx="0">
                  <c:v>458.11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c:v>
                </c:pt>
                <c:pt idx="1">
                  <c:v>收支</c:v>
                </c:pt>
              </c:strCache>
            </c:strRef>
          </c:cat>
          <c:val>
            <c:numRef>
              <c:f>Sheet1!$C$2:$C$3</c:f>
              <c:numCache>
                <c:formatCode>General</c:formatCode>
                <c:ptCount val="2"/>
                <c:pt idx="1">
                  <c:v>692.59</c:v>
                </c:pt>
              </c:numCache>
            </c:numRef>
          </c:val>
        </c:ser>
        <c:dLbls>
          <c:showLegendKey val="0"/>
          <c:showVal val="1"/>
          <c:showCatName val="0"/>
          <c:showSerName val="0"/>
          <c:showPercent val="0"/>
          <c:showBubbleSize val="0"/>
        </c:dLbls>
        <c:gapWidth val="75"/>
        <c:overlap val="0"/>
        <c:axId val="322909334"/>
        <c:axId val="540168822"/>
      </c:barChart>
      <c:catAx>
        <c:axId val="322909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168822"/>
        <c:crosses val="autoZero"/>
        <c:auto val="1"/>
        <c:lblAlgn val="ctr"/>
        <c:lblOffset val="100"/>
        <c:noMultiLvlLbl val="0"/>
      </c:catAx>
      <c:valAx>
        <c:axId val="540168822"/>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909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c:v>
                </c:pt>
                <c:pt idx="1">
                  <c:v>收支</c:v>
                </c:pt>
              </c:strCache>
            </c:strRef>
          </c:cat>
          <c:val>
            <c:numRef>
              <c:f>Sheet1!$B$2:$B$3</c:f>
              <c:numCache>
                <c:formatCode>General</c:formatCode>
                <c:ptCount val="2"/>
                <c:pt idx="0">
                  <c:v>458.11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c:v>
                </c:pt>
                <c:pt idx="1">
                  <c:v>收支</c:v>
                </c:pt>
              </c:strCache>
            </c:strRef>
          </c:cat>
          <c:val>
            <c:numRef>
              <c:f>Sheet1!$C$2:$C$3</c:f>
              <c:numCache>
                <c:formatCode>General</c:formatCode>
                <c:ptCount val="2"/>
                <c:pt idx="1">
                  <c:v>692.59</c:v>
                </c:pt>
              </c:numCache>
            </c:numRef>
          </c:val>
        </c:ser>
        <c:dLbls>
          <c:showLegendKey val="0"/>
          <c:showVal val="1"/>
          <c:showCatName val="0"/>
          <c:showSerName val="0"/>
          <c:showPercent val="0"/>
          <c:showBubbleSize val="0"/>
        </c:dLbls>
        <c:gapWidth val="75"/>
        <c:overlap val="0"/>
        <c:axId val="322909334"/>
        <c:axId val="540168822"/>
      </c:barChart>
      <c:catAx>
        <c:axId val="322909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168822"/>
        <c:crosses val="autoZero"/>
        <c:auto val="1"/>
        <c:lblAlgn val="ctr"/>
        <c:lblOffset val="100"/>
        <c:noMultiLvlLbl val="0"/>
      </c:catAx>
      <c:valAx>
        <c:axId val="540168822"/>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909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文化旅游体育与传媒支出</c:v>
                </c:pt>
                <c:pt idx="2">
                  <c:v>社会保障和就业支出</c:v>
                </c:pt>
                <c:pt idx="3">
                  <c:v>卫生健康支出</c:v>
                </c:pt>
                <c:pt idx="4">
                  <c:v>住房保障支出</c:v>
                </c:pt>
              </c:strCache>
            </c:strRef>
          </c:cat>
          <c:val>
            <c:numRef>
              <c:f>Sheet1!$B$2:$B$6</c:f>
              <c:numCache>
                <c:formatCode>General</c:formatCode>
                <c:ptCount val="5"/>
                <c:pt idx="0">
                  <c:v>496.22</c:v>
                </c:pt>
                <c:pt idx="1">
                  <c:v>2.5</c:v>
                </c:pt>
                <c:pt idx="2">
                  <c:v>133.73</c:v>
                </c:pt>
                <c:pt idx="3">
                  <c:v>29.79</c:v>
                </c:pt>
                <c:pt idx="4">
                  <c:v>30.35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三公经费</a:t>
            </a:r>
            <a:endParaRPr lang="en-US" sz="1100"/>
          </a:p>
        </c:rich>
      </c:tx>
      <c:layout/>
      <c:overlay val="0"/>
    </c:title>
    <c:autoTitleDeleted val="0"/>
    <c:plotArea>
      <c:layout/>
      <c:pieChart>
        <c:varyColors val="1"/>
        <c:ser>
          <c:idx val="1"/>
          <c:order val="0"/>
          <c:explosion val="0"/>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{"因公出国（境）费","公务用车购置及运行维护费","公务接待费"}</c:f>
              <c:strCache>
                <c:ptCount val="3"/>
                <c:pt idx="0">
                  <c:v>因公出国（境）费</c:v>
                </c:pt>
                <c:pt idx="1">
                  <c:v>公务用车购置及运行维护费</c:v>
                </c:pt>
                <c:pt idx="2">
                  <c:v>公务接待费</c:v>
                </c:pt>
              </c:strCache>
            </c:strRef>
          </c:cat>
          <c:val>
            <c:numRef>
              <c:f>{0,0,0}</c:f>
              <c:numCache>
                <c:formatCode>General</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4856</Words>
  <Characters>7524</Characters>
  <Lines>54</Lines>
  <Paragraphs>15</Paragraphs>
  <TotalTime>31</TotalTime>
  <ScaleCrop>false</ScaleCrop>
  <LinksUpToDate>false</LinksUpToDate>
  <CharactersWithSpaces>7553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洪福</cp:lastModifiedBy>
  <cp:lastPrinted>2023-08-03T02:35:00Z</cp:lastPrinted>
  <dcterms:modified xsi:type="dcterms:W3CDTF">2024-10-24T16:38:34Z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7119FCBC50254B0C9488BA92EA54B57E_13</vt:lpwstr>
  </property>
</Properties>
</file>